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F4F" w:rsidRDefault="006F5F4F" w:rsidP="006F5F4F">
      <w:pPr>
        <w:pStyle w:val="NoSpacing"/>
        <w:rPr>
          <w:caps/>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791B24" w:rsidP="0008176F">
          <w:pPr>
            <w:pStyle w:val="NoSpacing"/>
            <w:spacing w:line="480" w:lineRule="auto"/>
            <w:jc w:val="center"/>
            <w:rPr>
              <w:caps/>
            </w:rPr>
          </w:pPr>
          <w:r>
            <w:rPr>
              <w:caps/>
            </w:rPr>
            <w:t>Exploring the Cellular effects of small molecule inhibitors of oxysterol-binding protein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4578F9"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35528">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835528"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6C526A" w:rsidP="00746E16">
          <w:pPr>
            <w:pStyle w:val="NoSpacing"/>
            <w:jc w:val="center"/>
            <w:rPr>
              <w:caps/>
            </w:rPr>
          </w:pPr>
          <w:r>
            <w:rPr>
              <w:caps/>
            </w:rPr>
            <w:t>Brett Roberts</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6C526A" w:rsidP="00730F0A">
          <w:pPr>
            <w:pStyle w:val="NoSpacing"/>
            <w:jc w:val="center"/>
          </w:pPr>
          <w:r>
            <w:t>2018</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1567533768"/>
            <w:placeholder>
              <w:docPart w:val="D14583CFCD23480AA57FBE4F70EF3E45"/>
            </w:placeholder>
          </w:sdtPr>
          <w:sdtContent>
            <w:p w:rsidR="00730F0A" w:rsidRPr="00730F0A" w:rsidRDefault="00791B24" w:rsidP="00BA291B">
              <w:pPr>
                <w:pStyle w:val="NoSpacing"/>
                <w:spacing w:line="480" w:lineRule="auto"/>
                <w:jc w:val="center"/>
                <w:rPr>
                  <w:caps/>
                </w:rPr>
              </w:pPr>
              <w:r>
                <w:rPr>
                  <w:caps/>
                </w:rPr>
                <w:t xml:space="preserve">Exploring the </w:t>
              </w:r>
              <w:r w:rsidR="00CF13F1">
                <w:rPr>
                  <w:caps/>
                </w:rPr>
                <w:t xml:space="preserve">cellular </w:t>
              </w:r>
              <w:r>
                <w:rPr>
                  <w:caps/>
                </w:rPr>
                <w:t>effects of small molecule inhibitors of oxysterol-binding protein</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4578F9"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35528">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rsidR="00746E16" w:rsidRDefault="00835528" w:rsidP="00746E16">
          <w:pPr>
            <w:pStyle w:val="NoSpacing"/>
            <w:jc w:val="center"/>
            <w:rPr>
              <w:caps/>
            </w:rPr>
          </w:pPr>
          <w:r>
            <w:rPr>
              <w:caps/>
            </w:rPr>
            <w:t>Department of Chemistry and Biochemistry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p>
    <w:p w:rsidR="00730F0A" w:rsidRDefault="004578F9"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6C526A">
            <w:t>Anthony Burgett</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730F0A" w:rsidP="00730F0A">
      <w:pPr>
        <w:pStyle w:val="NoSpacing"/>
        <w:jc w:val="right"/>
      </w:pPr>
    </w:p>
    <w:p w:rsidR="00730F0A" w:rsidRDefault="004578F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835528">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6C526A">
            <w:t>Christina Bourne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730F0A" w:rsidP="00730F0A">
      <w:pPr>
        <w:pStyle w:val="NoSpacing"/>
        <w:jc w:val="right"/>
      </w:pPr>
    </w:p>
    <w:p w:rsidR="00730F0A" w:rsidRDefault="004578F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835528">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6C526A">
            <w:t>Shaorong Liu</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730F0A" w:rsidP="00CF13F1">
      <w:pPr>
        <w:pStyle w:val="NoSpacing"/>
        <w:jc w:val="center"/>
      </w:pPr>
    </w:p>
    <w:p w:rsidR="00FF0F0F" w:rsidRDefault="004578F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835528">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6C526A">
            <w:t>John P. Masly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FF0F0F" w:rsidP="00FF0F0F">
      <w:pPr>
        <w:pStyle w:val="NoSpacing"/>
        <w:jc w:val="right"/>
      </w:pPr>
    </w:p>
    <w:p w:rsidR="00FF0F0F" w:rsidRDefault="004578F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835528">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6C526A">
            <w:t>Susan Schroeder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6C526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4578F9"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770F1">
            <w:rPr>
              <w:caps/>
            </w:rPr>
            <w:t>brett roberts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8770F1">
            <w:t>2018</w:t>
          </w:r>
        </w:sdtContent>
      </w:sdt>
    </w:p>
    <w:p w:rsidR="00730F0A" w:rsidRDefault="00730F0A" w:rsidP="00730F0A">
      <w:pPr>
        <w:pStyle w:val="NoSpacing"/>
        <w:jc w:val="center"/>
      </w:pPr>
      <w:r>
        <w:t>All Rights Reserved.</w:t>
      </w:r>
    </w:p>
    <w:p w:rsidR="00630E3E" w:rsidRDefault="00630E3E" w:rsidP="00630E3E">
      <w:pPr>
        <w:tabs>
          <w:tab w:val="left" w:pos="3645"/>
        </w:tabs>
      </w:pPr>
      <w:r>
        <w:tab/>
      </w:r>
    </w:p>
    <w:p w:rsidR="00E87672" w:rsidRDefault="006F10CE" w:rsidP="008E1C26">
      <w:pPr>
        <w:sectPr w:rsidR="00E87672" w:rsidSect="004F60D6">
          <w:pgSz w:w="12240" w:h="15840" w:code="1"/>
          <w:pgMar w:top="1440" w:right="1440" w:bottom="1440" w:left="1440" w:header="720" w:footer="720" w:gutter="0"/>
          <w:cols w:space="720"/>
          <w:docGrid w:linePitch="360"/>
        </w:sectPr>
      </w:pPr>
      <w:r w:rsidRPr="00630E3E">
        <w:br w:type="page"/>
      </w:r>
    </w:p>
    <w:p w:rsidR="00E87672" w:rsidRDefault="00E87672" w:rsidP="00E87672">
      <w:bookmarkStart w:id="0" w:name="_Toc310579464"/>
      <w:r w:rsidRPr="00E87672">
        <w:lastRenderedPageBreak/>
        <w:t xml:space="preserve">To my loving fiancé, you have been the glue that has held us together throughout this entire experience. Without your sturdiness, none of this would have been possible. I dedicate this dissertation to you, and promise it will bring us closer to the dream we both hold in our hearts. So let us look forward to better birds, bugs, and beer. </w:t>
      </w:r>
    </w:p>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E87672" w:rsidRDefault="00E87672" w:rsidP="00E87672"/>
    <w:p w:rsidR="0015171B" w:rsidRPr="00E87672" w:rsidRDefault="00E87672" w:rsidP="00E87672">
      <w:r w:rsidRPr="00E87672">
        <w:t xml:space="preserve">   </w:t>
      </w:r>
    </w:p>
    <w:p w:rsidR="008E1C26" w:rsidRPr="00E87672" w:rsidRDefault="00775701" w:rsidP="00E87672">
      <w:pPr>
        <w:pStyle w:val="Heading1"/>
      </w:pPr>
      <w:bookmarkStart w:id="1" w:name="_Toc532553066"/>
      <w:r w:rsidRPr="00E87672">
        <w:lastRenderedPageBreak/>
        <w:t>Acknowledgements</w:t>
      </w:r>
      <w:bookmarkEnd w:id="0"/>
      <w:bookmarkEnd w:id="1"/>
    </w:p>
    <w:p w:rsidR="002C2941" w:rsidRDefault="00154328" w:rsidP="00E87672">
      <w:pPr>
        <w:ind w:firstLine="432"/>
        <w:jc w:val="both"/>
      </w:pPr>
      <w:r>
        <w:t xml:space="preserve">I would like to thank the Burgett research group for their various contributions to the work outlined in this dissertation. Many thanks to </w:t>
      </w:r>
      <w:r w:rsidR="00E87672">
        <w:t>Zachary</w:t>
      </w:r>
      <w:r>
        <w:t xml:space="preserve"> Severance and Ryan </w:t>
      </w:r>
      <w:r w:rsidR="00BE3671">
        <w:t>Bensen</w:t>
      </w:r>
      <w:r>
        <w:t xml:space="preserve"> for your research contributions throughout Chapters 2-4. To Ahn McClain and Cori Malinky, thank you for your contributions in synthesizing some of the molecules used wit</w:t>
      </w:r>
      <w:r w:rsidR="002C2941">
        <w:t>hin this work. T</w:t>
      </w:r>
      <w:r>
        <w:t>hank</w:t>
      </w:r>
      <w:r w:rsidR="002C2941">
        <w:t>s to</w:t>
      </w:r>
      <w:r>
        <w:t xml:space="preserve"> Dr. Juan Nu</w:t>
      </w:r>
      <w:r>
        <w:rPr>
          <w:rFonts w:cstheme="minorHAnsi"/>
        </w:rPr>
        <w:t>ñ</w:t>
      </w:r>
      <w:r w:rsidR="002C2941">
        <w:t xml:space="preserve">ez for his contribution in the further </w:t>
      </w:r>
      <w:r w:rsidR="001904BC">
        <w:t>development</w:t>
      </w:r>
      <w:r w:rsidR="002C2941">
        <w:t xml:space="preserve"> of the radioactive binding assay used in our research. I would also like to extend much thanks to Dr. Naga Rama Kothapalli for her guidance throughout the years.</w:t>
      </w:r>
    </w:p>
    <w:p w:rsidR="00267AC4" w:rsidRDefault="002C2941" w:rsidP="00E87672">
      <w:pPr>
        <w:ind w:firstLine="432"/>
        <w:jc w:val="both"/>
      </w:pPr>
      <w:r>
        <w:t xml:space="preserve">Thanks are needed for </w:t>
      </w:r>
      <w:r w:rsidRPr="002C2941">
        <w:t>Hongyan Ma</w:t>
      </w:r>
      <w:r>
        <w:t xml:space="preserve"> in Dr. Si Wu’s lab and Shawna Standke in Dr. Zhibo Yang’s lab for their work on the analytic </w:t>
      </w:r>
      <w:r w:rsidR="00041DAB">
        <w:t xml:space="preserve">mass spectrometry </w:t>
      </w:r>
      <w:r>
        <w:t>aspect of the pr</w:t>
      </w:r>
      <w:r w:rsidR="00041DAB">
        <w:t xml:space="preserve">ojects. Thanks to Dr. Tingting Gu of the Samuel Roberts Noble Microscopy Laboratory for teaching me how to acquire and analyze micrographs. To Jarrod King, thank you for your help in acquiring the Operetta images. </w:t>
      </w:r>
      <w:r w:rsidR="00267AC4">
        <w:t>I would also like to thank Dr. Earl Blewett for his work in conducting the viral experiments outlined in this work and for teaching me various virology techniques.</w:t>
      </w:r>
      <w:r w:rsidR="00041DAB">
        <w:t xml:space="preserve">    </w:t>
      </w:r>
      <w:r>
        <w:t xml:space="preserve"> </w:t>
      </w:r>
      <w:r w:rsidR="00154328">
        <w:t xml:space="preserve"> </w:t>
      </w:r>
    </w:p>
    <w:p w:rsidR="00154328" w:rsidRDefault="00267AC4" w:rsidP="00E87672">
      <w:pPr>
        <w:ind w:firstLine="432"/>
        <w:jc w:val="both"/>
      </w:pPr>
      <w:r>
        <w:t xml:space="preserve">Thanks are also needed to the various professors that have allowed the use of their equipment to me throughout the course of my degree: Dr. Christina Bourne, Dr. Robert Cichewicz, Dr. Adam Duerfeldt, Dr. Shaorong Liu, Dr. Paul Sims, Dr. Ann West, and Dr. Si Wu.  </w:t>
      </w:r>
      <w:r w:rsidR="00154328">
        <w:t xml:space="preserve"> </w:t>
      </w:r>
    </w:p>
    <w:p w:rsidR="001904BC" w:rsidRDefault="001904BC" w:rsidP="00E87672">
      <w:pPr>
        <w:ind w:firstLine="432"/>
        <w:jc w:val="both"/>
      </w:pPr>
      <w:r>
        <w:t>Finally, I would like to thank my committee for their support.</w:t>
      </w:r>
    </w:p>
    <w:p w:rsidR="004A7222" w:rsidRDefault="00775701" w:rsidP="00E87672">
      <w:pPr>
        <w:pStyle w:val="Title"/>
      </w:pPr>
      <w:r>
        <w:br w:type="page"/>
      </w:r>
      <w:r>
        <w:lastRenderedPageBreak/>
        <w:t xml:space="preserve">Table of </w:t>
      </w:r>
      <w:r w:rsidRPr="00775701">
        <w:t>Contents</w:t>
      </w:r>
    </w:p>
    <w:p w:rsidR="00042529" w:rsidRPr="00042529" w:rsidRDefault="00042529" w:rsidP="00042529"/>
    <w:p w:rsidR="001A1E57" w:rsidRDefault="00F7122D" w:rsidP="0015171B">
      <w:pPr>
        <w:pStyle w:val="TOC1"/>
        <w:jc w:val="both"/>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32553066" w:history="1">
        <w:r w:rsidR="001A1E57" w:rsidRPr="005A197B">
          <w:rPr>
            <w:rStyle w:val="Hyperlink"/>
            <w:noProof/>
          </w:rPr>
          <w:t>Acknowledgements</w:t>
        </w:r>
        <w:r w:rsidR="001A1E57">
          <w:rPr>
            <w:noProof/>
            <w:webHidden/>
          </w:rPr>
          <w:tab/>
        </w:r>
        <w:r w:rsidR="001A1E57">
          <w:rPr>
            <w:noProof/>
            <w:webHidden/>
          </w:rPr>
          <w:fldChar w:fldCharType="begin"/>
        </w:r>
        <w:r w:rsidR="001A1E57">
          <w:rPr>
            <w:noProof/>
            <w:webHidden/>
          </w:rPr>
          <w:instrText xml:space="preserve"> PAGEREF _Toc532553066 \h </w:instrText>
        </w:r>
        <w:r w:rsidR="001A1E57">
          <w:rPr>
            <w:noProof/>
            <w:webHidden/>
          </w:rPr>
        </w:r>
        <w:r w:rsidR="001A1E57">
          <w:rPr>
            <w:noProof/>
            <w:webHidden/>
          </w:rPr>
          <w:fldChar w:fldCharType="separate"/>
        </w:r>
        <w:r w:rsidR="00E2070A">
          <w:rPr>
            <w:noProof/>
            <w:webHidden/>
          </w:rPr>
          <w:t>v</w:t>
        </w:r>
        <w:r w:rsidR="001A1E57">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067" w:history="1">
        <w:r w:rsidRPr="005A197B">
          <w:rPr>
            <w:rStyle w:val="Hyperlink"/>
            <w:noProof/>
          </w:rPr>
          <w:t>List of Tables</w:t>
        </w:r>
        <w:r>
          <w:rPr>
            <w:noProof/>
            <w:webHidden/>
          </w:rPr>
          <w:tab/>
        </w:r>
        <w:r>
          <w:rPr>
            <w:noProof/>
            <w:webHidden/>
          </w:rPr>
          <w:fldChar w:fldCharType="begin"/>
        </w:r>
        <w:r>
          <w:rPr>
            <w:noProof/>
            <w:webHidden/>
          </w:rPr>
          <w:instrText xml:space="preserve"> PAGEREF _Toc532553067 \h </w:instrText>
        </w:r>
        <w:r>
          <w:rPr>
            <w:noProof/>
            <w:webHidden/>
          </w:rPr>
        </w:r>
        <w:r>
          <w:rPr>
            <w:noProof/>
            <w:webHidden/>
          </w:rPr>
          <w:fldChar w:fldCharType="separate"/>
        </w:r>
        <w:r w:rsidR="00E2070A">
          <w:rPr>
            <w:noProof/>
            <w:webHidden/>
          </w:rPr>
          <w:t>xiii</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068" w:history="1">
        <w:r w:rsidRPr="005A197B">
          <w:rPr>
            <w:rStyle w:val="Hyperlink"/>
            <w:noProof/>
          </w:rPr>
          <w:t>List of Figures</w:t>
        </w:r>
        <w:r>
          <w:rPr>
            <w:noProof/>
            <w:webHidden/>
          </w:rPr>
          <w:tab/>
        </w:r>
        <w:r>
          <w:rPr>
            <w:noProof/>
            <w:webHidden/>
          </w:rPr>
          <w:fldChar w:fldCharType="begin"/>
        </w:r>
        <w:r>
          <w:rPr>
            <w:noProof/>
            <w:webHidden/>
          </w:rPr>
          <w:instrText xml:space="preserve"> PAGEREF _Toc532553068 \h </w:instrText>
        </w:r>
        <w:r>
          <w:rPr>
            <w:noProof/>
            <w:webHidden/>
          </w:rPr>
        </w:r>
        <w:r>
          <w:rPr>
            <w:noProof/>
            <w:webHidden/>
          </w:rPr>
          <w:fldChar w:fldCharType="separate"/>
        </w:r>
        <w:r w:rsidR="00E2070A">
          <w:rPr>
            <w:noProof/>
            <w:webHidden/>
          </w:rPr>
          <w:t>xiv</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069" w:history="1">
        <w:r w:rsidRPr="005A197B">
          <w:rPr>
            <w:rStyle w:val="Hyperlink"/>
            <w:noProof/>
          </w:rPr>
          <w:t>Abstract</w:t>
        </w:r>
        <w:r>
          <w:rPr>
            <w:noProof/>
            <w:webHidden/>
          </w:rPr>
          <w:tab/>
        </w:r>
        <w:r>
          <w:rPr>
            <w:noProof/>
            <w:webHidden/>
          </w:rPr>
          <w:fldChar w:fldCharType="begin"/>
        </w:r>
        <w:r>
          <w:rPr>
            <w:noProof/>
            <w:webHidden/>
          </w:rPr>
          <w:instrText xml:space="preserve"> PAGEREF _Toc532553069 \h </w:instrText>
        </w:r>
        <w:r>
          <w:rPr>
            <w:noProof/>
            <w:webHidden/>
          </w:rPr>
        </w:r>
        <w:r>
          <w:rPr>
            <w:noProof/>
            <w:webHidden/>
          </w:rPr>
          <w:fldChar w:fldCharType="separate"/>
        </w:r>
        <w:r w:rsidR="00E2070A">
          <w:rPr>
            <w:noProof/>
            <w:webHidden/>
          </w:rPr>
          <w:t>xviii</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070" w:history="1">
        <w:r w:rsidRPr="005A197B">
          <w:rPr>
            <w:rStyle w:val="Hyperlink"/>
            <w:noProof/>
          </w:rPr>
          <w:t>Chapter 1: Introduction to the Oxysterol-binding Proteins</w:t>
        </w:r>
        <w:r>
          <w:rPr>
            <w:noProof/>
            <w:webHidden/>
          </w:rPr>
          <w:tab/>
        </w:r>
        <w:r>
          <w:rPr>
            <w:noProof/>
            <w:webHidden/>
          </w:rPr>
          <w:fldChar w:fldCharType="begin"/>
        </w:r>
        <w:r>
          <w:rPr>
            <w:noProof/>
            <w:webHidden/>
          </w:rPr>
          <w:instrText xml:space="preserve"> PAGEREF _Toc532553070 \h </w:instrText>
        </w:r>
        <w:r>
          <w:rPr>
            <w:noProof/>
            <w:webHidden/>
          </w:rPr>
        </w:r>
        <w:r>
          <w:rPr>
            <w:noProof/>
            <w:webHidden/>
          </w:rPr>
          <w:fldChar w:fldCharType="separate"/>
        </w:r>
        <w:r w:rsidR="00E2070A">
          <w:rPr>
            <w:noProof/>
            <w:webHidden/>
          </w:rPr>
          <w:t>1</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071" w:history="1">
        <w:r w:rsidRPr="005A197B">
          <w:rPr>
            <w:rStyle w:val="Hyperlink"/>
            <w:noProof/>
          </w:rPr>
          <w:t>1.1</w:t>
        </w:r>
        <w:r>
          <w:rPr>
            <w:rFonts w:eastAsiaTheme="minorEastAsia" w:cstheme="minorBidi"/>
            <w:noProof/>
            <w:sz w:val="22"/>
            <w:szCs w:val="22"/>
            <w:lang w:bidi="ar-SA"/>
          </w:rPr>
          <w:tab/>
        </w:r>
        <w:r w:rsidRPr="005A197B">
          <w:rPr>
            <w:rStyle w:val="Hyperlink"/>
            <w:noProof/>
          </w:rPr>
          <w:t>Overview</w:t>
        </w:r>
        <w:r>
          <w:rPr>
            <w:noProof/>
            <w:webHidden/>
          </w:rPr>
          <w:tab/>
        </w:r>
        <w:r>
          <w:rPr>
            <w:noProof/>
            <w:webHidden/>
          </w:rPr>
          <w:fldChar w:fldCharType="begin"/>
        </w:r>
        <w:r>
          <w:rPr>
            <w:noProof/>
            <w:webHidden/>
          </w:rPr>
          <w:instrText xml:space="preserve"> PAGEREF _Toc532553071 \h </w:instrText>
        </w:r>
        <w:r>
          <w:rPr>
            <w:noProof/>
            <w:webHidden/>
          </w:rPr>
        </w:r>
        <w:r>
          <w:rPr>
            <w:noProof/>
            <w:webHidden/>
          </w:rPr>
          <w:fldChar w:fldCharType="separate"/>
        </w:r>
        <w:r w:rsidR="00E2070A">
          <w:rPr>
            <w:noProof/>
            <w:webHidden/>
          </w:rPr>
          <w:t>1</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072" w:history="1">
        <w:r w:rsidRPr="005A197B">
          <w:rPr>
            <w:rStyle w:val="Hyperlink"/>
            <w:noProof/>
          </w:rPr>
          <w:t>1.2</w:t>
        </w:r>
        <w:r>
          <w:rPr>
            <w:rFonts w:eastAsiaTheme="minorEastAsia" w:cstheme="minorBidi"/>
            <w:noProof/>
            <w:sz w:val="22"/>
            <w:szCs w:val="22"/>
            <w:lang w:bidi="ar-SA"/>
          </w:rPr>
          <w:tab/>
        </w:r>
        <w:r w:rsidRPr="005A197B">
          <w:rPr>
            <w:rStyle w:val="Hyperlink"/>
            <w:noProof/>
          </w:rPr>
          <w:t>Oxysterols as ligands for the OSBP/ORPs</w:t>
        </w:r>
        <w:r>
          <w:rPr>
            <w:noProof/>
            <w:webHidden/>
          </w:rPr>
          <w:tab/>
        </w:r>
        <w:r>
          <w:rPr>
            <w:noProof/>
            <w:webHidden/>
          </w:rPr>
          <w:fldChar w:fldCharType="begin"/>
        </w:r>
        <w:r>
          <w:rPr>
            <w:noProof/>
            <w:webHidden/>
          </w:rPr>
          <w:instrText xml:space="preserve"> PAGEREF _Toc532553072 \h </w:instrText>
        </w:r>
        <w:r>
          <w:rPr>
            <w:noProof/>
            <w:webHidden/>
          </w:rPr>
        </w:r>
        <w:r>
          <w:rPr>
            <w:noProof/>
            <w:webHidden/>
          </w:rPr>
          <w:fldChar w:fldCharType="separate"/>
        </w:r>
        <w:r w:rsidR="00E2070A">
          <w:rPr>
            <w:noProof/>
            <w:webHidden/>
          </w:rPr>
          <w:t>1</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073" w:history="1">
        <w:r w:rsidRPr="005A197B">
          <w:rPr>
            <w:rStyle w:val="Hyperlink"/>
            <w:noProof/>
          </w:rPr>
          <w:t>1.3</w:t>
        </w:r>
        <w:r>
          <w:rPr>
            <w:rFonts w:eastAsiaTheme="minorEastAsia" w:cstheme="minorBidi"/>
            <w:noProof/>
            <w:sz w:val="22"/>
            <w:szCs w:val="22"/>
            <w:lang w:bidi="ar-SA"/>
          </w:rPr>
          <w:tab/>
        </w:r>
        <w:r w:rsidRPr="005A197B">
          <w:rPr>
            <w:rStyle w:val="Hyperlink"/>
            <w:noProof/>
          </w:rPr>
          <w:t>OSBP/ORP biology</w:t>
        </w:r>
        <w:r>
          <w:rPr>
            <w:noProof/>
            <w:webHidden/>
          </w:rPr>
          <w:tab/>
        </w:r>
        <w:r w:rsidRPr="001A1E57">
          <w:rPr>
            <w:noProof/>
            <w:webHidden/>
          </w:rPr>
          <w:fldChar w:fldCharType="begin"/>
        </w:r>
        <w:r w:rsidRPr="001A1E57">
          <w:rPr>
            <w:noProof/>
            <w:webHidden/>
          </w:rPr>
          <w:instrText xml:space="preserve"> PAGEREF _Toc532553073 \h </w:instrText>
        </w:r>
        <w:r w:rsidRPr="001A1E57">
          <w:rPr>
            <w:noProof/>
            <w:webHidden/>
          </w:rPr>
        </w:r>
        <w:r w:rsidRPr="001A1E57">
          <w:rPr>
            <w:noProof/>
            <w:webHidden/>
          </w:rPr>
          <w:fldChar w:fldCharType="separate"/>
        </w:r>
        <w:r w:rsidR="00E2070A">
          <w:rPr>
            <w:noProof/>
            <w:webHidden/>
          </w:rPr>
          <w:t>7</w:t>
        </w:r>
        <w:r w:rsidRPr="001A1E57">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74" w:history="1">
        <w:r w:rsidRPr="005A197B">
          <w:rPr>
            <w:rStyle w:val="Hyperlink"/>
            <w:noProof/>
          </w:rPr>
          <w:t>1.3.1</w:t>
        </w:r>
        <w:r>
          <w:rPr>
            <w:rFonts w:eastAsiaTheme="minorEastAsia" w:cstheme="minorBidi"/>
            <w:noProof/>
            <w:sz w:val="22"/>
            <w:szCs w:val="22"/>
            <w:lang w:bidi="ar-SA"/>
          </w:rPr>
          <w:tab/>
        </w:r>
        <w:r w:rsidRPr="005A197B">
          <w:rPr>
            <w:rStyle w:val="Hyperlink"/>
            <w:noProof/>
          </w:rPr>
          <w:t>OSBP</w:t>
        </w:r>
        <w:r>
          <w:rPr>
            <w:noProof/>
            <w:webHidden/>
          </w:rPr>
          <w:tab/>
        </w:r>
        <w:r>
          <w:rPr>
            <w:noProof/>
            <w:webHidden/>
          </w:rPr>
          <w:fldChar w:fldCharType="begin"/>
        </w:r>
        <w:r>
          <w:rPr>
            <w:noProof/>
            <w:webHidden/>
          </w:rPr>
          <w:instrText xml:space="preserve"> PAGEREF _Toc532553074 \h </w:instrText>
        </w:r>
        <w:r>
          <w:rPr>
            <w:noProof/>
            <w:webHidden/>
          </w:rPr>
        </w:r>
        <w:r>
          <w:rPr>
            <w:noProof/>
            <w:webHidden/>
          </w:rPr>
          <w:fldChar w:fldCharType="separate"/>
        </w:r>
        <w:r w:rsidR="00E2070A">
          <w:rPr>
            <w:noProof/>
            <w:webHidden/>
          </w:rPr>
          <w:t>7</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75" w:history="1">
        <w:r w:rsidRPr="005A197B">
          <w:rPr>
            <w:rStyle w:val="Hyperlink"/>
            <w:noProof/>
          </w:rPr>
          <w:t>1.3.2</w:t>
        </w:r>
        <w:r>
          <w:rPr>
            <w:rFonts w:eastAsiaTheme="minorEastAsia" w:cstheme="minorBidi"/>
            <w:noProof/>
            <w:sz w:val="22"/>
            <w:szCs w:val="22"/>
            <w:lang w:bidi="ar-SA"/>
          </w:rPr>
          <w:tab/>
        </w:r>
        <w:r w:rsidRPr="005A197B">
          <w:rPr>
            <w:rStyle w:val="Hyperlink"/>
            <w:noProof/>
          </w:rPr>
          <w:t>ORP4</w:t>
        </w:r>
        <w:r>
          <w:rPr>
            <w:noProof/>
            <w:webHidden/>
          </w:rPr>
          <w:tab/>
        </w:r>
        <w:r>
          <w:rPr>
            <w:noProof/>
            <w:webHidden/>
          </w:rPr>
          <w:fldChar w:fldCharType="begin"/>
        </w:r>
        <w:r>
          <w:rPr>
            <w:noProof/>
            <w:webHidden/>
          </w:rPr>
          <w:instrText xml:space="preserve"> PAGEREF _Toc532553075 \h </w:instrText>
        </w:r>
        <w:r>
          <w:rPr>
            <w:noProof/>
            <w:webHidden/>
          </w:rPr>
        </w:r>
        <w:r>
          <w:rPr>
            <w:noProof/>
            <w:webHidden/>
          </w:rPr>
          <w:fldChar w:fldCharType="separate"/>
        </w:r>
        <w:r w:rsidR="00E2070A">
          <w:rPr>
            <w:noProof/>
            <w:webHidden/>
          </w:rPr>
          <w:t>11</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76" w:history="1">
        <w:r w:rsidRPr="005A197B">
          <w:rPr>
            <w:rStyle w:val="Hyperlink"/>
            <w:noProof/>
          </w:rPr>
          <w:t>1.3.3</w:t>
        </w:r>
        <w:r>
          <w:rPr>
            <w:rFonts w:eastAsiaTheme="minorEastAsia" w:cstheme="minorBidi"/>
            <w:noProof/>
            <w:sz w:val="22"/>
            <w:szCs w:val="22"/>
            <w:lang w:bidi="ar-SA"/>
          </w:rPr>
          <w:tab/>
        </w:r>
        <w:r w:rsidRPr="005A197B">
          <w:rPr>
            <w:rStyle w:val="Hyperlink"/>
            <w:noProof/>
          </w:rPr>
          <w:t>Subfamily II: ORP1 and ORP2</w:t>
        </w:r>
        <w:r>
          <w:rPr>
            <w:noProof/>
            <w:webHidden/>
          </w:rPr>
          <w:tab/>
        </w:r>
        <w:r>
          <w:rPr>
            <w:noProof/>
            <w:webHidden/>
          </w:rPr>
          <w:fldChar w:fldCharType="begin"/>
        </w:r>
        <w:r>
          <w:rPr>
            <w:noProof/>
            <w:webHidden/>
          </w:rPr>
          <w:instrText xml:space="preserve"> PAGEREF _Toc532553076 \h </w:instrText>
        </w:r>
        <w:r>
          <w:rPr>
            <w:noProof/>
            <w:webHidden/>
          </w:rPr>
        </w:r>
        <w:r>
          <w:rPr>
            <w:noProof/>
            <w:webHidden/>
          </w:rPr>
          <w:fldChar w:fldCharType="separate"/>
        </w:r>
        <w:r w:rsidR="00E2070A">
          <w:rPr>
            <w:noProof/>
            <w:webHidden/>
          </w:rPr>
          <w:t>15</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77" w:history="1">
        <w:r w:rsidRPr="005A197B">
          <w:rPr>
            <w:rStyle w:val="Hyperlink"/>
            <w:noProof/>
          </w:rPr>
          <w:t>1.3.4</w:t>
        </w:r>
        <w:r>
          <w:rPr>
            <w:rFonts w:eastAsiaTheme="minorEastAsia" w:cstheme="minorBidi"/>
            <w:noProof/>
            <w:sz w:val="22"/>
            <w:szCs w:val="22"/>
            <w:lang w:bidi="ar-SA"/>
          </w:rPr>
          <w:tab/>
        </w:r>
        <w:r w:rsidRPr="005A197B">
          <w:rPr>
            <w:rStyle w:val="Hyperlink"/>
            <w:noProof/>
          </w:rPr>
          <w:t>Subfamily III: ORP3, ORP6, and ORP7</w:t>
        </w:r>
        <w:r>
          <w:rPr>
            <w:noProof/>
            <w:webHidden/>
          </w:rPr>
          <w:tab/>
        </w:r>
        <w:r>
          <w:rPr>
            <w:noProof/>
            <w:webHidden/>
          </w:rPr>
          <w:fldChar w:fldCharType="begin"/>
        </w:r>
        <w:r>
          <w:rPr>
            <w:noProof/>
            <w:webHidden/>
          </w:rPr>
          <w:instrText xml:space="preserve"> PAGEREF _Toc532553077 \h </w:instrText>
        </w:r>
        <w:r>
          <w:rPr>
            <w:noProof/>
            <w:webHidden/>
          </w:rPr>
        </w:r>
        <w:r>
          <w:rPr>
            <w:noProof/>
            <w:webHidden/>
          </w:rPr>
          <w:fldChar w:fldCharType="separate"/>
        </w:r>
        <w:r w:rsidR="00E2070A">
          <w:rPr>
            <w:noProof/>
            <w:webHidden/>
          </w:rPr>
          <w:t>16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78" w:history="1">
        <w:r w:rsidRPr="005A197B">
          <w:rPr>
            <w:rStyle w:val="Hyperlink"/>
            <w:noProof/>
          </w:rPr>
          <w:t>1.3.5</w:t>
        </w:r>
        <w:r>
          <w:rPr>
            <w:rFonts w:eastAsiaTheme="minorEastAsia" w:cstheme="minorBidi"/>
            <w:noProof/>
            <w:sz w:val="22"/>
            <w:szCs w:val="22"/>
            <w:lang w:bidi="ar-SA"/>
          </w:rPr>
          <w:tab/>
        </w:r>
        <w:r w:rsidRPr="005A197B">
          <w:rPr>
            <w:rStyle w:val="Hyperlink"/>
            <w:noProof/>
          </w:rPr>
          <w:t>Subfamily IV: ORP5 and ORP8</w:t>
        </w:r>
        <w:r>
          <w:rPr>
            <w:noProof/>
            <w:webHidden/>
          </w:rPr>
          <w:tab/>
        </w:r>
        <w:r>
          <w:rPr>
            <w:noProof/>
            <w:webHidden/>
          </w:rPr>
          <w:fldChar w:fldCharType="begin"/>
        </w:r>
        <w:r>
          <w:rPr>
            <w:noProof/>
            <w:webHidden/>
          </w:rPr>
          <w:instrText xml:space="preserve"> PAGEREF _Toc532553078 \h </w:instrText>
        </w:r>
        <w:r>
          <w:rPr>
            <w:noProof/>
            <w:webHidden/>
          </w:rPr>
        </w:r>
        <w:r>
          <w:rPr>
            <w:noProof/>
            <w:webHidden/>
          </w:rPr>
          <w:fldChar w:fldCharType="separate"/>
        </w:r>
        <w:r w:rsidR="00E2070A">
          <w:rPr>
            <w:noProof/>
            <w:webHidden/>
          </w:rPr>
          <w:t>17</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79" w:history="1">
        <w:r w:rsidRPr="005A197B">
          <w:rPr>
            <w:rStyle w:val="Hyperlink"/>
            <w:noProof/>
          </w:rPr>
          <w:t>1.3.6</w:t>
        </w:r>
        <w:r>
          <w:rPr>
            <w:rFonts w:eastAsiaTheme="minorEastAsia" w:cstheme="minorBidi"/>
            <w:noProof/>
            <w:sz w:val="22"/>
            <w:szCs w:val="22"/>
            <w:lang w:bidi="ar-SA"/>
          </w:rPr>
          <w:tab/>
        </w:r>
        <w:r w:rsidRPr="005A197B">
          <w:rPr>
            <w:rStyle w:val="Hyperlink"/>
            <w:noProof/>
          </w:rPr>
          <w:t>Subfamily V: ORP9</w:t>
        </w:r>
        <w:r>
          <w:rPr>
            <w:noProof/>
            <w:webHidden/>
          </w:rPr>
          <w:tab/>
        </w:r>
        <w:r>
          <w:rPr>
            <w:noProof/>
            <w:webHidden/>
          </w:rPr>
          <w:fldChar w:fldCharType="begin"/>
        </w:r>
        <w:r>
          <w:rPr>
            <w:noProof/>
            <w:webHidden/>
          </w:rPr>
          <w:instrText xml:space="preserve"> PAGEREF _Toc532553079 \h </w:instrText>
        </w:r>
        <w:r>
          <w:rPr>
            <w:noProof/>
            <w:webHidden/>
          </w:rPr>
        </w:r>
        <w:r>
          <w:rPr>
            <w:noProof/>
            <w:webHidden/>
          </w:rPr>
          <w:fldChar w:fldCharType="separate"/>
        </w:r>
        <w:r w:rsidR="00E2070A">
          <w:rPr>
            <w:noProof/>
            <w:webHidden/>
          </w:rPr>
          <w:t>18</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80" w:history="1">
        <w:r w:rsidRPr="005A197B">
          <w:rPr>
            <w:rStyle w:val="Hyperlink"/>
            <w:noProof/>
          </w:rPr>
          <w:t>1.3.7</w:t>
        </w:r>
        <w:r>
          <w:rPr>
            <w:rFonts w:eastAsiaTheme="minorEastAsia" w:cstheme="minorBidi"/>
            <w:noProof/>
            <w:sz w:val="22"/>
            <w:szCs w:val="22"/>
            <w:lang w:bidi="ar-SA"/>
          </w:rPr>
          <w:tab/>
        </w:r>
        <w:r w:rsidRPr="005A197B">
          <w:rPr>
            <w:rStyle w:val="Hyperlink"/>
            <w:noProof/>
          </w:rPr>
          <w:t>Subfamily VI: ORP10 and ORP11</w:t>
        </w:r>
        <w:r>
          <w:rPr>
            <w:noProof/>
            <w:webHidden/>
          </w:rPr>
          <w:tab/>
        </w:r>
        <w:r>
          <w:rPr>
            <w:noProof/>
            <w:webHidden/>
          </w:rPr>
          <w:fldChar w:fldCharType="begin"/>
        </w:r>
        <w:r>
          <w:rPr>
            <w:noProof/>
            <w:webHidden/>
          </w:rPr>
          <w:instrText xml:space="preserve"> PAGEREF _Toc532553080 \h </w:instrText>
        </w:r>
        <w:r>
          <w:rPr>
            <w:noProof/>
            <w:webHidden/>
          </w:rPr>
        </w:r>
        <w:r>
          <w:rPr>
            <w:noProof/>
            <w:webHidden/>
          </w:rPr>
          <w:fldChar w:fldCharType="separate"/>
        </w:r>
        <w:r w:rsidR="00E2070A">
          <w:rPr>
            <w:noProof/>
            <w:webHidden/>
          </w:rPr>
          <w:t>18</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081" w:history="1">
        <w:r w:rsidRPr="005A197B">
          <w:rPr>
            <w:rStyle w:val="Hyperlink"/>
            <w:noProof/>
          </w:rPr>
          <w:t>1.4</w:t>
        </w:r>
        <w:r>
          <w:rPr>
            <w:rFonts w:eastAsiaTheme="minorEastAsia" w:cstheme="minorBidi"/>
            <w:noProof/>
            <w:sz w:val="22"/>
            <w:szCs w:val="22"/>
            <w:lang w:bidi="ar-SA"/>
          </w:rPr>
          <w:tab/>
        </w:r>
        <w:r w:rsidRPr="005A197B">
          <w:rPr>
            <w:rStyle w:val="Hyperlink"/>
            <w:noProof/>
          </w:rPr>
          <w:t>OSBP/ORP Disease Relevance</w:t>
        </w:r>
        <w:r>
          <w:rPr>
            <w:noProof/>
            <w:webHidden/>
          </w:rPr>
          <w:tab/>
        </w:r>
        <w:r>
          <w:rPr>
            <w:noProof/>
            <w:webHidden/>
          </w:rPr>
          <w:fldChar w:fldCharType="begin"/>
        </w:r>
        <w:r>
          <w:rPr>
            <w:noProof/>
            <w:webHidden/>
          </w:rPr>
          <w:instrText xml:space="preserve"> PAGEREF _Toc532553081 \h </w:instrText>
        </w:r>
        <w:r>
          <w:rPr>
            <w:noProof/>
            <w:webHidden/>
          </w:rPr>
        </w:r>
        <w:r>
          <w:rPr>
            <w:noProof/>
            <w:webHidden/>
          </w:rPr>
          <w:fldChar w:fldCharType="separate"/>
        </w:r>
        <w:r w:rsidR="00E2070A">
          <w:rPr>
            <w:noProof/>
            <w:webHidden/>
          </w:rPr>
          <w:t>19</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82" w:history="1">
        <w:r w:rsidRPr="005A197B">
          <w:rPr>
            <w:rStyle w:val="Hyperlink"/>
            <w:noProof/>
          </w:rPr>
          <w:t>1.4.1</w:t>
        </w:r>
        <w:r>
          <w:rPr>
            <w:rFonts w:eastAsiaTheme="minorEastAsia" w:cstheme="minorBidi"/>
            <w:noProof/>
            <w:sz w:val="22"/>
            <w:szCs w:val="22"/>
            <w:lang w:bidi="ar-SA"/>
          </w:rPr>
          <w:tab/>
        </w:r>
        <w:r w:rsidRPr="005A197B">
          <w:rPr>
            <w:rStyle w:val="Hyperlink"/>
            <w:noProof/>
          </w:rPr>
          <w:t>OSBP Function in Virus Replication</w:t>
        </w:r>
        <w:r>
          <w:rPr>
            <w:noProof/>
            <w:webHidden/>
          </w:rPr>
          <w:tab/>
        </w:r>
        <w:r>
          <w:rPr>
            <w:noProof/>
            <w:webHidden/>
          </w:rPr>
          <w:fldChar w:fldCharType="begin"/>
        </w:r>
        <w:r>
          <w:rPr>
            <w:noProof/>
            <w:webHidden/>
          </w:rPr>
          <w:instrText xml:space="preserve"> PAGEREF _Toc532553082 \h </w:instrText>
        </w:r>
        <w:r>
          <w:rPr>
            <w:noProof/>
            <w:webHidden/>
          </w:rPr>
        </w:r>
        <w:r>
          <w:rPr>
            <w:noProof/>
            <w:webHidden/>
          </w:rPr>
          <w:fldChar w:fldCharType="separate"/>
        </w:r>
        <w:r w:rsidR="00E2070A">
          <w:rPr>
            <w:noProof/>
            <w:webHidden/>
          </w:rPr>
          <w:t>19</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83" w:history="1">
        <w:r w:rsidRPr="005A197B">
          <w:rPr>
            <w:rStyle w:val="Hyperlink"/>
            <w:noProof/>
          </w:rPr>
          <w:t>1.4.2</w:t>
        </w:r>
        <w:r>
          <w:rPr>
            <w:rFonts w:eastAsiaTheme="minorEastAsia" w:cstheme="minorBidi"/>
            <w:noProof/>
            <w:sz w:val="22"/>
            <w:szCs w:val="22"/>
            <w:lang w:bidi="ar-SA"/>
          </w:rPr>
          <w:tab/>
        </w:r>
        <w:r w:rsidRPr="005A197B">
          <w:rPr>
            <w:rStyle w:val="Hyperlink"/>
            <w:noProof/>
          </w:rPr>
          <w:t>Cancer Cell Survival and Proliferation</w:t>
        </w:r>
        <w:r>
          <w:rPr>
            <w:noProof/>
            <w:webHidden/>
          </w:rPr>
          <w:tab/>
        </w:r>
        <w:r>
          <w:rPr>
            <w:noProof/>
            <w:webHidden/>
          </w:rPr>
          <w:fldChar w:fldCharType="begin"/>
        </w:r>
        <w:r>
          <w:rPr>
            <w:noProof/>
            <w:webHidden/>
          </w:rPr>
          <w:instrText xml:space="preserve"> PAGEREF _Toc532553083 \h </w:instrText>
        </w:r>
        <w:r>
          <w:rPr>
            <w:noProof/>
            <w:webHidden/>
          </w:rPr>
        </w:r>
        <w:r>
          <w:rPr>
            <w:noProof/>
            <w:webHidden/>
          </w:rPr>
          <w:fldChar w:fldCharType="separate"/>
        </w:r>
        <w:r w:rsidR="00E2070A">
          <w:rPr>
            <w:noProof/>
            <w:webHidden/>
          </w:rPr>
          <w:t>24</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084" w:history="1">
        <w:r w:rsidRPr="005A197B">
          <w:rPr>
            <w:rStyle w:val="Hyperlink"/>
            <w:noProof/>
          </w:rPr>
          <w:t>1.5</w:t>
        </w:r>
        <w:r>
          <w:rPr>
            <w:rFonts w:eastAsiaTheme="minorEastAsia" w:cstheme="minorBidi"/>
            <w:noProof/>
            <w:sz w:val="22"/>
            <w:szCs w:val="22"/>
            <w:lang w:bidi="ar-SA"/>
          </w:rPr>
          <w:tab/>
        </w:r>
        <w:r w:rsidRPr="005A197B">
          <w:rPr>
            <w:rStyle w:val="Hyperlink"/>
            <w:noProof/>
          </w:rPr>
          <w:t>ORPphillins and OSBP/ORP4</w:t>
        </w:r>
        <w:r>
          <w:rPr>
            <w:noProof/>
            <w:webHidden/>
          </w:rPr>
          <w:tab/>
        </w:r>
        <w:r>
          <w:rPr>
            <w:noProof/>
            <w:webHidden/>
          </w:rPr>
          <w:fldChar w:fldCharType="begin"/>
        </w:r>
        <w:r>
          <w:rPr>
            <w:noProof/>
            <w:webHidden/>
          </w:rPr>
          <w:instrText xml:space="preserve"> PAGEREF _Toc532553084 \h </w:instrText>
        </w:r>
        <w:r>
          <w:rPr>
            <w:noProof/>
            <w:webHidden/>
          </w:rPr>
        </w:r>
        <w:r>
          <w:rPr>
            <w:noProof/>
            <w:webHidden/>
          </w:rPr>
          <w:fldChar w:fldCharType="separate"/>
        </w:r>
        <w:r w:rsidR="00E2070A">
          <w:rPr>
            <w:noProof/>
            <w:webHidden/>
          </w:rPr>
          <w:t>25</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85" w:history="1">
        <w:r w:rsidRPr="005A197B">
          <w:rPr>
            <w:rStyle w:val="Hyperlink"/>
            <w:noProof/>
          </w:rPr>
          <w:t>1.5.1</w:t>
        </w:r>
        <w:r>
          <w:rPr>
            <w:rFonts w:eastAsiaTheme="minorEastAsia" w:cstheme="minorBidi"/>
            <w:noProof/>
            <w:sz w:val="22"/>
            <w:szCs w:val="22"/>
            <w:lang w:bidi="ar-SA"/>
          </w:rPr>
          <w:tab/>
        </w:r>
        <w:r w:rsidRPr="005A197B">
          <w:rPr>
            <w:rStyle w:val="Hyperlink"/>
            <w:noProof/>
          </w:rPr>
          <w:t>OSW-1</w:t>
        </w:r>
        <w:r>
          <w:rPr>
            <w:noProof/>
            <w:webHidden/>
          </w:rPr>
          <w:tab/>
        </w:r>
        <w:r>
          <w:rPr>
            <w:noProof/>
            <w:webHidden/>
          </w:rPr>
          <w:fldChar w:fldCharType="begin"/>
        </w:r>
        <w:r>
          <w:rPr>
            <w:noProof/>
            <w:webHidden/>
          </w:rPr>
          <w:instrText xml:space="preserve"> PAGEREF _Toc532553085 \h </w:instrText>
        </w:r>
        <w:r>
          <w:rPr>
            <w:noProof/>
            <w:webHidden/>
          </w:rPr>
        </w:r>
        <w:r>
          <w:rPr>
            <w:noProof/>
            <w:webHidden/>
          </w:rPr>
          <w:fldChar w:fldCharType="separate"/>
        </w:r>
        <w:r w:rsidR="00E2070A">
          <w:rPr>
            <w:noProof/>
            <w:webHidden/>
          </w:rPr>
          <w:t>25</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86" w:history="1">
        <w:r w:rsidRPr="005A197B">
          <w:rPr>
            <w:rStyle w:val="Hyperlink"/>
            <w:noProof/>
          </w:rPr>
          <w:t>1.5.2</w:t>
        </w:r>
        <w:r>
          <w:rPr>
            <w:rFonts w:eastAsiaTheme="minorEastAsia" w:cstheme="minorBidi"/>
            <w:noProof/>
            <w:sz w:val="22"/>
            <w:szCs w:val="22"/>
            <w:lang w:bidi="ar-SA"/>
          </w:rPr>
          <w:tab/>
        </w:r>
        <w:r w:rsidRPr="005A197B">
          <w:rPr>
            <w:rStyle w:val="Hyperlink"/>
            <w:noProof/>
          </w:rPr>
          <w:t>Schweinfurthins</w:t>
        </w:r>
        <w:r>
          <w:rPr>
            <w:noProof/>
            <w:webHidden/>
          </w:rPr>
          <w:tab/>
        </w:r>
        <w:r>
          <w:rPr>
            <w:noProof/>
            <w:webHidden/>
          </w:rPr>
          <w:fldChar w:fldCharType="begin"/>
        </w:r>
        <w:r>
          <w:rPr>
            <w:noProof/>
            <w:webHidden/>
          </w:rPr>
          <w:instrText xml:space="preserve"> PAGEREF _Toc532553086 \h </w:instrText>
        </w:r>
        <w:r>
          <w:rPr>
            <w:noProof/>
            <w:webHidden/>
          </w:rPr>
        </w:r>
        <w:r>
          <w:rPr>
            <w:noProof/>
            <w:webHidden/>
          </w:rPr>
          <w:fldChar w:fldCharType="separate"/>
        </w:r>
        <w:r w:rsidR="00E2070A">
          <w:rPr>
            <w:noProof/>
            <w:webHidden/>
          </w:rPr>
          <w:t>26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87" w:history="1">
        <w:r w:rsidRPr="005A197B">
          <w:rPr>
            <w:rStyle w:val="Hyperlink"/>
            <w:noProof/>
          </w:rPr>
          <w:t>1.5.3</w:t>
        </w:r>
        <w:r>
          <w:rPr>
            <w:rFonts w:eastAsiaTheme="minorEastAsia" w:cstheme="minorBidi"/>
            <w:noProof/>
            <w:sz w:val="22"/>
            <w:szCs w:val="22"/>
            <w:lang w:bidi="ar-SA"/>
          </w:rPr>
          <w:tab/>
        </w:r>
        <w:r w:rsidRPr="005A197B">
          <w:rPr>
            <w:rStyle w:val="Hyperlink"/>
            <w:noProof/>
          </w:rPr>
          <w:t>Cephalostatin 1 and Ritterazine B</w:t>
        </w:r>
        <w:r>
          <w:rPr>
            <w:noProof/>
            <w:webHidden/>
          </w:rPr>
          <w:tab/>
        </w:r>
        <w:r>
          <w:rPr>
            <w:noProof/>
            <w:webHidden/>
          </w:rPr>
          <w:fldChar w:fldCharType="begin"/>
        </w:r>
        <w:r>
          <w:rPr>
            <w:noProof/>
            <w:webHidden/>
          </w:rPr>
          <w:instrText xml:space="preserve"> PAGEREF _Toc532553087 \h </w:instrText>
        </w:r>
        <w:r>
          <w:rPr>
            <w:noProof/>
            <w:webHidden/>
          </w:rPr>
        </w:r>
        <w:r>
          <w:rPr>
            <w:noProof/>
            <w:webHidden/>
          </w:rPr>
          <w:fldChar w:fldCharType="separate"/>
        </w:r>
        <w:r w:rsidR="00E2070A">
          <w:rPr>
            <w:noProof/>
            <w:webHidden/>
          </w:rPr>
          <w:t>28</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88" w:history="1">
        <w:r w:rsidRPr="005A197B">
          <w:rPr>
            <w:rStyle w:val="Hyperlink"/>
            <w:noProof/>
          </w:rPr>
          <w:t>1.5.4</w:t>
        </w:r>
        <w:r>
          <w:rPr>
            <w:rFonts w:eastAsiaTheme="minorEastAsia" w:cstheme="minorBidi"/>
            <w:noProof/>
            <w:sz w:val="22"/>
            <w:szCs w:val="22"/>
            <w:lang w:bidi="ar-SA"/>
          </w:rPr>
          <w:tab/>
        </w:r>
        <w:r w:rsidRPr="005A197B">
          <w:rPr>
            <w:rStyle w:val="Hyperlink"/>
            <w:noProof/>
          </w:rPr>
          <w:t>Itraconazole</w:t>
        </w:r>
        <w:r>
          <w:rPr>
            <w:noProof/>
            <w:webHidden/>
          </w:rPr>
          <w:tab/>
        </w:r>
        <w:r>
          <w:rPr>
            <w:noProof/>
            <w:webHidden/>
          </w:rPr>
          <w:fldChar w:fldCharType="begin"/>
        </w:r>
        <w:r>
          <w:rPr>
            <w:noProof/>
            <w:webHidden/>
          </w:rPr>
          <w:instrText xml:space="preserve"> PAGEREF _Toc532553088 \h </w:instrText>
        </w:r>
        <w:r>
          <w:rPr>
            <w:noProof/>
            <w:webHidden/>
          </w:rPr>
        </w:r>
        <w:r>
          <w:rPr>
            <w:noProof/>
            <w:webHidden/>
          </w:rPr>
          <w:fldChar w:fldCharType="separate"/>
        </w:r>
        <w:r w:rsidR="00E2070A">
          <w:rPr>
            <w:noProof/>
            <w:webHidden/>
          </w:rPr>
          <w:t>29</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89" w:history="1">
        <w:r w:rsidRPr="005A197B">
          <w:rPr>
            <w:rStyle w:val="Hyperlink"/>
            <w:noProof/>
          </w:rPr>
          <w:t>1.5.5</w:t>
        </w:r>
        <w:r>
          <w:rPr>
            <w:rFonts w:eastAsiaTheme="minorEastAsia" w:cstheme="minorBidi"/>
            <w:noProof/>
            <w:sz w:val="22"/>
            <w:szCs w:val="22"/>
            <w:lang w:bidi="ar-SA"/>
          </w:rPr>
          <w:tab/>
        </w:r>
        <w:r w:rsidRPr="005A197B">
          <w:rPr>
            <w:rStyle w:val="Hyperlink"/>
            <w:noProof/>
          </w:rPr>
          <w:t>Minor Enviroxime-like Compounds</w:t>
        </w:r>
        <w:r>
          <w:rPr>
            <w:noProof/>
            <w:webHidden/>
          </w:rPr>
          <w:tab/>
        </w:r>
        <w:r>
          <w:rPr>
            <w:noProof/>
            <w:webHidden/>
          </w:rPr>
          <w:fldChar w:fldCharType="begin"/>
        </w:r>
        <w:r>
          <w:rPr>
            <w:noProof/>
            <w:webHidden/>
          </w:rPr>
          <w:instrText xml:space="preserve"> PAGEREF _Toc532553089 \h </w:instrText>
        </w:r>
        <w:r>
          <w:rPr>
            <w:noProof/>
            <w:webHidden/>
          </w:rPr>
        </w:r>
        <w:r>
          <w:rPr>
            <w:noProof/>
            <w:webHidden/>
          </w:rPr>
          <w:fldChar w:fldCharType="separate"/>
        </w:r>
        <w:r w:rsidR="00E2070A">
          <w:rPr>
            <w:noProof/>
            <w:webHidden/>
          </w:rPr>
          <w:t>30</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090" w:history="1">
        <w:r w:rsidRPr="005A197B">
          <w:rPr>
            <w:rStyle w:val="Hyperlink"/>
            <w:noProof/>
          </w:rPr>
          <w:t>1.6</w:t>
        </w:r>
        <w:r>
          <w:rPr>
            <w:rFonts w:eastAsiaTheme="minorEastAsia" w:cstheme="minorBidi"/>
            <w:noProof/>
            <w:sz w:val="22"/>
            <w:szCs w:val="22"/>
            <w:lang w:bidi="ar-SA"/>
          </w:rPr>
          <w:tab/>
        </w:r>
        <w:r w:rsidRPr="005A197B">
          <w:rPr>
            <w:rStyle w:val="Hyperlink"/>
            <w:noProof/>
          </w:rPr>
          <w:t>Small Molecule Drug Targets</w:t>
        </w:r>
        <w:r>
          <w:rPr>
            <w:noProof/>
            <w:webHidden/>
          </w:rPr>
          <w:tab/>
        </w:r>
        <w:r>
          <w:rPr>
            <w:noProof/>
            <w:webHidden/>
          </w:rPr>
          <w:fldChar w:fldCharType="begin"/>
        </w:r>
        <w:r>
          <w:rPr>
            <w:noProof/>
            <w:webHidden/>
          </w:rPr>
          <w:instrText xml:space="preserve"> PAGEREF _Toc532553090 \h </w:instrText>
        </w:r>
        <w:r>
          <w:rPr>
            <w:noProof/>
            <w:webHidden/>
          </w:rPr>
        </w:r>
        <w:r>
          <w:rPr>
            <w:noProof/>
            <w:webHidden/>
          </w:rPr>
          <w:fldChar w:fldCharType="separate"/>
        </w:r>
        <w:r w:rsidR="00E2070A">
          <w:rPr>
            <w:noProof/>
            <w:webHidden/>
          </w:rPr>
          <w:t>32</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91" w:history="1">
        <w:r w:rsidRPr="005A197B">
          <w:rPr>
            <w:rStyle w:val="Hyperlink"/>
            <w:noProof/>
          </w:rPr>
          <w:t>1.6.1</w:t>
        </w:r>
        <w:r>
          <w:rPr>
            <w:rFonts w:eastAsiaTheme="minorEastAsia" w:cstheme="minorBidi"/>
            <w:noProof/>
            <w:sz w:val="22"/>
            <w:szCs w:val="22"/>
            <w:lang w:bidi="ar-SA"/>
          </w:rPr>
          <w:tab/>
        </w:r>
        <w:r w:rsidRPr="005A197B">
          <w:rPr>
            <w:rStyle w:val="Hyperlink"/>
            <w:noProof/>
          </w:rPr>
          <w:t>Proteasome Overview</w:t>
        </w:r>
        <w:r>
          <w:rPr>
            <w:noProof/>
            <w:webHidden/>
          </w:rPr>
          <w:tab/>
        </w:r>
        <w:r>
          <w:rPr>
            <w:noProof/>
            <w:webHidden/>
          </w:rPr>
          <w:fldChar w:fldCharType="begin"/>
        </w:r>
        <w:r>
          <w:rPr>
            <w:noProof/>
            <w:webHidden/>
          </w:rPr>
          <w:instrText xml:space="preserve"> PAGEREF _Toc532553091 \h </w:instrText>
        </w:r>
        <w:r>
          <w:rPr>
            <w:noProof/>
            <w:webHidden/>
          </w:rPr>
        </w:r>
        <w:r>
          <w:rPr>
            <w:noProof/>
            <w:webHidden/>
          </w:rPr>
          <w:fldChar w:fldCharType="separate"/>
        </w:r>
        <w:r w:rsidR="00E2070A">
          <w:rPr>
            <w:noProof/>
            <w:webHidden/>
          </w:rPr>
          <w:t>32</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92" w:history="1">
        <w:r w:rsidRPr="005A197B">
          <w:rPr>
            <w:rStyle w:val="Hyperlink"/>
            <w:noProof/>
          </w:rPr>
          <w:t>1.6.2</w:t>
        </w:r>
        <w:r>
          <w:rPr>
            <w:rFonts w:eastAsiaTheme="minorEastAsia" w:cstheme="minorBidi"/>
            <w:noProof/>
            <w:sz w:val="22"/>
            <w:szCs w:val="22"/>
            <w:lang w:bidi="ar-SA"/>
          </w:rPr>
          <w:tab/>
        </w:r>
        <w:r w:rsidRPr="005A197B">
          <w:rPr>
            <w:rStyle w:val="Hyperlink"/>
            <w:noProof/>
          </w:rPr>
          <w:t>Proteasome Inhibitors</w:t>
        </w:r>
        <w:r>
          <w:rPr>
            <w:noProof/>
            <w:webHidden/>
          </w:rPr>
          <w:tab/>
        </w:r>
        <w:r>
          <w:rPr>
            <w:noProof/>
            <w:webHidden/>
          </w:rPr>
          <w:fldChar w:fldCharType="begin"/>
        </w:r>
        <w:r>
          <w:rPr>
            <w:noProof/>
            <w:webHidden/>
          </w:rPr>
          <w:instrText xml:space="preserve"> PAGEREF _Toc532553092 \h </w:instrText>
        </w:r>
        <w:r>
          <w:rPr>
            <w:noProof/>
            <w:webHidden/>
          </w:rPr>
        </w:r>
        <w:r>
          <w:rPr>
            <w:noProof/>
            <w:webHidden/>
          </w:rPr>
          <w:fldChar w:fldCharType="separate"/>
        </w:r>
        <w:r w:rsidR="00E2070A">
          <w:rPr>
            <w:noProof/>
            <w:webHidden/>
          </w:rPr>
          <w:t>34</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93" w:history="1">
        <w:r w:rsidRPr="005A197B">
          <w:rPr>
            <w:rStyle w:val="Hyperlink"/>
            <w:noProof/>
          </w:rPr>
          <w:t>1.6.3</w:t>
        </w:r>
        <w:r>
          <w:rPr>
            <w:rFonts w:eastAsiaTheme="minorEastAsia" w:cstheme="minorBidi"/>
            <w:noProof/>
            <w:sz w:val="22"/>
            <w:szCs w:val="22"/>
            <w:lang w:bidi="ar-SA"/>
          </w:rPr>
          <w:tab/>
        </w:r>
        <w:r w:rsidRPr="005A197B">
          <w:rPr>
            <w:rStyle w:val="Hyperlink"/>
            <w:noProof/>
          </w:rPr>
          <w:t>Proteasomal Degradation induced by compounds</w:t>
        </w:r>
        <w:r>
          <w:rPr>
            <w:noProof/>
            <w:webHidden/>
          </w:rPr>
          <w:tab/>
        </w:r>
        <w:r>
          <w:rPr>
            <w:noProof/>
            <w:webHidden/>
          </w:rPr>
          <w:fldChar w:fldCharType="begin"/>
        </w:r>
        <w:r>
          <w:rPr>
            <w:noProof/>
            <w:webHidden/>
          </w:rPr>
          <w:instrText xml:space="preserve"> PAGEREF _Toc532553093 \h </w:instrText>
        </w:r>
        <w:r>
          <w:rPr>
            <w:noProof/>
            <w:webHidden/>
          </w:rPr>
        </w:r>
        <w:r>
          <w:rPr>
            <w:noProof/>
            <w:webHidden/>
          </w:rPr>
          <w:fldChar w:fldCharType="separate"/>
        </w:r>
        <w:r w:rsidR="00E2070A">
          <w:rPr>
            <w:noProof/>
            <w:webHidden/>
          </w:rPr>
          <w:t>36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94" w:history="1">
        <w:r w:rsidRPr="005A197B">
          <w:rPr>
            <w:rStyle w:val="Hyperlink"/>
            <w:noProof/>
          </w:rPr>
          <w:t>1.6.4</w:t>
        </w:r>
        <w:r>
          <w:rPr>
            <w:rFonts w:eastAsiaTheme="minorEastAsia" w:cstheme="minorBidi"/>
            <w:noProof/>
            <w:sz w:val="22"/>
            <w:szCs w:val="22"/>
            <w:lang w:bidi="ar-SA"/>
          </w:rPr>
          <w:tab/>
        </w:r>
        <w:r w:rsidRPr="005A197B">
          <w:rPr>
            <w:rStyle w:val="Hyperlink"/>
            <w:noProof/>
          </w:rPr>
          <w:t>Autophagy Overview</w:t>
        </w:r>
        <w:r>
          <w:rPr>
            <w:noProof/>
            <w:webHidden/>
          </w:rPr>
          <w:tab/>
        </w:r>
        <w:r>
          <w:rPr>
            <w:noProof/>
            <w:webHidden/>
          </w:rPr>
          <w:fldChar w:fldCharType="begin"/>
        </w:r>
        <w:r>
          <w:rPr>
            <w:noProof/>
            <w:webHidden/>
          </w:rPr>
          <w:instrText xml:space="preserve"> PAGEREF _Toc532553094 \h </w:instrText>
        </w:r>
        <w:r>
          <w:rPr>
            <w:noProof/>
            <w:webHidden/>
          </w:rPr>
        </w:r>
        <w:r>
          <w:rPr>
            <w:noProof/>
            <w:webHidden/>
          </w:rPr>
          <w:fldChar w:fldCharType="separate"/>
        </w:r>
        <w:r w:rsidR="00E2070A">
          <w:rPr>
            <w:noProof/>
            <w:webHidden/>
          </w:rPr>
          <w:t>36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95" w:history="1">
        <w:r w:rsidRPr="005A197B">
          <w:rPr>
            <w:rStyle w:val="Hyperlink"/>
            <w:noProof/>
          </w:rPr>
          <w:t>1.6.5</w:t>
        </w:r>
        <w:r>
          <w:rPr>
            <w:rFonts w:eastAsiaTheme="minorEastAsia" w:cstheme="minorBidi"/>
            <w:noProof/>
            <w:sz w:val="22"/>
            <w:szCs w:val="22"/>
            <w:lang w:bidi="ar-SA"/>
          </w:rPr>
          <w:tab/>
        </w:r>
        <w:r w:rsidRPr="005A197B">
          <w:rPr>
            <w:rStyle w:val="Hyperlink"/>
            <w:noProof/>
          </w:rPr>
          <w:t>Autophagy Induces and Inhibitors</w:t>
        </w:r>
        <w:r>
          <w:rPr>
            <w:noProof/>
            <w:webHidden/>
          </w:rPr>
          <w:tab/>
        </w:r>
        <w:r>
          <w:rPr>
            <w:noProof/>
            <w:webHidden/>
          </w:rPr>
          <w:fldChar w:fldCharType="begin"/>
        </w:r>
        <w:r>
          <w:rPr>
            <w:noProof/>
            <w:webHidden/>
          </w:rPr>
          <w:instrText xml:space="preserve"> PAGEREF _Toc532553095 \h </w:instrText>
        </w:r>
        <w:r>
          <w:rPr>
            <w:noProof/>
            <w:webHidden/>
          </w:rPr>
        </w:r>
        <w:r>
          <w:rPr>
            <w:noProof/>
            <w:webHidden/>
          </w:rPr>
          <w:fldChar w:fldCharType="separate"/>
        </w:r>
        <w:r w:rsidR="00E2070A">
          <w:rPr>
            <w:noProof/>
            <w:webHidden/>
          </w:rPr>
          <w:t>37</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096" w:history="1">
        <w:r w:rsidRPr="005A197B">
          <w:rPr>
            <w:rStyle w:val="Hyperlink"/>
            <w:noProof/>
          </w:rPr>
          <w:t>1.6.6</w:t>
        </w:r>
        <w:r>
          <w:rPr>
            <w:rFonts w:eastAsiaTheme="minorEastAsia" w:cstheme="minorBidi"/>
            <w:noProof/>
            <w:sz w:val="22"/>
            <w:szCs w:val="22"/>
            <w:lang w:bidi="ar-SA"/>
          </w:rPr>
          <w:tab/>
        </w:r>
        <w:r w:rsidRPr="005A197B">
          <w:rPr>
            <w:rStyle w:val="Hyperlink"/>
            <w:noProof/>
          </w:rPr>
          <w:t>Cycloheximide</w:t>
        </w:r>
        <w:r>
          <w:rPr>
            <w:noProof/>
            <w:webHidden/>
          </w:rPr>
          <w:tab/>
        </w:r>
        <w:r>
          <w:rPr>
            <w:noProof/>
            <w:webHidden/>
          </w:rPr>
          <w:fldChar w:fldCharType="begin"/>
        </w:r>
        <w:r>
          <w:rPr>
            <w:noProof/>
            <w:webHidden/>
          </w:rPr>
          <w:instrText xml:space="preserve"> PAGEREF _Toc532553096 \h </w:instrText>
        </w:r>
        <w:r>
          <w:rPr>
            <w:noProof/>
            <w:webHidden/>
          </w:rPr>
        </w:r>
        <w:r>
          <w:rPr>
            <w:noProof/>
            <w:webHidden/>
          </w:rPr>
          <w:fldChar w:fldCharType="separate"/>
        </w:r>
        <w:r w:rsidR="00E2070A">
          <w:rPr>
            <w:noProof/>
            <w:webHidden/>
          </w:rPr>
          <w:t>38</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097" w:history="1">
        <w:r w:rsidRPr="005A197B">
          <w:rPr>
            <w:rStyle w:val="Hyperlink"/>
            <w:noProof/>
          </w:rPr>
          <w:t>Chapter 2: Persistent Reduction of Oxysterol-binding Protein Caused by Compound Treatment Induces Prophylactic Anti-Viral Activity</w:t>
        </w:r>
        <w:r>
          <w:rPr>
            <w:noProof/>
            <w:webHidden/>
          </w:rPr>
          <w:tab/>
        </w:r>
        <w:r>
          <w:rPr>
            <w:noProof/>
            <w:webHidden/>
          </w:rPr>
          <w:fldChar w:fldCharType="begin"/>
        </w:r>
        <w:r>
          <w:rPr>
            <w:noProof/>
            <w:webHidden/>
          </w:rPr>
          <w:instrText xml:space="preserve"> PAGEREF _Toc532553097 \h </w:instrText>
        </w:r>
        <w:r>
          <w:rPr>
            <w:noProof/>
            <w:webHidden/>
          </w:rPr>
        </w:r>
        <w:r>
          <w:rPr>
            <w:noProof/>
            <w:webHidden/>
          </w:rPr>
          <w:fldChar w:fldCharType="separate"/>
        </w:r>
        <w:r w:rsidR="00E2070A">
          <w:rPr>
            <w:noProof/>
            <w:webHidden/>
          </w:rPr>
          <w:t>40</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098" w:history="1">
        <w:r w:rsidRPr="005A197B">
          <w:rPr>
            <w:rStyle w:val="Hyperlink"/>
            <w:noProof/>
          </w:rPr>
          <w:t>2.1</w:t>
        </w:r>
        <w:r>
          <w:rPr>
            <w:rFonts w:eastAsiaTheme="minorEastAsia" w:cstheme="minorBidi"/>
            <w:noProof/>
            <w:sz w:val="22"/>
            <w:szCs w:val="22"/>
            <w:lang w:bidi="ar-SA"/>
          </w:rPr>
          <w:tab/>
        </w:r>
        <w:r w:rsidRPr="005A197B">
          <w:rPr>
            <w:rStyle w:val="Hyperlink"/>
            <w:noProof/>
          </w:rPr>
          <w:t>Abstract</w:t>
        </w:r>
        <w:r>
          <w:rPr>
            <w:noProof/>
            <w:webHidden/>
          </w:rPr>
          <w:tab/>
        </w:r>
        <w:r>
          <w:rPr>
            <w:noProof/>
            <w:webHidden/>
          </w:rPr>
          <w:fldChar w:fldCharType="begin"/>
        </w:r>
        <w:r>
          <w:rPr>
            <w:noProof/>
            <w:webHidden/>
          </w:rPr>
          <w:instrText xml:space="preserve"> PAGEREF _Toc532553098 \h </w:instrText>
        </w:r>
        <w:r>
          <w:rPr>
            <w:noProof/>
            <w:webHidden/>
          </w:rPr>
        </w:r>
        <w:r>
          <w:rPr>
            <w:noProof/>
            <w:webHidden/>
          </w:rPr>
          <w:fldChar w:fldCharType="separate"/>
        </w:r>
        <w:r w:rsidR="00E2070A">
          <w:rPr>
            <w:noProof/>
            <w:webHidden/>
          </w:rPr>
          <w:t>40</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099" w:history="1">
        <w:r w:rsidRPr="005A197B">
          <w:rPr>
            <w:rStyle w:val="Hyperlink"/>
            <w:noProof/>
          </w:rPr>
          <w:t>2.2</w:t>
        </w:r>
        <w:r>
          <w:rPr>
            <w:rFonts w:eastAsiaTheme="minorEastAsia" w:cstheme="minorBidi"/>
            <w:noProof/>
            <w:sz w:val="22"/>
            <w:szCs w:val="22"/>
            <w:lang w:bidi="ar-SA"/>
          </w:rPr>
          <w:tab/>
        </w:r>
        <w:r w:rsidRPr="005A197B">
          <w:rPr>
            <w:rStyle w:val="Hyperlink"/>
            <w:noProof/>
          </w:rPr>
          <w:t>Introduction</w:t>
        </w:r>
        <w:r>
          <w:rPr>
            <w:noProof/>
            <w:webHidden/>
          </w:rPr>
          <w:tab/>
        </w:r>
        <w:r>
          <w:rPr>
            <w:noProof/>
            <w:webHidden/>
          </w:rPr>
          <w:fldChar w:fldCharType="begin"/>
        </w:r>
        <w:r>
          <w:rPr>
            <w:noProof/>
            <w:webHidden/>
          </w:rPr>
          <w:instrText xml:space="preserve"> PAGEREF _Toc532553099 \h </w:instrText>
        </w:r>
        <w:r>
          <w:rPr>
            <w:noProof/>
            <w:webHidden/>
          </w:rPr>
        </w:r>
        <w:r>
          <w:rPr>
            <w:noProof/>
            <w:webHidden/>
          </w:rPr>
          <w:fldChar w:fldCharType="separate"/>
        </w:r>
        <w:r w:rsidR="00E2070A">
          <w:rPr>
            <w:noProof/>
            <w:webHidden/>
          </w:rPr>
          <w:t>41</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00" w:history="1">
        <w:r w:rsidRPr="005A197B">
          <w:rPr>
            <w:rStyle w:val="Hyperlink"/>
            <w:noProof/>
          </w:rPr>
          <w:t>2.3</w:t>
        </w:r>
        <w:r>
          <w:rPr>
            <w:rFonts w:eastAsiaTheme="minorEastAsia" w:cstheme="minorBidi"/>
            <w:noProof/>
            <w:sz w:val="22"/>
            <w:szCs w:val="22"/>
            <w:lang w:bidi="ar-SA"/>
          </w:rPr>
          <w:tab/>
        </w:r>
        <w:r w:rsidRPr="005A197B">
          <w:rPr>
            <w:rStyle w:val="Hyperlink"/>
            <w:noProof/>
          </w:rPr>
          <w:t>Results</w:t>
        </w:r>
        <w:r>
          <w:rPr>
            <w:noProof/>
            <w:webHidden/>
          </w:rPr>
          <w:tab/>
        </w:r>
        <w:r>
          <w:rPr>
            <w:noProof/>
            <w:webHidden/>
          </w:rPr>
          <w:fldChar w:fldCharType="begin"/>
        </w:r>
        <w:r>
          <w:rPr>
            <w:noProof/>
            <w:webHidden/>
          </w:rPr>
          <w:instrText xml:space="preserve"> PAGEREF _Toc532553100 \h </w:instrText>
        </w:r>
        <w:r>
          <w:rPr>
            <w:noProof/>
            <w:webHidden/>
          </w:rPr>
        </w:r>
        <w:r>
          <w:rPr>
            <w:noProof/>
            <w:webHidden/>
          </w:rPr>
          <w:fldChar w:fldCharType="separate"/>
        </w:r>
        <w:r w:rsidR="00E2070A">
          <w:rPr>
            <w:noProof/>
            <w:webHidden/>
          </w:rPr>
          <w:t>42</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01" w:history="1">
        <w:r w:rsidRPr="005A197B">
          <w:rPr>
            <w:rStyle w:val="Hyperlink"/>
            <w:noProof/>
          </w:rPr>
          <w:t>2.3.1</w:t>
        </w:r>
        <w:r>
          <w:rPr>
            <w:rFonts w:eastAsiaTheme="minorEastAsia" w:cstheme="minorBidi"/>
            <w:noProof/>
            <w:sz w:val="22"/>
            <w:szCs w:val="22"/>
            <w:lang w:bidi="ar-SA"/>
          </w:rPr>
          <w:tab/>
        </w:r>
        <w:r w:rsidRPr="005A197B">
          <w:rPr>
            <w:rStyle w:val="Hyperlink"/>
            <w:noProof/>
          </w:rPr>
          <w:t>Constant OSW-1 compound treatment leads to a differential time dependent reduction of OSBP and ORP4 protein levels.</w:t>
        </w:r>
        <w:r>
          <w:rPr>
            <w:noProof/>
            <w:webHidden/>
          </w:rPr>
          <w:tab/>
        </w:r>
        <w:r>
          <w:rPr>
            <w:noProof/>
            <w:webHidden/>
          </w:rPr>
          <w:fldChar w:fldCharType="begin"/>
        </w:r>
        <w:r>
          <w:rPr>
            <w:noProof/>
            <w:webHidden/>
          </w:rPr>
          <w:instrText xml:space="preserve"> PAGEREF _Toc532553101 \h </w:instrText>
        </w:r>
        <w:r>
          <w:rPr>
            <w:noProof/>
            <w:webHidden/>
          </w:rPr>
        </w:r>
        <w:r>
          <w:rPr>
            <w:noProof/>
            <w:webHidden/>
          </w:rPr>
          <w:fldChar w:fldCharType="separate"/>
        </w:r>
        <w:r w:rsidR="00E2070A">
          <w:rPr>
            <w:noProof/>
            <w:webHidden/>
          </w:rPr>
          <w:t>42</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02" w:history="1">
        <w:r w:rsidRPr="005A197B">
          <w:rPr>
            <w:rStyle w:val="Hyperlink"/>
            <w:noProof/>
          </w:rPr>
          <w:t>2.3.2</w:t>
        </w:r>
        <w:r>
          <w:rPr>
            <w:rFonts w:eastAsiaTheme="minorEastAsia" w:cstheme="minorBidi"/>
            <w:noProof/>
            <w:sz w:val="22"/>
            <w:szCs w:val="22"/>
            <w:lang w:bidi="ar-SA"/>
          </w:rPr>
          <w:tab/>
        </w:r>
        <w:r w:rsidRPr="005A197B">
          <w:rPr>
            <w:rStyle w:val="Hyperlink"/>
            <w:noProof/>
          </w:rPr>
          <w:t>Short, non-toxic doses of OSW-1 compound leads to prolonged OSBP loss in multiple cell lines up to 72 hours after compound has been removed</w:t>
        </w:r>
        <w:r>
          <w:rPr>
            <w:noProof/>
            <w:webHidden/>
          </w:rPr>
          <w:tab/>
        </w:r>
        <w:r>
          <w:rPr>
            <w:noProof/>
            <w:webHidden/>
          </w:rPr>
          <w:fldChar w:fldCharType="begin"/>
        </w:r>
        <w:r>
          <w:rPr>
            <w:noProof/>
            <w:webHidden/>
          </w:rPr>
          <w:instrText xml:space="preserve"> PAGEREF _Toc532553102 \h </w:instrText>
        </w:r>
        <w:r>
          <w:rPr>
            <w:noProof/>
            <w:webHidden/>
          </w:rPr>
        </w:r>
        <w:r>
          <w:rPr>
            <w:noProof/>
            <w:webHidden/>
          </w:rPr>
          <w:fldChar w:fldCharType="separate"/>
        </w:r>
        <w:r w:rsidR="00E2070A">
          <w:rPr>
            <w:noProof/>
            <w:webHidden/>
          </w:rPr>
          <w:t>44</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03" w:history="1">
        <w:r w:rsidRPr="005A197B">
          <w:rPr>
            <w:rStyle w:val="Hyperlink"/>
            <w:noProof/>
          </w:rPr>
          <w:t>2.3.3</w:t>
        </w:r>
        <w:r>
          <w:rPr>
            <w:rFonts w:eastAsiaTheme="minorEastAsia" w:cstheme="minorBidi"/>
            <w:noProof/>
            <w:sz w:val="22"/>
            <w:szCs w:val="22"/>
            <w:lang w:bidi="ar-SA"/>
          </w:rPr>
          <w:tab/>
        </w:r>
        <w:r w:rsidRPr="005A197B">
          <w:rPr>
            <w:rStyle w:val="Hyperlink"/>
            <w:noProof/>
          </w:rPr>
          <w:t>Loss of OSBP due to OSW-1 washout is not an artifact</w:t>
        </w:r>
        <w:r>
          <w:rPr>
            <w:noProof/>
            <w:webHidden/>
          </w:rPr>
          <w:tab/>
        </w:r>
        <w:r>
          <w:rPr>
            <w:noProof/>
            <w:webHidden/>
          </w:rPr>
          <w:fldChar w:fldCharType="begin"/>
        </w:r>
        <w:r>
          <w:rPr>
            <w:noProof/>
            <w:webHidden/>
          </w:rPr>
          <w:instrText xml:space="preserve"> PAGEREF _Toc532553103 \h </w:instrText>
        </w:r>
        <w:r>
          <w:rPr>
            <w:noProof/>
            <w:webHidden/>
          </w:rPr>
        </w:r>
        <w:r>
          <w:rPr>
            <w:noProof/>
            <w:webHidden/>
          </w:rPr>
          <w:fldChar w:fldCharType="separate"/>
        </w:r>
        <w:r w:rsidR="00E2070A">
          <w:rPr>
            <w:noProof/>
            <w:webHidden/>
          </w:rPr>
          <w:t>46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04" w:history="1">
        <w:r w:rsidRPr="005A197B">
          <w:rPr>
            <w:rStyle w:val="Hyperlink"/>
            <w:noProof/>
          </w:rPr>
          <w:t>2.3.4</w:t>
        </w:r>
        <w:r>
          <w:rPr>
            <w:rFonts w:eastAsiaTheme="minorEastAsia" w:cstheme="minorBidi"/>
            <w:noProof/>
            <w:sz w:val="22"/>
            <w:szCs w:val="22"/>
            <w:lang w:bidi="ar-SA"/>
          </w:rPr>
          <w:tab/>
        </w:r>
        <w:r w:rsidRPr="005A197B">
          <w:rPr>
            <w:rStyle w:val="Hyperlink"/>
            <w:noProof/>
          </w:rPr>
          <w:t>Cellular localization of OSBP confirms OSBP loss in vivo during washout recovery.</w:t>
        </w:r>
        <w:r>
          <w:rPr>
            <w:noProof/>
            <w:webHidden/>
          </w:rPr>
          <w:tab/>
        </w:r>
        <w:r>
          <w:rPr>
            <w:noProof/>
            <w:webHidden/>
          </w:rPr>
          <w:fldChar w:fldCharType="begin"/>
        </w:r>
        <w:r>
          <w:rPr>
            <w:noProof/>
            <w:webHidden/>
          </w:rPr>
          <w:instrText xml:space="preserve"> PAGEREF _Toc532553104 \h </w:instrText>
        </w:r>
        <w:r>
          <w:rPr>
            <w:noProof/>
            <w:webHidden/>
          </w:rPr>
        </w:r>
        <w:r>
          <w:rPr>
            <w:noProof/>
            <w:webHidden/>
          </w:rPr>
          <w:fldChar w:fldCharType="separate"/>
        </w:r>
        <w:r w:rsidR="00E2070A">
          <w:rPr>
            <w:noProof/>
            <w:webHidden/>
          </w:rPr>
          <w:t>47</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05" w:history="1">
        <w:r w:rsidRPr="005A197B">
          <w:rPr>
            <w:rStyle w:val="Hyperlink"/>
            <w:noProof/>
          </w:rPr>
          <w:t>2.3.5</w:t>
        </w:r>
        <w:r>
          <w:rPr>
            <w:rFonts w:eastAsiaTheme="minorEastAsia" w:cstheme="minorBidi"/>
            <w:noProof/>
            <w:sz w:val="22"/>
            <w:szCs w:val="22"/>
            <w:lang w:bidi="ar-SA"/>
          </w:rPr>
          <w:tab/>
        </w:r>
        <w:r w:rsidRPr="005A197B">
          <w:rPr>
            <w:rStyle w:val="Hyperlink"/>
            <w:noProof/>
          </w:rPr>
          <w:t>OSW-1 compound washout cells show no signs of cytotoxicity, cell growth arrest, or morphological changes.</w:t>
        </w:r>
        <w:r>
          <w:rPr>
            <w:noProof/>
            <w:webHidden/>
          </w:rPr>
          <w:tab/>
        </w:r>
        <w:r>
          <w:rPr>
            <w:noProof/>
            <w:webHidden/>
          </w:rPr>
          <w:fldChar w:fldCharType="begin"/>
        </w:r>
        <w:r>
          <w:rPr>
            <w:noProof/>
            <w:webHidden/>
          </w:rPr>
          <w:instrText xml:space="preserve"> PAGEREF _Toc532553105 \h </w:instrText>
        </w:r>
        <w:r>
          <w:rPr>
            <w:noProof/>
            <w:webHidden/>
          </w:rPr>
        </w:r>
        <w:r>
          <w:rPr>
            <w:noProof/>
            <w:webHidden/>
          </w:rPr>
          <w:fldChar w:fldCharType="separate"/>
        </w:r>
        <w:r w:rsidR="00E2070A">
          <w:rPr>
            <w:noProof/>
            <w:webHidden/>
          </w:rPr>
          <w:t>50</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06" w:history="1">
        <w:r w:rsidRPr="005A197B">
          <w:rPr>
            <w:rStyle w:val="Hyperlink"/>
            <w:noProof/>
          </w:rPr>
          <w:t>2.3.6</w:t>
        </w:r>
        <w:r>
          <w:rPr>
            <w:rFonts w:eastAsiaTheme="minorEastAsia" w:cstheme="minorBidi"/>
            <w:noProof/>
            <w:sz w:val="22"/>
            <w:szCs w:val="22"/>
            <w:lang w:bidi="ar-SA"/>
          </w:rPr>
          <w:tab/>
        </w:r>
        <w:r w:rsidRPr="005A197B">
          <w:rPr>
            <w:rStyle w:val="Hyperlink"/>
            <w:noProof/>
          </w:rPr>
          <w:t>The long-term reduction of OSBP levels upon OSW-1 compound washout treatment occurs in multiple cell lines and with as little as 1 hour of exposure.</w:t>
        </w:r>
        <w:r>
          <w:rPr>
            <w:noProof/>
            <w:webHidden/>
          </w:rPr>
          <w:tab/>
        </w:r>
        <w:r>
          <w:rPr>
            <w:noProof/>
            <w:webHidden/>
          </w:rPr>
          <w:fldChar w:fldCharType="begin"/>
        </w:r>
        <w:r>
          <w:rPr>
            <w:noProof/>
            <w:webHidden/>
          </w:rPr>
          <w:instrText xml:space="preserve"> PAGEREF _Toc532553106 \h </w:instrText>
        </w:r>
        <w:r>
          <w:rPr>
            <w:noProof/>
            <w:webHidden/>
          </w:rPr>
        </w:r>
        <w:r>
          <w:rPr>
            <w:noProof/>
            <w:webHidden/>
          </w:rPr>
          <w:fldChar w:fldCharType="separate"/>
        </w:r>
        <w:r w:rsidR="00E2070A">
          <w:rPr>
            <w:noProof/>
            <w:webHidden/>
          </w:rPr>
          <w:t>51</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07" w:history="1">
        <w:r w:rsidRPr="005A197B">
          <w:rPr>
            <w:rStyle w:val="Hyperlink"/>
            <w:noProof/>
          </w:rPr>
          <w:t>2.3.7</w:t>
        </w:r>
        <w:r>
          <w:rPr>
            <w:rFonts w:eastAsiaTheme="minorEastAsia" w:cstheme="minorBidi"/>
            <w:noProof/>
            <w:sz w:val="22"/>
            <w:szCs w:val="22"/>
            <w:lang w:bidi="ar-SA"/>
          </w:rPr>
          <w:tab/>
        </w:r>
        <w:r w:rsidRPr="005A197B">
          <w:rPr>
            <w:rStyle w:val="Hyperlink"/>
            <w:noProof/>
          </w:rPr>
          <w:t>OSW-1 compound washout prolonged reduction of OSBP is not due to residual compound</w:t>
        </w:r>
        <w:r>
          <w:rPr>
            <w:noProof/>
            <w:webHidden/>
          </w:rPr>
          <w:tab/>
        </w:r>
        <w:r>
          <w:rPr>
            <w:noProof/>
            <w:webHidden/>
          </w:rPr>
          <w:fldChar w:fldCharType="begin"/>
        </w:r>
        <w:r>
          <w:rPr>
            <w:noProof/>
            <w:webHidden/>
          </w:rPr>
          <w:instrText xml:space="preserve"> PAGEREF _Toc532553107 \h </w:instrText>
        </w:r>
        <w:r>
          <w:rPr>
            <w:noProof/>
            <w:webHidden/>
          </w:rPr>
        </w:r>
        <w:r>
          <w:rPr>
            <w:noProof/>
            <w:webHidden/>
          </w:rPr>
          <w:fldChar w:fldCharType="separate"/>
        </w:r>
        <w:r w:rsidR="00E2070A">
          <w:rPr>
            <w:noProof/>
            <w:webHidden/>
          </w:rPr>
          <w:t>54</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08" w:history="1">
        <w:r w:rsidRPr="005A197B">
          <w:rPr>
            <w:rStyle w:val="Hyperlink"/>
            <w:noProof/>
          </w:rPr>
          <w:t>2.3.8</w:t>
        </w:r>
        <w:r>
          <w:rPr>
            <w:rFonts w:eastAsiaTheme="minorEastAsia" w:cstheme="minorBidi"/>
            <w:noProof/>
            <w:sz w:val="22"/>
            <w:szCs w:val="22"/>
            <w:lang w:bidi="ar-SA"/>
          </w:rPr>
          <w:tab/>
        </w:r>
        <w:r w:rsidRPr="005A197B">
          <w:rPr>
            <w:rStyle w:val="Hyperlink"/>
            <w:noProof/>
          </w:rPr>
          <w:t>OSW-1 compound washout induces prophylactic antiviral response to two clinical isolates of Enteroviruses.</w:t>
        </w:r>
        <w:r>
          <w:rPr>
            <w:noProof/>
            <w:webHidden/>
          </w:rPr>
          <w:tab/>
        </w:r>
        <w:r>
          <w:rPr>
            <w:noProof/>
            <w:webHidden/>
          </w:rPr>
          <w:fldChar w:fldCharType="begin"/>
        </w:r>
        <w:r>
          <w:rPr>
            <w:noProof/>
            <w:webHidden/>
          </w:rPr>
          <w:instrText xml:space="preserve"> PAGEREF _Toc532553108 \h </w:instrText>
        </w:r>
        <w:r>
          <w:rPr>
            <w:noProof/>
            <w:webHidden/>
          </w:rPr>
        </w:r>
        <w:r>
          <w:rPr>
            <w:noProof/>
            <w:webHidden/>
          </w:rPr>
          <w:fldChar w:fldCharType="separate"/>
        </w:r>
        <w:r w:rsidR="00E2070A">
          <w:rPr>
            <w:noProof/>
            <w:webHidden/>
          </w:rPr>
          <w:t>56</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09" w:history="1">
        <w:r w:rsidRPr="005A197B">
          <w:rPr>
            <w:rStyle w:val="Hyperlink"/>
            <w:noProof/>
          </w:rPr>
          <w:t>2.4</w:t>
        </w:r>
        <w:r>
          <w:rPr>
            <w:rFonts w:eastAsiaTheme="minorEastAsia" w:cstheme="minorBidi"/>
            <w:noProof/>
            <w:sz w:val="22"/>
            <w:szCs w:val="22"/>
            <w:lang w:bidi="ar-SA"/>
          </w:rPr>
          <w:tab/>
        </w:r>
        <w:r w:rsidRPr="005A197B">
          <w:rPr>
            <w:rStyle w:val="Hyperlink"/>
            <w:noProof/>
          </w:rPr>
          <w:t>Discussion</w:t>
        </w:r>
        <w:r>
          <w:rPr>
            <w:noProof/>
            <w:webHidden/>
          </w:rPr>
          <w:tab/>
        </w:r>
        <w:r>
          <w:rPr>
            <w:noProof/>
            <w:webHidden/>
          </w:rPr>
          <w:fldChar w:fldCharType="begin"/>
        </w:r>
        <w:r>
          <w:rPr>
            <w:noProof/>
            <w:webHidden/>
          </w:rPr>
          <w:instrText xml:space="preserve"> PAGEREF _Toc532553109 \h </w:instrText>
        </w:r>
        <w:r>
          <w:rPr>
            <w:noProof/>
            <w:webHidden/>
          </w:rPr>
        </w:r>
        <w:r>
          <w:rPr>
            <w:noProof/>
            <w:webHidden/>
          </w:rPr>
          <w:fldChar w:fldCharType="separate"/>
        </w:r>
        <w:r w:rsidR="00E2070A">
          <w:rPr>
            <w:noProof/>
            <w:webHidden/>
          </w:rPr>
          <w:t>58</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10" w:history="1">
        <w:r w:rsidRPr="005A197B">
          <w:rPr>
            <w:rStyle w:val="Hyperlink"/>
            <w:noProof/>
          </w:rPr>
          <w:t>2.5</w:t>
        </w:r>
        <w:r>
          <w:rPr>
            <w:rFonts w:eastAsiaTheme="minorEastAsia" w:cstheme="minorBidi"/>
            <w:noProof/>
            <w:sz w:val="22"/>
            <w:szCs w:val="22"/>
            <w:lang w:bidi="ar-SA"/>
          </w:rPr>
          <w:tab/>
        </w:r>
        <w:r w:rsidRPr="005A197B">
          <w:rPr>
            <w:rStyle w:val="Hyperlink"/>
            <w:noProof/>
          </w:rPr>
          <w:t>Conclusion</w:t>
        </w:r>
        <w:r>
          <w:rPr>
            <w:noProof/>
            <w:webHidden/>
          </w:rPr>
          <w:tab/>
        </w:r>
        <w:r>
          <w:rPr>
            <w:noProof/>
            <w:webHidden/>
          </w:rPr>
          <w:fldChar w:fldCharType="begin"/>
        </w:r>
        <w:r>
          <w:rPr>
            <w:noProof/>
            <w:webHidden/>
          </w:rPr>
          <w:instrText xml:space="preserve"> PAGEREF _Toc532553110 \h </w:instrText>
        </w:r>
        <w:r>
          <w:rPr>
            <w:noProof/>
            <w:webHidden/>
          </w:rPr>
        </w:r>
        <w:r>
          <w:rPr>
            <w:noProof/>
            <w:webHidden/>
          </w:rPr>
          <w:fldChar w:fldCharType="separate"/>
        </w:r>
        <w:r w:rsidR="00E2070A">
          <w:rPr>
            <w:noProof/>
            <w:webHidden/>
          </w:rPr>
          <w:t>59</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11" w:history="1">
        <w:r w:rsidRPr="005A197B">
          <w:rPr>
            <w:rStyle w:val="Hyperlink"/>
            <w:noProof/>
          </w:rPr>
          <w:t>2.6</w:t>
        </w:r>
        <w:r>
          <w:rPr>
            <w:rFonts w:eastAsiaTheme="minorEastAsia" w:cstheme="minorBidi"/>
            <w:noProof/>
            <w:sz w:val="22"/>
            <w:szCs w:val="22"/>
            <w:lang w:bidi="ar-SA"/>
          </w:rPr>
          <w:tab/>
        </w:r>
        <w:r w:rsidRPr="005A197B">
          <w:rPr>
            <w:rStyle w:val="Hyperlink"/>
            <w:noProof/>
          </w:rPr>
          <w:t>Methods</w:t>
        </w:r>
        <w:r>
          <w:rPr>
            <w:noProof/>
            <w:webHidden/>
          </w:rPr>
          <w:tab/>
        </w:r>
        <w:r>
          <w:rPr>
            <w:noProof/>
            <w:webHidden/>
          </w:rPr>
          <w:fldChar w:fldCharType="begin"/>
        </w:r>
        <w:r>
          <w:rPr>
            <w:noProof/>
            <w:webHidden/>
          </w:rPr>
          <w:instrText xml:space="preserve"> PAGEREF _Toc532553111 \h </w:instrText>
        </w:r>
        <w:r>
          <w:rPr>
            <w:noProof/>
            <w:webHidden/>
          </w:rPr>
        </w:r>
        <w:r>
          <w:rPr>
            <w:noProof/>
            <w:webHidden/>
          </w:rPr>
          <w:fldChar w:fldCharType="separate"/>
        </w:r>
        <w:r w:rsidR="00E2070A">
          <w:rPr>
            <w:noProof/>
            <w:webHidden/>
          </w:rPr>
          <w:t>60</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12" w:history="1">
        <w:r w:rsidRPr="005A197B">
          <w:rPr>
            <w:rStyle w:val="Hyperlink"/>
            <w:noProof/>
          </w:rPr>
          <w:t>2.6.1</w:t>
        </w:r>
        <w:r>
          <w:rPr>
            <w:rFonts w:eastAsiaTheme="minorEastAsia" w:cstheme="minorBidi"/>
            <w:noProof/>
            <w:sz w:val="22"/>
            <w:szCs w:val="22"/>
            <w:lang w:bidi="ar-SA"/>
          </w:rPr>
          <w:tab/>
        </w:r>
        <w:r w:rsidRPr="005A197B">
          <w:rPr>
            <w:rStyle w:val="Hyperlink"/>
            <w:noProof/>
          </w:rPr>
          <w:t>Cell Lines and Viruses</w:t>
        </w:r>
        <w:r>
          <w:rPr>
            <w:noProof/>
            <w:webHidden/>
          </w:rPr>
          <w:tab/>
        </w:r>
        <w:r>
          <w:rPr>
            <w:noProof/>
            <w:webHidden/>
          </w:rPr>
          <w:fldChar w:fldCharType="begin"/>
        </w:r>
        <w:r>
          <w:rPr>
            <w:noProof/>
            <w:webHidden/>
          </w:rPr>
          <w:instrText xml:space="preserve"> PAGEREF _Toc532553112 \h </w:instrText>
        </w:r>
        <w:r>
          <w:rPr>
            <w:noProof/>
            <w:webHidden/>
          </w:rPr>
        </w:r>
        <w:r>
          <w:rPr>
            <w:noProof/>
            <w:webHidden/>
          </w:rPr>
          <w:fldChar w:fldCharType="separate"/>
        </w:r>
        <w:r w:rsidR="00E2070A">
          <w:rPr>
            <w:noProof/>
            <w:webHidden/>
          </w:rPr>
          <w:t>60</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13" w:history="1">
        <w:r w:rsidRPr="005A197B">
          <w:rPr>
            <w:rStyle w:val="Hyperlink"/>
            <w:noProof/>
          </w:rPr>
          <w:t>2.6.2</w:t>
        </w:r>
        <w:r>
          <w:rPr>
            <w:rFonts w:eastAsiaTheme="minorEastAsia" w:cstheme="minorBidi"/>
            <w:noProof/>
            <w:sz w:val="22"/>
            <w:szCs w:val="22"/>
            <w:lang w:bidi="ar-SA"/>
          </w:rPr>
          <w:tab/>
        </w:r>
        <w:r w:rsidRPr="005A197B">
          <w:rPr>
            <w:rStyle w:val="Hyperlink"/>
            <w:noProof/>
          </w:rPr>
          <w:t>General Cell Culture</w:t>
        </w:r>
        <w:r>
          <w:rPr>
            <w:noProof/>
            <w:webHidden/>
          </w:rPr>
          <w:tab/>
        </w:r>
        <w:r>
          <w:rPr>
            <w:noProof/>
            <w:webHidden/>
          </w:rPr>
          <w:fldChar w:fldCharType="begin"/>
        </w:r>
        <w:r>
          <w:rPr>
            <w:noProof/>
            <w:webHidden/>
          </w:rPr>
          <w:instrText xml:space="preserve"> PAGEREF _Toc532553113 \h </w:instrText>
        </w:r>
        <w:r>
          <w:rPr>
            <w:noProof/>
            <w:webHidden/>
          </w:rPr>
        </w:r>
        <w:r>
          <w:rPr>
            <w:noProof/>
            <w:webHidden/>
          </w:rPr>
          <w:fldChar w:fldCharType="separate"/>
        </w:r>
        <w:r w:rsidR="00E2070A">
          <w:rPr>
            <w:noProof/>
            <w:webHidden/>
          </w:rPr>
          <w:t>61</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14" w:history="1">
        <w:r w:rsidRPr="005A197B">
          <w:rPr>
            <w:rStyle w:val="Hyperlink"/>
            <w:noProof/>
          </w:rPr>
          <w:t>2.6.3</w:t>
        </w:r>
        <w:r>
          <w:rPr>
            <w:rFonts w:eastAsiaTheme="minorEastAsia" w:cstheme="minorBidi"/>
            <w:noProof/>
            <w:sz w:val="22"/>
            <w:szCs w:val="22"/>
            <w:lang w:bidi="ar-SA"/>
          </w:rPr>
          <w:tab/>
        </w:r>
        <w:r w:rsidRPr="005A197B">
          <w:rPr>
            <w:rStyle w:val="Hyperlink"/>
            <w:noProof/>
          </w:rPr>
          <w:t>OSW-1 Compound</w:t>
        </w:r>
        <w:r>
          <w:rPr>
            <w:noProof/>
            <w:webHidden/>
          </w:rPr>
          <w:tab/>
        </w:r>
        <w:r>
          <w:rPr>
            <w:noProof/>
            <w:webHidden/>
          </w:rPr>
          <w:fldChar w:fldCharType="begin"/>
        </w:r>
        <w:r>
          <w:rPr>
            <w:noProof/>
            <w:webHidden/>
          </w:rPr>
          <w:instrText xml:space="preserve"> PAGEREF _Toc532553114 \h </w:instrText>
        </w:r>
        <w:r>
          <w:rPr>
            <w:noProof/>
            <w:webHidden/>
          </w:rPr>
        </w:r>
        <w:r>
          <w:rPr>
            <w:noProof/>
            <w:webHidden/>
          </w:rPr>
          <w:fldChar w:fldCharType="separate"/>
        </w:r>
        <w:r w:rsidR="00E2070A">
          <w:rPr>
            <w:noProof/>
            <w:webHidden/>
          </w:rPr>
          <w:t>62</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15" w:history="1">
        <w:r w:rsidRPr="005A197B">
          <w:rPr>
            <w:rStyle w:val="Hyperlink"/>
            <w:noProof/>
          </w:rPr>
          <w:t>2.6.4</w:t>
        </w:r>
        <w:r>
          <w:rPr>
            <w:rFonts w:eastAsiaTheme="minorEastAsia" w:cstheme="minorBidi"/>
            <w:noProof/>
            <w:sz w:val="22"/>
            <w:szCs w:val="22"/>
            <w:lang w:bidi="ar-SA"/>
          </w:rPr>
          <w:tab/>
        </w:r>
        <w:r w:rsidRPr="005A197B">
          <w:rPr>
            <w:rStyle w:val="Hyperlink"/>
            <w:noProof/>
          </w:rPr>
          <w:t>Cell Lysis</w:t>
        </w:r>
        <w:r>
          <w:rPr>
            <w:noProof/>
            <w:webHidden/>
          </w:rPr>
          <w:tab/>
        </w:r>
        <w:r>
          <w:rPr>
            <w:noProof/>
            <w:webHidden/>
          </w:rPr>
          <w:fldChar w:fldCharType="begin"/>
        </w:r>
        <w:r>
          <w:rPr>
            <w:noProof/>
            <w:webHidden/>
          </w:rPr>
          <w:instrText xml:space="preserve"> PAGEREF _Toc532553115 \h </w:instrText>
        </w:r>
        <w:r>
          <w:rPr>
            <w:noProof/>
            <w:webHidden/>
          </w:rPr>
        </w:r>
        <w:r>
          <w:rPr>
            <w:noProof/>
            <w:webHidden/>
          </w:rPr>
          <w:fldChar w:fldCharType="separate"/>
        </w:r>
        <w:r w:rsidR="00E2070A">
          <w:rPr>
            <w:noProof/>
            <w:webHidden/>
          </w:rPr>
          <w:t>62</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16" w:history="1">
        <w:r w:rsidRPr="005A197B">
          <w:rPr>
            <w:rStyle w:val="Hyperlink"/>
            <w:noProof/>
          </w:rPr>
          <w:t>2.6.5</w:t>
        </w:r>
        <w:r>
          <w:rPr>
            <w:rFonts w:eastAsiaTheme="minorEastAsia" w:cstheme="minorBidi"/>
            <w:noProof/>
            <w:sz w:val="22"/>
            <w:szCs w:val="22"/>
            <w:lang w:bidi="ar-SA"/>
          </w:rPr>
          <w:tab/>
        </w:r>
        <w:r w:rsidRPr="005A197B">
          <w:rPr>
            <w:rStyle w:val="Hyperlink"/>
            <w:noProof/>
          </w:rPr>
          <w:t>Western Blotting</w:t>
        </w:r>
        <w:r>
          <w:rPr>
            <w:noProof/>
            <w:webHidden/>
          </w:rPr>
          <w:tab/>
        </w:r>
        <w:r>
          <w:rPr>
            <w:noProof/>
            <w:webHidden/>
          </w:rPr>
          <w:fldChar w:fldCharType="begin"/>
        </w:r>
        <w:r>
          <w:rPr>
            <w:noProof/>
            <w:webHidden/>
          </w:rPr>
          <w:instrText xml:space="preserve"> PAGEREF _Toc532553116 \h </w:instrText>
        </w:r>
        <w:r>
          <w:rPr>
            <w:noProof/>
            <w:webHidden/>
          </w:rPr>
        </w:r>
        <w:r>
          <w:rPr>
            <w:noProof/>
            <w:webHidden/>
          </w:rPr>
          <w:fldChar w:fldCharType="separate"/>
        </w:r>
        <w:r w:rsidR="00E2070A">
          <w:rPr>
            <w:noProof/>
            <w:webHidden/>
          </w:rPr>
          <w:t>64</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17" w:history="1">
        <w:r w:rsidRPr="005A197B">
          <w:rPr>
            <w:rStyle w:val="Hyperlink"/>
            <w:noProof/>
          </w:rPr>
          <w:t>2.6.6</w:t>
        </w:r>
        <w:r>
          <w:rPr>
            <w:rFonts w:eastAsiaTheme="minorEastAsia" w:cstheme="minorBidi"/>
            <w:noProof/>
            <w:sz w:val="22"/>
            <w:szCs w:val="22"/>
            <w:lang w:bidi="ar-SA"/>
          </w:rPr>
          <w:tab/>
        </w:r>
        <w:r w:rsidRPr="005A197B">
          <w:rPr>
            <w:rStyle w:val="Hyperlink"/>
            <w:noProof/>
          </w:rPr>
          <w:t>Washout Experiments</w:t>
        </w:r>
        <w:r>
          <w:rPr>
            <w:noProof/>
            <w:webHidden/>
          </w:rPr>
          <w:tab/>
        </w:r>
        <w:r>
          <w:rPr>
            <w:noProof/>
            <w:webHidden/>
          </w:rPr>
          <w:fldChar w:fldCharType="begin"/>
        </w:r>
        <w:r>
          <w:rPr>
            <w:noProof/>
            <w:webHidden/>
          </w:rPr>
          <w:instrText xml:space="preserve"> PAGEREF _Toc532553117 \h </w:instrText>
        </w:r>
        <w:r>
          <w:rPr>
            <w:noProof/>
            <w:webHidden/>
          </w:rPr>
        </w:r>
        <w:r>
          <w:rPr>
            <w:noProof/>
            <w:webHidden/>
          </w:rPr>
          <w:fldChar w:fldCharType="separate"/>
        </w:r>
        <w:r w:rsidR="00E2070A">
          <w:rPr>
            <w:noProof/>
            <w:webHidden/>
          </w:rPr>
          <w:t>65</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18" w:history="1">
        <w:r w:rsidRPr="005A197B">
          <w:rPr>
            <w:rStyle w:val="Hyperlink"/>
            <w:noProof/>
          </w:rPr>
          <w:t>2.6.7</w:t>
        </w:r>
        <w:r>
          <w:rPr>
            <w:rFonts w:eastAsiaTheme="minorEastAsia" w:cstheme="minorBidi"/>
            <w:noProof/>
            <w:sz w:val="22"/>
            <w:szCs w:val="22"/>
            <w:lang w:bidi="ar-SA"/>
          </w:rPr>
          <w:tab/>
        </w:r>
        <w:r w:rsidRPr="005A197B">
          <w:rPr>
            <w:rStyle w:val="Hyperlink"/>
            <w:noProof/>
          </w:rPr>
          <w:t>Immunofluorescence</w:t>
        </w:r>
        <w:r>
          <w:rPr>
            <w:noProof/>
            <w:webHidden/>
          </w:rPr>
          <w:tab/>
        </w:r>
        <w:r>
          <w:rPr>
            <w:noProof/>
            <w:webHidden/>
          </w:rPr>
          <w:fldChar w:fldCharType="begin"/>
        </w:r>
        <w:r>
          <w:rPr>
            <w:noProof/>
            <w:webHidden/>
          </w:rPr>
          <w:instrText xml:space="preserve"> PAGEREF _Toc532553118 \h </w:instrText>
        </w:r>
        <w:r>
          <w:rPr>
            <w:noProof/>
            <w:webHidden/>
          </w:rPr>
        </w:r>
        <w:r>
          <w:rPr>
            <w:noProof/>
            <w:webHidden/>
          </w:rPr>
          <w:fldChar w:fldCharType="separate"/>
        </w:r>
        <w:r w:rsidR="00E2070A">
          <w:rPr>
            <w:noProof/>
            <w:webHidden/>
          </w:rPr>
          <w:t>65</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19" w:history="1">
        <w:r w:rsidRPr="005A197B">
          <w:rPr>
            <w:rStyle w:val="Hyperlink"/>
            <w:noProof/>
          </w:rPr>
          <w:t>2.6.8</w:t>
        </w:r>
        <w:r>
          <w:rPr>
            <w:rFonts w:eastAsiaTheme="minorEastAsia" w:cstheme="minorBidi"/>
            <w:noProof/>
            <w:sz w:val="22"/>
            <w:szCs w:val="22"/>
            <w:lang w:bidi="ar-SA"/>
          </w:rPr>
          <w:tab/>
        </w:r>
        <w:r w:rsidRPr="005A197B">
          <w:rPr>
            <w:rStyle w:val="Hyperlink"/>
            <w:noProof/>
          </w:rPr>
          <w:t>Trypan Blue Staining</w:t>
        </w:r>
        <w:r>
          <w:rPr>
            <w:noProof/>
            <w:webHidden/>
          </w:rPr>
          <w:tab/>
        </w:r>
        <w:r>
          <w:rPr>
            <w:noProof/>
            <w:webHidden/>
          </w:rPr>
          <w:fldChar w:fldCharType="begin"/>
        </w:r>
        <w:r>
          <w:rPr>
            <w:noProof/>
            <w:webHidden/>
          </w:rPr>
          <w:instrText xml:space="preserve"> PAGEREF _Toc532553119 \h </w:instrText>
        </w:r>
        <w:r>
          <w:rPr>
            <w:noProof/>
            <w:webHidden/>
          </w:rPr>
        </w:r>
        <w:r>
          <w:rPr>
            <w:noProof/>
            <w:webHidden/>
          </w:rPr>
          <w:fldChar w:fldCharType="separate"/>
        </w:r>
        <w:r w:rsidR="00E2070A">
          <w:rPr>
            <w:noProof/>
            <w:webHidden/>
          </w:rPr>
          <w:t>66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20" w:history="1">
        <w:r w:rsidRPr="005A197B">
          <w:rPr>
            <w:rStyle w:val="Hyperlink"/>
            <w:noProof/>
          </w:rPr>
          <w:t>2.6.9</w:t>
        </w:r>
        <w:r>
          <w:rPr>
            <w:rFonts w:eastAsiaTheme="minorEastAsia" w:cstheme="minorBidi"/>
            <w:noProof/>
            <w:sz w:val="22"/>
            <w:szCs w:val="22"/>
            <w:lang w:bidi="ar-SA"/>
          </w:rPr>
          <w:tab/>
        </w:r>
        <w:r w:rsidRPr="005A197B">
          <w:rPr>
            <w:rStyle w:val="Hyperlink"/>
            <w:noProof/>
          </w:rPr>
          <w:t>Calcein AM and Hoechst Staining</w:t>
        </w:r>
        <w:r>
          <w:rPr>
            <w:noProof/>
            <w:webHidden/>
          </w:rPr>
          <w:tab/>
        </w:r>
        <w:r>
          <w:rPr>
            <w:noProof/>
            <w:webHidden/>
          </w:rPr>
          <w:fldChar w:fldCharType="begin"/>
        </w:r>
        <w:r>
          <w:rPr>
            <w:noProof/>
            <w:webHidden/>
          </w:rPr>
          <w:instrText xml:space="preserve"> PAGEREF _Toc532553120 \h </w:instrText>
        </w:r>
        <w:r>
          <w:rPr>
            <w:noProof/>
            <w:webHidden/>
          </w:rPr>
        </w:r>
        <w:r>
          <w:rPr>
            <w:noProof/>
            <w:webHidden/>
          </w:rPr>
          <w:fldChar w:fldCharType="separate"/>
        </w:r>
        <w:r w:rsidR="00E2070A">
          <w:rPr>
            <w:noProof/>
            <w:webHidden/>
          </w:rPr>
          <w:t>66</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21" w:history="1">
        <w:r w:rsidRPr="005A197B">
          <w:rPr>
            <w:rStyle w:val="Hyperlink"/>
            <w:noProof/>
          </w:rPr>
          <w:t>2.6.10</w:t>
        </w:r>
        <w:r>
          <w:rPr>
            <w:rFonts w:eastAsiaTheme="minorEastAsia" w:cstheme="minorBidi"/>
            <w:noProof/>
            <w:sz w:val="22"/>
            <w:szCs w:val="22"/>
            <w:lang w:bidi="ar-SA"/>
          </w:rPr>
          <w:tab/>
        </w:r>
        <w:r w:rsidRPr="005A197B">
          <w:rPr>
            <w:rStyle w:val="Hyperlink"/>
            <w:noProof/>
          </w:rPr>
          <w:t>Intracellular OSW-1 Quantification Using LC-MS and Single Cell MS Methods</w:t>
        </w:r>
        <w:r>
          <w:rPr>
            <w:noProof/>
            <w:webHidden/>
          </w:rPr>
          <w:tab/>
        </w:r>
        <w:r>
          <w:rPr>
            <w:noProof/>
            <w:webHidden/>
          </w:rPr>
          <w:fldChar w:fldCharType="begin"/>
        </w:r>
        <w:r>
          <w:rPr>
            <w:noProof/>
            <w:webHidden/>
          </w:rPr>
          <w:instrText xml:space="preserve"> PAGEREF _Toc532553121 \h </w:instrText>
        </w:r>
        <w:r>
          <w:rPr>
            <w:noProof/>
            <w:webHidden/>
          </w:rPr>
        </w:r>
        <w:r>
          <w:rPr>
            <w:noProof/>
            <w:webHidden/>
          </w:rPr>
          <w:fldChar w:fldCharType="separate"/>
        </w:r>
        <w:r w:rsidR="00E2070A">
          <w:rPr>
            <w:noProof/>
            <w:webHidden/>
          </w:rPr>
          <w:t>67</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22" w:history="1">
        <w:r w:rsidRPr="005A197B">
          <w:rPr>
            <w:rStyle w:val="Hyperlink"/>
            <w:noProof/>
          </w:rPr>
          <w:t>2.6.11</w:t>
        </w:r>
        <w:r>
          <w:rPr>
            <w:rFonts w:eastAsiaTheme="minorEastAsia" w:cstheme="minorBidi"/>
            <w:noProof/>
            <w:sz w:val="22"/>
            <w:szCs w:val="22"/>
            <w:lang w:bidi="ar-SA"/>
          </w:rPr>
          <w:tab/>
        </w:r>
        <w:r w:rsidRPr="005A197B">
          <w:rPr>
            <w:rStyle w:val="Hyperlink"/>
            <w:noProof/>
          </w:rPr>
          <w:t>Single Cell Mass Spectrometry</w:t>
        </w:r>
        <w:r>
          <w:rPr>
            <w:noProof/>
            <w:webHidden/>
          </w:rPr>
          <w:tab/>
        </w:r>
        <w:r>
          <w:rPr>
            <w:noProof/>
            <w:webHidden/>
          </w:rPr>
          <w:fldChar w:fldCharType="begin"/>
        </w:r>
        <w:r>
          <w:rPr>
            <w:noProof/>
            <w:webHidden/>
          </w:rPr>
          <w:instrText xml:space="preserve"> PAGEREF _Toc532553122 \h </w:instrText>
        </w:r>
        <w:r>
          <w:rPr>
            <w:noProof/>
            <w:webHidden/>
          </w:rPr>
        </w:r>
        <w:r>
          <w:rPr>
            <w:noProof/>
            <w:webHidden/>
          </w:rPr>
          <w:fldChar w:fldCharType="separate"/>
        </w:r>
        <w:r w:rsidR="00E2070A">
          <w:rPr>
            <w:noProof/>
            <w:webHidden/>
          </w:rPr>
          <w:t>67</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23" w:history="1">
        <w:r w:rsidRPr="005A197B">
          <w:rPr>
            <w:rStyle w:val="Hyperlink"/>
            <w:noProof/>
          </w:rPr>
          <w:t>2.6.12</w:t>
        </w:r>
        <w:r>
          <w:rPr>
            <w:rFonts w:eastAsiaTheme="minorEastAsia" w:cstheme="minorBidi"/>
            <w:noProof/>
            <w:sz w:val="22"/>
            <w:szCs w:val="22"/>
            <w:lang w:bidi="ar-SA"/>
          </w:rPr>
          <w:tab/>
        </w:r>
        <w:r w:rsidRPr="005A197B">
          <w:rPr>
            <w:rStyle w:val="Hyperlink"/>
            <w:noProof/>
          </w:rPr>
          <w:t>Mass Spec label-free 2D OSBP quantification</w:t>
        </w:r>
        <w:r>
          <w:rPr>
            <w:noProof/>
            <w:webHidden/>
          </w:rPr>
          <w:tab/>
        </w:r>
        <w:r>
          <w:rPr>
            <w:noProof/>
            <w:webHidden/>
          </w:rPr>
          <w:fldChar w:fldCharType="begin"/>
        </w:r>
        <w:r>
          <w:rPr>
            <w:noProof/>
            <w:webHidden/>
          </w:rPr>
          <w:instrText xml:space="preserve"> PAGEREF _Toc532553123 \h </w:instrText>
        </w:r>
        <w:r>
          <w:rPr>
            <w:noProof/>
            <w:webHidden/>
          </w:rPr>
        </w:r>
        <w:r>
          <w:rPr>
            <w:noProof/>
            <w:webHidden/>
          </w:rPr>
          <w:fldChar w:fldCharType="separate"/>
        </w:r>
        <w:r w:rsidR="00E2070A">
          <w:rPr>
            <w:noProof/>
            <w:webHidden/>
          </w:rPr>
          <w:t>68</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24" w:history="1">
        <w:r w:rsidRPr="005A197B">
          <w:rPr>
            <w:rStyle w:val="Hyperlink"/>
            <w:noProof/>
          </w:rPr>
          <w:t>2.6.13</w:t>
        </w:r>
        <w:r>
          <w:rPr>
            <w:rFonts w:eastAsiaTheme="minorEastAsia" w:cstheme="minorBidi"/>
            <w:noProof/>
            <w:sz w:val="22"/>
            <w:szCs w:val="22"/>
            <w:lang w:bidi="ar-SA"/>
          </w:rPr>
          <w:tab/>
        </w:r>
        <w:r w:rsidRPr="005A197B">
          <w:rPr>
            <w:rStyle w:val="Hyperlink"/>
            <w:noProof/>
          </w:rPr>
          <w:t>Anti-Viral Experiments</w:t>
        </w:r>
        <w:r>
          <w:rPr>
            <w:noProof/>
            <w:webHidden/>
          </w:rPr>
          <w:tab/>
        </w:r>
        <w:r>
          <w:rPr>
            <w:noProof/>
            <w:webHidden/>
          </w:rPr>
          <w:fldChar w:fldCharType="begin"/>
        </w:r>
        <w:r>
          <w:rPr>
            <w:noProof/>
            <w:webHidden/>
          </w:rPr>
          <w:instrText xml:space="preserve"> PAGEREF _Toc532553124 \h </w:instrText>
        </w:r>
        <w:r>
          <w:rPr>
            <w:noProof/>
            <w:webHidden/>
          </w:rPr>
        </w:r>
        <w:r>
          <w:rPr>
            <w:noProof/>
            <w:webHidden/>
          </w:rPr>
          <w:fldChar w:fldCharType="separate"/>
        </w:r>
        <w:r w:rsidR="00E2070A">
          <w:rPr>
            <w:noProof/>
            <w:webHidden/>
          </w:rPr>
          <w:t>69</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25" w:history="1">
        <w:r w:rsidRPr="005A197B">
          <w:rPr>
            <w:rStyle w:val="Hyperlink"/>
            <w:noProof/>
          </w:rPr>
          <w:t>2.6.14</w:t>
        </w:r>
        <w:r>
          <w:rPr>
            <w:rFonts w:eastAsiaTheme="minorEastAsia" w:cstheme="minorBidi"/>
            <w:noProof/>
            <w:sz w:val="22"/>
            <w:szCs w:val="22"/>
            <w:lang w:bidi="ar-SA"/>
          </w:rPr>
          <w:tab/>
        </w:r>
        <w:r w:rsidRPr="005A197B">
          <w:rPr>
            <w:rStyle w:val="Hyperlink"/>
            <w:noProof/>
          </w:rPr>
          <w:t>Plasmid and Cloning</w:t>
        </w:r>
        <w:r>
          <w:rPr>
            <w:noProof/>
            <w:webHidden/>
          </w:rPr>
          <w:tab/>
        </w:r>
        <w:r>
          <w:rPr>
            <w:noProof/>
            <w:webHidden/>
          </w:rPr>
          <w:fldChar w:fldCharType="begin"/>
        </w:r>
        <w:r>
          <w:rPr>
            <w:noProof/>
            <w:webHidden/>
          </w:rPr>
          <w:instrText xml:space="preserve"> PAGEREF _Toc532553125 \h </w:instrText>
        </w:r>
        <w:r>
          <w:rPr>
            <w:noProof/>
            <w:webHidden/>
          </w:rPr>
        </w:r>
        <w:r>
          <w:rPr>
            <w:noProof/>
            <w:webHidden/>
          </w:rPr>
          <w:fldChar w:fldCharType="separate"/>
        </w:r>
        <w:r w:rsidR="00E2070A">
          <w:rPr>
            <w:noProof/>
            <w:webHidden/>
          </w:rPr>
          <w:t>70</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26" w:history="1">
        <w:r w:rsidRPr="005A197B">
          <w:rPr>
            <w:rStyle w:val="Hyperlink"/>
            <w:noProof/>
          </w:rPr>
          <w:t>2.6.15</w:t>
        </w:r>
        <w:r>
          <w:rPr>
            <w:rFonts w:eastAsiaTheme="minorEastAsia" w:cstheme="minorBidi"/>
            <w:noProof/>
            <w:sz w:val="22"/>
            <w:szCs w:val="22"/>
            <w:lang w:bidi="ar-SA"/>
          </w:rPr>
          <w:tab/>
        </w:r>
        <w:r w:rsidRPr="005A197B">
          <w:rPr>
            <w:rStyle w:val="Hyperlink"/>
            <w:noProof/>
          </w:rPr>
          <w:t>([3H]-25-OHC) Charcoal/Dextran Binding Assay</w:t>
        </w:r>
        <w:r>
          <w:rPr>
            <w:noProof/>
            <w:webHidden/>
          </w:rPr>
          <w:tab/>
        </w:r>
        <w:r>
          <w:rPr>
            <w:noProof/>
            <w:webHidden/>
          </w:rPr>
          <w:fldChar w:fldCharType="begin"/>
        </w:r>
        <w:r>
          <w:rPr>
            <w:noProof/>
            <w:webHidden/>
          </w:rPr>
          <w:instrText xml:space="preserve"> PAGEREF _Toc532553126 \h </w:instrText>
        </w:r>
        <w:r>
          <w:rPr>
            <w:noProof/>
            <w:webHidden/>
          </w:rPr>
        </w:r>
        <w:r>
          <w:rPr>
            <w:noProof/>
            <w:webHidden/>
          </w:rPr>
          <w:fldChar w:fldCharType="separate"/>
        </w:r>
        <w:r w:rsidR="00E2070A">
          <w:rPr>
            <w:noProof/>
            <w:webHidden/>
          </w:rPr>
          <w:t>71</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27" w:history="1">
        <w:r w:rsidRPr="005A197B">
          <w:rPr>
            <w:rStyle w:val="Hyperlink"/>
            <w:noProof/>
          </w:rPr>
          <w:t>2.6.16</w:t>
        </w:r>
        <w:r>
          <w:rPr>
            <w:rFonts w:eastAsiaTheme="minorEastAsia" w:cstheme="minorBidi"/>
            <w:noProof/>
            <w:sz w:val="22"/>
            <w:szCs w:val="22"/>
            <w:lang w:bidi="ar-SA"/>
          </w:rPr>
          <w:tab/>
        </w:r>
        <w:r w:rsidRPr="005A197B">
          <w:rPr>
            <w:rStyle w:val="Hyperlink"/>
            <w:noProof/>
          </w:rPr>
          <w:t>Statistical Analysis</w:t>
        </w:r>
        <w:r>
          <w:rPr>
            <w:noProof/>
            <w:webHidden/>
          </w:rPr>
          <w:tab/>
        </w:r>
        <w:r>
          <w:rPr>
            <w:noProof/>
            <w:webHidden/>
          </w:rPr>
          <w:fldChar w:fldCharType="begin"/>
        </w:r>
        <w:r>
          <w:rPr>
            <w:noProof/>
            <w:webHidden/>
          </w:rPr>
          <w:instrText xml:space="preserve"> PAGEREF _Toc532553127 \h </w:instrText>
        </w:r>
        <w:r>
          <w:rPr>
            <w:noProof/>
            <w:webHidden/>
          </w:rPr>
        </w:r>
        <w:r>
          <w:rPr>
            <w:noProof/>
            <w:webHidden/>
          </w:rPr>
          <w:fldChar w:fldCharType="separate"/>
        </w:r>
        <w:r w:rsidR="00E2070A">
          <w:rPr>
            <w:noProof/>
            <w:webHidden/>
          </w:rPr>
          <w:t>71</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128" w:history="1">
        <w:r w:rsidRPr="005A197B">
          <w:rPr>
            <w:rStyle w:val="Hyperlink"/>
            <w:noProof/>
          </w:rPr>
          <w:t>Chapter 3: OSW-1 compound treatment induced OSBP loss occurs through an unknown mechanism</w:t>
        </w:r>
        <w:r>
          <w:rPr>
            <w:noProof/>
            <w:webHidden/>
          </w:rPr>
          <w:tab/>
        </w:r>
        <w:r>
          <w:rPr>
            <w:noProof/>
            <w:webHidden/>
          </w:rPr>
          <w:fldChar w:fldCharType="begin"/>
        </w:r>
        <w:r>
          <w:rPr>
            <w:noProof/>
            <w:webHidden/>
          </w:rPr>
          <w:instrText xml:space="preserve"> PAGEREF _Toc532553128 \h </w:instrText>
        </w:r>
        <w:r>
          <w:rPr>
            <w:noProof/>
            <w:webHidden/>
          </w:rPr>
        </w:r>
        <w:r>
          <w:rPr>
            <w:noProof/>
            <w:webHidden/>
          </w:rPr>
          <w:fldChar w:fldCharType="separate"/>
        </w:r>
        <w:r w:rsidR="00E2070A">
          <w:rPr>
            <w:noProof/>
            <w:webHidden/>
          </w:rPr>
          <w:t>72</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29" w:history="1">
        <w:r w:rsidRPr="005A197B">
          <w:rPr>
            <w:rStyle w:val="Hyperlink"/>
            <w:noProof/>
          </w:rPr>
          <w:t>3.1</w:t>
        </w:r>
        <w:r>
          <w:rPr>
            <w:rFonts w:eastAsiaTheme="minorEastAsia" w:cstheme="minorBidi"/>
            <w:noProof/>
            <w:sz w:val="22"/>
            <w:szCs w:val="22"/>
            <w:lang w:bidi="ar-SA"/>
          </w:rPr>
          <w:tab/>
        </w:r>
        <w:r w:rsidRPr="005A197B">
          <w:rPr>
            <w:rStyle w:val="Hyperlink"/>
            <w:noProof/>
          </w:rPr>
          <w:t>Abstract</w:t>
        </w:r>
        <w:r>
          <w:rPr>
            <w:noProof/>
            <w:webHidden/>
          </w:rPr>
          <w:tab/>
        </w:r>
        <w:r>
          <w:rPr>
            <w:noProof/>
            <w:webHidden/>
          </w:rPr>
          <w:fldChar w:fldCharType="begin"/>
        </w:r>
        <w:r>
          <w:rPr>
            <w:noProof/>
            <w:webHidden/>
          </w:rPr>
          <w:instrText xml:space="preserve"> PAGEREF _Toc532553129 \h </w:instrText>
        </w:r>
        <w:r>
          <w:rPr>
            <w:noProof/>
            <w:webHidden/>
          </w:rPr>
        </w:r>
        <w:r>
          <w:rPr>
            <w:noProof/>
            <w:webHidden/>
          </w:rPr>
          <w:fldChar w:fldCharType="separate"/>
        </w:r>
        <w:r w:rsidR="00E2070A">
          <w:rPr>
            <w:noProof/>
            <w:webHidden/>
          </w:rPr>
          <w:t>72</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30" w:history="1">
        <w:r w:rsidRPr="005A197B">
          <w:rPr>
            <w:rStyle w:val="Hyperlink"/>
            <w:noProof/>
          </w:rPr>
          <w:t>3.2</w:t>
        </w:r>
        <w:r>
          <w:rPr>
            <w:rFonts w:eastAsiaTheme="minorEastAsia" w:cstheme="minorBidi"/>
            <w:noProof/>
            <w:sz w:val="22"/>
            <w:szCs w:val="22"/>
            <w:lang w:bidi="ar-SA"/>
          </w:rPr>
          <w:tab/>
        </w:r>
        <w:r w:rsidRPr="005A197B">
          <w:rPr>
            <w:rStyle w:val="Hyperlink"/>
            <w:noProof/>
          </w:rPr>
          <w:t>Introduction</w:t>
        </w:r>
        <w:r>
          <w:rPr>
            <w:noProof/>
            <w:webHidden/>
          </w:rPr>
          <w:tab/>
        </w:r>
        <w:r>
          <w:rPr>
            <w:noProof/>
            <w:webHidden/>
          </w:rPr>
          <w:fldChar w:fldCharType="begin"/>
        </w:r>
        <w:r>
          <w:rPr>
            <w:noProof/>
            <w:webHidden/>
          </w:rPr>
          <w:instrText xml:space="preserve"> PAGEREF _Toc532553130 \h </w:instrText>
        </w:r>
        <w:r>
          <w:rPr>
            <w:noProof/>
            <w:webHidden/>
          </w:rPr>
        </w:r>
        <w:r>
          <w:rPr>
            <w:noProof/>
            <w:webHidden/>
          </w:rPr>
          <w:fldChar w:fldCharType="separate"/>
        </w:r>
        <w:r w:rsidR="00E2070A">
          <w:rPr>
            <w:noProof/>
            <w:webHidden/>
          </w:rPr>
          <w:t>73</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31" w:history="1">
        <w:r w:rsidRPr="005A197B">
          <w:rPr>
            <w:rStyle w:val="Hyperlink"/>
            <w:noProof/>
          </w:rPr>
          <w:t>3.3</w:t>
        </w:r>
        <w:r>
          <w:rPr>
            <w:rFonts w:eastAsiaTheme="minorEastAsia" w:cstheme="minorBidi"/>
            <w:noProof/>
            <w:sz w:val="22"/>
            <w:szCs w:val="22"/>
            <w:lang w:bidi="ar-SA"/>
          </w:rPr>
          <w:tab/>
        </w:r>
        <w:r w:rsidRPr="005A197B">
          <w:rPr>
            <w:rStyle w:val="Hyperlink"/>
            <w:noProof/>
          </w:rPr>
          <w:t>Results</w:t>
        </w:r>
        <w:r>
          <w:rPr>
            <w:noProof/>
            <w:webHidden/>
          </w:rPr>
          <w:tab/>
        </w:r>
        <w:r>
          <w:rPr>
            <w:noProof/>
            <w:webHidden/>
          </w:rPr>
          <w:fldChar w:fldCharType="begin"/>
        </w:r>
        <w:r>
          <w:rPr>
            <w:noProof/>
            <w:webHidden/>
          </w:rPr>
          <w:instrText xml:space="preserve"> PAGEREF _Toc532553131 \h </w:instrText>
        </w:r>
        <w:r>
          <w:rPr>
            <w:noProof/>
            <w:webHidden/>
          </w:rPr>
        </w:r>
        <w:r>
          <w:rPr>
            <w:noProof/>
            <w:webHidden/>
          </w:rPr>
          <w:fldChar w:fldCharType="separate"/>
        </w:r>
        <w:r w:rsidR="00E2070A">
          <w:rPr>
            <w:noProof/>
            <w:webHidden/>
          </w:rPr>
          <w:t>74</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32" w:history="1">
        <w:r w:rsidRPr="005A197B">
          <w:rPr>
            <w:rStyle w:val="Hyperlink"/>
            <w:noProof/>
          </w:rPr>
          <w:t>3.3.1</w:t>
        </w:r>
        <w:r>
          <w:rPr>
            <w:rFonts w:eastAsiaTheme="minorEastAsia" w:cstheme="minorBidi"/>
            <w:noProof/>
            <w:sz w:val="22"/>
            <w:szCs w:val="22"/>
            <w:lang w:bidi="ar-SA"/>
          </w:rPr>
          <w:tab/>
        </w:r>
        <w:r w:rsidRPr="005A197B">
          <w:rPr>
            <w:rStyle w:val="Hyperlink"/>
            <w:noProof/>
          </w:rPr>
          <w:t>OSW-1 “washout effect” is not due to prolonged proteasomal degradation</w:t>
        </w:r>
        <w:r>
          <w:rPr>
            <w:noProof/>
            <w:webHidden/>
          </w:rPr>
          <w:tab/>
        </w:r>
        <w:r>
          <w:rPr>
            <w:noProof/>
            <w:webHidden/>
          </w:rPr>
          <w:fldChar w:fldCharType="begin"/>
        </w:r>
        <w:r>
          <w:rPr>
            <w:noProof/>
            <w:webHidden/>
          </w:rPr>
          <w:instrText xml:space="preserve"> PAGEREF _Toc532553132 \h </w:instrText>
        </w:r>
        <w:r>
          <w:rPr>
            <w:noProof/>
            <w:webHidden/>
          </w:rPr>
        </w:r>
        <w:r>
          <w:rPr>
            <w:noProof/>
            <w:webHidden/>
          </w:rPr>
          <w:fldChar w:fldCharType="separate"/>
        </w:r>
        <w:r w:rsidR="00E2070A">
          <w:rPr>
            <w:noProof/>
            <w:webHidden/>
          </w:rPr>
          <w:t>74</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33" w:history="1">
        <w:r w:rsidRPr="005A197B">
          <w:rPr>
            <w:rStyle w:val="Hyperlink"/>
            <w:noProof/>
          </w:rPr>
          <w:t>3.3.2</w:t>
        </w:r>
        <w:r>
          <w:rPr>
            <w:rFonts w:eastAsiaTheme="minorEastAsia" w:cstheme="minorBidi"/>
            <w:noProof/>
            <w:sz w:val="22"/>
            <w:szCs w:val="22"/>
            <w:lang w:bidi="ar-SA"/>
          </w:rPr>
          <w:tab/>
        </w:r>
        <w:r w:rsidRPr="005A197B">
          <w:rPr>
            <w:rStyle w:val="Hyperlink"/>
            <w:noProof/>
          </w:rPr>
          <w:t>OSW-1 “washout effect” induces autophagy, but autophagy is not the cause of long-term OSBP repression.</w:t>
        </w:r>
        <w:r>
          <w:rPr>
            <w:noProof/>
            <w:webHidden/>
          </w:rPr>
          <w:tab/>
        </w:r>
        <w:r>
          <w:rPr>
            <w:noProof/>
            <w:webHidden/>
          </w:rPr>
          <w:fldChar w:fldCharType="begin"/>
        </w:r>
        <w:r>
          <w:rPr>
            <w:noProof/>
            <w:webHidden/>
          </w:rPr>
          <w:instrText xml:space="preserve"> PAGEREF _Toc532553133 \h </w:instrText>
        </w:r>
        <w:r>
          <w:rPr>
            <w:noProof/>
            <w:webHidden/>
          </w:rPr>
        </w:r>
        <w:r>
          <w:rPr>
            <w:noProof/>
            <w:webHidden/>
          </w:rPr>
          <w:fldChar w:fldCharType="separate"/>
        </w:r>
        <w:r w:rsidR="00E2070A">
          <w:rPr>
            <w:noProof/>
            <w:webHidden/>
          </w:rPr>
          <w:t>77</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34" w:history="1">
        <w:r w:rsidRPr="005A197B">
          <w:rPr>
            <w:rStyle w:val="Hyperlink"/>
            <w:noProof/>
          </w:rPr>
          <w:t>3.3.3</w:t>
        </w:r>
        <w:r>
          <w:rPr>
            <w:rFonts w:eastAsiaTheme="minorEastAsia" w:cstheme="minorBidi"/>
            <w:noProof/>
            <w:sz w:val="22"/>
            <w:szCs w:val="22"/>
            <w:lang w:bidi="ar-SA"/>
          </w:rPr>
          <w:tab/>
        </w:r>
        <w:r w:rsidRPr="005A197B">
          <w:rPr>
            <w:rStyle w:val="Hyperlink"/>
            <w:noProof/>
          </w:rPr>
          <w:t>Sustained OSBP loss is not due to rapid protein turnover</w:t>
        </w:r>
        <w:r>
          <w:rPr>
            <w:noProof/>
            <w:webHidden/>
          </w:rPr>
          <w:tab/>
        </w:r>
        <w:r>
          <w:rPr>
            <w:noProof/>
            <w:webHidden/>
          </w:rPr>
          <w:fldChar w:fldCharType="begin"/>
        </w:r>
        <w:r>
          <w:rPr>
            <w:noProof/>
            <w:webHidden/>
          </w:rPr>
          <w:instrText xml:space="preserve"> PAGEREF _Toc532553134 \h </w:instrText>
        </w:r>
        <w:r>
          <w:rPr>
            <w:noProof/>
            <w:webHidden/>
          </w:rPr>
        </w:r>
        <w:r>
          <w:rPr>
            <w:noProof/>
            <w:webHidden/>
          </w:rPr>
          <w:fldChar w:fldCharType="separate"/>
        </w:r>
        <w:r w:rsidR="00E2070A">
          <w:rPr>
            <w:noProof/>
            <w:webHidden/>
          </w:rPr>
          <w:t>79</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35" w:history="1">
        <w:r w:rsidRPr="005A197B">
          <w:rPr>
            <w:rStyle w:val="Hyperlink"/>
            <w:noProof/>
          </w:rPr>
          <w:t>3.3.4</w:t>
        </w:r>
        <w:r>
          <w:rPr>
            <w:rFonts w:eastAsiaTheme="minorEastAsia" w:cstheme="minorBidi"/>
            <w:noProof/>
            <w:sz w:val="22"/>
            <w:szCs w:val="22"/>
            <w:lang w:bidi="ar-SA"/>
          </w:rPr>
          <w:tab/>
        </w:r>
        <w:r w:rsidRPr="005A197B">
          <w:rPr>
            <w:rStyle w:val="Hyperlink"/>
            <w:noProof/>
          </w:rPr>
          <w:t>OSBP mRNA transcript remains stable throughout washout recovery.</w:t>
        </w:r>
        <w:r>
          <w:rPr>
            <w:noProof/>
            <w:webHidden/>
          </w:rPr>
          <w:tab/>
        </w:r>
        <w:r>
          <w:rPr>
            <w:noProof/>
            <w:webHidden/>
          </w:rPr>
          <w:fldChar w:fldCharType="begin"/>
        </w:r>
        <w:r>
          <w:rPr>
            <w:noProof/>
            <w:webHidden/>
          </w:rPr>
          <w:instrText xml:space="preserve"> PAGEREF _Toc532553135 \h </w:instrText>
        </w:r>
        <w:r>
          <w:rPr>
            <w:noProof/>
            <w:webHidden/>
          </w:rPr>
        </w:r>
        <w:r>
          <w:rPr>
            <w:noProof/>
            <w:webHidden/>
          </w:rPr>
          <w:fldChar w:fldCharType="separate"/>
        </w:r>
        <w:r w:rsidR="00E2070A">
          <w:rPr>
            <w:noProof/>
            <w:webHidden/>
          </w:rPr>
          <w:t>80</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36" w:history="1">
        <w:r w:rsidRPr="005A197B">
          <w:rPr>
            <w:rStyle w:val="Hyperlink"/>
            <w:noProof/>
          </w:rPr>
          <w:t>3.3.5</w:t>
        </w:r>
        <w:r>
          <w:rPr>
            <w:rFonts w:eastAsiaTheme="minorEastAsia" w:cstheme="minorBidi"/>
            <w:noProof/>
            <w:sz w:val="22"/>
            <w:szCs w:val="22"/>
            <w:lang w:bidi="ar-SA"/>
          </w:rPr>
          <w:tab/>
        </w:r>
        <w:r w:rsidRPr="005A197B">
          <w:rPr>
            <w:rStyle w:val="Hyperlink"/>
            <w:noProof/>
          </w:rPr>
          <w:t>OSW-1 Compound Triggered Long-term Reduction of OSBP Levels is Specific for OSBP and Not a General Proteome Reduction</w:t>
        </w:r>
        <w:r>
          <w:rPr>
            <w:noProof/>
            <w:webHidden/>
          </w:rPr>
          <w:tab/>
        </w:r>
        <w:r>
          <w:rPr>
            <w:noProof/>
            <w:webHidden/>
          </w:rPr>
          <w:fldChar w:fldCharType="begin"/>
        </w:r>
        <w:r>
          <w:rPr>
            <w:noProof/>
            <w:webHidden/>
          </w:rPr>
          <w:instrText xml:space="preserve"> PAGEREF _Toc532553136 \h </w:instrText>
        </w:r>
        <w:r>
          <w:rPr>
            <w:noProof/>
            <w:webHidden/>
          </w:rPr>
        </w:r>
        <w:r>
          <w:rPr>
            <w:noProof/>
            <w:webHidden/>
          </w:rPr>
          <w:fldChar w:fldCharType="separate"/>
        </w:r>
        <w:r w:rsidR="00E2070A">
          <w:rPr>
            <w:noProof/>
            <w:webHidden/>
          </w:rPr>
          <w:t>81</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37" w:history="1">
        <w:r w:rsidRPr="005A197B">
          <w:rPr>
            <w:rStyle w:val="Hyperlink"/>
            <w:noProof/>
          </w:rPr>
          <w:t>3.4</w:t>
        </w:r>
        <w:r>
          <w:rPr>
            <w:rFonts w:eastAsiaTheme="minorEastAsia" w:cstheme="minorBidi"/>
            <w:noProof/>
            <w:sz w:val="22"/>
            <w:szCs w:val="22"/>
            <w:lang w:bidi="ar-SA"/>
          </w:rPr>
          <w:tab/>
        </w:r>
        <w:r w:rsidRPr="005A197B">
          <w:rPr>
            <w:rStyle w:val="Hyperlink"/>
            <w:noProof/>
          </w:rPr>
          <w:t>Discussion</w:t>
        </w:r>
        <w:r>
          <w:rPr>
            <w:noProof/>
            <w:webHidden/>
          </w:rPr>
          <w:tab/>
        </w:r>
        <w:r>
          <w:rPr>
            <w:noProof/>
            <w:webHidden/>
          </w:rPr>
          <w:fldChar w:fldCharType="begin"/>
        </w:r>
        <w:r>
          <w:rPr>
            <w:noProof/>
            <w:webHidden/>
          </w:rPr>
          <w:instrText xml:space="preserve"> PAGEREF _Toc532553137 \h </w:instrText>
        </w:r>
        <w:r>
          <w:rPr>
            <w:noProof/>
            <w:webHidden/>
          </w:rPr>
        </w:r>
        <w:r>
          <w:rPr>
            <w:noProof/>
            <w:webHidden/>
          </w:rPr>
          <w:fldChar w:fldCharType="separate"/>
        </w:r>
        <w:r w:rsidR="00E2070A">
          <w:rPr>
            <w:noProof/>
            <w:webHidden/>
          </w:rPr>
          <w:t>83</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38" w:history="1">
        <w:r w:rsidRPr="005A197B">
          <w:rPr>
            <w:rStyle w:val="Hyperlink"/>
            <w:noProof/>
          </w:rPr>
          <w:t>3.5</w:t>
        </w:r>
        <w:r>
          <w:rPr>
            <w:rFonts w:eastAsiaTheme="minorEastAsia" w:cstheme="minorBidi"/>
            <w:noProof/>
            <w:sz w:val="22"/>
            <w:szCs w:val="22"/>
            <w:lang w:bidi="ar-SA"/>
          </w:rPr>
          <w:tab/>
        </w:r>
        <w:r w:rsidRPr="005A197B">
          <w:rPr>
            <w:rStyle w:val="Hyperlink"/>
            <w:noProof/>
          </w:rPr>
          <w:t>Conclusion</w:t>
        </w:r>
        <w:r>
          <w:rPr>
            <w:noProof/>
            <w:webHidden/>
          </w:rPr>
          <w:tab/>
        </w:r>
        <w:r>
          <w:rPr>
            <w:noProof/>
            <w:webHidden/>
          </w:rPr>
          <w:fldChar w:fldCharType="begin"/>
        </w:r>
        <w:r>
          <w:rPr>
            <w:noProof/>
            <w:webHidden/>
          </w:rPr>
          <w:instrText xml:space="preserve"> PAGEREF _Toc532553138 \h </w:instrText>
        </w:r>
        <w:r>
          <w:rPr>
            <w:noProof/>
            <w:webHidden/>
          </w:rPr>
        </w:r>
        <w:r>
          <w:rPr>
            <w:noProof/>
            <w:webHidden/>
          </w:rPr>
          <w:fldChar w:fldCharType="separate"/>
        </w:r>
        <w:r w:rsidR="00E2070A">
          <w:rPr>
            <w:noProof/>
            <w:webHidden/>
          </w:rPr>
          <w:t>85</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39" w:history="1">
        <w:r w:rsidRPr="005A197B">
          <w:rPr>
            <w:rStyle w:val="Hyperlink"/>
            <w:noProof/>
          </w:rPr>
          <w:t>3.6</w:t>
        </w:r>
        <w:r>
          <w:rPr>
            <w:rFonts w:eastAsiaTheme="minorEastAsia" w:cstheme="minorBidi"/>
            <w:noProof/>
            <w:sz w:val="22"/>
            <w:szCs w:val="22"/>
            <w:lang w:bidi="ar-SA"/>
          </w:rPr>
          <w:tab/>
        </w:r>
        <w:r w:rsidRPr="005A197B">
          <w:rPr>
            <w:rStyle w:val="Hyperlink"/>
            <w:noProof/>
          </w:rPr>
          <w:t>Methods</w:t>
        </w:r>
        <w:r>
          <w:rPr>
            <w:noProof/>
            <w:webHidden/>
          </w:rPr>
          <w:tab/>
        </w:r>
        <w:r>
          <w:rPr>
            <w:noProof/>
            <w:webHidden/>
          </w:rPr>
          <w:fldChar w:fldCharType="begin"/>
        </w:r>
        <w:r>
          <w:rPr>
            <w:noProof/>
            <w:webHidden/>
          </w:rPr>
          <w:instrText xml:space="preserve"> PAGEREF _Toc532553139 \h </w:instrText>
        </w:r>
        <w:r>
          <w:rPr>
            <w:noProof/>
            <w:webHidden/>
          </w:rPr>
        </w:r>
        <w:r>
          <w:rPr>
            <w:noProof/>
            <w:webHidden/>
          </w:rPr>
          <w:fldChar w:fldCharType="separate"/>
        </w:r>
        <w:r w:rsidR="00E2070A">
          <w:rPr>
            <w:noProof/>
            <w:webHidden/>
          </w:rPr>
          <w:t>86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40" w:history="1">
        <w:r w:rsidRPr="005A197B">
          <w:rPr>
            <w:rStyle w:val="Hyperlink"/>
            <w:noProof/>
          </w:rPr>
          <w:t>3.6.1</w:t>
        </w:r>
        <w:r>
          <w:rPr>
            <w:rFonts w:eastAsiaTheme="minorEastAsia" w:cstheme="minorBidi"/>
            <w:noProof/>
            <w:sz w:val="22"/>
            <w:szCs w:val="22"/>
            <w:lang w:bidi="ar-SA"/>
          </w:rPr>
          <w:tab/>
        </w:r>
        <w:r w:rsidRPr="005A197B">
          <w:rPr>
            <w:rStyle w:val="Hyperlink"/>
            <w:noProof/>
          </w:rPr>
          <w:t>Cell Culture</w:t>
        </w:r>
        <w:r>
          <w:rPr>
            <w:noProof/>
            <w:webHidden/>
          </w:rPr>
          <w:tab/>
        </w:r>
        <w:r>
          <w:rPr>
            <w:noProof/>
            <w:webHidden/>
          </w:rPr>
          <w:fldChar w:fldCharType="begin"/>
        </w:r>
        <w:r>
          <w:rPr>
            <w:noProof/>
            <w:webHidden/>
          </w:rPr>
          <w:instrText xml:space="preserve"> PAGEREF _Toc532553140 \h </w:instrText>
        </w:r>
        <w:r>
          <w:rPr>
            <w:noProof/>
            <w:webHidden/>
          </w:rPr>
        </w:r>
        <w:r>
          <w:rPr>
            <w:noProof/>
            <w:webHidden/>
          </w:rPr>
          <w:fldChar w:fldCharType="separate"/>
        </w:r>
        <w:r w:rsidR="00E2070A">
          <w:rPr>
            <w:noProof/>
            <w:webHidden/>
          </w:rPr>
          <w:t>86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41" w:history="1">
        <w:r w:rsidRPr="005A197B">
          <w:rPr>
            <w:rStyle w:val="Hyperlink"/>
            <w:noProof/>
          </w:rPr>
          <w:t>3.6.2</w:t>
        </w:r>
        <w:r>
          <w:rPr>
            <w:rFonts w:eastAsiaTheme="minorEastAsia" w:cstheme="minorBidi"/>
            <w:noProof/>
            <w:sz w:val="22"/>
            <w:szCs w:val="22"/>
            <w:lang w:bidi="ar-SA"/>
          </w:rPr>
          <w:tab/>
        </w:r>
        <w:r w:rsidRPr="005A197B">
          <w:rPr>
            <w:rStyle w:val="Hyperlink"/>
            <w:noProof/>
          </w:rPr>
          <w:t>General Cell Culture</w:t>
        </w:r>
        <w:r>
          <w:rPr>
            <w:noProof/>
            <w:webHidden/>
          </w:rPr>
          <w:tab/>
        </w:r>
        <w:r>
          <w:rPr>
            <w:noProof/>
            <w:webHidden/>
          </w:rPr>
          <w:fldChar w:fldCharType="begin"/>
        </w:r>
        <w:r>
          <w:rPr>
            <w:noProof/>
            <w:webHidden/>
          </w:rPr>
          <w:instrText xml:space="preserve"> PAGEREF _Toc532553141 \h </w:instrText>
        </w:r>
        <w:r>
          <w:rPr>
            <w:noProof/>
            <w:webHidden/>
          </w:rPr>
        </w:r>
        <w:r>
          <w:rPr>
            <w:noProof/>
            <w:webHidden/>
          </w:rPr>
          <w:fldChar w:fldCharType="separate"/>
        </w:r>
        <w:r w:rsidR="00E2070A">
          <w:rPr>
            <w:noProof/>
            <w:webHidden/>
          </w:rPr>
          <w:t>86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42" w:history="1">
        <w:r w:rsidRPr="005A197B">
          <w:rPr>
            <w:rStyle w:val="Hyperlink"/>
            <w:noProof/>
          </w:rPr>
          <w:t>3.6.3</w:t>
        </w:r>
        <w:r>
          <w:rPr>
            <w:rFonts w:eastAsiaTheme="minorEastAsia" w:cstheme="minorBidi"/>
            <w:noProof/>
            <w:sz w:val="22"/>
            <w:szCs w:val="22"/>
            <w:lang w:bidi="ar-SA"/>
          </w:rPr>
          <w:tab/>
        </w:r>
        <w:r w:rsidRPr="005A197B">
          <w:rPr>
            <w:rStyle w:val="Hyperlink"/>
            <w:noProof/>
          </w:rPr>
          <w:t>OSW-1 Compound</w:t>
        </w:r>
        <w:r>
          <w:rPr>
            <w:noProof/>
            <w:webHidden/>
          </w:rPr>
          <w:tab/>
        </w:r>
        <w:r>
          <w:rPr>
            <w:noProof/>
            <w:webHidden/>
          </w:rPr>
          <w:fldChar w:fldCharType="begin"/>
        </w:r>
        <w:r>
          <w:rPr>
            <w:noProof/>
            <w:webHidden/>
          </w:rPr>
          <w:instrText xml:space="preserve"> PAGEREF _Toc532553142 \h </w:instrText>
        </w:r>
        <w:r>
          <w:rPr>
            <w:noProof/>
            <w:webHidden/>
          </w:rPr>
        </w:r>
        <w:r>
          <w:rPr>
            <w:noProof/>
            <w:webHidden/>
          </w:rPr>
          <w:fldChar w:fldCharType="separate"/>
        </w:r>
        <w:r w:rsidR="00E2070A">
          <w:rPr>
            <w:noProof/>
            <w:webHidden/>
          </w:rPr>
          <w:t>87</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43" w:history="1">
        <w:r w:rsidRPr="005A197B">
          <w:rPr>
            <w:rStyle w:val="Hyperlink"/>
            <w:noProof/>
          </w:rPr>
          <w:t>3.6.4</w:t>
        </w:r>
        <w:r>
          <w:rPr>
            <w:rFonts w:eastAsiaTheme="minorEastAsia" w:cstheme="minorBidi"/>
            <w:noProof/>
            <w:sz w:val="22"/>
            <w:szCs w:val="22"/>
            <w:lang w:bidi="ar-SA"/>
          </w:rPr>
          <w:tab/>
        </w:r>
        <w:r w:rsidRPr="005A197B">
          <w:rPr>
            <w:rStyle w:val="Hyperlink"/>
            <w:noProof/>
          </w:rPr>
          <w:t>Cell Lysis</w:t>
        </w:r>
        <w:r>
          <w:rPr>
            <w:noProof/>
            <w:webHidden/>
          </w:rPr>
          <w:tab/>
        </w:r>
        <w:r>
          <w:rPr>
            <w:noProof/>
            <w:webHidden/>
          </w:rPr>
          <w:fldChar w:fldCharType="begin"/>
        </w:r>
        <w:r>
          <w:rPr>
            <w:noProof/>
            <w:webHidden/>
          </w:rPr>
          <w:instrText xml:space="preserve"> PAGEREF _Toc532553143 \h </w:instrText>
        </w:r>
        <w:r>
          <w:rPr>
            <w:noProof/>
            <w:webHidden/>
          </w:rPr>
        </w:r>
        <w:r>
          <w:rPr>
            <w:noProof/>
            <w:webHidden/>
          </w:rPr>
          <w:fldChar w:fldCharType="separate"/>
        </w:r>
        <w:r w:rsidR="00E2070A">
          <w:rPr>
            <w:noProof/>
            <w:webHidden/>
          </w:rPr>
          <w:t>87</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44" w:history="1">
        <w:r w:rsidRPr="005A197B">
          <w:rPr>
            <w:rStyle w:val="Hyperlink"/>
            <w:noProof/>
          </w:rPr>
          <w:t>3.6.5</w:t>
        </w:r>
        <w:r>
          <w:rPr>
            <w:rFonts w:eastAsiaTheme="minorEastAsia" w:cstheme="minorBidi"/>
            <w:noProof/>
            <w:sz w:val="22"/>
            <w:szCs w:val="22"/>
            <w:lang w:bidi="ar-SA"/>
          </w:rPr>
          <w:tab/>
        </w:r>
        <w:r w:rsidRPr="005A197B">
          <w:rPr>
            <w:rStyle w:val="Hyperlink"/>
            <w:noProof/>
          </w:rPr>
          <w:t>Western Blotting</w:t>
        </w:r>
        <w:r>
          <w:rPr>
            <w:noProof/>
            <w:webHidden/>
          </w:rPr>
          <w:tab/>
        </w:r>
        <w:r>
          <w:rPr>
            <w:noProof/>
            <w:webHidden/>
          </w:rPr>
          <w:fldChar w:fldCharType="begin"/>
        </w:r>
        <w:r>
          <w:rPr>
            <w:noProof/>
            <w:webHidden/>
          </w:rPr>
          <w:instrText xml:space="preserve"> PAGEREF _Toc532553144 \h </w:instrText>
        </w:r>
        <w:r>
          <w:rPr>
            <w:noProof/>
            <w:webHidden/>
          </w:rPr>
        </w:r>
        <w:r>
          <w:rPr>
            <w:noProof/>
            <w:webHidden/>
          </w:rPr>
          <w:fldChar w:fldCharType="separate"/>
        </w:r>
        <w:r w:rsidR="00E2070A">
          <w:rPr>
            <w:noProof/>
            <w:webHidden/>
          </w:rPr>
          <w:t>88</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45" w:history="1">
        <w:r w:rsidRPr="005A197B">
          <w:rPr>
            <w:rStyle w:val="Hyperlink"/>
            <w:noProof/>
          </w:rPr>
          <w:t>3.6.6</w:t>
        </w:r>
        <w:r>
          <w:rPr>
            <w:rFonts w:eastAsiaTheme="minorEastAsia" w:cstheme="minorBidi"/>
            <w:noProof/>
            <w:sz w:val="22"/>
            <w:szCs w:val="22"/>
            <w:lang w:bidi="ar-SA"/>
          </w:rPr>
          <w:tab/>
        </w:r>
        <w:r w:rsidRPr="005A197B">
          <w:rPr>
            <w:rStyle w:val="Hyperlink"/>
            <w:noProof/>
          </w:rPr>
          <w:t>Cycloheximide Chase Experiments</w:t>
        </w:r>
        <w:r>
          <w:rPr>
            <w:noProof/>
            <w:webHidden/>
          </w:rPr>
          <w:tab/>
        </w:r>
        <w:r>
          <w:rPr>
            <w:noProof/>
            <w:webHidden/>
          </w:rPr>
          <w:fldChar w:fldCharType="begin"/>
        </w:r>
        <w:r>
          <w:rPr>
            <w:noProof/>
            <w:webHidden/>
          </w:rPr>
          <w:instrText xml:space="preserve"> PAGEREF _Toc532553145 \h </w:instrText>
        </w:r>
        <w:r>
          <w:rPr>
            <w:noProof/>
            <w:webHidden/>
          </w:rPr>
        </w:r>
        <w:r>
          <w:rPr>
            <w:noProof/>
            <w:webHidden/>
          </w:rPr>
          <w:fldChar w:fldCharType="separate"/>
        </w:r>
        <w:r w:rsidR="00E2070A">
          <w:rPr>
            <w:noProof/>
            <w:webHidden/>
          </w:rPr>
          <w:t>89</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46" w:history="1">
        <w:r w:rsidRPr="005A197B">
          <w:rPr>
            <w:rStyle w:val="Hyperlink"/>
            <w:noProof/>
          </w:rPr>
          <w:t>3.6.7</w:t>
        </w:r>
        <w:r>
          <w:rPr>
            <w:rFonts w:eastAsiaTheme="minorEastAsia" w:cstheme="minorBidi"/>
            <w:noProof/>
            <w:sz w:val="22"/>
            <w:szCs w:val="22"/>
            <w:lang w:bidi="ar-SA"/>
          </w:rPr>
          <w:tab/>
        </w:r>
        <w:r w:rsidRPr="005A197B">
          <w:rPr>
            <w:rStyle w:val="Hyperlink"/>
            <w:noProof/>
          </w:rPr>
          <w:t>Proteasome Inhibitor Assays</w:t>
        </w:r>
        <w:r>
          <w:rPr>
            <w:noProof/>
            <w:webHidden/>
          </w:rPr>
          <w:tab/>
        </w:r>
        <w:r>
          <w:rPr>
            <w:noProof/>
            <w:webHidden/>
          </w:rPr>
          <w:fldChar w:fldCharType="begin"/>
        </w:r>
        <w:r>
          <w:rPr>
            <w:noProof/>
            <w:webHidden/>
          </w:rPr>
          <w:instrText xml:space="preserve"> PAGEREF _Toc532553146 \h </w:instrText>
        </w:r>
        <w:r>
          <w:rPr>
            <w:noProof/>
            <w:webHidden/>
          </w:rPr>
        </w:r>
        <w:r>
          <w:rPr>
            <w:noProof/>
            <w:webHidden/>
          </w:rPr>
          <w:fldChar w:fldCharType="separate"/>
        </w:r>
        <w:r w:rsidR="00E2070A">
          <w:rPr>
            <w:noProof/>
            <w:webHidden/>
          </w:rPr>
          <w:t>89</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47" w:history="1">
        <w:r w:rsidRPr="005A197B">
          <w:rPr>
            <w:rStyle w:val="Hyperlink"/>
            <w:noProof/>
          </w:rPr>
          <w:t>3.6.8</w:t>
        </w:r>
        <w:r>
          <w:rPr>
            <w:rFonts w:eastAsiaTheme="minorEastAsia" w:cstheme="minorBidi"/>
            <w:noProof/>
            <w:sz w:val="22"/>
            <w:szCs w:val="22"/>
            <w:lang w:bidi="ar-SA"/>
          </w:rPr>
          <w:tab/>
        </w:r>
        <w:r w:rsidRPr="005A197B">
          <w:rPr>
            <w:rStyle w:val="Hyperlink"/>
            <w:noProof/>
          </w:rPr>
          <w:t>Calpain Anaysis</w:t>
        </w:r>
        <w:r>
          <w:rPr>
            <w:noProof/>
            <w:webHidden/>
          </w:rPr>
          <w:tab/>
        </w:r>
        <w:r>
          <w:rPr>
            <w:noProof/>
            <w:webHidden/>
          </w:rPr>
          <w:fldChar w:fldCharType="begin"/>
        </w:r>
        <w:r>
          <w:rPr>
            <w:noProof/>
            <w:webHidden/>
          </w:rPr>
          <w:instrText xml:space="preserve"> PAGEREF _Toc532553147 \h </w:instrText>
        </w:r>
        <w:r>
          <w:rPr>
            <w:noProof/>
            <w:webHidden/>
          </w:rPr>
        </w:r>
        <w:r>
          <w:rPr>
            <w:noProof/>
            <w:webHidden/>
          </w:rPr>
          <w:fldChar w:fldCharType="separate"/>
        </w:r>
        <w:r w:rsidR="00E2070A">
          <w:rPr>
            <w:noProof/>
            <w:webHidden/>
          </w:rPr>
          <w:t>90</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48" w:history="1">
        <w:r w:rsidRPr="005A197B">
          <w:rPr>
            <w:rStyle w:val="Hyperlink"/>
            <w:noProof/>
          </w:rPr>
          <w:t>3.6.9</w:t>
        </w:r>
        <w:r>
          <w:rPr>
            <w:rFonts w:eastAsiaTheme="minorEastAsia" w:cstheme="minorBidi"/>
            <w:noProof/>
            <w:sz w:val="22"/>
            <w:szCs w:val="22"/>
            <w:lang w:bidi="ar-SA"/>
          </w:rPr>
          <w:tab/>
        </w:r>
        <w:r w:rsidRPr="005A197B">
          <w:rPr>
            <w:rStyle w:val="Hyperlink"/>
            <w:noProof/>
          </w:rPr>
          <w:t>RT-PCR Analysis</w:t>
        </w:r>
        <w:r>
          <w:rPr>
            <w:noProof/>
            <w:webHidden/>
          </w:rPr>
          <w:tab/>
        </w:r>
        <w:r>
          <w:rPr>
            <w:noProof/>
            <w:webHidden/>
          </w:rPr>
          <w:fldChar w:fldCharType="begin"/>
        </w:r>
        <w:r>
          <w:rPr>
            <w:noProof/>
            <w:webHidden/>
          </w:rPr>
          <w:instrText xml:space="preserve"> PAGEREF _Toc532553148 \h </w:instrText>
        </w:r>
        <w:r>
          <w:rPr>
            <w:noProof/>
            <w:webHidden/>
          </w:rPr>
        </w:r>
        <w:r>
          <w:rPr>
            <w:noProof/>
            <w:webHidden/>
          </w:rPr>
          <w:fldChar w:fldCharType="separate"/>
        </w:r>
        <w:r w:rsidR="00E2070A">
          <w:rPr>
            <w:noProof/>
            <w:webHidden/>
          </w:rPr>
          <w:t>90</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49" w:history="1">
        <w:r w:rsidRPr="005A197B">
          <w:rPr>
            <w:rStyle w:val="Hyperlink"/>
            <w:noProof/>
          </w:rPr>
          <w:t>3.6.10</w:t>
        </w:r>
        <w:r>
          <w:rPr>
            <w:rFonts w:eastAsiaTheme="minorEastAsia" w:cstheme="minorBidi"/>
            <w:noProof/>
            <w:sz w:val="22"/>
            <w:szCs w:val="22"/>
            <w:lang w:bidi="ar-SA"/>
          </w:rPr>
          <w:tab/>
        </w:r>
        <w:r w:rsidRPr="005A197B">
          <w:rPr>
            <w:rStyle w:val="Hyperlink"/>
            <w:noProof/>
          </w:rPr>
          <w:t>Autophagy Experiments</w:t>
        </w:r>
        <w:r>
          <w:rPr>
            <w:noProof/>
            <w:webHidden/>
          </w:rPr>
          <w:tab/>
        </w:r>
        <w:r>
          <w:rPr>
            <w:noProof/>
            <w:webHidden/>
          </w:rPr>
          <w:fldChar w:fldCharType="begin"/>
        </w:r>
        <w:r>
          <w:rPr>
            <w:noProof/>
            <w:webHidden/>
          </w:rPr>
          <w:instrText xml:space="preserve"> PAGEREF _Toc532553149 \h </w:instrText>
        </w:r>
        <w:r>
          <w:rPr>
            <w:noProof/>
            <w:webHidden/>
          </w:rPr>
        </w:r>
        <w:r>
          <w:rPr>
            <w:noProof/>
            <w:webHidden/>
          </w:rPr>
          <w:fldChar w:fldCharType="separate"/>
        </w:r>
        <w:r w:rsidR="00E2070A">
          <w:rPr>
            <w:noProof/>
            <w:webHidden/>
          </w:rPr>
          <w:t>92</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50" w:history="1">
        <w:r w:rsidRPr="005A197B">
          <w:rPr>
            <w:rStyle w:val="Hyperlink"/>
            <w:noProof/>
          </w:rPr>
          <w:t>3.6.11</w:t>
        </w:r>
        <w:r>
          <w:rPr>
            <w:rFonts w:eastAsiaTheme="minorEastAsia" w:cstheme="minorBidi"/>
            <w:noProof/>
            <w:sz w:val="22"/>
            <w:szCs w:val="22"/>
            <w:lang w:bidi="ar-SA"/>
          </w:rPr>
          <w:tab/>
        </w:r>
        <w:r w:rsidRPr="005A197B">
          <w:rPr>
            <w:rStyle w:val="Hyperlink"/>
            <w:noProof/>
          </w:rPr>
          <w:t>iTRAQ Experiments</w:t>
        </w:r>
        <w:r>
          <w:rPr>
            <w:noProof/>
            <w:webHidden/>
          </w:rPr>
          <w:tab/>
        </w:r>
        <w:r>
          <w:rPr>
            <w:noProof/>
            <w:webHidden/>
          </w:rPr>
          <w:fldChar w:fldCharType="begin"/>
        </w:r>
        <w:r>
          <w:rPr>
            <w:noProof/>
            <w:webHidden/>
          </w:rPr>
          <w:instrText xml:space="preserve"> PAGEREF _Toc532553150 \h </w:instrText>
        </w:r>
        <w:r>
          <w:rPr>
            <w:noProof/>
            <w:webHidden/>
          </w:rPr>
        </w:r>
        <w:r>
          <w:rPr>
            <w:noProof/>
            <w:webHidden/>
          </w:rPr>
          <w:fldChar w:fldCharType="separate"/>
        </w:r>
        <w:r w:rsidR="00E2070A">
          <w:rPr>
            <w:noProof/>
            <w:webHidden/>
          </w:rPr>
          <w:t>92</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51" w:history="1">
        <w:r w:rsidRPr="005A197B">
          <w:rPr>
            <w:rStyle w:val="Hyperlink"/>
            <w:rFonts w:cstheme="minorHAnsi"/>
            <w:noProof/>
          </w:rPr>
          <w:t>3.6.12</w:t>
        </w:r>
        <w:r>
          <w:rPr>
            <w:rFonts w:eastAsiaTheme="minorEastAsia" w:cstheme="minorBidi"/>
            <w:noProof/>
            <w:sz w:val="22"/>
            <w:szCs w:val="22"/>
            <w:lang w:bidi="ar-SA"/>
          </w:rPr>
          <w:tab/>
        </w:r>
        <w:r w:rsidRPr="005A197B">
          <w:rPr>
            <w:rStyle w:val="Hyperlink"/>
            <w:noProof/>
          </w:rPr>
          <w:t>LC-MS/MS analysis of labeled peptides</w:t>
        </w:r>
        <w:r>
          <w:rPr>
            <w:noProof/>
            <w:webHidden/>
          </w:rPr>
          <w:tab/>
        </w:r>
        <w:r>
          <w:rPr>
            <w:noProof/>
            <w:webHidden/>
          </w:rPr>
          <w:fldChar w:fldCharType="begin"/>
        </w:r>
        <w:r>
          <w:rPr>
            <w:noProof/>
            <w:webHidden/>
          </w:rPr>
          <w:instrText xml:space="preserve"> PAGEREF _Toc532553151 \h </w:instrText>
        </w:r>
        <w:r>
          <w:rPr>
            <w:noProof/>
            <w:webHidden/>
          </w:rPr>
        </w:r>
        <w:r>
          <w:rPr>
            <w:noProof/>
            <w:webHidden/>
          </w:rPr>
          <w:fldChar w:fldCharType="separate"/>
        </w:r>
        <w:r w:rsidR="00E2070A">
          <w:rPr>
            <w:noProof/>
            <w:webHidden/>
          </w:rPr>
          <w:t>93</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52" w:history="1">
        <w:r w:rsidRPr="005A197B">
          <w:rPr>
            <w:rStyle w:val="Hyperlink"/>
            <w:noProof/>
          </w:rPr>
          <w:t>3.6.13</w:t>
        </w:r>
        <w:r>
          <w:rPr>
            <w:rFonts w:eastAsiaTheme="minorEastAsia" w:cstheme="minorBidi"/>
            <w:noProof/>
            <w:sz w:val="22"/>
            <w:szCs w:val="22"/>
            <w:lang w:bidi="ar-SA"/>
          </w:rPr>
          <w:tab/>
        </w:r>
        <w:r w:rsidRPr="005A197B">
          <w:rPr>
            <w:rStyle w:val="Hyperlink"/>
            <w:noProof/>
          </w:rPr>
          <w:t>Cell Splitting and Density Experiment</w:t>
        </w:r>
        <w:r>
          <w:rPr>
            <w:noProof/>
            <w:webHidden/>
          </w:rPr>
          <w:tab/>
        </w:r>
        <w:r>
          <w:rPr>
            <w:noProof/>
            <w:webHidden/>
          </w:rPr>
          <w:fldChar w:fldCharType="begin"/>
        </w:r>
        <w:r>
          <w:rPr>
            <w:noProof/>
            <w:webHidden/>
          </w:rPr>
          <w:instrText xml:space="preserve"> PAGEREF _Toc532553152 \h </w:instrText>
        </w:r>
        <w:r>
          <w:rPr>
            <w:noProof/>
            <w:webHidden/>
          </w:rPr>
        </w:r>
        <w:r>
          <w:rPr>
            <w:noProof/>
            <w:webHidden/>
          </w:rPr>
          <w:fldChar w:fldCharType="separate"/>
        </w:r>
        <w:r w:rsidR="00E2070A">
          <w:rPr>
            <w:noProof/>
            <w:webHidden/>
          </w:rPr>
          <w:t>94</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53" w:history="1">
        <w:r w:rsidRPr="005A197B">
          <w:rPr>
            <w:rStyle w:val="Hyperlink"/>
            <w:noProof/>
          </w:rPr>
          <w:t>3.6.14</w:t>
        </w:r>
        <w:r>
          <w:rPr>
            <w:rFonts w:eastAsiaTheme="minorEastAsia" w:cstheme="minorBidi"/>
            <w:noProof/>
            <w:sz w:val="22"/>
            <w:szCs w:val="22"/>
            <w:lang w:bidi="ar-SA"/>
          </w:rPr>
          <w:tab/>
        </w:r>
        <w:r w:rsidRPr="005A197B">
          <w:rPr>
            <w:rStyle w:val="Hyperlink"/>
            <w:noProof/>
          </w:rPr>
          <w:t>Statistical Analysis</w:t>
        </w:r>
        <w:r>
          <w:rPr>
            <w:noProof/>
            <w:webHidden/>
          </w:rPr>
          <w:tab/>
        </w:r>
        <w:r>
          <w:rPr>
            <w:noProof/>
            <w:webHidden/>
          </w:rPr>
          <w:fldChar w:fldCharType="begin"/>
        </w:r>
        <w:r>
          <w:rPr>
            <w:noProof/>
            <w:webHidden/>
          </w:rPr>
          <w:instrText xml:space="preserve"> PAGEREF _Toc532553153 \h </w:instrText>
        </w:r>
        <w:r>
          <w:rPr>
            <w:noProof/>
            <w:webHidden/>
          </w:rPr>
        </w:r>
        <w:r>
          <w:rPr>
            <w:noProof/>
            <w:webHidden/>
          </w:rPr>
          <w:fldChar w:fldCharType="separate"/>
        </w:r>
        <w:r w:rsidR="00E2070A">
          <w:rPr>
            <w:noProof/>
            <w:webHidden/>
          </w:rPr>
          <w:t>94</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154" w:history="1">
        <w:r w:rsidRPr="005A197B">
          <w:rPr>
            <w:rStyle w:val="Hyperlink"/>
            <w:noProof/>
          </w:rPr>
          <w:t>Chapter 4: The compound OSW-1 is a unique ORPphillin that has prophylactic anti-viral capabilities</w:t>
        </w:r>
        <w:r>
          <w:rPr>
            <w:noProof/>
            <w:webHidden/>
          </w:rPr>
          <w:tab/>
        </w:r>
        <w:r>
          <w:rPr>
            <w:noProof/>
            <w:webHidden/>
          </w:rPr>
          <w:fldChar w:fldCharType="begin"/>
        </w:r>
        <w:r>
          <w:rPr>
            <w:noProof/>
            <w:webHidden/>
          </w:rPr>
          <w:instrText xml:space="preserve"> PAGEREF _Toc532553154 \h </w:instrText>
        </w:r>
        <w:r>
          <w:rPr>
            <w:noProof/>
            <w:webHidden/>
          </w:rPr>
        </w:r>
        <w:r>
          <w:rPr>
            <w:noProof/>
            <w:webHidden/>
          </w:rPr>
          <w:fldChar w:fldCharType="separate"/>
        </w:r>
        <w:r w:rsidR="00E2070A">
          <w:rPr>
            <w:noProof/>
            <w:webHidden/>
          </w:rPr>
          <w:t>96</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55" w:history="1">
        <w:r w:rsidRPr="005A197B">
          <w:rPr>
            <w:rStyle w:val="Hyperlink"/>
            <w:noProof/>
          </w:rPr>
          <w:t>4.1</w:t>
        </w:r>
        <w:r>
          <w:rPr>
            <w:rFonts w:eastAsiaTheme="minorEastAsia" w:cstheme="minorBidi"/>
            <w:noProof/>
            <w:sz w:val="22"/>
            <w:szCs w:val="22"/>
            <w:lang w:bidi="ar-SA"/>
          </w:rPr>
          <w:tab/>
        </w:r>
        <w:r w:rsidRPr="005A197B">
          <w:rPr>
            <w:rStyle w:val="Hyperlink"/>
            <w:noProof/>
          </w:rPr>
          <w:t>Abstract</w:t>
        </w:r>
        <w:r>
          <w:rPr>
            <w:noProof/>
            <w:webHidden/>
          </w:rPr>
          <w:tab/>
        </w:r>
        <w:r>
          <w:rPr>
            <w:noProof/>
            <w:webHidden/>
          </w:rPr>
          <w:fldChar w:fldCharType="begin"/>
        </w:r>
        <w:r>
          <w:rPr>
            <w:noProof/>
            <w:webHidden/>
          </w:rPr>
          <w:instrText xml:space="preserve"> PAGEREF _Toc532553155 \h </w:instrText>
        </w:r>
        <w:r>
          <w:rPr>
            <w:noProof/>
            <w:webHidden/>
          </w:rPr>
        </w:r>
        <w:r>
          <w:rPr>
            <w:noProof/>
            <w:webHidden/>
          </w:rPr>
          <w:fldChar w:fldCharType="separate"/>
        </w:r>
        <w:r w:rsidR="00E2070A">
          <w:rPr>
            <w:noProof/>
            <w:webHidden/>
          </w:rPr>
          <w:t>96</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56" w:history="1">
        <w:r w:rsidRPr="005A197B">
          <w:rPr>
            <w:rStyle w:val="Hyperlink"/>
            <w:noProof/>
          </w:rPr>
          <w:t>4.2</w:t>
        </w:r>
        <w:r>
          <w:rPr>
            <w:rFonts w:eastAsiaTheme="minorEastAsia" w:cstheme="minorBidi"/>
            <w:noProof/>
            <w:sz w:val="22"/>
            <w:szCs w:val="22"/>
            <w:lang w:bidi="ar-SA"/>
          </w:rPr>
          <w:tab/>
        </w:r>
        <w:r w:rsidRPr="005A197B">
          <w:rPr>
            <w:rStyle w:val="Hyperlink"/>
            <w:noProof/>
          </w:rPr>
          <w:t>Introduction</w:t>
        </w:r>
        <w:r>
          <w:rPr>
            <w:noProof/>
            <w:webHidden/>
          </w:rPr>
          <w:tab/>
        </w:r>
        <w:r>
          <w:rPr>
            <w:noProof/>
            <w:webHidden/>
          </w:rPr>
          <w:fldChar w:fldCharType="begin"/>
        </w:r>
        <w:r>
          <w:rPr>
            <w:noProof/>
            <w:webHidden/>
          </w:rPr>
          <w:instrText xml:space="preserve"> PAGEREF _Toc532553156 \h </w:instrText>
        </w:r>
        <w:r>
          <w:rPr>
            <w:noProof/>
            <w:webHidden/>
          </w:rPr>
        </w:r>
        <w:r>
          <w:rPr>
            <w:noProof/>
            <w:webHidden/>
          </w:rPr>
          <w:fldChar w:fldCharType="separate"/>
        </w:r>
        <w:r w:rsidR="00E2070A">
          <w:rPr>
            <w:noProof/>
            <w:webHidden/>
          </w:rPr>
          <w:t>97</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57" w:history="1">
        <w:r w:rsidRPr="005A197B">
          <w:rPr>
            <w:rStyle w:val="Hyperlink"/>
            <w:noProof/>
          </w:rPr>
          <w:t>4.3</w:t>
        </w:r>
        <w:r>
          <w:rPr>
            <w:rFonts w:eastAsiaTheme="minorEastAsia" w:cstheme="minorBidi"/>
            <w:noProof/>
            <w:sz w:val="22"/>
            <w:szCs w:val="22"/>
            <w:lang w:bidi="ar-SA"/>
          </w:rPr>
          <w:tab/>
        </w:r>
        <w:r w:rsidRPr="005A197B">
          <w:rPr>
            <w:rStyle w:val="Hyperlink"/>
            <w:noProof/>
          </w:rPr>
          <w:t>Results</w:t>
        </w:r>
        <w:r>
          <w:rPr>
            <w:noProof/>
            <w:webHidden/>
          </w:rPr>
          <w:tab/>
        </w:r>
        <w:r>
          <w:rPr>
            <w:noProof/>
            <w:webHidden/>
          </w:rPr>
          <w:fldChar w:fldCharType="begin"/>
        </w:r>
        <w:r>
          <w:rPr>
            <w:noProof/>
            <w:webHidden/>
          </w:rPr>
          <w:instrText xml:space="preserve"> PAGEREF _Toc532553157 \h </w:instrText>
        </w:r>
        <w:r>
          <w:rPr>
            <w:noProof/>
            <w:webHidden/>
          </w:rPr>
        </w:r>
        <w:r>
          <w:rPr>
            <w:noProof/>
            <w:webHidden/>
          </w:rPr>
          <w:fldChar w:fldCharType="separate"/>
        </w:r>
        <w:r w:rsidR="00E2070A">
          <w:rPr>
            <w:noProof/>
            <w:webHidden/>
          </w:rPr>
          <w:t>98</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58" w:history="1">
        <w:r w:rsidRPr="005A197B">
          <w:rPr>
            <w:rStyle w:val="Hyperlink"/>
            <w:noProof/>
          </w:rPr>
          <w:t>4.3.1</w:t>
        </w:r>
        <w:r>
          <w:rPr>
            <w:rFonts w:eastAsiaTheme="minorEastAsia" w:cstheme="minorBidi"/>
            <w:noProof/>
            <w:sz w:val="22"/>
            <w:szCs w:val="22"/>
            <w:lang w:bidi="ar-SA"/>
          </w:rPr>
          <w:tab/>
        </w:r>
        <w:r w:rsidRPr="005A197B">
          <w:rPr>
            <w:rStyle w:val="Hyperlink"/>
            <w:noProof/>
          </w:rPr>
          <w:t>OSW-1, but no other ORPphillin, affects cell growth or OSBP protein expression</w:t>
        </w:r>
        <w:r>
          <w:rPr>
            <w:noProof/>
            <w:webHidden/>
          </w:rPr>
          <w:tab/>
        </w:r>
        <w:r>
          <w:rPr>
            <w:noProof/>
            <w:webHidden/>
          </w:rPr>
          <w:fldChar w:fldCharType="begin"/>
        </w:r>
        <w:r>
          <w:rPr>
            <w:noProof/>
            <w:webHidden/>
          </w:rPr>
          <w:instrText xml:space="preserve"> PAGEREF _Toc532553158 \h </w:instrText>
        </w:r>
        <w:r>
          <w:rPr>
            <w:noProof/>
            <w:webHidden/>
          </w:rPr>
        </w:r>
        <w:r>
          <w:rPr>
            <w:noProof/>
            <w:webHidden/>
          </w:rPr>
          <w:fldChar w:fldCharType="separate"/>
        </w:r>
        <w:r w:rsidR="00E2070A">
          <w:rPr>
            <w:noProof/>
            <w:webHidden/>
          </w:rPr>
          <w:t>98</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59" w:history="1">
        <w:r w:rsidRPr="005A197B">
          <w:rPr>
            <w:rStyle w:val="Hyperlink"/>
            <w:noProof/>
          </w:rPr>
          <w:t>4.3.2</w:t>
        </w:r>
        <w:r>
          <w:rPr>
            <w:rFonts w:eastAsiaTheme="minorEastAsia" w:cstheme="minorBidi"/>
            <w:noProof/>
            <w:sz w:val="22"/>
            <w:szCs w:val="22"/>
            <w:lang w:bidi="ar-SA"/>
          </w:rPr>
          <w:tab/>
        </w:r>
        <w:r w:rsidRPr="005A197B">
          <w:rPr>
            <w:rStyle w:val="Hyperlink"/>
            <w:noProof/>
          </w:rPr>
          <w:t>ORPphillins show differential localization patterns of OSBP</w:t>
        </w:r>
        <w:r>
          <w:rPr>
            <w:noProof/>
            <w:webHidden/>
          </w:rPr>
          <w:tab/>
        </w:r>
        <w:r>
          <w:rPr>
            <w:noProof/>
            <w:webHidden/>
          </w:rPr>
          <w:fldChar w:fldCharType="begin"/>
        </w:r>
        <w:r>
          <w:rPr>
            <w:noProof/>
            <w:webHidden/>
          </w:rPr>
          <w:instrText xml:space="preserve"> PAGEREF _Toc532553159 \h </w:instrText>
        </w:r>
        <w:r>
          <w:rPr>
            <w:noProof/>
            <w:webHidden/>
          </w:rPr>
        </w:r>
        <w:r>
          <w:rPr>
            <w:noProof/>
            <w:webHidden/>
          </w:rPr>
          <w:fldChar w:fldCharType="separate"/>
        </w:r>
        <w:r w:rsidR="00E2070A">
          <w:rPr>
            <w:noProof/>
            <w:webHidden/>
          </w:rPr>
          <w:t>98</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60" w:history="1">
        <w:r w:rsidRPr="005A197B">
          <w:rPr>
            <w:rStyle w:val="Hyperlink"/>
            <w:noProof/>
          </w:rPr>
          <w:t>4.3.3</w:t>
        </w:r>
        <w:r>
          <w:rPr>
            <w:rFonts w:eastAsiaTheme="minorEastAsia" w:cstheme="minorBidi"/>
            <w:noProof/>
            <w:sz w:val="22"/>
            <w:szCs w:val="22"/>
            <w:lang w:bidi="ar-SA"/>
          </w:rPr>
          <w:tab/>
        </w:r>
        <w:r w:rsidRPr="005A197B">
          <w:rPr>
            <w:rStyle w:val="Hyperlink"/>
            <w:noProof/>
          </w:rPr>
          <w:t>Co-incubation with THEV2 or ITZ, but not oxysterols, can rescue OSBP loss induced by OSW-1</w:t>
        </w:r>
        <w:r>
          <w:rPr>
            <w:noProof/>
            <w:webHidden/>
          </w:rPr>
          <w:tab/>
        </w:r>
        <w:r>
          <w:rPr>
            <w:noProof/>
            <w:webHidden/>
          </w:rPr>
          <w:fldChar w:fldCharType="begin"/>
        </w:r>
        <w:r>
          <w:rPr>
            <w:noProof/>
            <w:webHidden/>
          </w:rPr>
          <w:instrText xml:space="preserve"> PAGEREF _Toc532553160 \h </w:instrText>
        </w:r>
        <w:r>
          <w:rPr>
            <w:noProof/>
            <w:webHidden/>
          </w:rPr>
        </w:r>
        <w:r>
          <w:rPr>
            <w:noProof/>
            <w:webHidden/>
          </w:rPr>
          <w:fldChar w:fldCharType="separate"/>
        </w:r>
        <w:r w:rsidR="00E2070A">
          <w:rPr>
            <w:noProof/>
            <w:webHidden/>
          </w:rPr>
          <w:t>102</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61" w:history="1">
        <w:r w:rsidRPr="005A197B">
          <w:rPr>
            <w:rStyle w:val="Hyperlink"/>
            <w:noProof/>
          </w:rPr>
          <w:t>4.3.4</w:t>
        </w:r>
        <w:r>
          <w:rPr>
            <w:rFonts w:eastAsiaTheme="minorEastAsia" w:cstheme="minorBidi"/>
            <w:noProof/>
            <w:sz w:val="22"/>
            <w:szCs w:val="22"/>
            <w:lang w:bidi="ar-SA"/>
          </w:rPr>
          <w:tab/>
        </w:r>
        <w:r w:rsidRPr="005A197B">
          <w:rPr>
            <w:rStyle w:val="Hyperlink"/>
            <w:noProof/>
          </w:rPr>
          <w:t>THEV2 binds OSBP competitively and suppresses OSW-1 cytotoxic activity.</w:t>
        </w:r>
        <w:r>
          <w:rPr>
            <w:noProof/>
            <w:webHidden/>
          </w:rPr>
          <w:tab/>
        </w:r>
        <w:r>
          <w:rPr>
            <w:noProof/>
            <w:webHidden/>
          </w:rPr>
          <w:fldChar w:fldCharType="begin"/>
        </w:r>
        <w:r>
          <w:rPr>
            <w:noProof/>
            <w:webHidden/>
          </w:rPr>
          <w:instrText xml:space="preserve"> PAGEREF _Toc532553161 \h </w:instrText>
        </w:r>
        <w:r>
          <w:rPr>
            <w:noProof/>
            <w:webHidden/>
          </w:rPr>
        </w:r>
        <w:r>
          <w:rPr>
            <w:noProof/>
            <w:webHidden/>
          </w:rPr>
          <w:fldChar w:fldCharType="separate"/>
        </w:r>
        <w:r w:rsidR="00E2070A">
          <w:rPr>
            <w:noProof/>
            <w:webHidden/>
          </w:rPr>
          <w:t>103</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62" w:history="1">
        <w:r w:rsidRPr="005A197B">
          <w:rPr>
            <w:rStyle w:val="Hyperlink"/>
            <w:noProof/>
          </w:rPr>
          <w:t>4.3.5</w:t>
        </w:r>
        <w:r>
          <w:rPr>
            <w:rFonts w:eastAsiaTheme="minorEastAsia" w:cstheme="minorBidi"/>
            <w:noProof/>
            <w:sz w:val="22"/>
            <w:szCs w:val="22"/>
            <w:lang w:bidi="ar-SA"/>
          </w:rPr>
          <w:tab/>
        </w:r>
        <w:r w:rsidRPr="005A197B">
          <w:rPr>
            <w:rStyle w:val="Hyperlink"/>
            <w:noProof/>
          </w:rPr>
          <w:t>OSW-1 exerts anti-viral activity 24 hours after compound has been removed</w:t>
        </w:r>
        <w:r>
          <w:rPr>
            <w:noProof/>
            <w:webHidden/>
          </w:rPr>
          <w:tab/>
        </w:r>
        <w:r>
          <w:rPr>
            <w:noProof/>
            <w:webHidden/>
          </w:rPr>
          <w:fldChar w:fldCharType="begin"/>
        </w:r>
        <w:r>
          <w:rPr>
            <w:noProof/>
            <w:webHidden/>
          </w:rPr>
          <w:instrText xml:space="preserve"> PAGEREF _Toc532553162 \h </w:instrText>
        </w:r>
        <w:r>
          <w:rPr>
            <w:noProof/>
            <w:webHidden/>
          </w:rPr>
        </w:r>
        <w:r>
          <w:rPr>
            <w:noProof/>
            <w:webHidden/>
          </w:rPr>
          <w:fldChar w:fldCharType="separate"/>
        </w:r>
        <w:r w:rsidR="00E2070A">
          <w:rPr>
            <w:noProof/>
            <w:webHidden/>
          </w:rPr>
          <w:t>107</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63" w:history="1">
        <w:r w:rsidRPr="005A197B">
          <w:rPr>
            <w:rStyle w:val="Hyperlink"/>
            <w:noProof/>
          </w:rPr>
          <w:t>4.4</w:t>
        </w:r>
        <w:r>
          <w:rPr>
            <w:rFonts w:eastAsiaTheme="minorEastAsia" w:cstheme="minorBidi"/>
            <w:noProof/>
            <w:sz w:val="22"/>
            <w:szCs w:val="22"/>
            <w:lang w:bidi="ar-SA"/>
          </w:rPr>
          <w:tab/>
        </w:r>
        <w:r w:rsidRPr="005A197B">
          <w:rPr>
            <w:rStyle w:val="Hyperlink"/>
            <w:noProof/>
          </w:rPr>
          <w:t>Discussion</w:t>
        </w:r>
        <w:r>
          <w:rPr>
            <w:noProof/>
            <w:webHidden/>
          </w:rPr>
          <w:tab/>
        </w:r>
        <w:r>
          <w:rPr>
            <w:noProof/>
            <w:webHidden/>
          </w:rPr>
          <w:fldChar w:fldCharType="begin"/>
        </w:r>
        <w:r>
          <w:rPr>
            <w:noProof/>
            <w:webHidden/>
          </w:rPr>
          <w:instrText xml:space="preserve"> PAGEREF _Toc532553163 \h </w:instrText>
        </w:r>
        <w:r>
          <w:rPr>
            <w:noProof/>
            <w:webHidden/>
          </w:rPr>
        </w:r>
        <w:r>
          <w:rPr>
            <w:noProof/>
            <w:webHidden/>
          </w:rPr>
          <w:fldChar w:fldCharType="separate"/>
        </w:r>
        <w:r w:rsidR="00E2070A">
          <w:rPr>
            <w:noProof/>
            <w:webHidden/>
          </w:rPr>
          <w:t>109</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64" w:history="1">
        <w:r w:rsidRPr="005A197B">
          <w:rPr>
            <w:rStyle w:val="Hyperlink"/>
            <w:noProof/>
          </w:rPr>
          <w:t>4.5</w:t>
        </w:r>
        <w:r>
          <w:rPr>
            <w:rFonts w:eastAsiaTheme="minorEastAsia" w:cstheme="minorBidi"/>
            <w:noProof/>
            <w:sz w:val="22"/>
            <w:szCs w:val="22"/>
            <w:lang w:bidi="ar-SA"/>
          </w:rPr>
          <w:tab/>
        </w:r>
        <w:r w:rsidRPr="005A197B">
          <w:rPr>
            <w:rStyle w:val="Hyperlink"/>
            <w:noProof/>
          </w:rPr>
          <w:t>Conclusion</w:t>
        </w:r>
        <w:r>
          <w:rPr>
            <w:noProof/>
            <w:webHidden/>
          </w:rPr>
          <w:tab/>
        </w:r>
        <w:r>
          <w:rPr>
            <w:noProof/>
            <w:webHidden/>
          </w:rPr>
          <w:fldChar w:fldCharType="begin"/>
        </w:r>
        <w:r>
          <w:rPr>
            <w:noProof/>
            <w:webHidden/>
          </w:rPr>
          <w:instrText xml:space="preserve"> PAGEREF _Toc532553164 \h </w:instrText>
        </w:r>
        <w:r>
          <w:rPr>
            <w:noProof/>
            <w:webHidden/>
          </w:rPr>
        </w:r>
        <w:r>
          <w:rPr>
            <w:noProof/>
            <w:webHidden/>
          </w:rPr>
          <w:fldChar w:fldCharType="separate"/>
        </w:r>
        <w:r w:rsidR="00E2070A">
          <w:rPr>
            <w:noProof/>
            <w:webHidden/>
          </w:rPr>
          <w:t>111</w:t>
        </w:r>
        <w:r>
          <w:rPr>
            <w:noProof/>
            <w:webHidden/>
          </w:rPr>
          <w:fldChar w:fldCharType="end"/>
        </w:r>
      </w:hyperlink>
    </w:p>
    <w:p w:rsidR="001A1E57" w:rsidRDefault="001A1E57" w:rsidP="0015171B">
      <w:pPr>
        <w:pStyle w:val="TOC2"/>
        <w:tabs>
          <w:tab w:val="right" w:leader="dot" w:pos="8486"/>
        </w:tabs>
        <w:jc w:val="both"/>
        <w:rPr>
          <w:rFonts w:eastAsiaTheme="minorEastAsia" w:cstheme="minorBidi"/>
          <w:noProof/>
          <w:sz w:val="22"/>
          <w:szCs w:val="22"/>
          <w:lang w:bidi="ar-SA"/>
        </w:rPr>
      </w:pPr>
      <w:hyperlink w:anchor="_Toc532553165" w:history="1">
        <w:r w:rsidRPr="005A197B">
          <w:rPr>
            <w:rStyle w:val="Hyperlink"/>
            <w:noProof/>
          </w:rPr>
          <w:t>4.6</w:t>
        </w:r>
        <w:r>
          <w:rPr>
            <w:rFonts w:eastAsiaTheme="minorEastAsia" w:cstheme="minorBidi"/>
            <w:noProof/>
            <w:sz w:val="22"/>
            <w:szCs w:val="22"/>
            <w:lang w:bidi="ar-SA"/>
          </w:rPr>
          <w:tab/>
        </w:r>
        <w:r w:rsidRPr="005A197B">
          <w:rPr>
            <w:rStyle w:val="Hyperlink"/>
            <w:noProof/>
          </w:rPr>
          <w:t>Methods</w:t>
        </w:r>
        <w:r>
          <w:rPr>
            <w:noProof/>
            <w:webHidden/>
          </w:rPr>
          <w:tab/>
        </w:r>
        <w:r>
          <w:rPr>
            <w:noProof/>
            <w:webHidden/>
          </w:rPr>
          <w:fldChar w:fldCharType="begin"/>
        </w:r>
        <w:r>
          <w:rPr>
            <w:noProof/>
            <w:webHidden/>
          </w:rPr>
          <w:instrText xml:space="preserve"> PAGEREF _Toc532553165 \h </w:instrText>
        </w:r>
        <w:r>
          <w:rPr>
            <w:noProof/>
            <w:webHidden/>
          </w:rPr>
        </w:r>
        <w:r>
          <w:rPr>
            <w:noProof/>
            <w:webHidden/>
          </w:rPr>
          <w:fldChar w:fldCharType="separate"/>
        </w:r>
        <w:r w:rsidR="00E2070A">
          <w:rPr>
            <w:noProof/>
            <w:webHidden/>
          </w:rPr>
          <w:t>112</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66" w:history="1">
        <w:r w:rsidRPr="005A197B">
          <w:rPr>
            <w:rStyle w:val="Hyperlink"/>
            <w:noProof/>
          </w:rPr>
          <w:t>4.6.1</w:t>
        </w:r>
        <w:r>
          <w:rPr>
            <w:rFonts w:eastAsiaTheme="minorEastAsia" w:cstheme="minorBidi"/>
            <w:noProof/>
            <w:sz w:val="22"/>
            <w:szCs w:val="22"/>
            <w:lang w:bidi="ar-SA"/>
          </w:rPr>
          <w:tab/>
        </w:r>
        <w:r w:rsidRPr="005A197B">
          <w:rPr>
            <w:rStyle w:val="Hyperlink"/>
            <w:noProof/>
          </w:rPr>
          <w:t>Plasmids and Cloning</w:t>
        </w:r>
        <w:r>
          <w:rPr>
            <w:noProof/>
            <w:webHidden/>
          </w:rPr>
          <w:tab/>
        </w:r>
        <w:r>
          <w:rPr>
            <w:noProof/>
            <w:webHidden/>
          </w:rPr>
          <w:fldChar w:fldCharType="begin"/>
        </w:r>
        <w:r>
          <w:rPr>
            <w:noProof/>
            <w:webHidden/>
          </w:rPr>
          <w:instrText xml:space="preserve"> PAGEREF _Toc532553166 \h </w:instrText>
        </w:r>
        <w:r>
          <w:rPr>
            <w:noProof/>
            <w:webHidden/>
          </w:rPr>
        </w:r>
        <w:r>
          <w:rPr>
            <w:noProof/>
            <w:webHidden/>
          </w:rPr>
          <w:fldChar w:fldCharType="separate"/>
        </w:r>
        <w:r w:rsidR="00E2070A">
          <w:rPr>
            <w:noProof/>
            <w:webHidden/>
          </w:rPr>
          <w:t>112</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67" w:history="1">
        <w:r w:rsidRPr="005A197B">
          <w:rPr>
            <w:rStyle w:val="Hyperlink"/>
            <w:noProof/>
          </w:rPr>
          <w:t>4.6.2</w:t>
        </w:r>
        <w:r>
          <w:rPr>
            <w:rFonts w:eastAsiaTheme="minorEastAsia" w:cstheme="minorBidi"/>
            <w:noProof/>
            <w:sz w:val="22"/>
            <w:szCs w:val="22"/>
            <w:lang w:bidi="ar-SA"/>
          </w:rPr>
          <w:tab/>
        </w:r>
        <w:r w:rsidRPr="005A197B">
          <w:rPr>
            <w:rStyle w:val="Hyperlink"/>
            <w:noProof/>
          </w:rPr>
          <w:t>Cell Lines and Viruses</w:t>
        </w:r>
        <w:r>
          <w:rPr>
            <w:noProof/>
            <w:webHidden/>
          </w:rPr>
          <w:tab/>
        </w:r>
        <w:r>
          <w:rPr>
            <w:noProof/>
            <w:webHidden/>
          </w:rPr>
          <w:fldChar w:fldCharType="begin"/>
        </w:r>
        <w:r>
          <w:rPr>
            <w:noProof/>
            <w:webHidden/>
          </w:rPr>
          <w:instrText xml:space="preserve"> PAGEREF _Toc532553167 \h </w:instrText>
        </w:r>
        <w:r>
          <w:rPr>
            <w:noProof/>
            <w:webHidden/>
          </w:rPr>
        </w:r>
        <w:r>
          <w:rPr>
            <w:noProof/>
            <w:webHidden/>
          </w:rPr>
          <w:fldChar w:fldCharType="separate"/>
        </w:r>
        <w:r w:rsidR="00E2070A">
          <w:rPr>
            <w:noProof/>
            <w:webHidden/>
          </w:rPr>
          <w:t>113</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68" w:history="1">
        <w:r w:rsidRPr="005A197B">
          <w:rPr>
            <w:rStyle w:val="Hyperlink"/>
            <w:noProof/>
          </w:rPr>
          <w:t>4.6.3</w:t>
        </w:r>
        <w:r>
          <w:rPr>
            <w:rFonts w:eastAsiaTheme="minorEastAsia" w:cstheme="minorBidi"/>
            <w:noProof/>
            <w:sz w:val="22"/>
            <w:szCs w:val="22"/>
            <w:lang w:bidi="ar-SA"/>
          </w:rPr>
          <w:tab/>
        </w:r>
        <w:r w:rsidRPr="005A197B">
          <w:rPr>
            <w:rStyle w:val="Hyperlink"/>
            <w:noProof/>
          </w:rPr>
          <w:t>General Cell Culture</w:t>
        </w:r>
        <w:r>
          <w:rPr>
            <w:noProof/>
            <w:webHidden/>
          </w:rPr>
          <w:tab/>
        </w:r>
        <w:r>
          <w:rPr>
            <w:noProof/>
            <w:webHidden/>
          </w:rPr>
          <w:fldChar w:fldCharType="begin"/>
        </w:r>
        <w:r>
          <w:rPr>
            <w:noProof/>
            <w:webHidden/>
          </w:rPr>
          <w:instrText xml:space="preserve"> PAGEREF _Toc532553168 \h </w:instrText>
        </w:r>
        <w:r>
          <w:rPr>
            <w:noProof/>
            <w:webHidden/>
          </w:rPr>
        </w:r>
        <w:r>
          <w:rPr>
            <w:noProof/>
            <w:webHidden/>
          </w:rPr>
          <w:fldChar w:fldCharType="separate"/>
        </w:r>
        <w:r w:rsidR="00E2070A">
          <w:rPr>
            <w:noProof/>
            <w:webHidden/>
          </w:rPr>
          <w:t>113</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69" w:history="1">
        <w:r w:rsidRPr="005A197B">
          <w:rPr>
            <w:rStyle w:val="Hyperlink"/>
            <w:noProof/>
          </w:rPr>
          <w:t>4.6.4</w:t>
        </w:r>
        <w:r>
          <w:rPr>
            <w:rFonts w:eastAsiaTheme="minorEastAsia" w:cstheme="minorBidi"/>
            <w:noProof/>
            <w:sz w:val="22"/>
            <w:szCs w:val="22"/>
            <w:lang w:bidi="ar-SA"/>
          </w:rPr>
          <w:tab/>
        </w:r>
        <w:r w:rsidRPr="005A197B">
          <w:rPr>
            <w:rStyle w:val="Hyperlink"/>
            <w:noProof/>
          </w:rPr>
          <w:t>Compounds</w:t>
        </w:r>
        <w:r>
          <w:rPr>
            <w:noProof/>
            <w:webHidden/>
          </w:rPr>
          <w:tab/>
        </w:r>
        <w:r>
          <w:rPr>
            <w:noProof/>
            <w:webHidden/>
          </w:rPr>
          <w:fldChar w:fldCharType="begin"/>
        </w:r>
        <w:r>
          <w:rPr>
            <w:noProof/>
            <w:webHidden/>
          </w:rPr>
          <w:instrText xml:space="preserve"> PAGEREF _Toc532553169 \h </w:instrText>
        </w:r>
        <w:r>
          <w:rPr>
            <w:noProof/>
            <w:webHidden/>
          </w:rPr>
        </w:r>
        <w:r>
          <w:rPr>
            <w:noProof/>
            <w:webHidden/>
          </w:rPr>
          <w:fldChar w:fldCharType="separate"/>
        </w:r>
        <w:r w:rsidR="00E2070A">
          <w:rPr>
            <w:noProof/>
            <w:webHidden/>
          </w:rPr>
          <w:t>114</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70" w:history="1">
        <w:r w:rsidRPr="005A197B">
          <w:rPr>
            <w:rStyle w:val="Hyperlink"/>
            <w:noProof/>
          </w:rPr>
          <w:t>4.6.5</w:t>
        </w:r>
        <w:r>
          <w:rPr>
            <w:rFonts w:eastAsiaTheme="minorEastAsia" w:cstheme="minorBidi"/>
            <w:noProof/>
            <w:sz w:val="22"/>
            <w:szCs w:val="22"/>
            <w:lang w:bidi="ar-SA"/>
          </w:rPr>
          <w:tab/>
        </w:r>
        <w:r w:rsidRPr="005A197B">
          <w:rPr>
            <w:rStyle w:val="Hyperlink"/>
            <w:noProof/>
          </w:rPr>
          <w:t>Cell Lysis</w:t>
        </w:r>
        <w:r>
          <w:rPr>
            <w:noProof/>
            <w:webHidden/>
          </w:rPr>
          <w:tab/>
        </w:r>
        <w:r>
          <w:rPr>
            <w:noProof/>
            <w:webHidden/>
          </w:rPr>
          <w:fldChar w:fldCharType="begin"/>
        </w:r>
        <w:r>
          <w:rPr>
            <w:noProof/>
            <w:webHidden/>
          </w:rPr>
          <w:instrText xml:space="preserve"> PAGEREF _Toc532553170 \h </w:instrText>
        </w:r>
        <w:r>
          <w:rPr>
            <w:noProof/>
            <w:webHidden/>
          </w:rPr>
        </w:r>
        <w:r>
          <w:rPr>
            <w:noProof/>
            <w:webHidden/>
          </w:rPr>
          <w:fldChar w:fldCharType="separate"/>
        </w:r>
        <w:r w:rsidR="00E2070A">
          <w:rPr>
            <w:noProof/>
            <w:webHidden/>
          </w:rPr>
          <w:t>115</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71" w:history="1">
        <w:r w:rsidRPr="005A197B">
          <w:rPr>
            <w:rStyle w:val="Hyperlink"/>
            <w:noProof/>
          </w:rPr>
          <w:t>4.6.6</w:t>
        </w:r>
        <w:r>
          <w:rPr>
            <w:rFonts w:eastAsiaTheme="minorEastAsia" w:cstheme="minorBidi"/>
            <w:noProof/>
            <w:sz w:val="22"/>
            <w:szCs w:val="22"/>
            <w:lang w:bidi="ar-SA"/>
          </w:rPr>
          <w:tab/>
        </w:r>
        <w:r w:rsidRPr="005A197B">
          <w:rPr>
            <w:rStyle w:val="Hyperlink"/>
            <w:noProof/>
          </w:rPr>
          <w:t>Western Blotting</w:t>
        </w:r>
        <w:r>
          <w:rPr>
            <w:noProof/>
            <w:webHidden/>
          </w:rPr>
          <w:tab/>
        </w:r>
        <w:r>
          <w:rPr>
            <w:noProof/>
            <w:webHidden/>
          </w:rPr>
          <w:fldChar w:fldCharType="begin"/>
        </w:r>
        <w:r>
          <w:rPr>
            <w:noProof/>
            <w:webHidden/>
          </w:rPr>
          <w:instrText xml:space="preserve"> PAGEREF _Toc532553171 \h </w:instrText>
        </w:r>
        <w:r>
          <w:rPr>
            <w:noProof/>
            <w:webHidden/>
          </w:rPr>
        </w:r>
        <w:r>
          <w:rPr>
            <w:noProof/>
            <w:webHidden/>
          </w:rPr>
          <w:fldChar w:fldCharType="separate"/>
        </w:r>
        <w:r w:rsidR="00E2070A">
          <w:rPr>
            <w:noProof/>
            <w:webHidden/>
          </w:rPr>
          <w:t>116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72" w:history="1">
        <w:r w:rsidRPr="005A197B">
          <w:rPr>
            <w:rStyle w:val="Hyperlink"/>
            <w:noProof/>
          </w:rPr>
          <w:t>4.6.7</w:t>
        </w:r>
        <w:r>
          <w:rPr>
            <w:rFonts w:eastAsiaTheme="minorEastAsia" w:cstheme="minorBidi"/>
            <w:noProof/>
            <w:sz w:val="22"/>
            <w:szCs w:val="22"/>
            <w:lang w:bidi="ar-SA"/>
          </w:rPr>
          <w:tab/>
        </w:r>
        <w:r w:rsidRPr="005A197B">
          <w:rPr>
            <w:rStyle w:val="Hyperlink"/>
            <w:noProof/>
          </w:rPr>
          <w:t>ORPphillin Compound Treatments and Cell Viability Assay</w:t>
        </w:r>
        <w:r>
          <w:rPr>
            <w:noProof/>
            <w:webHidden/>
          </w:rPr>
          <w:tab/>
        </w:r>
        <w:r>
          <w:rPr>
            <w:noProof/>
            <w:webHidden/>
          </w:rPr>
          <w:fldChar w:fldCharType="begin"/>
        </w:r>
        <w:r>
          <w:rPr>
            <w:noProof/>
            <w:webHidden/>
          </w:rPr>
          <w:instrText xml:space="preserve"> PAGEREF _Toc532553172 \h </w:instrText>
        </w:r>
        <w:r>
          <w:rPr>
            <w:noProof/>
            <w:webHidden/>
          </w:rPr>
        </w:r>
        <w:r>
          <w:rPr>
            <w:noProof/>
            <w:webHidden/>
          </w:rPr>
          <w:fldChar w:fldCharType="separate"/>
        </w:r>
        <w:r w:rsidR="00E2070A">
          <w:rPr>
            <w:noProof/>
            <w:webHidden/>
          </w:rPr>
          <w:t>116</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73" w:history="1">
        <w:r w:rsidRPr="005A197B">
          <w:rPr>
            <w:rStyle w:val="Hyperlink"/>
            <w:noProof/>
          </w:rPr>
          <w:t>4.6.8</w:t>
        </w:r>
        <w:r>
          <w:rPr>
            <w:rFonts w:eastAsiaTheme="minorEastAsia" w:cstheme="minorBidi"/>
            <w:noProof/>
            <w:sz w:val="22"/>
            <w:szCs w:val="22"/>
            <w:lang w:bidi="ar-SA"/>
          </w:rPr>
          <w:tab/>
        </w:r>
        <w:r w:rsidRPr="005A197B">
          <w:rPr>
            <w:rStyle w:val="Hyperlink"/>
            <w:noProof/>
          </w:rPr>
          <w:t>Sterol Treatments</w:t>
        </w:r>
        <w:r>
          <w:rPr>
            <w:noProof/>
            <w:webHidden/>
          </w:rPr>
          <w:tab/>
        </w:r>
        <w:r>
          <w:rPr>
            <w:noProof/>
            <w:webHidden/>
          </w:rPr>
          <w:fldChar w:fldCharType="begin"/>
        </w:r>
        <w:r>
          <w:rPr>
            <w:noProof/>
            <w:webHidden/>
          </w:rPr>
          <w:instrText xml:space="preserve"> PAGEREF _Toc532553173 \h </w:instrText>
        </w:r>
        <w:r>
          <w:rPr>
            <w:noProof/>
            <w:webHidden/>
          </w:rPr>
        </w:r>
        <w:r>
          <w:rPr>
            <w:noProof/>
            <w:webHidden/>
          </w:rPr>
          <w:fldChar w:fldCharType="separate"/>
        </w:r>
        <w:r w:rsidR="00E2070A">
          <w:rPr>
            <w:noProof/>
            <w:webHidden/>
          </w:rPr>
          <w:t>117</w:t>
        </w:r>
        <w:r>
          <w:rPr>
            <w:noProof/>
            <w:webHidden/>
          </w:rPr>
          <w:fldChar w:fldCharType="end"/>
        </w:r>
      </w:hyperlink>
    </w:p>
    <w:p w:rsidR="001A1E57" w:rsidRDefault="001A1E57" w:rsidP="0015171B">
      <w:pPr>
        <w:pStyle w:val="TOC3"/>
        <w:tabs>
          <w:tab w:val="left" w:pos="1440"/>
          <w:tab w:val="right" w:leader="dot" w:pos="8486"/>
        </w:tabs>
        <w:jc w:val="both"/>
        <w:rPr>
          <w:rFonts w:eastAsiaTheme="minorEastAsia" w:cstheme="minorBidi"/>
          <w:noProof/>
          <w:sz w:val="22"/>
          <w:szCs w:val="22"/>
          <w:lang w:bidi="ar-SA"/>
        </w:rPr>
      </w:pPr>
      <w:hyperlink w:anchor="_Toc532553174" w:history="1">
        <w:r w:rsidRPr="005A197B">
          <w:rPr>
            <w:rStyle w:val="Hyperlink"/>
            <w:noProof/>
          </w:rPr>
          <w:t>4.6.9</w:t>
        </w:r>
        <w:r>
          <w:rPr>
            <w:rFonts w:eastAsiaTheme="minorEastAsia" w:cstheme="minorBidi"/>
            <w:noProof/>
            <w:sz w:val="22"/>
            <w:szCs w:val="22"/>
            <w:lang w:bidi="ar-SA"/>
          </w:rPr>
          <w:tab/>
        </w:r>
        <w:r w:rsidRPr="005A197B">
          <w:rPr>
            <w:rStyle w:val="Hyperlink"/>
            <w:noProof/>
          </w:rPr>
          <w:t>Immunofluorescence</w:t>
        </w:r>
        <w:r>
          <w:rPr>
            <w:noProof/>
            <w:webHidden/>
          </w:rPr>
          <w:tab/>
        </w:r>
        <w:r>
          <w:rPr>
            <w:noProof/>
            <w:webHidden/>
          </w:rPr>
          <w:fldChar w:fldCharType="begin"/>
        </w:r>
        <w:r>
          <w:rPr>
            <w:noProof/>
            <w:webHidden/>
          </w:rPr>
          <w:instrText xml:space="preserve"> PAGEREF _Toc532553174 \h </w:instrText>
        </w:r>
        <w:r>
          <w:rPr>
            <w:noProof/>
            <w:webHidden/>
          </w:rPr>
        </w:r>
        <w:r>
          <w:rPr>
            <w:noProof/>
            <w:webHidden/>
          </w:rPr>
          <w:fldChar w:fldCharType="separate"/>
        </w:r>
        <w:r w:rsidR="00E2070A">
          <w:rPr>
            <w:noProof/>
            <w:webHidden/>
          </w:rPr>
          <w:t>117</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75" w:history="1">
        <w:r w:rsidRPr="005A197B">
          <w:rPr>
            <w:rStyle w:val="Hyperlink"/>
            <w:noProof/>
          </w:rPr>
          <w:t>4.6.10</w:t>
        </w:r>
        <w:r>
          <w:rPr>
            <w:rFonts w:eastAsiaTheme="minorEastAsia" w:cstheme="minorBidi"/>
            <w:noProof/>
            <w:sz w:val="22"/>
            <w:szCs w:val="22"/>
            <w:lang w:bidi="ar-SA"/>
          </w:rPr>
          <w:tab/>
        </w:r>
        <w:r w:rsidRPr="005A197B">
          <w:rPr>
            <w:rStyle w:val="Hyperlink"/>
            <w:noProof/>
          </w:rPr>
          <w:t>Cytotoxicity Assay</w:t>
        </w:r>
        <w:r>
          <w:rPr>
            <w:noProof/>
            <w:webHidden/>
          </w:rPr>
          <w:tab/>
        </w:r>
        <w:r>
          <w:rPr>
            <w:noProof/>
            <w:webHidden/>
          </w:rPr>
          <w:fldChar w:fldCharType="begin"/>
        </w:r>
        <w:r>
          <w:rPr>
            <w:noProof/>
            <w:webHidden/>
          </w:rPr>
          <w:instrText xml:space="preserve"> PAGEREF _Toc532553175 \h </w:instrText>
        </w:r>
        <w:r>
          <w:rPr>
            <w:noProof/>
            <w:webHidden/>
          </w:rPr>
        </w:r>
        <w:r>
          <w:rPr>
            <w:noProof/>
            <w:webHidden/>
          </w:rPr>
          <w:fldChar w:fldCharType="separate"/>
        </w:r>
        <w:r w:rsidR="00E2070A">
          <w:rPr>
            <w:noProof/>
            <w:webHidden/>
          </w:rPr>
          <w:t>118</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76" w:history="1">
        <w:r w:rsidRPr="005A197B">
          <w:rPr>
            <w:rStyle w:val="Hyperlink"/>
            <w:noProof/>
          </w:rPr>
          <w:t>4.6.11</w:t>
        </w:r>
        <w:r>
          <w:rPr>
            <w:rFonts w:eastAsiaTheme="minorEastAsia" w:cstheme="minorBidi"/>
            <w:noProof/>
            <w:sz w:val="22"/>
            <w:szCs w:val="22"/>
            <w:lang w:bidi="ar-SA"/>
          </w:rPr>
          <w:tab/>
        </w:r>
        <w:r w:rsidRPr="005A197B">
          <w:rPr>
            <w:rStyle w:val="Hyperlink"/>
            <w:noProof/>
          </w:rPr>
          <w:t>([3H]-25-OHC) Charcoal/Dextran Binding Assay</w:t>
        </w:r>
        <w:r>
          <w:rPr>
            <w:noProof/>
            <w:webHidden/>
          </w:rPr>
          <w:tab/>
        </w:r>
        <w:r>
          <w:rPr>
            <w:noProof/>
            <w:webHidden/>
          </w:rPr>
          <w:fldChar w:fldCharType="begin"/>
        </w:r>
        <w:r>
          <w:rPr>
            <w:noProof/>
            <w:webHidden/>
          </w:rPr>
          <w:instrText xml:space="preserve"> PAGEREF _Toc532553176 \h </w:instrText>
        </w:r>
        <w:r>
          <w:rPr>
            <w:noProof/>
            <w:webHidden/>
          </w:rPr>
        </w:r>
        <w:r>
          <w:rPr>
            <w:noProof/>
            <w:webHidden/>
          </w:rPr>
          <w:fldChar w:fldCharType="separate"/>
        </w:r>
        <w:r w:rsidR="00E2070A">
          <w:rPr>
            <w:noProof/>
            <w:webHidden/>
          </w:rPr>
          <w:t>119</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77" w:history="1">
        <w:r w:rsidRPr="005A197B">
          <w:rPr>
            <w:rStyle w:val="Hyperlink"/>
            <w:noProof/>
          </w:rPr>
          <w:t>4.6.12</w:t>
        </w:r>
        <w:r>
          <w:rPr>
            <w:rFonts w:eastAsiaTheme="minorEastAsia" w:cstheme="minorBidi"/>
            <w:noProof/>
            <w:sz w:val="22"/>
            <w:szCs w:val="22"/>
            <w:lang w:bidi="ar-SA"/>
          </w:rPr>
          <w:tab/>
        </w:r>
        <w:r w:rsidRPr="005A197B">
          <w:rPr>
            <w:rStyle w:val="Hyperlink"/>
            <w:noProof/>
          </w:rPr>
          <w:t>Antiviral Experiments</w:t>
        </w:r>
        <w:r>
          <w:rPr>
            <w:noProof/>
            <w:webHidden/>
          </w:rPr>
          <w:tab/>
        </w:r>
        <w:r>
          <w:rPr>
            <w:noProof/>
            <w:webHidden/>
          </w:rPr>
          <w:fldChar w:fldCharType="begin"/>
        </w:r>
        <w:r>
          <w:rPr>
            <w:noProof/>
            <w:webHidden/>
          </w:rPr>
          <w:instrText xml:space="preserve"> PAGEREF _Toc532553177 \h </w:instrText>
        </w:r>
        <w:r>
          <w:rPr>
            <w:noProof/>
            <w:webHidden/>
          </w:rPr>
        </w:r>
        <w:r>
          <w:rPr>
            <w:noProof/>
            <w:webHidden/>
          </w:rPr>
          <w:fldChar w:fldCharType="separate"/>
        </w:r>
        <w:r w:rsidR="00E2070A">
          <w:rPr>
            <w:noProof/>
            <w:webHidden/>
          </w:rPr>
          <w:t>119</w:t>
        </w:r>
        <w:r>
          <w:rPr>
            <w:noProof/>
            <w:webHidden/>
          </w:rPr>
          <w:fldChar w:fldCharType="end"/>
        </w:r>
      </w:hyperlink>
    </w:p>
    <w:p w:rsidR="001A1E57" w:rsidRDefault="001A1E57" w:rsidP="0015171B">
      <w:pPr>
        <w:pStyle w:val="TOC3"/>
        <w:tabs>
          <w:tab w:val="left" w:pos="1760"/>
          <w:tab w:val="right" w:leader="dot" w:pos="8486"/>
        </w:tabs>
        <w:jc w:val="both"/>
        <w:rPr>
          <w:rFonts w:eastAsiaTheme="minorEastAsia" w:cstheme="minorBidi"/>
          <w:noProof/>
          <w:sz w:val="22"/>
          <w:szCs w:val="22"/>
          <w:lang w:bidi="ar-SA"/>
        </w:rPr>
      </w:pPr>
      <w:hyperlink w:anchor="_Toc532553178" w:history="1">
        <w:r w:rsidRPr="005A197B">
          <w:rPr>
            <w:rStyle w:val="Hyperlink"/>
            <w:noProof/>
          </w:rPr>
          <w:t>4.6.13</w:t>
        </w:r>
        <w:r>
          <w:rPr>
            <w:rFonts w:eastAsiaTheme="minorEastAsia" w:cstheme="minorBidi"/>
            <w:noProof/>
            <w:sz w:val="22"/>
            <w:szCs w:val="22"/>
            <w:lang w:bidi="ar-SA"/>
          </w:rPr>
          <w:tab/>
        </w:r>
        <w:r w:rsidRPr="005A197B">
          <w:rPr>
            <w:rStyle w:val="Hyperlink"/>
            <w:noProof/>
          </w:rPr>
          <w:t>Statistical Analysis</w:t>
        </w:r>
        <w:r>
          <w:rPr>
            <w:noProof/>
            <w:webHidden/>
          </w:rPr>
          <w:tab/>
        </w:r>
        <w:r>
          <w:rPr>
            <w:noProof/>
            <w:webHidden/>
          </w:rPr>
          <w:fldChar w:fldCharType="begin"/>
        </w:r>
        <w:r>
          <w:rPr>
            <w:noProof/>
            <w:webHidden/>
          </w:rPr>
          <w:instrText xml:space="preserve"> PAGEREF _Toc532553178 \h </w:instrText>
        </w:r>
        <w:r>
          <w:rPr>
            <w:noProof/>
            <w:webHidden/>
          </w:rPr>
        </w:r>
        <w:r>
          <w:rPr>
            <w:noProof/>
            <w:webHidden/>
          </w:rPr>
          <w:fldChar w:fldCharType="separate"/>
        </w:r>
        <w:r w:rsidR="00E2070A">
          <w:rPr>
            <w:noProof/>
            <w:webHidden/>
          </w:rPr>
          <w:t>121</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179" w:history="1">
        <w:r w:rsidRPr="005A197B">
          <w:rPr>
            <w:rStyle w:val="Hyperlink"/>
            <w:noProof/>
          </w:rPr>
          <w:t>Chapter 5: Conclusions and Future Outlook</w:t>
        </w:r>
        <w:r>
          <w:rPr>
            <w:noProof/>
            <w:webHidden/>
          </w:rPr>
          <w:tab/>
        </w:r>
        <w:r>
          <w:rPr>
            <w:noProof/>
            <w:webHidden/>
          </w:rPr>
          <w:fldChar w:fldCharType="begin"/>
        </w:r>
        <w:r>
          <w:rPr>
            <w:noProof/>
            <w:webHidden/>
          </w:rPr>
          <w:instrText xml:space="preserve"> PAGEREF _Toc532553179 \h </w:instrText>
        </w:r>
        <w:r>
          <w:rPr>
            <w:noProof/>
            <w:webHidden/>
          </w:rPr>
        </w:r>
        <w:r>
          <w:rPr>
            <w:noProof/>
            <w:webHidden/>
          </w:rPr>
          <w:fldChar w:fldCharType="separate"/>
        </w:r>
        <w:r w:rsidR="00E2070A">
          <w:rPr>
            <w:noProof/>
            <w:webHidden/>
          </w:rPr>
          <w:t>122</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180" w:history="1">
        <w:r w:rsidRPr="005A197B">
          <w:rPr>
            <w:rStyle w:val="Hyperlink"/>
            <w:noProof/>
          </w:rPr>
          <w:t>References</w:t>
        </w:r>
        <w:r>
          <w:rPr>
            <w:noProof/>
            <w:webHidden/>
          </w:rPr>
          <w:tab/>
        </w:r>
        <w:r>
          <w:rPr>
            <w:noProof/>
            <w:webHidden/>
          </w:rPr>
          <w:fldChar w:fldCharType="begin"/>
        </w:r>
        <w:r>
          <w:rPr>
            <w:noProof/>
            <w:webHidden/>
          </w:rPr>
          <w:instrText xml:space="preserve"> PAGEREF _Toc532553180 \h </w:instrText>
        </w:r>
        <w:r>
          <w:rPr>
            <w:noProof/>
            <w:webHidden/>
          </w:rPr>
        </w:r>
        <w:r>
          <w:rPr>
            <w:noProof/>
            <w:webHidden/>
          </w:rPr>
          <w:fldChar w:fldCharType="separate"/>
        </w:r>
        <w:r w:rsidR="00E2070A">
          <w:rPr>
            <w:noProof/>
            <w:webHidden/>
          </w:rPr>
          <w:t>127</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181" w:history="1">
        <w:r w:rsidRPr="005A197B">
          <w:rPr>
            <w:rStyle w:val="Hyperlink"/>
            <w:noProof/>
          </w:rPr>
          <w:t>Appendix 1: Chapter 2 Supplemental</w:t>
        </w:r>
        <w:r>
          <w:rPr>
            <w:noProof/>
            <w:webHidden/>
          </w:rPr>
          <w:tab/>
        </w:r>
        <w:r>
          <w:rPr>
            <w:noProof/>
            <w:webHidden/>
          </w:rPr>
          <w:fldChar w:fldCharType="begin"/>
        </w:r>
        <w:r>
          <w:rPr>
            <w:noProof/>
            <w:webHidden/>
          </w:rPr>
          <w:instrText xml:space="preserve"> PAGEREF _Toc532553181 \h </w:instrText>
        </w:r>
        <w:r>
          <w:rPr>
            <w:noProof/>
            <w:webHidden/>
          </w:rPr>
        </w:r>
        <w:r>
          <w:rPr>
            <w:noProof/>
            <w:webHidden/>
          </w:rPr>
          <w:fldChar w:fldCharType="separate"/>
        </w:r>
        <w:r w:rsidR="00E2070A">
          <w:rPr>
            <w:noProof/>
            <w:webHidden/>
          </w:rPr>
          <w:t>158</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182" w:history="1">
        <w:r w:rsidRPr="005A197B">
          <w:rPr>
            <w:rStyle w:val="Hyperlink"/>
            <w:noProof/>
          </w:rPr>
          <w:t>Appendix 2: Chapter 3 Supplemental</w:t>
        </w:r>
        <w:r>
          <w:rPr>
            <w:noProof/>
            <w:webHidden/>
          </w:rPr>
          <w:tab/>
        </w:r>
        <w:r>
          <w:rPr>
            <w:noProof/>
            <w:webHidden/>
          </w:rPr>
          <w:fldChar w:fldCharType="begin"/>
        </w:r>
        <w:r>
          <w:rPr>
            <w:noProof/>
            <w:webHidden/>
          </w:rPr>
          <w:instrText xml:space="preserve"> PAGEREF _Toc532553182 \h </w:instrText>
        </w:r>
        <w:r>
          <w:rPr>
            <w:noProof/>
            <w:webHidden/>
          </w:rPr>
        </w:r>
        <w:r>
          <w:rPr>
            <w:noProof/>
            <w:webHidden/>
          </w:rPr>
          <w:fldChar w:fldCharType="separate"/>
        </w:r>
        <w:r w:rsidR="00E2070A">
          <w:rPr>
            <w:noProof/>
            <w:webHidden/>
          </w:rPr>
          <w:t>178</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183" w:history="1">
        <w:r w:rsidRPr="005A197B">
          <w:rPr>
            <w:rStyle w:val="Hyperlink"/>
            <w:noProof/>
          </w:rPr>
          <w:t>Appendix 3: Chapter 4 Supplemental</w:t>
        </w:r>
        <w:r>
          <w:rPr>
            <w:noProof/>
            <w:webHidden/>
          </w:rPr>
          <w:tab/>
        </w:r>
        <w:r>
          <w:rPr>
            <w:noProof/>
            <w:webHidden/>
          </w:rPr>
          <w:fldChar w:fldCharType="begin"/>
        </w:r>
        <w:r>
          <w:rPr>
            <w:noProof/>
            <w:webHidden/>
          </w:rPr>
          <w:instrText xml:space="preserve"> PAGEREF _Toc532553183 \h </w:instrText>
        </w:r>
        <w:r>
          <w:rPr>
            <w:noProof/>
            <w:webHidden/>
          </w:rPr>
        </w:r>
        <w:r>
          <w:rPr>
            <w:noProof/>
            <w:webHidden/>
          </w:rPr>
          <w:fldChar w:fldCharType="separate"/>
        </w:r>
        <w:r w:rsidR="00E2070A">
          <w:rPr>
            <w:noProof/>
            <w:webHidden/>
          </w:rPr>
          <w:t>187</w:t>
        </w:r>
        <w:r>
          <w:rPr>
            <w:noProof/>
            <w:webHidden/>
          </w:rPr>
          <w:fldChar w:fldCharType="end"/>
        </w:r>
      </w:hyperlink>
    </w:p>
    <w:p w:rsidR="001A1E57" w:rsidRDefault="001A1E57" w:rsidP="0015171B">
      <w:pPr>
        <w:pStyle w:val="TOC1"/>
        <w:jc w:val="both"/>
        <w:rPr>
          <w:rFonts w:eastAsiaTheme="minorEastAsia" w:cstheme="minorBidi"/>
          <w:noProof/>
          <w:sz w:val="22"/>
          <w:szCs w:val="22"/>
          <w:lang w:bidi="ar-SA"/>
        </w:rPr>
      </w:pPr>
      <w:hyperlink w:anchor="_Toc532553184" w:history="1">
        <w:r w:rsidRPr="005A197B">
          <w:rPr>
            <w:rStyle w:val="Hyperlink"/>
            <w:noProof/>
          </w:rPr>
          <w:t>Appendix 4: Chapter 5 Supplemental</w:t>
        </w:r>
        <w:r>
          <w:rPr>
            <w:noProof/>
            <w:webHidden/>
          </w:rPr>
          <w:tab/>
        </w:r>
        <w:r>
          <w:rPr>
            <w:noProof/>
            <w:webHidden/>
          </w:rPr>
          <w:fldChar w:fldCharType="begin"/>
        </w:r>
        <w:r>
          <w:rPr>
            <w:noProof/>
            <w:webHidden/>
          </w:rPr>
          <w:instrText xml:space="preserve"> PAGEREF _Toc532553184 \h </w:instrText>
        </w:r>
        <w:r>
          <w:rPr>
            <w:noProof/>
            <w:webHidden/>
          </w:rPr>
        </w:r>
        <w:r>
          <w:rPr>
            <w:noProof/>
            <w:webHidden/>
          </w:rPr>
          <w:fldChar w:fldCharType="separate"/>
        </w:r>
        <w:r w:rsidR="00E2070A">
          <w:rPr>
            <w:noProof/>
            <w:webHidden/>
          </w:rPr>
          <w:t>192</w:t>
        </w:r>
        <w:r>
          <w:rPr>
            <w:noProof/>
            <w:webHidden/>
          </w:rPr>
          <w:fldChar w:fldCharType="end"/>
        </w:r>
      </w:hyperlink>
    </w:p>
    <w:p w:rsidR="00DA1971" w:rsidRDefault="00F7122D" w:rsidP="0015171B">
      <w:pPr>
        <w:jc w:val="both"/>
      </w:pPr>
      <w:r>
        <w:fldChar w:fldCharType="end"/>
      </w:r>
    </w:p>
    <w:p w:rsidR="00775701" w:rsidRDefault="00DA1971" w:rsidP="00E87672">
      <w:pPr>
        <w:pStyle w:val="Heading1"/>
      </w:pPr>
      <w:r>
        <w:br w:type="page"/>
      </w:r>
      <w:bookmarkStart w:id="2" w:name="_Toc310579465"/>
      <w:bookmarkStart w:id="3" w:name="_Toc532553067"/>
      <w:r>
        <w:lastRenderedPageBreak/>
        <w:t>List of Tables</w:t>
      </w:r>
      <w:bookmarkEnd w:id="2"/>
      <w:bookmarkEnd w:id="3"/>
    </w:p>
    <w:p w:rsidR="004A7222" w:rsidRDefault="004A7222" w:rsidP="004A7222">
      <w:pPr>
        <w:pStyle w:val="NoSpacing"/>
      </w:pPr>
    </w:p>
    <w:p w:rsidR="00A87A74"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30338300" w:history="1">
        <w:r w:rsidR="00E87672">
          <w:rPr>
            <w:rStyle w:val="Hyperlink"/>
            <w:noProof/>
          </w:rPr>
          <w:t>Table 1</w:t>
        </w:r>
        <w:r w:rsidR="00A87A74">
          <w:rPr>
            <w:noProof/>
            <w:webHidden/>
          </w:rPr>
          <w:tab/>
        </w:r>
        <w:r w:rsidR="00A87A74">
          <w:rPr>
            <w:noProof/>
            <w:webHidden/>
          </w:rPr>
          <w:fldChar w:fldCharType="begin"/>
        </w:r>
        <w:r w:rsidR="00A87A74">
          <w:rPr>
            <w:noProof/>
            <w:webHidden/>
          </w:rPr>
          <w:instrText xml:space="preserve"> PAGEREF _Toc530338300 \h </w:instrText>
        </w:r>
        <w:r w:rsidR="00A87A74">
          <w:rPr>
            <w:noProof/>
            <w:webHidden/>
          </w:rPr>
        </w:r>
        <w:r w:rsidR="00A87A74">
          <w:rPr>
            <w:noProof/>
            <w:webHidden/>
          </w:rPr>
          <w:fldChar w:fldCharType="separate"/>
        </w:r>
        <w:r w:rsidR="00E2070A">
          <w:rPr>
            <w:noProof/>
            <w:webHidden/>
          </w:rPr>
          <w:t>3</w:t>
        </w:r>
        <w:r w:rsidR="00A87A74">
          <w:rPr>
            <w:noProof/>
            <w:webHidden/>
          </w:rPr>
          <w:fldChar w:fldCharType="end"/>
        </w:r>
      </w:hyperlink>
    </w:p>
    <w:p w:rsidR="00DE1EF7" w:rsidRDefault="00F7122D" w:rsidP="00DE1EF7">
      <w:r>
        <w:fldChar w:fldCharType="end"/>
      </w:r>
    </w:p>
    <w:p w:rsidR="009D2AD7" w:rsidRDefault="00DA1971" w:rsidP="00E87672">
      <w:pPr>
        <w:pStyle w:val="Heading1"/>
      </w:pPr>
      <w:r>
        <w:br w:type="page"/>
      </w:r>
      <w:bookmarkStart w:id="4" w:name="_Toc310579466"/>
      <w:bookmarkStart w:id="5" w:name="_Toc53255306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835528">
            <w:t>List of Figures</w:t>
          </w:r>
        </w:sdtContent>
      </w:sdt>
      <w:bookmarkEnd w:id="4"/>
      <w:bookmarkEnd w:id="5"/>
    </w:p>
    <w:p w:rsidR="00626D47" w:rsidRPr="00626D47" w:rsidRDefault="00626D47" w:rsidP="00626D47">
      <w:pPr>
        <w:rPr>
          <w:b/>
        </w:rPr>
      </w:pPr>
      <w:r>
        <w:rPr>
          <w:b/>
        </w:rPr>
        <w:t>Chapter 1: Introduction to the Oxysterol-binding Proteins</w:t>
      </w:r>
    </w:p>
    <w:p w:rsidR="00626D47"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530673926" w:history="1">
        <w:r w:rsidR="00626D47" w:rsidRPr="009251C9">
          <w:rPr>
            <w:rStyle w:val="Hyperlink"/>
            <w:noProof/>
          </w:rPr>
          <w:t>Figure 1.</w:t>
        </w:r>
        <w:r w:rsidR="00626D47">
          <w:rPr>
            <w:noProof/>
            <w:webHidden/>
          </w:rPr>
          <w:tab/>
        </w:r>
        <w:r w:rsidR="00626D47">
          <w:rPr>
            <w:noProof/>
            <w:webHidden/>
          </w:rPr>
          <w:fldChar w:fldCharType="begin"/>
        </w:r>
        <w:r w:rsidR="00626D47">
          <w:rPr>
            <w:noProof/>
            <w:webHidden/>
          </w:rPr>
          <w:instrText xml:space="preserve"> PAGEREF _Toc530673926 \h </w:instrText>
        </w:r>
        <w:r w:rsidR="00626D47">
          <w:rPr>
            <w:noProof/>
            <w:webHidden/>
          </w:rPr>
        </w:r>
        <w:r w:rsidR="00626D47">
          <w:rPr>
            <w:noProof/>
            <w:webHidden/>
          </w:rPr>
          <w:fldChar w:fldCharType="separate"/>
        </w:r>
        <w:r w:rsidR="00E2070A">
          <w:rPr>
            <w:noProof/>
            <w:webHidden/>
          </w:rPr>
          <w:t>2</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r:id="rId8" w:anchor="_Toc530673927" w:history="1">
        <w:r w:rsidR="00626D47" w:rsidRPr="009251C9">
          <w:rPr>
            <w:rStyle w:val="Hyperlink"/>
            <w:noProof/>
          </w:rPr>
          <w:t>Figure 2.</w:t>
        </w:r>
        <w:r w:rsidR="00626D47">
          <w:rPr>
            <w:noProof/>
            <w:webHidden/>
          </w:rPr>
          <w:tab/>
        </w:r>
        <w:r w:rsidR="00626D47">
          <w:rPr>
            <w:noProof/>
            <w:webHidden/>
          </w:rPr>
          <w:fldChar w:fldCharType="begin"/>
        </w:r>
        <w:r w:rsidR="00626D47">
          <w:rPr>
            <w:noProof/>
            <w:webHidden/>
          </w:rPr>
          <w:instrText xml:space="preserve"> PAGEREF _Toc530673927 \h </w:instrText>
        </w:r>
        <w:r w:rsidR="00626D47">
          <w:rPr>
            <w:noProof/>
            <w:webHidden/>
          </w:rPr>
        </w:r>
        <w:r w:rsidR="00626D47">
          <w:rPr>
            <w:noProof/>
            <w:webHidden/>
          </w:rPr>
          <w:fldChar w:fldCharType="separate"/>
        </w:r>
        <w:r w:rsidR="00E2070A">
          <w:rPr>
            <w:noProof/>
            <w:webHidden/>
          </w:rPr>
          <w:t>3</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28" w:history="1">
        <w:r w:rsidR="00626D47" w:rsidRPr="009251C9">
          <w:rPr>
            <w:rStyle w:val="Hyperlink"/>
            <w:noProof/>
          </w:rPr>
          <w:t>Figure 3</w:t>
        </w:r>
        <w:r w:rsidR="00626D47">
          <w:rPr>
            <w:noProof/>
            <w:webHidden/>
          </w:rPr>
          <w:tab/>
        </w:r>
        <w:r w:rsidR="00626D47">
          <w:rPr>
            <w:noProof/>
            <w:webHidden/>
          </w:rPr>
          <w:fldChar w:fldCharType="begin"/>
        </w:r>
        <w:r w:rsidR="00626D47">
          <w:rPr>
            <w:noProof/>
            <w:webHidden/>
          </w:rPr>
          <w:instrText xml:space="preserve"> PAGEREF _Toc530673928 \h </w:instrText>
        </w:r>
        <w:r w:rsidR="00626D47">
          <w:rPr>
            <w:noProof/>
            <w:webHidden/>
          </w:rPr>
        </w:r>
        <w:r w:rsidR="00626D47">
          <w:rPr>
            <w:noProof/>
            <w:webHidden/>
          </w:rPr>
          <w:fldChar w:fldCharType="separate"/>
        </w:r>
        <w:r w:rsidR="00E2070A">
          <w:rPr>
            <w:noProof/>
            <w:webHidden/>
          </w:rPr>
          <w:t>5</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29" w:history="1">
        <w:r w:rsidR="00626D47" w:rsidRPr="00626D47">
          <w:rPr>
            <w:rStyle w:val="Hyperlink"/>
            <w:noProof/>
          </w:rPr>
          <w:t>Figure 4</w:t>
        </w:r>
        <w:r w:rsidR="00626D47" w:rsidRPr="009251C9">
          <w:rPr>
            <w:rStyle w:val="Hyperlink"/>
            <w:noProof/>
          </w:rPr>
          <w:t>.</w:t>
        </w:r>
        <w:r w:rsidR="00626D47">
          <w:rPr>
            <w:noProof/>
            <w:webHidden/>
          </w:rPr>
          <w:tab/>
        </w:r>
        <w:r w:rsidR="00626D47">
          <w:rPr>
            <w:noProof/>
            <w:webHidden/>
          </w:rPr>
          <w:fldChar w:fldCharType="begin"/>
        </w:r>
        <w:r w:rsidR="00626D47">
          <w:rPr>
            <w:noProof/>
            <w:webHidden/>
          </w:rPr>
          <w:instrText xml:space="preserve"> PAGEREF _Toc530673929 \h </w:instrText>
        </w:r>
        <w:r w:rsidR="00626D47">
          <w:rPr>
            <w:noProof/>
            <w:webHidden/>
          </w:rPr>
        </w:r>
        <w:r w:rsidR="00626D47">
          <w:rPr>
            <w:noProof/>
            <w:webHidden/>
          </w:rPr>
          <w:fldChar w:fldCharType="separate"/>
        </w:r>
        <w:r w:rsidR="00E2070A">
          <w:rPr>
            <w:noProof/>
            <w:webHidden/>
          </w:rPr>
          <w:t>6</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30" w:history="1">
        <w:r w:rsidR="00626D47" w:rsidRPr="009251C9">
          <w:rPr>
            <w:rStyle w:val="Hyperlink"/>
            <w:noProof/>
          </w:rPr>
          <w:t>Figure 5.</w:t>
        </w:r>
        <w:r w:rsidR="00626D47">
          <w:rPr>
            <w:noProof/>
            <w:webHidden/>
          </w:rPr>
          <w:tab/>
        </w:r>
        <w:r w:rsidR="00626D47">
          <w:rPr>
            <w:noProof/>
            <w:webHidden/>
          </w:rPr>
          <w:fldChar w:fldCharType="begin"/>
        </w:r>
        <w:r w:rsidR="00626D47">
          <w:rPr>
            <w:noProof/>
            <w:webHidden/>
          </w:rPr>
          <w:instrText xml:space="preserve"> PAGEREF _Toc530673930 \h </w:instrText>
        </w:r>
        <w:r w:rsidR="00626D47">
          <w:rPr>
            <w:noProof/>
            <w:webHidden/>
          </w:rPr>
        </w:r>
        <w:r w:rsidR="00626D47">
          <w:rPr>
            <w:noProof/>
            <w:webHidden/>
          </w:rPr>
          <w:fldChar w:fldCharType="separate"/>
        </w:r>
        <w:r w:rsidR="00E2070A">
          <w:rPr>
            <w:noProof/>
            <w:webHidden/>
          </w:rPr>
          <w:t>8</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r:id="rId9" w:anchor="_Toc530673931" w:history="1">
        <w:r w:rsidR="00626D47" w:rsidRPr="009251C9">
          <w:rPr>
            <w:rStyle w:val="Hyperlink"/>
            <w:noProof/>
          </w:rPr>
          <w:t>Figure 6</w:t>
        </w:r>
        <w:r w:rsidR="00626D47">
          <w:rPr>
            <w:noProof/>
            <w:webHidden/>
          </w:rPr>
          <w:tab/>
        </w:r>
        <w:r w:rsidR="00626D47">
          <w:rPr>
            <w:noProof/>
            <w:webHidden/>
          </w:rPr>
          <w:fldChar w:fldCharType="begin"/>
        </w:r>
        <w:r w:rsidR="00626D47">
          <w:rPr>
            <w:noProof/>
            <w:webHidden/>
          </w:rPr>
          <w:instrText xml:space="preserve"> PAGEREF _Toc530673931 \h </w:instrText>
        </w:r>
        <w:r w:rsidR="00626D47">
          <w:rPr>
            <w:noProof/>
            <w:webHidden/>
          </w:rPr>
        </w:r>
        <w:r w:rsidR="00626D47">
          <w:rPr>
            <w:noProof/>
            <w:webHidden/>
          </w:rPr>
          <w:fldChar w:fldCharType="separate"/>
        </w:r>
        <w:r w:rsidR="00E2070A">
          <w:rPr>
            <w:noProof/>
            <w:webHidden/>
          </w:rPr>
          <w:t>10</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r:id="rId10" w:anchor="_Toc530673932" w:history="1">
        <w:r w:rsidR="00626D47" w:rsidRPr="009251C9">
          <w:rPr>
            <w:rStyle w:val="Hyperlink"/>
            <w:noProof/>
          </w:rPr>
          <w:t>Figure 7.</w:t>
        </w:r>
        <w:r w:rsidR="00626D47">
          <w:rPr>
            <w:noProof/>
            <w:webHidden/>
          </w:rPr>
          <w:tab/>
        </w:r>
        <w:r w:rsidR="00626D47">
          <w:rPr>
            <w:noProof/>
            <w:webHidden/>
          </w:rPr>
          <w:fldChar w:fldCharType="begin"/>
        </w:r>
        <w:r w:rsidR="00626D47">
          <w:rPr>
            <w:noProof/>
            <w:webHidden/>
          </w:rPr>
          <w:instrText xml:space="preserve"> PAGEREF _Toc530673932 \h </w:instrText>
        </w:r>
        <w:r w:rsidR="00626D47">
          <w:rPr>
            <w:noProof/>
            <w:webHidden/>
          </w:rPr>
        </w:r>
        <w:r w:rsidR="00626D47">
          <w:rPr>
            <w:noProof/>
            <w:webHidden/>
          </w:rPr>
          <w:fldChar w:fldCharType="separate"/>
        </w:r>
        <w:r w:rsidR="00E2070A">
          <w:rPr>
            <w:noProof/>
            <w:webHidden/>
          </w:rPr>
          <w:t>11</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33" w:history="1">
        <w:r w:rsidR="00626D47" w:rsidRPr="009251C9">
          <w:rPr>
            <w:rStyle w:val="Hyperlink"/>
            <w:noProof/>
          </w:rPr>
          <w:t>Figure 8</w:t>
        </w:r>
        <w:r w:rsidR="00626D47">
          <w:rPr>
            <w:noProof/>
            <w:webHidden/>
          </w:rPr>
          <w:tab/>
        </w:r>
        <w:r w:rsidR="00626D47">
          <w:rPr>
            <w:noProof/>
            <w:webHidden/>
          </w:rPr>
          <w:fldChar w:fldCharType="begin"/>
        </w:r>
        <w:r w:rsidR="00626D47">
          <w:rPr>
            <w:noProof/>
            <w:webHidden/>
          </w:rPr>
          <w:instrText xml:space="preserve"> PAGEREF _Toc530673933 \h </w:instrText>
        </w:r>
        <w:r w:rsidR="00626D47">
          <w:rPr>
            <w:noProof/>
            <w:webHidden/>
          </w:rPr>
        </w:r>
        <w:r w:rsidR="00626D47">
          <w:rPr>
            <w:noProof/>
            <w:webHidden/>
          </w:rPr>
          <w:fldChar w:fldCharType="separate"/>
        </w:r>
        <w:r w:rsidR="00E2070A">
          <w:rPr>
            <w:noProof/>
            <w:webHidden/>
          </w:rPr>
          <w:t>15</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34" w:history="1">
        <w:r w:rsidR="00626D47">
          <w:rPr>
            <w:rStyle w:val="Hyperlink"/>
            <w:noProof/>
          </w:rPr>
          <w:t>Figure 9</w:t>
        </w:r>
        <w:r w:rsidR="00626D47">
          <w:rPr>
            <w:noProof/>
            <w:webHidden/>
          </w:rPr>
          <w:tab/>
        </w:r>
        <w:r w:rsidR="00626D47">
          <w:rPr>
            <w:noProof/>
            <w:webHidden/>
          </w:rPr>
          <w:fldChar w:fldCharType="begin"/>
        </w:r>
        <w:r w:rsidR="00626D47">
          <w:rPr>
            <w:noProof/>
            <w:webHidden/>
          </w:rPr>
          <w:instrText xml:space="preserve"> PAGEREF _Toc530673934 \h </w:instrText>
        </w:r>
        <w:r w:rsidR="00626D47">
          <w:rPr>
            <w:noProof/>
            <w:webHidden/>
          </w:rPr>
        </w:r>
        <w:r w:rsidR="00626D47">
          <w:rPr>
            <w:noProof/>
            <w:webHidden/>
          </w:rPr>
          <w:fldChar w:fldCharType="separate"/>
        </w:r>
        <w:r w:rsidR="00E2070A">
          <w:rPr>
            <w:noProof/>
            <w:webHidden/>
          </w:rPr>
          <w:t>26</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35" w:history="1">
        <w:r w:rsidR="00626D47" w:rsidRPr="009251C9">
          <w:rPr>
            <w:rStyle w:val="Hyperlink"/>
            <w:noProof/>
          </w:rPr>
          <w:t>Figure 10</w:t>
        </w:r>
        <w:r w:rsidR="00626D47">
          <w:rPr>
            <w:noProof/>
            <w:webHidden/>
          </w:rPr>
          <w:tab/>
        </w:r>
        <w:r w:rsidR="00626D47">
          <w:rPr>
            <w:noProof/>
            <w:webHidden/>
          </w:rPr>
          <w:fldChar w:fldCharType="begin"/>
        </w:r>
        <w:r w:rsidR="00626D47">
          <w:rPr>
            <w:noProof/>
            <w:webHidden/>
          </w:rPr>
          <w:instrText xml:space="preserve"> PAGEREF _Toc530673935 \h </w:instrText>
        </w:r>
        <w:r w:rsidR="00626D47">
          <w:rPr>
            <w:noProof/>
            <w:webHidden/>
          </w:rPr>
        </w:r>
        <w:r w:rsidR="00626D47">
          <w:rPr>
            <w:noProof/>
            <w:webHidden/>
          </w:rPr>
          <w:fldChar w:fldCharType="separate"/>
        </w:r>
        <w:r w:rsidR="00E2070A">
          <w:rPr>
            <w:noProof/>
            <w:webHidden/>
          </w:rPr>
          <w:t>28</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36" w:history="1">
        <w:r w:rsidR="00626D47">
          <w:rPr>
            <w:rStyle w:val="Hyperlink"/>
            <w:noProof/>
          </w:rPr>
          <w:t>Figure 11</w:t>
        </w:r>
        <w:r w:rsidR="00626D47">
          <w:rPr>
            <w:noProof/>
            <w:webHidden/>
          </w:rPr>
          <w:tab/>
        </w:r>
        <w:r w:rsidR="00626D47">
          <w:rPr>
            <w:noProof/>
            <w:webHidden/>
          </w:rPr>
          <w:fldChar w:fldCharType="begin"/>
        </w:r>
        <w:r w:rsidR="00626D47">
          <w:rPr>
            <w:noProof/>
            <w:webHidden/>
          </w:rPr>
          <w:instrText xml:space="preserve"> PAGEREF _Toc530673936 \h </w:instrText>
        </w:r>
        <w:r w:rsidR="00626D47">
          <w:rPr>
            <w:noProof/>
            <w:webHidden/>
          </w:rPr>
        </w:r>
        <w:r w:rsidR="00626D47">
          <w:rPr>
            <w:noProof/>
            <w:webHidden/>
          </w:rPr>
          <w:fldChar w:fldCharType="separate"/>
        </w:r>
        <w:r w:rsidR="00E2070A">
          <w:rPr>
            <w:noProof/>
            <w:webHidden/>
          </w:rPr>
          <w:t>29</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37" w:history="1">
        <w:r w:rsidR="00626D47">
          <w:rPr>
            <w:rStyle w:val="Hyperlink"/>
            <w:noProof/>
          </w:rPr>
          <w:t>Figure 12</w:t>
        </w:r>
        <w:r w:rsidR="00626D47">
          <w:rPr>
            <w:noProof/>
            <w:webHidden/>
          </w:rPr>
          <w:tab/>
        </w:r>
        <w:r w:rsidR="00626D47">
          <w:rPr>
            <w:noProof/>
            <w:webHidden/>
          </w:rPr>
          <w:fldChar w:fldCharType="begin"/>
        </w:r>
        <w:r w:rsidR="00626D47">
          <w:rPr>
            <w:noProof/>
            <w:webHidden/>
          </w:rPr>
          <w:instrText xml:space="preserve"> PAGEREF _Toc530673937 \h </w:instrText>
        </w:r>
        <w:r w:rsidR="00626D47">
          <w:rPr>
            <w:noProof/>
            <w:webHidden/>
          </w:rPr>
        </w:r>
        <w:r w:rsidR="00626D47">
          <w:rPr>
            <w:noProof/>
            <w:webHidden/>
          </w:rPr>
          <w:fldChar w:fldCharType="separate"/>
        </w:r>
        <w:r w:rsidR="00E2070A">
          <w:rPr>
            <w:noProof/>
            <w:webHidden/>
          </w:rPr>
          <w:t>30</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38" w:history="1">
        <w:r w:rsidR="00626D47">
          <w:rPr>
            <w:rStyle w:val="Hyperlink"/>
            <w:noProof/>
          </w:rPr>
          <w:t>Figure 13</w:t>
        </w:r>
        <w:r w:rsidR="00626D47">
          <w:rPr>
            <w:noProof/>
            <w:webHidden/>
          </w:rPr>
          <w:tab/>
        </w:r>
        <w:r w:rsidR="00626D47">
          <w:rPr>
            <w:noProof/>
            <w:webHidden/>
          </w:rPr>
          <w:fldChar w:fldCharType="begin"/>
        </w:r>
        <w:r w:rsidR="00626D47">
          <w:rPr>
            <w:noProof/>
            <w:webHidden/>
          </w:rPr>
          <w:instrText xml:space="preserve"> PAGEREF _Toc530673938 \h </w:instrText>
        </w:r>
        <w:r w:rsidR="00626D47">
          <w:rPr>
            <w:noProof/>
            <w:webHidden/>
          </w:rPr>
        </w:r>
        <w:r w:rsidR="00626D47">
          <w:rPr>
            <w:noProof/>
            <w:webHidden/>
          </w:rPr>
          <w:fldChar w:fldCharType="separate"/>
        </w:r>
        <w:r w:rsidR="00E2070A">
          <w:rPr>
            <w:noProof/>
            <w:webHidden/>
          </w:rPr>
          <w:t>32</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39" w:history="1">
        <w:r w:rsidR="00626D47">
          <w:rPr>
            <w:rStyle w:val="Hyperlink"/>
            <w:noProof/>
          </w:rPr>
          <w:t>Figure 14</w:t>
        </w:r>
        <w:r w:rsidR="00626D47">
          <w:rPr>
            <w:noProof/>
            <w:webHidden/>
          </w:rPr>
          <w:tab/>
        </w:r>
        <w:r w:rsidR="00626D47">
          <w:rPr>
            <w:noProof/>
            <w:webHidden/>
          </w:rPr>
          <w:fldChar w:fldCharType="begin"/>
        </w:r>
        <w:r w:rsidR="00626D47">
          <w:rPr>
            <w:noProof/>
            <w:webHidden/>
          </w:rPr>
          <w:instrText xml:space="preserve"> PAGEREF _Toc530673939 \h </w:instrText>
        </w:r>
        <w:r w:rsidR="00626D47">
          <w:rPr>
            <w:noProof/>
            <w:webHidden/>
          </w:rPr>
        </w:r>
        <w:r w:rsidR="00626D47">
          <w:rPr>
            <w:noProof/>
            <w:webHidden/>
          </w:rPr>
          <w:fldChar w:fldCharType="separate"/>
        </w:r>
        <w:r w:rsidR="00E2070A">
          <w:rPr>
            <w:noProof/>
            <w:webHidden/>
          </w:rPr>
          <w:t>34</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40" w:history="1">
        <w:r w:rsidR="00626D47">
          <w:rPr>
            <w:rStyle w:val="Hyperlink"/>
            <w:noProof/>
          </w:rPr>
          <w:t>Figure 15</w:t>
        </w:r>
        <w:r w:rsidR="00626D47">
          <w:rPr>
            <w:noProof/>
            <w:webHidden/>
          </w:rPr>
          <w:tab/>
        </w:r>
        <w:r w:rsidR="00626D47">
          <w:rPr>
            <w:noProof/>
            <w:webHidden/>
          </w:rPr>
          <w:fldChar w:fldCharType="begin"/>
        </w:r>
        <w:r w:rsidR="00626D47">
          <w:rPr>
            <w:noProof/>
            <w:webHidden/>
          </w:rPr>
          <w:instrText xml:space="preserve"> PAGEREF _Toc530673940 \h </w:instrText>
        </w:r>
        <w:r w:rsidR="00626D47">
          <w:rPr>
            <w:noProof/>
            <w:webHidden/>
          </w:rPr>
        </w:r>
        <w:r w:rsidR="00626D47">
          <w:rPr>
            <w:noProof/>
            <w:webHidden/>
          </w:rPr>
          <w:fldChar w:fldCharType="separate"/>
        </w:r>
        <w:r w:rsidR="00E2070A">
          <w:rPr>
            <w:noProof/>
            <w:webHidden/>
          </w:rPr>
          <w:t>38</w:t>
        </w:r>
        <w:r w:rsidR="00626D47">
          <w:rPr>
            <w:noProof/>
            <w:webHidden/>
          </w:rPr>
          <w:fldChar w:fldCharType="end"/>
        </w:r>
      </w:hyperlink>
    </w:p>
    <w:p w:rsidR="00626D47" w:rsidRDefault="004578F9">
      <w:pPr>
        <w:pStyle w:val="TableofFigures"/>
        <w:tabs>
          <w:tab w:val="right" w:leader="dot" w:pos="8486"/>
        </w:tabs>
        <w:rPr>
          <w:rStyle w:val="Hyperlink"/>
          <w:noProof/>
        </w:rPr>
      </w:pPr>
      <w:hyperlink w:anchor="_Toc530673941" w:history="1">
        <w:r w:rsidR="00626D47" w:rsidRPr="009251C9">
          <w:rPr>
            <w:rStyle w:val="Hyperlink"/>
            <w:noProof/>
          </w:rPr>
          <w:t>Figure 16.</w:t>
        </w:r>
        <w:r w:rsidR="00626D47">
          <w:rPr>
            <w:noProof/>
            <w:webHidden/>
          </w:rPr>
          <w:tab/>
        </w:r>
        <w:r w:rsidR="00626D47">
          <w:rPr>
            <w:noProof/>
            <w:webHidden/>
          </w:rPr>
          <w:fldChar w:fldCharType="begin"/>
        </w:r>
        <w:r w:rsidR="00626D47">
          <w:rPr>
            <w:noProof/>
            <w:webHidden/>
          </w:rPr>
          <w:instrText xml:space="preserve"> PAGEREF _Toc530673941 \h </w:instrText>
        </w:r>
        <w:r w:rsidR="00626D47">
          <w:rPr>
            <w:noProof/>
            <w:webHidden/>
          </w:rPr>
        </w:r>
        <w:r w:rsidR="00626D47">
          <w:rPr>
            <w:noProof/>
            <w:webHidden/>
          </w:rPr>
          <w:fldChar w:fldCharType="separate"/>
        </w:r>
        <w:r w:rsidR="00E2070A">
          <w:rPr>
            <w:noProof/>
            <w:webHidden/>
          </w:rPr>
          <w:t>39</w:t>
        </w:r>
        <w:r w:rsidR="00626D47">
          <w:rPr>
            <w:noProof/>
            <w:webHidden/>
          </w:rPr>
          <w:fldChar w:fldCharType="end"/>
        </w:r>
      </w:hyperlink>
    </w:p>
    <w:p w:rsidR="00626D47" w:rsidRPr="00626D47" w:rsidRDefault="00626D47" w:rsidP="00626D47">
      <w:pPr>
        <w:rPr>
          <w:rFonts w:eastAsiaTheme="minorEastAsia"/>
          <w:b/>
        </w:rPr>
      </w:pPr>
      <w:r>
        <w:rPr>
          <w:rFonts w:eastAsiaTheme="minorEastAsia"/>
          <w:b/>
        </w:rPr>
        <w:t>Chapter 2: Persistent Reduction of Oxysterol-binding Protein Caused by Compound Treatment Induces Prophylactic Anti-Viral Activity</w:t>
      </w:r>
    </w:p>
    <w:p w:rsidR="00626D47" w:rsidRPr="00626D47" w:rsidRDefault="004578F9">
      <w:pPr>
        <w:pStyle w:val="TableofFigures"/>
        <w:tabs>
          <w:tab w:val="right" w:leader="dot" w:pos="8486"/>
        </w:tabs>
        <w:rPr>
          <w:noProof/>
          <w:color w:val="0000FF"/>
          <w:u w:val="single"/>
        </w:rPr>
      </w:pPr>
      <w:hyperlink w:anchor="_Toc530673942" w:history="1">
        <w:r w:rsidR="00626D47" w:rsidRPr="009251C9">
          <w:rPr>
            <w:rStyle w:val="Hyperlink"/>
            <w:noProof/>
          </w:rPr>
          <w:t>Figure 17</w:t>
        </w:r>
        <w:r w:rsidR="00626D47">
          <w:rPr>
            <w:noProof/>
            <w:webHidden/>
          </w:rPr>
          <w:tab/>
        </w:r>
        <w:r w:rsidR="00626D47">
          <w:rPr>
            <w:noProof/>
            <w:webHidden/>
          </w:rPr>
          <w:fldChar w:fldCharType="begin"/>
        </w:r>
        <w:r w:rsidR="00626D47">
          <w:rPr>
            <w:noProof/>
            <w:webHidden/>
          </w:rPr>
          <w:instrText xml:space="preserve"> PAGEREF _Toc530673942 \h </w:instrText>
        </w:r>
        <w:r w:rsidR="00626D47">
          <w:rPr>
            <w:noProof/>
            <w:webHidden/>
          </w:rPr>
        </w:r>
        <w:r w:rsidR="00626D47">
          <w:rPr>
            <w:noProof/>
            <w:webHidden/>
          </w:rPr>
          <w:fldChar w:fldCharType="separate"/>
        </w:r>
        <w:r w:rsidR="00E2070A">
          <w:rPr>
            <w:noProof/>
            <w:webHidden/>
          </w:rPr>
          <w:t>44</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43" w:history="1">
        <w:r w:rsidR="00626D47" w:rsidRPr="00626D47">
          <w:rPr>
            <w:rStyle w:val="Hyperlink"/>
            <w:noProof/>
          </w:rPr>
          <w:t>Figure 18</w:t>
        </w:r>
        <w:r w:rsidR="00626D47">
          <w:rPr>
            <w:noProof/>
            <w:webHidden/>
          </w:rPr>
          <w:tab/>
        </w:r>
        <w:r w:rsidR="00626D47">
          <w:rPr>
            <w:noProof/>
            <w:webHidden/>
          </w:rPr>
          <w:fldChar w:fldCharType="begin"/>
        </w:r>
        <w:r w:rsidR="00626D47">
          <w:rPr>
            <w:noProof/>
            <w:webHidden/>
          </w:rPr>
          <w:instrText xml:space="preserve"> PAGEREF _Toc530673943 \h </w:instrText>
        </w:r>
        <w:r w:rsidR="00626D47">
          <w:rPr>
            <w:noProof/>
            <w:webHidden/>
          </w:rPr>
        </w:r>
        <w:r w:rsidR="00626D47">
          <w:rPr>
            <w:noProof/>
            <w:webHidden/>
          </w:rPr>
          <w:fldChar w:fldCharType="separate"/>
        </w:r>
        <w:r w:rsidR="00E2070A">
          <w:rPr>
            <w:noProof/>
            <w:webHidden/>
          </w:rPr>
          <w:t>45</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44" w:history="1">
        <w:r w:rsidR="00626D47" w:rsidRPr="009251C9">
          <w:rPr>
            <w:rStyle w:val="Hyperlink"/>
            <w:noProof/>
          </w:rPr>
          <w:t>Figure 19</w:t>
        </w:r>
        <w:r w:rsidR="00626D47">
          <w:rPr>
            <w:noProof/>
            <w:webHidden/>
          </w:rPr>
          <w:tab/>
        </w:r>
        <w:r w:rsidR="00626D47">
          <w:rPr>
            <w:noProof/>
            <w:webHidden/>
          </w:rPr>
          <w:fldChar w:fldCharType="begin"/>
        </w:r>
        <w:r w:rsidR="00626D47">
          <w:rPr>
            <w:noProof/>
            <w:webHidden/>
          </w:rPr>
          <w:instrText xml:space="preserve"> PAGEREF _Toc530673944 \h </w:instrText>
        </w:r>
        <w:r w:rsidR="00626D47">
          <w:rPr>
            <w:noProof/>
            <w:webHidden/>
          </w:rPr>
        </w:r>
        <w:r w:rsidR="00626D47">
          <w:rPr>
            <w:noProof/>
            <w:webHidden/>
          </w:rPr>
          <w:fldChar w:fldCharType="separate"/>
        </w:r>
        <w:r w:rsidR="00E2070A">
          <w:rPr>
            <w:noProof/>
            <w:webHidden/>
          </w:rPr>
          <w:t>47</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45" w:history="1">
        <w:r w:rsidR="00626D47" w:rsidRPr="009251C9">
          <w:rPr>
            <w:rStyle w:val="Hyperlink"/>
            <w:noProof/>
          </w:rPr>
          <w:t>Figure 20.</w:t>
        </w:r>
        <w:r w:rsidR="00626D47">
          <w:rPr>
            <w:noProof/>
            <w:webHidden/>
          </w:rPr>
          <w:tab/>
        </w:r>
        <w:r w:rsidR="00626D47">
          <w:rPr>
            <w:noProof/>
            <w:webHidden/>
          </w:rPr>
          <w:fldChar w:fldCharType="begin"/>
        </w:r>
        <w:r w:rsidR="00626D47">
          <w:rPr>
            <w:noProof/>
            <w:webHidden/>
          </w:rPr>
          <w:instrText xml:space="preserve"> PAGEREF _Toc530673945 \h </w:instrText>
        </w:r>
        <w:r w:rsidR="00626D47">
          <w:rPr>
            <w:noProof/>
            <w:webHidden/>
          </w:rPr>
        </w:r>
        <w:r w:rsidR="00626D47">
          <w:rPr>
            <w:noProof/>
            <w:webHidden/>
          </w:rPr>
          <w:fldChar w:fldCharType="separate"/>
        </w:r>
        <w:r w:rsidR="00E2070A">
          <w:rPr>
            <w:noProof/>
            <w:webHidden/>
          </w:rPr>
          <w:t>49</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46" w:history="1">
        <w:r w:rsidR="00626D47" w:rsidRPr="009251C9">
          <w:rPr>
            <w:rStyle w:val="Hyperlink"/>
            <w:noProof/>
          </w:rPr>
          <w:t>Figure 21</w:t>
        </w:r>
        <w:r w:rsidR="00626D47">
          <w:rPr>
            <w:noProof/>
            <w:webHidden/>
          </w:rPr>
          <w:tab/>
        </w:r>
        <w:r w:rsidR="00626D47">
          <w:rPr>
            <w:noProof/>
            <w:webHidden/>
          </w:rPr>
          <w:fldChar w:fldCharType="begin"/>
        </w:r>
        <w:r w:rsidR="00626D47">
          <w:rPr>
            <w:noProof/>
            <w:webHidden/>
          </w:rPr>
          <w:instrText xml:space="preserve"> PAGEREF _Toc530673946 \h </w:instrText>
        </w:r>
        <w:r w:rsidR="00626D47">
          <w:rPr>
            <w:noProof/>
            <w:webHidden/>
          </w:rPr>
        </w:r>
        <w:r w:rsidR="00626D47">
          <w:rPr>
            <w:noProof/>
            <w:webHidden/>
          </w:rPr>
          <w:fldChar w:fldCharType="separate"/>
        </w:r>
        <w:r w:rsidR="00E2070A">
          <w:rPr>
            <w:noProof/>
            <w:webHidden/>
          </w:rPr>
          <w:t>51</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47" w:history="1">
        <w:r w:rsidR="00626D47" w:rsidRPr="009251C9">
          <w:rPr>
            <w:rStyle w:val="Hyperlink"/>
            <w:noProof/>
          </w:rPr>
          <w:t>Figure 22</w:t>
        </w:r>
        <w:r w:rsidR="00626D47">
          <w:rPr>
            <w:noProof/>
            <w:webHidden/>
          </w:rPr>
          <w:tab/>
        </w:r>
        <w:r w:rsidR="00626D47">
          <w:rPr>
            <w:noProof/>
            <w:webHidden/>
          </w:rPr>
          <w:fldChar w:fldCharType="begin"/>
        </w:r>
        <w:r w:rsidR="00626D47">
          <w:rPr>
            <w:noProof/>
            <w:webHidden/>
          </w:rPr>
          <w:instrText xml:space="preserve"> PAGEREF _Toc530673947 \h </w:instrText>
        </w:r>
        <w:r w:rsidR="00626D47">
          <w:rPr>
            <w:noProof/>
            <w:webHidden/>
          </w:rPr>
        </w:r>
        <w:r w:rsidR="00626D47">
          <w:rPr>
            <w:noProof/>
            <w:webHidden/>
          </w:rPr>
          <w:fldChar w:fldCharType="separate"/>
        </w:r>
        <w:r w:rsidR="00E2070A">
          <w:rPr>
            <w:noProof/>
            <w:webHidden/>
          </w:rPr>
          <w:t>53</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48" w:history="1">
        <w:r w:rsidR="00626D47" w:rsidRPr="009251C9">
          <w:rPr>
            <w:rStyle w:val="Hyperlink"/>
            <w:noProof/>
          </w:rPr>
          <w:t>Figure 23</w:t>
        </w:r>
        <w:r w:rsidR="00626D47">
          <w:rPr>
            <w:noProof/>
            <w:webHidden/>
          </w:rPr>
          <w:tab/>
        </w:r>
        <w:r w:rsidR="00626D47">
          <w:rPr>
            <w:noProof/>
            <w:webHidden/>
          </w:rPr>
          <w:fldChar w:fldCharType="begin"/>
        </w:r>
        <w:r w:rsidR="00626D47">
          <w:rPr>
            <w:noProof/>
            <w:webHidden/>
          </w:rPr>
          <w:instrText xml:space="preserve"> PAGEREF _Toc530673948 \h </w:instrText>
        </w:r>
        <w:r w:rsidR="00626D47">
          <w:rPr>
            <w:noProof/>
            <w:webHidden/>
          </w:rPr>
        </w:r>
        <w:r w:rsidR="00626D47">
          <w:rPr>
            <w:noProof/>
            <w:webHidden/>
          </w:rPr>
          <w:fldChar w:fldCharType="separate"/>
        </w:r>
        <w:r w:rsidR="00E2070A">
          <w:rPr>
            <w:noProof/>
            <w:webHidden/>
          </w:rPr>
          <w:t>55</w:t>
        </w:r>
        <w:r w:rsidR="00626D47">
          <w:rPr>
            <w:noProof/>
            <w:webHidden/>
          </w:rPr>
          <w:fldChar w:fldCharType="end"/>
        </w:r>
      </w:hyperlink>
    </w:p>
    <w:p w:rsidR="00626D47" w:rsidRDefault="004578F9">
      <w:pPr>
        <w:pStyle w:val="TableofFigures"/>
        <w:tabs>
          <w:tab w:val="right" w:leader="dot" w:pos="8486"/>
        </w:tabs>
        <w:rPr>
          <w:rStyle w:val="Hyperlink"/>
          <w:noProof/>
        </w:rPr>
      </w:pPr>
      <w:hyperlink w:anchor="_Toc530673949" w:history="1">
        <w:r w:rsidR="00626D47" w:rsidRPr="009251C9">
          <w:rPr>
            <w:rStyle w:val="Hyperlink"/>
            <w:noProof/>
          </w:rPr>
          <w:t>Figure 24</w:t>
        </w:r>
        <w:r w:rsidR="00626D47">
          <w:rPr>
            <w:noProof/>
            <w:webHidden/>
          </w:rPr>
          <w:tab/>
        </w:r>
        <w:r w:rsidR="00626D47">
          <w:rPr>
            <w:noProof/>
            <w:webHidden/>
          </w:rPr>
          <w:fldChar w:fldCharType="begin"/>
        </w:r>
        <w:r w:rsidR="00626D47">
          <w:rPr>
            <w:noProof/>
            <w:webHidden/>
          </w:rPr>
          <w:instrText xml:space="preserve"> PAGEREF _Toc530673949 \h </w:instrText>
        </w:r>
        <w:r w:rsidR="00626D47">
          <w:rPr>
            <w:noProof/>
            <w:webHidden/>
          </w:rPr>
        </w:r>
        <w:r w:rsidR="00626D47">
          <w:rPr>
            <w:noProof/>
            <w:webHidden/>
          </w:rPr>
          <w:fldChar w:fldCharType="separate"/>
        </w:r>
        <w:r w:rsidR="00E2070A">
          <w:rPr>
            <w:noProof/>
            <w:webHidden/>
          </w:rPr>
          <w:t>57</w:t>
        </w:r>
        <w:r w:rsidR="00626D47">
          <w:rPr>
            <w:noProof/>
            <w:webHidden/>
          </w:rPr>
          <w:fldChar w:fldCharType="end"/>
        </w:r>
      </w:hyperlink>
    </w:p>
    <w:p w:rsidR="00626D47" w:rsidRPr="00626D47" w:rsidRDefault="00626D47" w:rsidP="00626D47">
      <w:pPr>
        <w:rPr>
          <w:rFonts w:eastAsiaTheme="minorEastAsia"/>
          <w:b/>
        </w:rPr>
      </w:pPr>
      <w:r>
        <w:rPr>
          <w:rFonts w:eastAsiaTheme="minorEastAsia"/>
          <w:b/>
        </w:rPr>
        <w:t xml:space="preserve">Chapter 3: </w:t>
      </w:r>
      <w:r w:rsidR="007A587E">
        <w:rPr>
          <w:rFonts w:eastAsiaTheme="minorEastAsia"/>
          <w:b/>
        </w:rPr>
        <w:t>OSW-1 compound</w:t>
      </w:r>
      <w:r>
        <w:rPr>
          <w:rFonts w:eastAsiaTheme="minorEastAsia"/>
          <w:b/>
        </w:rPr>
        <w:t xml:space="preserve"> treatment induced OSBP loss occurs through an </w:t>
      </w:r>
      <w:r w:rsidR="00D56F45">
        <w:rPr>
          <w:rFonts w:eastAsiaTheme="minorEastAsia"/>
          <w:b/>
        </w:rPr>
        <w:t>unknown mechanism</w:t>
      </w:r>
    </w:p>
    <w:p w:rsidR="00626D47" w:rsidRDefault="004578F9">
      <w:pPr>
        <w:pStyle w:val="TableofFigures"/>
        <w:tabs>
          <w:tab w:val="right" w:leader="dot" w:pos="8486"/>
        </w:tabs>
        <w:rPr>
          <w:rFonts w:eastAsiaTheme="minorEastAsia" w:cstheme="minorBidi"/>
          <w:noProof/>
          <w:sz w:val="22"/>
          <w:szCs w:val="22"/>
          <w:lang w:bidi="ar-SA"/>
        </w:rPr>
      </w:pPr>
      <w:hyperlink w:anchor="_Toc530673950" w:history="1">
        <w:r w:rsidR="00626D47" w:rsidRPr="009251C9">
          <w:rPr>
            <w:rStyle w:val="Hyperlink"/>
            <w:noProof/>
          </w:rPr>
          <w:t>Figure 25.</w:t>
        </w:r>
        <w:r w:rsidR="00626D47">
          <w:rPr>
            <w:noProof/>
            <w:webHidden/>
          </w:rPr>
          <w:tab/>
        </w:r>
        <w:r w:rsidR="00626D47">
          <w:rPr>
            <w:noProof/>
            <w:webHidden/>
          </w:rPr>
          <w:fldChar w:fldCharType="begin"/>
        </w:r>
        <w:r w:rsidR="00626D47">
          <w:rPr>
            <w:noProof/>
            <w:webHidden/>
          </w:rPr>
          <w:instrText xml:space="preserve"> PAGEREF _Toc530673950 \h </w:instrText>
        </w:r>
        <w:r w:rsidR="00626D47">
          <w:rPr>
            <w:noProof/>
            <w:webHidden/>
          </w:rPr>
        </w:r>
        <w:r w:rsidR="00626D47">
          <w:rPr>
            <w:noProof/>
            <w:webHidden/>
          </w:rPr>
          <w:fldChar w:fldCharType="separate"/>
        </w:r>
        <w:r w:rsidR="00E2070A">
          <w:rPr>
            <w:noProof/>
            <w:webHidden/>
          </w:rPr>
          <w:t>76</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51" w:history="1">
        <w:r w:rsidR="00626D47" w:rsidRPr="009251C9">
          <w:rPr>
            <w:rStyle w:val="Hyperlink"/>
            <w:noProof/>
          </w:rPr>
          <w:t>Figure 26</w:t>
        </w:r>
        <w:r w:rsidR="00626D47">
          <w:rPr>
            <w:noProof/>
            <w:webHidden/>
          </w:rPr>
          <w:tab/>
        </w:r>
        <w:r w:rsidR="00626D47">
          <w:rPr>
            <w:noProof/>
            <w:webHidden/>
          </w:rPr>
          <w:fldChar w:fldCharType="begin"/>
        </w:r>
        <w:r w:rsidR="00626D47">
          <w:rPr>
            <w:noProof/>
            <w:webHidden/>
          </w:rPr>
          <w:instrText xml:space="preserve"> PAGEREF _Toc530673951 \h </w:instrText>
        </w:r>
        <w:r w:rsidR="00626D47">
          <w:rPr>
            <w:noProof/>
            <w:webHidden/>
          </w:rPr>
        </w:r>
        <w:r w:rsidR="00626D47">
          <w:rPr>
            <w:noProof/>
            <w:webHidden/>
          </w:rPr>
          <w:fldChar w:fldCharType="separate"/>
        </w:r>
        <w:r w:rsidR="00E2070A">
          <w:rPr>
            <w:noProof/>
            <w:webHidden/>
          </w:rPr>
          <w:t>78</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52" w:history="1">
        <w:r w:rsidR="00626D47" w:rsidRPr="009251C9">
          <w:rPr>
            <w:rStyle w:val="Hyperlink"/>
            <w:noProof/>
          </w:rPr>
          <w:t>Figure 27</w:t>
        </w:r>
        <w:r w:rsidR="00626D47">
          <w:rPr>
            <w:noProof/>
            <w:webHidden/>
          </w:rPr>
          <w:tab/>
        </w:r>
        <w:r w:rsidR="00626D47">
          <w:rPr>
            <w:noProof/>
            <w:webHidden/>
          </w:rPr>
          <w:fldChar w:fldCharType="begin"/>
        </w:r>
        <w:r w:rsidR="00626D47">
          <w:rPr>
            <w:noProof/>
            <w:webHidden/>
          </w:rPr>
          <w:instrText xml:space="preserve"> PAGEREF _Toc530673952 \h </w:instrText>
        </w:r>
        <w:r w:rsidR="00626D47">
          <w:rPr>
            <w:noProof/>
            <w:webHidden/>
          </w:rPr>
        </w:r>
        <w:r w:rsidR="00626D47">
          <w:rPr>
            <w:noProof/>
            <w:webHidden/>
          </w:rPr>
          <w:fldChar w:fldCharType="separate"/>
        </w:r>
        <w:r w:rsidR="00E2070A">
          <w:rPr>
            <w:noProof/>
            <w:webHidden/>
          </w:rPr>
          <w:t>80</w:t>
        </w:r>
        <w:r w:rsidR="00626D47">
          <w:rPr>
            <w:noProof/>
            <w:webHidden/>
          </w:rPr>
          <w:fldChar w:fldCharType="end"/>
        </w:r>
      </w:hyperlink>
    </w:p>
    <w:p w:rsidR="00626D47" w:rsidRDefault="004578F9">
      <w:pPr>
        <w:pStyle w:val="TableofFigures"/>
        <w:tabs>
          <w:tab w:val="right" w:leader="dot" w:pos="8486"/>
        </w:tabs>
        <w:rPr>
          <w:rStyle w:val="Hyperlink"/>
          <w:noProof/>
        </w:rPr>
      </w:pPr>
      <w:hyperlink r:id="rId11" w:anchor="_Toc530673953" w:history="1">
        <w:r w:rsidR="00626D47">
          <w:rPr>
            <w:rStyle w:val="Hyperlink"/>
            <w:noProof/>
          </w:rPr>
          <w:t>Figure 28</w:t>
        </w:r>
        <w:r w:rsidR="00626D47" w:rsidRPr="009251C9">
          <w:rPr>
            <w:rStyle w:val="Hyperlink"/>
            <w:noProof/>
          </w:rPr>
          <w:t>.</w:t>
        </w:r>
        <w:r w:rsidR="00626D47">
          <w:rPr>
            <w:noProof/>
            <w:webHidden/>
          </w:rPr>
          <w:tab/>
        </w:r>
        <w:r w:rsidR="00626D47">
          <w:rPr>
            <w:noProof/>
            <w:webHidden/>
          </w:rPr>
          <w:fldChar w:fldCharType="begin"/>
        </w:r>
        <w:r w:rsidR="00626D47">
          <w:rPr>
            <w:noProof/>
            <w:webHidden/>
          </w:rPr>
          <w:instrText xml:space="preserve"> PAGEREF _Toc530673953 \h </w:instrText>
        </w:r>
        <w:r w:rsidR="00626D47">
          <w:rPr>
            <w:noProof/>
            <w:webHidden/>
          </w:rPr>
        </w:r>
        <w:r w:rsidR="00626D47">
          <w:rPr>
            <w:noProof/>
            <w:webHidden/>
          </w:rPr>
          <w:fldChar w:fldCharType="separate"/>
        </w:r>
        <w:r w:rsidR="00E2070A">
          <w:rPr>
            <w:noProof/>
            <w:webHidden/>
          </w:rPr>
          <w:t>82</w:t>
        </w:r>
        <w:r w:rsidR="00626D47">
          <w:rPr>
            <w:noProof/>
            <w:webHidden/>
          </w:rPr>
          <w:fldChar w:fldCharType="end"/>
        </w:r>
      </w:hyperlink>
    </w:p>
    <w:p w:rsidR="00626D47" w:rsidRPr="00626D47" w:rsidRDefault="00626D47" w:rsidP="00626D47">
      <w:pPr>
        <w:rPr>
          <w:rFonts w:eastAsiaTheme="minorEastAsia"/>
          <w:b/>
        </w:rPr>
      </w:pPr>
      <w:r>
        <w:rPr>
          <w:rFonts w:eastAsiaTheme="minorEastAsia"/>
          <w:b/>
        </w:rPr>
        <w:t>Chapter 4: The compound OSW-1 is a unique ORPphillin that has prophylactic anti-viral capabilities</w:t>
      </w:r>
    </w:p>
    <w:p w:rsidR="00626D47" w:rsidRDefault="004578F9">
      <w:pPr>
        <w:pStyle w:val="TableofFigures"/>
        <w:tabs>
          <w:tab w:val="right" w:leader="dot" w:pos="8486"/>
        </w:tabs>
        <w:rPr>
          <w:rFonts w:eastAsiaTheme="minorEastAsia" w:cstheme="minorBidi"/>
          <w:noProof/>
          <w:sz w:val="22"/>
          <w:szCs w:val="22"/>
          <w:lang w:bidi="ar-SA"/>
        </w:rPr>
      </w:pPr>
      <w:hyperlink w:anchor="_Toc530673954" w:history="1">
        <w:r w:rsidR="00626D47" w:rsidRPr="009251C9">
          <w:rPr>
            <w:rStyle w:val="Hyperlink"/>
            <w:noProof/>
          </w:rPr>
          <w:t>Figure 29</w:t>
        </w:r>
        <w:r w:rsidR="00626D47">
          <w:rPr>
            <w:noProof/>
            <w:webHidden/>
          </w:rPr>
          <w:tab/>
        </w:r>
        <w:r w:rsidR="00626D47">
          <w:rPr>
            <w:noProof/>
            <w:webHidden/>
          </w:rPr>
          <w:fldChar w:fldCharType="begin"/>
        </w:r>
        <w:r w:rsidR="00626D47">
          <w:rPr>
            <w:noProof/>
            <w:webHidden/>
          </w:rPr>
          <w:instrText xml:space="preserve"> PAGEREF _Toc530673954 \h </w:instrText>
        </w:r>
        <w:r w:rsidR="00626D47">
          <w:rPr>
            <w:noProof/>
            <w:webHidden/>
          </w:rPr>
        </w:r>
        <w:r w:rsidR="00626D47">
          <w:rPr>
            <w:noProof/>
            <w:webHidden/>
          </w:rPr>
          <w:fldChar w:fldCharType="separate"/>
        </w:r>
        <w:r w:rsidR="00E2070A">
          <w:rPr>
            <w:noProof/>
            <w:webHidden/>
          </w:rPr>
          <w:t>100</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55" w:history="1">
        <w:r w:rsidR="00626D47">
          <w:rPr>
            <w:rStyle w:val="Hyperlink"/>
            <w:noProof/>
          </w:rPr>
          <w:t>Figure 30</w:t>
        </w:r>
        <w:r w:rsidR="00626D47">
          <w:rPr>
            <w:noProof/>
            <w:webHidden/>
          </w:rPr>
          <w:tab/>
        </w:r>
        <w:r w:rsidR="00626D47">
          <w:rPr>
            <w:noProof/>
            <w:webHidden/>
          </w:rPr>
          <w:fldChar w:fldCharType="begin"/>
        </w:r>
        <w:r w:rsidR="00626D47">
          <w:rPr>
            <w:noProof/>
            <w:webHidden/>
          </w:rPr>
          <w:instrText xml:space="preserve"> PAGEREF _Toc530673955 \h </w:instrText>
        </w:r>
        <w:r w:rsidR="00626D47">
          <w:rPr>
            <w:noProof/>
            <w:webHidden/>
          </w:rPr>
        </w:r>
        <w:r w:rsidR="00626D47">
          <w:rPr>
            <w:noProof/>
            <w:webHidden/>
          </w:rPr>
          <w:fldChar w:fldCharType="separate"/>
        </w:r>
        <w:r w:rsidR="00E2070A">
          <w:rPr>
            <w:noProof/>
            <w:webHidden/>
          </w:rPr>
          <w:t>101</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56" w:history="1">
        <w:r w:rsidR="00626D47" w:rsidRPr="00626D47">
          <w:rPr>
            <w:rStyle w:val="Hyperlink"/>
            <w:noProof/>
          </w:rPr>
          <w:t>Figure 31</w:t>
        </w:r>
        <w:r w:rsidR="00626D47">
          <w:rPr>
            <w:noProof/>
            <w:webHidden/>
          </w:rPr>
          <w:tab/>
        </w:r>
        <w:r w:rsidR="00626D47">
          <w:rPr>
            <w:noProof/>
            <w:webHidden/>
          </w:rPr>
          <w:fldChar w:fldCharType="begin"/>
        </w:r>
        <w:r w:rsidR="00626D47">
          <w:rPr>
            <w:noProof/>
            <w:webHidden/>
          </w:rPr>
          <w:instrText xml:space="preserve"> PAGEREF _Toc530673956 \h </w:instrText>
        </w:r>
        <w:r w:rsidR="00626D47">
          <w:rPr>
            <w:noProof/>
            <w:webHidden/>
          </w:rPr>
        </w:r>
        <w:r w:rsidR="00626D47">
          <w:rPr>
            <w:noProof/>
            <w:webHidden/>
          </w:rPr>
          <w:fldChar w:fldCharType="separate"/>
        </w:r>
        <w:r w:rsidR="00E2070A">
          <w:rPr>
            <w:noProof/>
            <w:webHidden/>
          </w:rPr>
          <w:t>103</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57" w:history="1">
        <w:r w:rsidR="00626D47">
          <w:rPr>
            <w:rStyle w:val="Hyperlink"/>
            <w:noProof/>
          </w:rPr>
          <w:t>Figure 32</w:t>
        </w:r>
        <w:r w:rsidR="00626D47" w:rsidRPr="009251C9">
          <w:rPr>
            <w:rStyle w:val="Hyperlink"/>
            <w:noProof/>
          </w:rPr>
          <w:t>.</w:t>
        </w:r>
        <w:r w:rsidR="00626D47">
          <w:rPr>
            <w:noProof/>
            <w:webHidden/>
          </w:rPr>
          <w:tab/>
        </w:r>
        <w:r w:rsidR="00626D47">
          <w:rPr>
            <w:noProof/>
            <w:webHidden/>
          </w:rPr>
          <w:fldChar w:fldCharType="begin"/>
        </w:r>
        <w:r w:rsidR="00626D47">
          <w:rPr>
            <w:noProof/>
            <w:webHidden/>
          </w:rPr>
          <w:instrText xml:space="preserve"> PAGEREF _Toc530673957 \h </w:instrText>
        </w:r>
        <w:r w:rsidR="00626D47">
          <w:rPr>
            <w:noProof/>
            <w:webHidden/>
          </w:rPr>
        </w:r>
        <w:r w:rsidR="00626D47">
          <w:rPr>
            <w:noProof/>
            <w:webHidden/>
          </w:rPr>
          <w:fldChar w:fldCharType="separate"/>
        </w:r>
        <w:r w:rsidR="00E2070A">
          <w:rPr>
            <w:noProof/>
            <w:webHidden/>
          </w:rPr>
          <w:t>106</w:t>
        </w:r>
        <w:r w:rsidR="00626D47">
          <w:rPr>
            <w:noProof/>
            <w:webHidden/>
          </w:rPr>
          <w:fldChar w:fldCharType="end"/>
        </w:r>
      </w:hyperlink>
    </w:p>
    <w:p w:rsidR="00626D47" w:rsidRDefault="004578F9">
      <w:pPr>
        <w:pStyle w:val="TableofFigures"/>
        <w:tabs>
          <w:tab w:val="right" w:leader="dot" w:pos="8486"/>
        </w:tabs>
        <w:rPr>
          <w:rStyle w:val="Hyperlink"/>
          <w:noProof/>
        </w:rPr>
      </w:pPr>
      <w:hyperlink w:anchor="_Toc530673958" w:history="1">
        <w:r w:rsidR="00626D47" w:rsidRPr="009251C9">
          <w:rPr>
            <w:rStyle w:val="Hyperlink"/>
            <w:noProof/>
          </w:rPr>
          <w:t>Figure 33</w:t>
        </w:r>
        <w:r w:rsidR="00626D47">
          <w:rPr>
            <w:noProof/>
            <w:webHidden/>
          </w:rPr>
          <w:tab/>
        </w:r>
        <w:r w:rsidR="00626D47">
          <w:rPr>
            <w:noProof/>
            <w:webHidden/>
          </w:rPr>
          <w:fldChar w:fldCharType="begin"/>
        </w:r>
        <w:r w:rsidR="00626D47">
          <w:rPr>
            <w:noProof/>
            <w:webHidden/>
          </w:rPr>
          <w:instrText xml:space="preserve"> PAGEREF _Toc530673958 \h </w:instrText>
        </w:r>
        <w:r w:rsidR="00626D47">
          <w:rPr>
            <w:noProof/>
            <w:webHidden/>
          </w:rPr>
        </w:r>
        <w:r w:rsidR="00626D47">
          <w:rPr>
            <w:noProof/>
            <w:webHidden/>
          </w:rPr>
          <w:fldChar w:fldCharType="separate"/>
        </w:r>
        <w:r w:rsidR="00E2070A">
          <w:rPr>
            <w:noProof/>
            <w:webHidden/>
          </w:rPr>
          <w:t>108</w:t>
        </w:r>
        <w:r w:rsidR="00626D47">
          <w:rPr>
            <w:noProof/>
            <w:webHidden/>
          </w:rPr>
          <w:fldChar w:fldCharType="end"/>
        </w:r>
      </w:hyperlink>
    </w:p>
    <w:p w:rsidR="00626D47" w:rsidRPr="00626D47" w:rsidRDefault="00626D47" w:rsidP="00626D47">
      <w:pPr>
        <w:rPr>
          <w:rFonts w:eastAsiaTheme="minorEastAsia"/>
          <w:b/>
        </w:rPr>
      </w:pPr>
      <w:r>
        <w:rPr>
          <w:rFonts w:eastAsiaTheme="minorEastAsia"/>
          <w:b/>
        </w:rPr>
        <w:t xml:space="preserve">Appendix 1: Chapter 2 Supplemental </w:t>
      </w:r>
    </w:p>
    <w:p w:rsidR="00626D47" w:rsidRDefault="004578F9">
      <w:pPr>
        <w:pStyle w:val="TableofFigures"/>
        <w:tabs>
          <w:tab w:val="right" w:leader="dot" w:pos="8486"/>
        </w:tabs>
        <w:rPr>
          <w:rFonts w:eastAsiaTheme="minorEastAsia" w:cstheme="minorBidi"/>
          <w:noProof/>
          <w:sz w:val="22"/>
          <w:szCs w:val="22"/>
          <w:lang w:bidi="ar-SA"/>
        </w:rPr>
      </w:pPr>
      <w:hyperlink w:anchor="_Toc530673959" w:history="1">
        <w:r w:rsidR="00626D47" w:rsidRPr="009251C9">
          <w:rPr>
            <w:rStyle w:val="Hyperlink"/>
            <w:noProof/>
          </w:rPr>
          <w:t>Figure 34.</w:t>
        </w:r>
        <w:r w:rsidR="00626D47">
          <w:rPr>
            <w:noProof/>
            <w:webHidden/>
          </w:rPr>
          <w:tab/>
        </w:r>
        <w:r w:rsidR="00626D47">
          <w:rPr>
            <w:noProof/>
            <w:webHidden/>
          </w:rPr>
          <w:fldChar w:fldCharType="begin"/>
        </w:r>
        <w:r w:rsidR="00626D47">
          <w:rPr>
            <w:noProof/>
            <w:webHidden/>
          </w:rPr>
          <w:instrText xml:space="preserve"> PAGEREF _Toc530673959 \h </w:instrText>
        </w:r>
        <w:r w:rsidR="00626D47">
          <w:rPr>
            <w:noProof/>
            <w:webHidden/>
          </w:rPr>
        </w:r>
        <w:r w:rsidR="00626D47">
          <w:rPr>
            <w:noProof/>
            <w:webHidden/>
          </w:rPr>
          <w:fldChar w:fldCharType="separate"/>
        </w:r>
        <w:r w:rsidR="00E2070A">
          <w:rPr>
            <w:noProof/>
            <w:webHidden/>
          </w:rPr>
          <w:t>158</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0" w:history="1">
        <w:r w:rsidR="00626D47" w:rsidRPr="009251C9">
          <w:rPr>
            <w:rStyle w:val="Hyperlink"/>
            <w:noProof/>
          </w:rPr>
          <w:t>Fig</w:t>
        </w:r>
        <w:r w:rsidR="00626D47">
          <w:rPr>
            <w:rStyle w:val="Hyperlink"/>
            <w:noProof/>
          </w:rPr>
          <w:t>ure 35</w:t>
        </w:r>
        <w:r w:rsidR="00626D47">
          <w:rPr>
            <w:noProof/>
            <w:webHidden/>
          </w:rPr>
          <w:tab/>
        </w:r>
        <w:r w:rsidR="00626D47">
          <w:rPr>
            <w:noProof/>
            <w:webHidden/>
          </w:rPr>
          <w:fldChar w:fldCharType="begin"/>
        </w:r>
        <w:r w:rsidR="00626D47">
          <w:rPr>
            <w:noProof/>
            <w:webHidden/>
          </w:rPr>
          <w:instrText xml:space="preserve"> PAGEREF _Toc530673960 \h </w:instrText>
        </w:r>
        <w:r w:rsidR="00626D47">
          <w:rPr>
            <w:noProof/>
            <w:webHidden/>
          </w:rPr>
        </w:r>
        <w:r w:rsidR="00626D47">
          <w:rPr>
            <w:noProof/>
            <w:webHidden/>
          </w:rPr>
          <w:fldChar w:fldCharType="separate"/>
        </w:r>
        <w:r w:rsidR="00E2070A">
          <w:rPr>
            <w:noProof/>
            <w:webHidden/>
          </w:rPr>
          <w:t>159</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1" w:history="1">
        <w:r w:rsidR="00626D47" w:rsidRPr="009251C9">
          <w:rPr>
            <w:rStyle w:val="Hyperlink"/>
            <w:noProof/>
          </w:rPr>
          <w:t>Figure 36</w:t>
        </w:r>
        <w:r w:rsidR="00626D47">
          <w:rPr>
            <w:noProof/>
            <w:webHidden/>
          </w:rPr>
          <w:tab/>
        </w:r>
        <w:r w:rsidR="00626D47">
          <w:rPr>
            <w:noProof/>
            <w:webHidden/>
          </w:rPr>
          <w:fldChar w:fldCharType="begin"/>
        </w:r>
        <w:r w:rsidR="00626D47">
          <w:rPr>
            <w:noProof/>
            <w:webHidden/>
          </w:rPr>
          <w:instrText xml:space="preserve"> PAGEREF _Toc530673961 \h </w:instrText>
        </w:r>
        <w:r w:rsidR="00626D47">
          <w:rPr>
            <w:noProof/>
            <w:webHidden/>
          </w:rPr>
        </w:r>
        <w:r w:rsidR="00626D47">
          <w:rPr>
            <w:noProof/>
            <w:webHidden/>
          </w:rPr>
          <w:fldChar w:fldCharType="separate"/>
        </w:r>
        <w:r w:rsidR="00E2070A">
          <w:rPr>
            <w:noProof/>
            <w:webHidden/>
          </w:rPr>
          <w:t>160</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2" w:history="1">
        <w:r w:rsidR="00626D47" w:rsidRPr="009251C9">
          <w:rPr>
            <w:rStyle w:val="Hyperlink"/>
            <w:noProof/>
          </w:rPr>
          <w:t>Figure 3</w:t>
        </w:r>
        <w:r w:rsidR="00626D47">
          <w:rPr>
            <w:rStyle w:val="Hyperlink"/>
            <w:noProof/>
          </w:rPr>
          <w:t>7</w:t>
        </w:r>
        <w:r w:rsidR="00626D47">
          <w:rPr>
            <w:noProof/>
            <w:webHidden/>
          </w:rPr>
          <w:tab/>
        </w:r>
        <w:r w:rsidR="00626D47">
          <w:rPr>
            <w:noProof/>
            <w:webHidden/>
          </w:rPr>
          <w:fldChar w:fldCharType="begin"/>
        </w:r>
        <w:r w:rsidR="00626D47">
          <w:rPr>
            <w:noProof/>
            <w:webHidden/>
          </w:rPr>
          <w:instrText xml:space="preserve"> PAGEREF _Toc530673962 \h </w:instrText>
        </w:r>
        <w:r w:rsidR="00626D47">
          <w:rPr>
            <w:noProof/>
            <w:webHidden/>
          </w:rPr>
        </w:r>
        <w:r w:rsidR="00626D47">
          <w:rPr>
            <w:noProof/>
            <w:webHidden/>
          </w:rPr>
          <w:fldChar w:fldCharType="separate"/>
        </w:r>
        <w:r w:rsidR="00E2070A">
          <w:rPr>
            <w:noProof/>
            <w:webHidden/>
          </w:rPr>
          <w:t>161</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3" w:history="1">
        <w:r w:rsidR="00626D47" w:rsidRPr="009251C9">
          <w:rPr>
            <w:rStyle w:val="Hyperlink"/>
            <w:noProof/>
          </w:rPr>
          <w:t>Figure 38</w:t>
        </w:r>
        <w:r w:rsidR="00626D47">
          <w:rPr>
            <w:noProof/>
            <w:webHidden/>
          </w:rPr>
          <w:tab/>
        </w:r>
        <w:r w:rsidR="00626D47">
          <w:rPr>
            <w:noProof/>
            <w:webHidden/>
          </w:rPr>
          <w:fldChar w:fldCharType="begin"/>
        </w:r>
        <w:r w:rsidR="00626D47">
          <w:rPr>
            <w:noProof/>
            <w:webHidden/>
          </w:rPr>
          <w:instrText xml:space="preserve"> PAGEREF _Toc530673963 \h </w:instrText>
        </w:r>
        <w:r w:rsidR="00626D47">
          <w:rPr>
            <w:noProof/>
            <w:webHidden/>
          </w:rPr>
        </w:r>
        <w:r w:rsidR="00626D47">
          <w:rPr>
            <w:noProof/>
            <w:webHidden/>
          </w:rPr>
          <w:fldChar w:fldCharType="separate"/>
        </w:r>
        <w:r w:rsidR="00E2070A">
          <w:rPr>
            <w:noProof/>
            <w:webHidden/>
          </w:rPr>
          <w:t>162</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4" w:history="1">
        <w:r w:rsidR="00626D47">
          <w:rPr>
            <w:rStyle w:val="Hyperlink"/>
            <w:noProof/>
          </w:rPr>
          <w:t>Figure 39</w:t>
        </w:r>
        <w:r w:rsidR="00626D47">
          <w:rPr>
            <w:noProof/>
            <w:webHidden/>
          </w:rPr>
          <w:tab/>
        </w:r>
        <w:r w:rsidR="00626D47">
          <w:rPr>
            <w:noProof/>
            <w:webHidden/>
          </w:rPr>
          <w:fldChar w:fldCharType="begin"/>
        </w:r>
        <w:r w:rsidR="00626D47">
          <w:rPr>
            <w:noProof/>
            <w:webHidden/>
          </w:rPr>
          <w:instrText xml:space="preserve"> PAGEREF _Toc530673964 \h </w:instrText>
        </w:r>
        <w:r w:rsidR="00626D47">
          <w:rPr>
            <w:noProof/>
            <w:webHidden/>
          </w:rPr>
        </w:r>
        <w:r w:rsidR="00626D47">
          <w:rPr>
            <w:noProof/>
            <w:webHidden/>
          </w:rPr>
          <w:fldChar w:fldCharType="separate"/>
        </w:r>
        <w:r w:rsidR="00E2070A">
          <w:rPr>
            <w:noProof/>
            <w:webHidden/>
          </w:rPr>
          <w:t>163</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5" w:history="1">
        <w:r w:rsidR="00626D47" w:rsidRPr="009251C9">
          <w:rPr>
            <w:rStyle w:val="Hyperlink"/>
            <w:noProof/>
          </w:rPr>
          <w:t>Figure 40.</w:t>
        </w:r>
        <w:r w:rsidR="00626D47">
          <w:rPr>
            <w:noProof/>
            <w:webHidden/>
          </w:rPr>
          <w:tab/>
        </w:r>
        <w:r w:rsidR="00626D47">
          <w:rPr>
            <w:noProof/>
            <w:webHidden/>
          </w:rPr>
          <w:fldChar w:fldCharType="begin"/>
        </w:r>
        <w:r w:rsidR="00626D47">
          <w:rPr>
            <w:noProof/>
            <w:webHidden/>
          </w:rPr>
          <w:instrText xml:space="preserve"> PAGEREF _Toc530673965 \h </w:instrText>
        </w:r>
        <w:r w:rsidR="00626D47">
          <w:rPr>
            <w:noProof/>
            <w:webHidden/>
          </w:rPr>
        </w:r>
        <w:r w:rsidR="00626D47">
          <w:rPr>
            <w:noProof/>
            <w:webHidden/>
          </w:rPr>
          <w:fldChar w:fldCharType="separate"/>
        </w:r>
        <w:r w:rsidR="00E2070A">
          <w:rPr>
            <w:noProof/>
            <w:webHidden/>
          </w:rPr>
          <w:t>164</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6" w:history="1">
        <w:r w:rsidR="00626D47" w:rsidRPr="009251C9">
          <w:rPr>
            <w:rStyle w:val="Hyperlink"/>
            <w:noProof/>
          </w:rPr>
          <w:t>Figure 41</w:t>
        </w:r>
        <w:r w:rsidR="00626D47">
          <w:rPr>
            <w:noProof/>
            <w:webHidden/>
          </w:rPr>
          <w:tab/>
        </w:r>
        <w:r w:rsidR="00626D47">
          <w:rPr>
            <w:noProof/>
            <w:webHidden/>
          </w:rPr>
          <w:fldChar w:fldCharType="begin"/>
        </w:r>
        <w:r w:rsidR="00626D47">
          <w:rPr>
            <w:noProof/>
            <w:webHidden/>
          </w:rPr>
          <w:instrText xml:space="preserve"> PAGEREF _Toc530673966 \h </w:instrText>
        </w:r>
        <w:r w:rsidR="00626D47">
          <w:rPr>
            <w:noProof/>
            <w:webHidden/>
          </w:rPr>
        </w:r>
        <w:r w:rsidR="00626D47">
          <w:rPr>
            <w:noProof/>
            <w:webHidden/>
          </w:rPr>
          <w:fldChar w:fldCharType="separate"/>
        </w:r>
        <w:r w:rsidR="00E2070A">
          <w:rPr>
            <w:noProof/>
            <w:webHidden/>
          </w:rPr>
          <w:t>165</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7" w:history="1">
        <w:r w:rsidR="00626D47" w:rsidRPr="009251C9">
          <w:rPr>
            <w:rStyle w:val="Hyperlink"/>
            <w:noProof/>
          </w:rPr>
          <w:t>Figure 42</w:t>
        </w:r>
        <w:r w:rsidR="00626D47">
          <w:rPr>
            <w:noProof/>
            <w:webHidden/>
          </w:rPr>
          <w:tab/>
        </w:r>
        <w:r w:rsidR="00626D47">
          <w:rPr>
            <w:noProof/>
            <w:webHidden/>
          </w:rPr>
          <w:fldChar w:fldCharType="begin"/>
        </w:r>
        <w:r w:rsidR="00626D47">
          <w:rPr>
            <w:noProof/>
            <w:webHidden/>
          </w:rPr>
          <w:instrText xml:space="preserve"> PAGEREF _Toc530673967 \h </w:instrText>
        </w:r>
        <w:r w:rsidR="00626D47">
          <w:rPr>
            <w:noProof/>
            <w:webHidden/>
          </w:rPr>
        </w:r>
        <w:r w:rsidR="00626D47">
          <w:rPr>
            <w:noProof/>
            <w:webHidden/>
          </w:rPr>
          <w:fldChar w:fldCharType="separate"/>
        </w:r>
        <w:r w:rsidR="00E2070A">
          <w:rPr>
            <w:noProof/>
            <w:webHidden/>
          </w:rPr>
          <w:t>166</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8" w:history="1">
        <w:r w:rsidR="00626D47" w:rsidRPr="009251C9">
          <w:rPr>
            <w:rStyle w:val="Hyperlink"/>
            <w:noProof/>
          </w:rPr>
          <w:t>Figure 43</w:t>
        </w:r>
        <w:r w:rsidR="00626D47">
          <w:rPr>
            <w:noProof/>
            <w:webHidden/>
          </w:rPr>
          <w:tab/>
        </w:r>
        <w:r w:rsidR="00626D47">
          <w:rPr>
            <w:noProof/>
            <w:webHidden/>
          </w:rPr>
          <w:fldChar w:fldCharType="begin"/>
        </w:r>
        <w:r w:rsidR="00626D47">
          <w:rPr>
            <w:noProof/>
            <w:webHidden/>
          </w:rPr>
          <w:instrText xml:space="preserve"> PAGEREF _Toc530673968 \h </w:instrText>
        </w:r>
        <w:r w:rsidR="00626D47">
          <w:rPr>
            <w:noProof/>
            <w:webHidden/>
          </w:rPr>
        </w:r>
        <w:r w:rsidR="00626D47">
          <w:rPr>
            <w:noProof/>
            <w:webHidden/>
          </w:rPr>
          <w:fldChar w:fldCharType="separate"/>
        </w:r>
        <w:r w:rsidR="00E2070A">
          <w:rPr>
            <w:noProof/>
            <w:webHidden/>
          </w:rPr>
          <w:t>167</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69" w:history="1">
        <w:r w:rsidR="00626D47" w:rsidRPr="009251C9">
          <w:rPr>
            <w:rStyle w:val="Hyperlink"/>
            <w:noProof/>
          </w:rPr>
          <w:t>Figure 44.</w:t>
        </w:r>
        <w:r w:rsidR="00626D47">
          <w:rPr>
            <w:noProof/>
            <w:webHidden/>
          </w:rPr>
          <w:tab/>
        </w:r>
        <w:r w:rsidR="00626D47">
          <w:rPr>
            <w:noProof/>
            <w:webHidden/>
          </w:rPr>
          <w:fldChar w:fldCharType="begin"/>
        </w:r>
        <w:r w:rsidR="00626D47">
          <w:rPr>
            <w:noProof/>
            <w:webHidden/>
          </w:rPr>
          <w:instrText xml:space="preserve"> PAGEREF _Toc530673969 \h </w:instrText>
        </w:r>
        <w:r w:rsidR="00626D47">
          <w:rPr>
            <w:noProof/>
            <w:webHidden/>
          </w:rPr>
        </w:r>
        <w:r w:rsidR="00626D47">
          <w:rPr>
            <w:noProof/>
            <w:webHidden/>
          </w:rPr>
          <w:fldChar w:fldCharType="separate"/>
        </w:r>
        <w:r w:rsidR="00E2070A">
          <w:rPr>
            <w:noProof/>
            <w:webHidden/>
          </w:rPr>
          <w:t>168</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70" w:history="1">
        <w:r w:rsidR="00626D47" w:rsidRPr="009251C9">
          <w:rPr>
            <w:rStyle w:val="Hyperlink"/>
            <w:noProof/>
          </w:rPr>
          <w:t>Figure 45.</w:t>
        </w:r>
        <w:r w:rsidR="00626D47">
          <w:rPr>
            <w:noProof/>
            <w:webHidden/>
          </w:rPr>
          <w:tab/>
        </w:r>
        <w:r w:rsidR="00626D47">
          <w:rPr>
            <w:noProof/>
            <w:webHidden/>
          </w:rPr>
          <w:fldChar w:fldCharType="begin"/>
        </w:r>
        <w:r w:rsidR="00626D47">
          <w:rPr>
            <w:noProof/>
            <w:webHidden/>
          </w:rPr>
          <w:instrText xml:space="preserve"> PAGEREF _Toc530673970 \h </w:instrText>
        </w:r>
        <w:r w:rsidR="00626D47">
          <w:rPr>
            <w:noProof/>
            <w:webHidden/>
          </w:rPr>
        </w:r>
        <w:r w:rsidR="00626D47">
          <w:rPr>
            <w:noProof/>
            <w:webHidden/>
          </w:rPr>
          <w:fldChar w:fldCharType="separate"/>
        </w:r>
        <w:r w:rsidR="00E2070A">
          <w:rPr>
            <w:noProof/>
            <w:webHidden/>
          </w:rPr>
          <w:t>169</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71" w:history="1">
        <w:r w:rsidR="00626D47" w:rsidRPr="009251C9">
          <w:rPr>
            <w:rStyle w:val="Hyperlink"/>
            <w:noProof/>
          </w:rPr>
          <w:t>Figure 46</w:t>
        </w:r>
        <w:r w:rsidR="00626D47">
          <w:rPr>
            <w:noProof/>
            <w:webHidden/>
          </w:rPr>
          <w:tab/>
        </w:r>
        <w:r w:rsidR="00626D47">
          <w:rPr>
            <w:noProof/>
            <w:webHidden/>
          </w:rPr>
          <w:fldChar w:fldCharType="begin"/>
        </w:r>
        <w:r w:rsidR="00626D47">
          <w:rPr>
            <w:noProof/>
            <w:webHidden/>
          </w:rPr>
          <w:instrText xml:space="preserve"> PAGEREF _Toc530673971 \h </w:instrText>
        </w:r>
        <w:r w:rsidR="00626D47">
          <w:rPr>
            <w:noProof/>
            <w:webHidden/>
          </w:rPr>
        </w:r>
        <w:r w:rsidR="00626D47">
          <w:rPr>
            <w:noProof/>
            <w:webHidden/>
          </w:rPr>
          <w:fldChar w:fldCharType="separate"/>
        </w:r>
        <w:r w:rsidR="00E2070A">
          <w:rPr>
            <w:noProof/>
            <w:webHidden/>
          </w:rPr>
          <w:t>170</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72" w:history="1">
        <w:r w:rsidR="00626D47">
          <w:rPr>
            <w:rStyle w:val="Hyperlink"/>
            <w:noProof/>
          </w:rPr>
          <w:t>Figure 47</w:t>
        </w:r>
        <w:r w:rsidR="00626D47">
          <w:rPr>
            <w:noProof/>
            <w:webHidden/>
          </w:rPr>
          <w:tab/>
        </w:r>
        <w:r w:rsidR="00626D47">
          <w:rPr>
            <w:noProof/>
            <w:webHidden/>
          </w:rPr>
          <w:fldChar w:fldCharType="begin"/>
        </w:r>
        <w:r w:rsidR="00626D47">
          <w:rPr>
            <w:noProof/>
            <w:webHidden/>
          </w:rPr>
          <w:instrText xml:space="preserve"> PAGEREF _Toc530673972 \h </w:instrText>
        </w:r>
        <w:r w:rsidR="00626D47">
          <w:rPr>
            <w:noProof/>
            <w:webHidden/>
          </w:rPr>
        </w:r>
        <w:r w:rsidR="00626D47">
          <w:rPr>
            <w:noProof/>
            <w:webHidden/>
          </w:rPr>
          <w:fldChar w:fldCharType="separate"/>
        </w:r>
        <w:r w:rsidR="00E2070A">
          <w:rPr>
            <w:noProof/>
            <w:webHidden/>
          </w:rPr>
          <w:t>171</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73" w:history="1">
        <w:r w:rsidR="00626D47" w:rsidRPr="009251C9">
          <w:rPr>
            <w:rStyle w:val="Hyperlink"/>
            <w:noProof/>
          </w:rPr>
          <w:t>Figure 48</w:t>
        </w:r>
        <w:r w:rsidR="00626D47">
          <w:rPr>
            <w:noProof/>
            <w:webHidden/>
          </w:rPr>
          <w:tab/>
        </w:r>
        <w:r w:rsidR="00626D47">
          <w:rPr>
            <w:noProof/>
            <w:webHidden/>
          </w:rPr>
          <w:fldChar w:fldCharType="begin"/>
        </w:r>
        <w:r w:rsidR="00626D47">
          <w:rPr>
            <w:noProof/>
            <w:webHidden/>
          </w:rPr>
          <w:instrText xml:space="preserve"> PAGEREF _Toc530673973 \h </w:instrText>
        </w:r>
        <w:r w:rsidR="00626D47">
          <w:rPr>
            <w:noProof/>
            <w:webHidden/>
          </w:rPr>
        </w:r>
        <w:r w:rsidR="00626D47">
          <w:rPr>
            <w:noProof/>
            <w:webHidden/>
          </w:rPr>
          <w:fldChar w:fldCharType="separate"/>
        </w:r>
        <w:r w:rsidR="00E2070A">
          <w:rPr>
            <w:noProof/>
            <w:webHidden/>
          </w:rPr>
          <w:t>172</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74" w:history="1">
        <w:r w:rsidR="00626D47" w:rsidRPr="009251C9">
          <w:rPr>
            <w:rStyle w:val="Hyperlink"/>
            <w:noProof/>
          </w:rPr>
          <w:t>Figure 49.</w:t>
        </w:r>
        <w:r w:rsidR="00626D47">
          <w:rPr>
            <w:noProof/>
            <w:webHidden/>
          </w:rPr>
          <w:tab/>
        </w:r>
        <w:r w:rsidR="00626D47">
          <w:rPr>
            <w:noProof/>
            <w:webHidden/>
          </w:rPr>
          <w:fldChar w:fldCharType="begin"/>
        </w:r>
        <w:r w:rsidR="00626D47">
          <w:rPr>
            <w:noProof/>
            <w:webHidden/>
          </w:rPr>
          <w:instrText xml:space="preserve"> PAGEREF _Toc530673974 \h </w:instrText>
        </w:r>
        <w:r w:rsidR="00626D47">
          <w:rPr>
            <w:noProof/>
            <w:webHidden/>
          </w:rPr>
        </w:r>
        <w:r w:rsidR="00626D47">
          <w:rPr>
            <w:noProof/>
            <w:webHidden/>
          </w:rPr>
          <w:fldChar w:fldCharType="separate"/>
        </w:r>
        <w:r w:rsidR="00E2070A">
          <w:rPr>
            <w:noProof/>
            <w:webHidden/>
          </w:rPr>
          <w:t>173</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75" w:history="1">
        <w:r w:rsidR="00626D47">
          <w:rPr>
            <w:rStyle w:val="Hyperlink"/>
            <w:noProof/>
          </w:rPr>
          <w:t>Figure 50</w:t>
        </w:r>
        <w:r w:rsidR="00626D47">
          <w:rPr>
            <w:noProof/>
            <w:webHidden/>
          </w:rPr>
          <w:tab/>
        </w:r>
        <w:r w:rsidR="00626D47">
          <w:rPr>
            <w:noProof/>
            <w:webHidden/>
          </w:rPr>
          <w:fldChar w:fldCharType="begin"/>
        </w:r>
        <w:r w:rsidR="00626D47">
          <w:rPr>
            <w:noProof/>
            <w:webHidden/>
          </w:rPr>
          <w:instrText xml:space="preserve"> PAGEREF _Toc530673975 \h </w:instrText>
        </w:r>
        <w:r w:rsidR="00626D47">
          <w:rPr>
            <w:noProof/>
            <w:webHidden/>
          </w:rPr>
        </w:r>
        <w:r w:rsidR="00626D47">
          <w:rPr>
            <w:noProof/>
            <w:webHidden/>
          </w:rPr>
          <w:fldChar w:fldCharType="separate"/>
        </w:r>
        <w:r w:rsidR="00E2070A">
          <w:rPr>
            <w:noProof/>
            <w:webHidden/>
          </w:rPr>
          <w:t>174</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76" w:history="1">
        <w:r w:rsidR="00626D47" w:rsidRPr="009251C9">
          <w:rPr>
            <w:rStyle w:val="Hyperlink"/>
            <w:noProof/>
          </w:rPr>
          <w:t>Figure 51</w:t>
        </w:r>
        <w:r w:rsidR="00626D47">
          <w:rPr>
            <w:noProof/>
            <w:webHidden/>
          </w:rPr>
          <w:tab/>
        </w:r>
        <w:r w:rsidR="00626D47">
          <w:rPr>
            <w:noProof/>
            <w:webHidden/>
          </w:rPr>
          <w:fldChar w:fldCharType="begin"/>
        </w:r>
        <w:r w:rsidR="00626D47">
          <w:rPr>
            <w:noProof/>
            <w:webHidden/>
          </w:rPr>
          <w:instrText xml:space="preserve"> PAGEREF _Toc530673976 \h </w:instrText>
        </w:r>
        <w:r w:rsidR="00626D47">
          <w:rPr>
            <w:noProof/>
            <w:webHidden/>
          </w:rPr>
        </w:r>
        <w:r w:rsidR="00626D47">
          <w:rPr>
            <w:noProof/>
            <w:webHidden/>
          </w:rPr>
          <w:fldChar w:fldCharType="separate"/>
        </w:r>
        <w:r w:rsidR="00E2070A">
          <w:rPr>
            <w:noProof/>
            <w:webHidden/>
          </w:rPr>
          <w:t>175</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r:id="rId12" w:anchor="_Toc530673977" w:history="1">
        <w:r w:rsidR="00626D47" w:rsidRPr="009251C9">
          <w:rPr>
            <w:rStyle w:val="Hyperlink"/>
            <w:noProof/>
          </w:rPr>
          <w:t>Figure 52</w:t>
        </w:r>
        <w:r w:rsidR="00626D47">
          <w:rPr>
            <w:noProof/>
            <w:webHidden/>
          </w:rPr>
          <w:tab/>
        </w:r>
        <w:r w:rsidR="00626D47">
          <w:rPr>
            <w:noProof/>
            <w:webHidden/>
          </w:rPr>
          <w:fldChar w:fldCharType="begin"/>
        </w:r>
        <w:r w:rsidR="00626D47">
          <w:rPr>
            <w:noProof/>
            <w:webHidden/>
          </w:rPr>
          <w:instrText xml:space="preserve"> PAGEREF _Toc530673977 \h </w:instrText>
        </w:r>
        <w:r w:rsidR="00626D47">
          <w:rPr>
            <w:noProof/>
            <w:webHidden/>
          </w:rPr>
        </w:r>
        <w:r w:rsidR="00626D47">
          <w:rPr>
            <w:noProof/>
            <w:webHidden/>
          </w:rPr>
          <w:fldChar w:fldCharType="separate"/>
        </w:r>
        <w:r w:rsidR="00E2070A">
          <w:rPr>
            <w:noProof/>
            <w:webHidden/>
          </w:rPr>
          <w:t>176</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r:id="rId13" w:anchor="_Toc530673978" w:history="1">
        <w:r w:rsidR="00626D47" w:rsidRPr="009251C9">
          <w:rPr>
            <w:rStyle w:val="Hyperlink"/>
            <w:noProof/>
          </w:rPr>
          <w:t>Figure 53</w:t>
        </w:r>
        <w:r w:rsidR="00626D47">
          <w:rPr>
            <w:noProof/>
            <w:webHidden/>
          </w:rPr>
          <w:tab/>
        </w:r>
        <w:r w:rsidR="00626D47">
          <w:rPr>
            <w:noProof/>
            <w:webHidden/>
          </w:rPr>
          <w:fldChar w:fldCharType="begin"/>
        </w:r>
        <w:r w:rsidR="00626D47">
          <w:rPr>
            <w:noProof/>
            <w:webHidden/>
          </w:rPr>
          <w:instrText xml:space="preserve"> PAGEREF _Toc530673978 \h </w:instrText>
        </w:r>
        <w:r w:rsidR="00626D47">
          <w:rPr>
            <w:noProof/>
            <w:webHidden/>
          </w:rPr>
        </w:r>
        <w:r w:rsidR="00626D47">
          <w:rPr>
            <w:noProof/>
            <w:webHidden/>
          </w:rPr>
          <w:fldChar w:fldCharType="separate"/>
        </w:r>
        <w:r w:rsidR="00E2070A">
          <w:rPr>
            <w:noProof/>
            <w:webHidden/>
          </w:rPr>
          <w:t>176</w:t>
        </w:r>
        <w:r w:rsidR="00626D47">
          <w:rPr>
            <w:noProof/>
            <w:webHidden/>
          </w:rPr>
          <w:fldChar w:fldCharType="end"/>
        </w:r>
      </w:hyperlink>
    </w:p>
    <w:p w:rsidR="00626D47" w:rsidRDefault="004578F9">
      <w:pPr>
        <w:pStyle w:val="TableofFigures"/>
        <w:tabs>
          <w:tab w:val="right" w:leader="dot" w:pos="8486"/>
        </w:tabs>
        <w:rPr>
          <w:rStyle w:val="Hyperlink"/>
          <w:noProof/>
        </w:rPr>
      </w:pPr>
      <w:hyperlink w:anchor="_Toc530673979" w:history="1">
        <w:r w:rsidR="00626D47" w:rsidRPr="009251C9">
          <w:rPr>
            <w:rStyle w:val="Hyperlink"/>
            <w:noProof/>
          </w:rPr>
          <w:t>Figure 54</w:t>
        </w:r>
        <w:r w:rsidR="00626D47">
          <w:rPr>
            <w:noProof/>
            <w:webHidden/>
          </w:rPr>
          <w:tab/>
        </w:r>
        <w:r w:rsidR="00626D47">
          <w:rPr>
            <w:noProof/>
            <w:webHidden/>
          </w:rPr>
          <w:fldChar w:fldCharType="begin"/>
        </w:r>
        <w:r w:rsidR="00626D47">
          <w:rPr>
            <w:noProof/>
            <w:webHidden/>
          </w:rPr>
          <w:instrText xml:space="preserve"> PAGEREF _Toc530673979 \h </w:instrText>
        </w:r>
        <w:r w:rsidR="00626D47">
          <w:rPr>
            <w:noProof/>
            <w:webHidden/>
          </w:rPr>
        </w:r>
        <w:r w:rsidR="00626D47">
          <w:rPr>
            <w:noProof/>
            <w:webHidden/>
          </w:rPr>
          <w:fldChar w:fldCharType="separate"/>
        </w:r>
        <w:r w:rsidR="00E2070A">
          <w:rPr>
            <w:noProof/>
            <w:webHidden/>
          </w:rPr>
          <w:t>177</w:t>
        </w:r>
        <w:r w:rsidR="00626D47">
          <w:rPr>
            <w:noProof/>
            <w:webHidden/>
          </w:rPr>
          <w:fldChar w:fldCharType="end"/>
        </w:r>
      </w:hyperlink>
    </w:p>
    <w:p w:rsidR="00626D47" w:rsidRPr="00626D47" w:rsidRDefault="00626D47" w:rsidP="00626D47">
      <w:pPr>
        <w:rPr>
          <w:rFonts w:eastAsiaTheme="minorEastAsia"/>
          <w:b/>
        </w:rPr>
      </w:pPr>
      <w:r>
        <w:rPr>
          <w:rFonts w:eastAsiaTheme="minorEastAsia"/>
          <w:b/>
        </w:rPr>
        <w:t>Appendix 2: Chapter 3 Supplemental</w:t>
      </w:r>
    </w:p>
    <w:p w:rsidR="00626D47" w:rsidRDefault="004578F9">
      <w:pPr>
        <w:pStyle w:val="TableofFigures"/>
        <w:tabs>
          <w:tab w:val="right" w:leader="dot" w:pos="8486"/>
        </w:tabs>
        <w:rPr>
          <w:rFonts w:eastAsiaTheme="minorEastAsia" w:cstheme="minorBidi"/>
          <w:noProof/>
          <w:sz w:val="22"/>
          <w:szCs w:val="22"/>
          <w:lang w:bidi="ar-SA"/>
        </w:rPr>
      </w:pPr>
      <w:hyperlink w:anchor="_Toc530673980" w:history="1">
        <w:r w:rsidR="00626D47">
          <w:rPr>
            <w:rStyle w:val="Hyperlink"/>
            <w:noProof/>
          </w:rPr>
          <w:t>Figure 55</w:t>
        </w:r>
        <w:r w:rsidR="00626D47" w:rsidRPr="009251C9">
          <w:rPr>
            <w:rStyle w:val="Hyperlink"/>
            <w:noProof/>
          </w:rPr>
          <w:t>.</w:t>
        </w:r>
        <w:r w:rsidR="00626D47">
          <w:rPr>
            <w:noProof/>
            <w:webHidden/>
          </w:rPr>
          <w:tab/>
        </w:r>
        <w:r w:rsidR="00626D47">
          <w:rPr>
            <w:noProof/>
            <w:webHidden/>
          </w:rPr>
          <w:fldChar w:fldCharType="begin"/>
        </w:r>
        <w:r w:rsidR="00626D47">
          <w:rPr>
            <w:noProof/>
            <w:webHidden/>
          </w:rPr>
          <w:instrText xml:space="preserve"> PAGEREF _Toc530673980 \h </w:instrText>
        </w:r>
        <w:r w:rsidR="00626D47">
          <w:rPr>
            <w:noProof/>
            <w:webHidden/>
          </w:rPr>
        </w:r>
        <w:r w:rsidR="00626D47">
          <w:rPr>
            <w:noProof/>
            <w:webHidden/>
          </w:rPr>
          <w:fldChar w:fldCharType="separate"/>
        </w:r>
        <w:r w:rsidR="00E2070A">
          <w:rPr>
            <w:noProof/>
            <w:webHidden/>
          </w:rPr>
          <w:t>178</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81" w:history="1">
        <w:r w:rsidR="00626D47">
          <w:rPr>
            <w:rStyle w:val="Hyperlink"/>
            <w:noProof/>
          </w:rPr>
          <w:t>Figure 56</w:t>
        </w:r>
        <w:r w:rsidR="00626D47">
          <w:rPr>
            <w:noProof/>
            <w:webHidden/>
          </w:rPr>
          <w:tab/>
        </w:r>
        <w:r w:rsidR="00626D47">
          <w:rPr>
            <w:noProof/>
            <w:webHidden/>
          </w:rPr>
          <w:fldChar w:fldCharType="begin"/>
        </w:r>
        <w:r w:rsidR="00626D47">
          <w:rPr>
            <w:noProof/>
            <w:webHidden/>
          </w:rPr>
          <w:instrText xml:space="preserve"> PAGEREF _Toc530673981 \h </w:instrText>
        </w:r>
        <w:r w:rsidR="00626D47">
          <w:rPr>
            <w:noProof/>
            <w:webHidden/>
          </w:rPr>
        </w:r>
        <w:r w:rsidR="00626D47">
          <w:rPr>
            <w:noProof/>
            <w:webHidden/>
          </w:rPr>
          <w:fldChar w:fldCharType="separate"/>
        </w:r>
        <w:r w:rsidR="00E2070A">
          <w:rPr>
            <w:noProof/>
            <w:webHidden/>
          </w:rPr>
          <w:t>179</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82" w:history="1">
        <w:r w:rsidR="00626D47">
          <w:rPr>
            <w:rStyle w:val="Hyperlink"/>
            <w:noProof/>
          </w:rPr>
          <w:t>Figure 57</w:t>
        </w:r>
        <w:r w:rsidR="00626D47">
          <w:rPr>
            <w:noProof/>
            <w:webHidden/>
          </w:rPr>
          <w:tab/>
        </w:r>
        <w:r w:rsidR="00626D47">
          <w:rPr>
            <w:noProof/>
            <w:webHidden/>
          </w:rPr>
          <w:fldChar w:fldCharType="begin"/>
        </w:r>
        <w:r w:rsidR="00626D47">
          <w:rPr>
            <w:noProof/>
            <w:webHidden/>
          </w:rPr>
          <w:instrText xml:space="preserve"> PAGEREF _Toc530673982 \h </w:instrText>
        </w:r>
        <w:r w:rsidR="00626D47">
          <w:rPr>
            <w:noProof/>
            <w:webHidden/>
          </w:rPr>
        </w:r>
        <w:r w:rsidR="00626D47">
          <w:rPr>
            <w:noProof/>
            <w:webHidden/>
          </w:rPr>
          <w:fldChar w:fldCharType="separate"/>
        </w:r>
        <w:r w:rsidR="00E2070A">
          <w:rPr>
            <w:noProof/>
            <w:webHidden/>
          </w:rPr>
          <w:t>180</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83" w:history="1">
        <w:r w:rsidR="00626D47" w:rsidRPr="009251C9">
          <w:rPr>
            <w:rStyle w:val="Hyperlink"/>
            <w:noProof/>
          </w:rPr>
          <w:t xml:space="preserve">Figure </w:t>
        </w:r>
        <w:r w:rsidR="00626D47">
          <w:rPr>
            <w:rStyle w:val="Hyperlink"/>
            <w:noProof/>
          </w:rPr>
          <w:t>58:</w:t>
        </w:r>
        <w:r w:rsidR="00626D47">
          <w:rPr>
            <w:noProof/>
            <w:webHidden/>
          </w:rPr>
          <w:tab/>
        </w:r>
        <w:r w:rsidR="00626D47">
          <w:rPr>
            <w:noProof/>
            <w:webHidden/>
          </w:rPr>
          <w:fldChar w:fldCharType="begin"/>
        </w:r>
        <w:r w:rsidR="00626D47">
          <w:rPr>
            <w:noProof/>
            <w:webHidden/>
          </w:rPr>
          <w:instrText xml:space="preserve"> PAGEREF _Toc530673983 \h </w:instrText>
        </w:r>
        <w:r w:rsidR="00626D47">
          <w:rPr>
            <w:noProof/>
            <w:webHidden/>
          </w:rPr>
        </w:r>
        <w:r w:rsidR="00626D47">
          <w:rPr>
            <w:noProof/>
            <w:webHidden/>
          </w:rPr>
          <w:fldChar w:fldCharType="separate"/>
        </w:r>
        <w:r w:rsidR="00E2070A">
          <w:rPr>
            <w:noProof/>
            <w:webHidden/>
          </w:rPr>
          <w:t>181</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84" w:history="1">
        <w:r w:rsidR="00626D47">
          <w:rPr>
            <w:rStyle w:val="Hyperlink"/>
            <w:noProof/>
          </w:rPr>
          <w:t>Figure 59</w:t>
        </w:r>
        <w:r w:rsidR="00626D47">
          <w:rPr>
            <w:noProof/>
            <w:webHidden/>
          </w:rPr>
          <w:tab/>
        </w:r>
        <w:r w:rsidR="00626D47">
          <w:rPr>
            <w:noProof/>
            <w:webHidden/>
          </w:rPr>
          <w:fldChar w:fldCharType="begin"/>
        </w:r>
        <w:r w:rsidR="00626D47">
          <w:rPr>
            <w:noProof/>
            <w:webHidden/>
          </w:rPr>
          <w:instrText xml:space="preserve"> PAGEREF _Toc530673984 \h </w:instrText>
        </w:r>
        <w:r w:rsidR="00626D47">
          <w:rPr>
            <w:noProof/>
            <w:webHidden/>
          </w:rPr>
        </w:r>
        <w:r w:rsidR="00626D47">
          <w:rPr>
            <w:noProof/>
            <w:webHidden/>
          </w:rPr>
          <w:fldChar w:fldCharType="separate"/>
        </w:r>
        <w:r w:rsidR="00E2070A">
          <w:rPr>
            <w:noProof/>
            <w:webHidden/>
          </w:rPr>
          <w:t>182</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85" w:history="1">
        <w:r w:rsidR="00626D47" w:rsidRPr="009251C9">
          <w:rPr>
            <w:rStyle w:val="Hyperlink"/>
            <w:noProof/>
          </w:rPr>
          <w:t>Fi</w:t>
        </w:r>
        <w:r w:rsidR="00626D47">
          <w:rPr>
            <w:rStyle w:val="Hyperlink"/>
            <w:noProof/>
          </w:rPr>
          <w:t>gure 60</w:t>
        </w:r>
        <w:r w:rsidR="00626D47">
          <w:rPr>
            <w:noProof/>
            <w:webHidden/>
          </w:rPr>
          <w:tab/>
        </w:r>
        <w:r w:rsidR="00626D47">
          <w:rPr>
            <w:noProof/>
            <w:webHidden/>
          </w:rPr>
          <w:fldChar w:fldCharType="begin"/>
        </w:r>
        <w:r w:rsidR="00626D47">
          <w:rPr>
            <w:noProof/>
            <w:webHidden/>
          </w:rPr>
          <w:instrText xml:space="preserve"> PAGEREF _Toc530673985 \h </w:instrText>
        </w:r>
        <w:r w:rsidR="00626D47">
          <w:rPr>
            <w:noProof/>
            <w:webHidden/>
          </w:rPr>
        </w:r>
        <w:r w:rsidR="00626D47">
          <w:rPr>
            <w:noProof/>
            <w:webHidden/>
          </w:rPr>
          <w:fldChar w:fldCharType="separate"/>
        </w:r>
        <w:r w:rsidR="00E2070A">
          <w:rPr>
            <w:noProof/>
            <w:webHidden/>
          </w:rPr>
          <w:t>183</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86" w:history="1">
        <w:r w:rsidR="00626D47" w:rsidRPr="009251C9">
          <w:rPr>
            <w:rStyle w:val="Hyperlink"/>
            <w:noProof/>
          </w:rPr>
          <w:t>Figure 61</w:t>
        </w:r>
        <w:r w:rsidR="00626D47">
          <w:rPr>
            <w:noProof/>
            <w:webHidden/>
          </w:rPr>
          <w:tab/>
        </w:r>
        <w:r w:rsidR="00626D47">
          <w:rPr>
            <w:noProof/>
            <w:webHidden/>
          </w:rPr>
          <w:fldChar w:fldCharType="begin"/>
        </w:r>
        <w:r w:rsidR="00626D47">
          <w:rPr>
            <w:noProof/>
            <w:webHidden/>
          </w:rPr>
          <w:instrText xml:space="preserve"> PAGEREF _Toc530673986 \h </w:instrText>
        </w:r>
        <w:r w:rsidR="00626D47">
          <w:rPr>
            <w:noProof/>
            <w:webHidden/>
          </w:rPr>
        </w:r>
        <w:r w:rsidR="00626D47">
          <w:rPr>
            <w:noProof/>
            <w:webHidden/>
          </w:rPr>
          <w:fldChar w:fldCharType="separate"/>
        </w:r>
        <w:r w:rsidR="00E2070A">
          <w:rPr>
            <w:noProof/>
            <w:webHidden/>
          </w:rPr>
          <w:t>184</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r:id="rId14" w:anchor="_Toc530673987" w:history="1">
        <w:r w:rsidR="00626D47">
          <w:rPr>
            <w:rStyle w:val="Hyperlink"/>
            <w:noProof/>
          </w:rPr>
          <w:t>Figure 62</w:t>
        </w:r>
        <w:r w:rsidR="00626D47">
          <w:rPr>
            <w:noProof/>
            <w:webHidden/>
          </w:rPr>
          <w:tab/>
        </w:r>
        <w:r w:rsidR="00626D47">
          <w:rPr>
            <w:noProof/>
            <w:webHidden/>
          </w:rPr>
          <w:fldChar w:fldCharType="begin"/>
        </w:r>
        <w:r w:rsidR="00626D47">
          <w:rPr>
            <w:noProof/>
            <w:webHidden/>
          </w:rPr>
          <w:instrText xml:space="preserve"> PAGEREF _Toc530673987 \h </w:instrText>
        </w:r>
        <w:r w:rsidR="00626D47">
          <w:rPr>
            <w:noProof/>
            <w:webHidden/>
          </w:rPr>
        </w:r>
        <w:r w:rsidR="00626D47">
          <w:rPr>
            <w:noProof/>
            <w:webHidden/>
          </w:rPr>
          <w:fldChar w:fldCharType="separate"/>
        </w:r>
        <w:r w:rsidR="00E2070A">
          <w:rPr>
            <w:noProof/>
            <w:webHidden/>
          </w:rPr>
          <w:t>185</w:t>
        </w:r>
        <w:r w:rsidR="00626D47">
          <w:rPr>
            <w:noProof/>
            <w:webHidden/>
          </w:rPr>
          <w:fldChar w:fldCharType="end"/>
        </w:r>
      </w:hyperlink>
    </w:p>
    <w:p w:rsidR="00626D47" w:rsidRDefault="004578F9">
      <w:pPr>
        <w:pStyle w:val="TableofFigures"/>
        <w:tabs>
          <w:tab w:val="right" w:leader="dot" w:pos="8486"/>
        </w:tabs>
        <w:rPr>
          <w:rStyle w:val="Hyperlink"/>
          <w:noProof/>
        </w:rPr>
      </w:pPr>
      <w:hyperlink r:id="rId15" w:anchor="_Toc530673988" w:history="1">
        <w:r w:rsidR="00626D47" w:rsidRPr="009251C9">
          <w:rPr>
            <w:rStyle w:val="Hyperlink"/>
            <w:noProof/>
          </w:rPr>
          <w:t>Figur</w:t>
        </w:r>
        <w:r w:rsidR="00626D47">
          <w:rPr>
            <w:rStyle w:val="Hyperlink"/>
            <w:noProof/>
          </w:rPr>
          <w:t>e 63</w:t>
        </w:r>
        <w:r w:rsidR="00626D47">
          <w:rPr>
            <w:noProof/>
            <w:webHidden/>
          </w:rPr>
          <w:tab/>
        </w:r>
        <w:r w:rsidR="00626D47">
          <w:rPr>
            <w:noProof/>
            <w:webHidden/>
          </w:rPr>
          <w:fldChar w:fldCharType="begin"/>
        </w:r>
        <w:r w:rsidR="00626D47">
          <w:rPr>
            <w:noProof/>
            <w:webHidden/>
          </w:rPr>
          <w:instrText xml:space="preserve"> PAGEREF _Toc530673988 \h </w:instrText>
        </w:r>
        <w:r w:rsidR="00626D47">
          <w:rPr>
            <w:noProof/>
            <w:webHidden/>
          </w:rPr>
        </w:r>
        <w:r w:rsidR="00626D47">
          <w:rPr>
            <w:noProof/>
            <w:webHidden/>
          </w:rPr>
          <w:fldChar w:fldCharType="separate"/>
        </w:r>
        <w:r w:rsidR="00E2070A">
          <w:rPr>
            <w:noProof/>
            <w:webHidden/>
          </w:rPr>
          <w:t>186</w:t>
        </w:r>
        <w:r w:rsidR="00626D47">
          <w:rPr>
            <w:noProof/>
            <w:webHidden/>
          </w:rPr>
          <w:fldChar w:fldCharType="end"/>
        </w:r>
      </w:hyperlink>
    </w:p>
    <w:p w:rsidR="00626D47" w:rsidRPr="00626D47" w:rsidRDefault="00626D47" w:rsidP="00626D47">
      <w:pPr>
        <w:rPr>
          <w:rFonts w:eastAsiaTheme="minorEastAsia"/>
          <w:b/>
        </w:rPr>
      </w:pPr>
      <w:r>
        <w:rPr>
          <w:rFonts w:eastAsiaTheme="minorEastAsia"/>
          <w:b/>
        </w:rPr>
        <w:t>Appendix 3: Chapter 4 Supplemental</w:t>
      </w:r>
    </w:p>
    <w:p w:rsidR="00626D47" w:rsidRDefault="004578F9">
      <w:pPr>
        <w:pStyle w:val="TableofFigures"/>
        <w:tabs>
          <w:tab w:val="right" w:leader="dot" w:pos="8486"/>
        </w:tabs>
        <w:rPr>
          <w:rFonts w:eastAsiaTheme="minorEastAsia" w:cstheme="minorBidi"/>
          <w:noProof/>
          <w:sz w:val="22"/>
          <w:szCs w:val="22"/>
          <w:lang w:bidi="ar-SA"/>
        </w:rPr>
      </w:pPr>
      <w:hyperlink w:anchor="_Toc530673989" w:history="1">
        <w:r w:rsidR="00626D47" w:rsidRPr="009251C9">
          <w:rPr>
            <w:rStyle w:val="Hyperlink"/>
            <w:noProof/>
          </w:rPr>
          <w:t>Figure 64</w:t>
        </w:r>
        <w:r w:rsidR="00626D47">
          <w:rPr>
            <w:noProof/>
            <w:webHidden/>
          </w:rPr>
          <w:tab/>
        </w:r>
        <w:r w:rsidR="00626D47">
          <w:rPr>
            <w:noProof/>
            <w:webHidden/>
          </w:rPr>
          <w:fldChar w:fldCharType="begin"/>
        </w:r>
        <w:r w:rsidR="00626D47">
          <w:rPr>
            <w:noProof/>
            <w:webHidden/>
          </w:rPr>
          <w:instrText xml:space="preserve"> PAGEREF _Toc530673989 \h </w:instrText>
        </w:r>
        <w:r w:rsidR="00626D47">
          <w:rPr>
            <w:noProof/>
            <w:webHidden/>
          </w:rPr>
        </w:r>
        <w:r w:rsidR="00626D47">
          <w:rPr>
            <w:noProof/>
            <w:webHidden/>
          </w:rPr>
          <w:fldChar w:fldCharType="separate"/>
        </w:r>
        <w:r w:rsidR="00E2070A">
          <w:rPr>
            <w:noProof/>
            <w:webHidden/>
          </w:rPr>
          <w:t>187</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90" w:history="1">
        <w:r w:rsidR="00626D47" w:rsidRPr="009251C9">
          <w:rPr>
            <w:rStyle w:val="Hyperlink"/>
            <w:noProof/>
          </w:rPr>
          <w:t>Figure 65</w:t>
        </w:r>
        <w:r w:rsidR="00626D47">
          <w:rPr>
            <w:noProof/>
            <w:webHidden/>
          </w:rPr>
          <w:tab/>
        </w:r>
        <w:r w:rsidR="00626D47">
          <w:rPr>
            <w:noProof/>
            <w:webHidden/>
          </w:rPr>
          <w:fldChar w:fldCharType="begin"/>
        </w:r>
        <w:r w:rsidR="00626D47">
          <w:rPr>
            <w:noProof/>
            <w:webHidden/>
          </w:rPr>
          <w:instrText xml:space="preserve"> PAGEREF _Toc530673990 \h </w:instrText>
        </w:r>
        <w:r w:rsidR="00626D47">
          <w:rPr>
            <w:noProof/>
            <w:webHidden/>
          </w:rPr>
        </w:r>
        <w:r w:rsidR="00626D47">
          <w:rPr>
            <w:noProof/>
            <w:webHidden/>
          </w:rPr>
          <w:fldChar w:fldCharType="separate"/>
        </w:r>
        <w:r w:rsidR="00E2070A">
          <w:rPr>
            <w:noProof/>
            <w:webHidden/>
          </w:rPr>
          <w:t>188</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91" w:history="1">
        <w:r w:rsidR="00626D47" w:rsidRPr="009251C9">
          <w:rPr>
            <w:rStyle w:val="Hyperlink"/>
            <w:noProof/>
          </w:rPr>
          <w:t>Figure 66</w:t>
        </w:r>
        <w:r w:rsidR="00626D47">
          <w:rPr>
            <w:noProof/>
            <w:webHidden/>
          </w:rPr>
          <w:tab/>
        </w:r>
        <w:r w:rsidR="00626D47">
          <w:rPr>
            <w:noProof/>
            <w:webHidden/>
          </w:rPr>
          <w:fldChar w:fldCharType="begin"/>
        </w:r>
        <w:r w:rsidR="00626D47">
          <w:rPr>
            <w:noProof/>
            <w:webHidden/>
          </w:rPr>
          <w:instrText xml:space="preserve"> PAGEREF _Toc530673991 \h </w:instrText>
        </w:r>
        <w:r w:rsidR="00626D47">
          <w:rPr>
            <w:noProof/>
            <w:webHidden/>
          </w:rPr>
        </w:r>
        <w:r w:rsidR="00626D47">
          <w:rPr>
            <w:noProof/>
            <w:webHidden/>
          </w:rPr>
          <w:fldChar w:fldCharType="separate"/>
        </w:r>
        <w:r w:rsidR="00E2070A">
          <w:rPr>
            <w:noProof/>
            <w:webHidden/>
          </w:rPr>
          <w:t>189</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92" w:history="1">
        <w:r w:rsidR="00626D47" w:rsidRPr="009251C9">
          <w:rPr>
            <w:rStyle w:val="Hyperlink"/>
            <w:noProof/>
          </w:rPr>
          <w:t>Figure 67.</w:t>
        </w:r>
        <w:r w:rsidR="00626D47">
          <w:rPr>
            <w:noProof/>
            <w:webHidden/>
          </w:rPr>
          <w:tab/>
        </w:r>
        <w:r w:rsidR="00626D47">
          <w:rPr>
            <w:noProof/>
            <w:webHidden/>
          </w:rPr>
          <w:fldChar w:fldCharType="begin"/>
        </w:r>
        <w:r w:rsidR="00626D47">
          <w:rPr>
            <w:noProof/>
            <w:webHidden/>
          </w:rPr>
          <w:instrText xml:space="preserve"> PAGEREF _Toc530673992 \h </w:instrText>
        </w:r>
        <w:r w:rsidR="00626D47">
          <w:rPr>
            <w:noProof/>
            <w:webHidden/>
          </w:rPr>
        </w:r>
        <w:r w:rsidR="00626D47">
          <w:rPr>
            <w:noProof/>
            <w:webHidden/>
          </w:rPr>
          <w:fldChar w:fldCharType="separate"/>
        </w:r>
        <w:r w:rsidR="00E2070A">
          <w:rPr>
            <w:noProof/>
            <w:webHidden/>
          </w:rPr>
          <w:t>190</w:t>
        </w:r>
        <w:r w:rsidR="00626D47">
          <w:rPr>
            <w:noProof/>
            <w:webHidden/>
          </w:rPr>
          <w:fldChar w:fldCharType="end"/>
        </w:r>
      </w:hyperlink>
    </w:p>
    <w:p w:rsidR="00626D47" w:rsidRDefault="004578F9">
      <w:pPr>
        <w:pStyle w:val="TableofFigures"/>
        <w:tabs>
          <w:tab w:val="right" w:leader="dot" w:pos="8486"/>
        </w:tabs>
        <w:rPr>
          <w:rStyle w:val="Hyperlink"/>
          <w:noProof/>
        </w:rPr>
      </w:pPr>
      <w:hyperlink w:anchor="_Toc530673993" w:history="1">
        <w:r w:rsidR="00626D47" w:rsidRPr="009251C9">
          <w:rPr>
            <w:rStyle w:val="Hyperlink"/>
            <w:noProof/>
          </w:rPr>
          <w:t>Fi</w:t>
        </w:r>
        <w:r w:rsidR="00626D47">
          <w:rPr>
            <w:rStyle w:val="Hyperlink"/>
            <w:noProof/>
          </w:rPr>
          <w:t>gure 68</w:t>
        </w:r>
        <w:r w:rsidR="00626D47">
          <w:rPr>
            <w:noProof/>
            <w:webHidden/>
          </w:rPr>
          <w:tab/>
        </w:r>
        <w:r w:rsidR="00626D47">
          <w:rPr>
            <w:noProof/>
            <w:webHidden/>
          </w:rPr>
          <w:fldChar w:fldCharType="begin"/>
        </w:r>
        <w:r w:rsidR="00626D47">
          <w:rPr>
            <w:noProof/>
            <w:webHidden/>
          </w:rPr>
          <w:instrText xml:space="preserve"> PAGEREF _Toc530673993 \h </w:instrText>
        </w:r>
        <w:r w:rsidR="00626D47">
          <w:rPr>
            <w:noProof/>
            <w:webHidden/>
          </w:rPr>
        </w:r>
        <w:r w:rsidR="00626D47">
          <w:rPr>
            <w:noProof/>
            <w:webHidden/>
          </w:rPr>
          <w:fldChar w:fldCharType="separate"/>
        </w:r>
        <w:r w:rsidR="00E2070A">
          <w:rPr>
            <w:noProof/>
            <w:webHidden/>
          </w:rPr>
          <w:t>191</w:t>
        </w:r>
        <w:r w:rsidR="00626D47">
          <w:rPr>
            <w:noProof/>
            <w:webHidden/>
          </w:rPr>
          <w:fldChar w:fldCharType="end"/>
        </w:r>
      </w:hyperlink>
    </w:p>
    <w:p w:rsidR="00626D47" w:rsidRPr="00626D47" w:rsidRDefault="00626D47" w:rsidP="00626D47">
      <w:pPr>
        <w:rPr>
          <w:rFonts w:eastAsiaTheme="minorEastAsia"/>
          <w:b/>
        </w:rPr>
      </w:pPr>
      <w:r>
        <w:rPr>
          <w:rFonts w:eastAsiaTheme="minorEastAsia"/>
          <w:b/>
        </w:rPr>
        <w:t>Appendix 4: Chapter 5 Supplemental</w:t>
      </w:r>
    </w:p>
    <w:p w:rsidR="00626D47" w:rsidRDefault="004578F9">
      <w:pPr>
        <w:pStyle w:val="TableofFigures"/>
        <w:tabs>
          <w:tab w:val="right" w:leader="dot" w:pos="8486"/>
        </w:tabs>
        <w:rPr>
          <w:rFonts w:eastAsiaTheme="minorEastAsia" w:cstheme="minorBidi"/>
          <w:noProof/>
          <w:sz w:val="22"/>
          <w:szCs w:val="22"/>
          <w:lang w:bidi="ar-SA"/>
        </w:rPr>
      </w:pPr>
      <w:hyperlink w:anchor="_Toc530673994" w:history="1">
        <w:r w:rsidR="00626D47" w:rsidRPr="009251C9">
          <w:rPr>
            <w:rStyle w:val="Hyperlink"/>
            <w:noProof/>
          </w:rPr>
          <w:t>Figure 69.</w:t>
        </w:r>
        <w:r w:rsidR="00626D47">
          <w:rPr>
            <w:noProof/>
            <w:webHidden/>
          </w:rPr>
          <w:tab/>
        </w:r>
        <w:r w:rsidR="00626D47">
          <w:rPr>
            <w:noProof/>
            <w:webHidden/>
          </w:rPr>
          <w:fldChar w:fldCharType="begin"/>
        </w:r>
        <w:r w:rsidR="00626D47">
          <w:rPr>
            <w:noProof/>
            <w:webHidden/>
          </w:rPr>
          <w:instrText xml:space="preserve"> PAGEREF _Toc530673994 \h </w:instrText>
        </w:r>
        <w:r w:rsidR="00626D47">
          <w:rPr>
            <w:noProof/>
            <w:webHidden/>
          </w:rPr>
        </w:r>
        <w:r w:rsidR="00626D47">
          <w:rPr>
            <w:noProof/>
            <w:webHidden/>
          </w:rPr>
          <w:fldChar w:fldCharType="separate"/>
        </w:r>
        <w:r w:rsidR="00E2070A">
          <w:rPr>
            <w:noProof/>
            <w:webHidden/>
          </w:rPr>
          <w:t>192</w:t>
        </w:r>
        <w:r w:rsidR="00626D47">
          <w:rPr>
            <w:noProof/>
            <w:webHidden/>
          </w:rPr>
          <w:fldChar w:fldCharType="end"/>
        </w:r>
      </w:hyperlink>
    </w:p>
    <w:p w:rsidR="00626D47" w:rsidRDefault="004578F9">
      <w:pPr>
        <w:pStyle w:val="TableofFigures"/>
        <w:tabs>
          <w:tab w:val="right" w:leader="dot" w:pos="8486"/>
        </w:tabs>
        <w:rPr>
          <w:rFonts w:eastAsiaTheme="minorEastAsia" w:cstheme="minorBidi"/>
          <w:noProof/>
          <w:sz w:val="22"/>
          <w:szCs w:val="22"/>
          <w:lang w:bidi="ar-SA"/>
        </w:rPr>
      </w:pPr>
      <w:hyperlink w:anchor="_Toc530673995" w:history="1">
        <w:r w:rsidR="00626D47" w:rsidRPr="009251C9">
          <w:rPr>
            <w:rStyle w:val="Hyperlink"/>
            <w:noProof/>
          </w:rPr>
          <w:t>Figure 70</w:t>
        </w:r>
        <w:r w:rsidR="00626D47">
          <w:rPr>
            <w:noProof/>
            <w:webHidden/>
          </w:rPr>
          <w:tab/>
        </w:r>
        <w:r w:rsidR="00626D47">
          <w:rPr>
            <w:noProof/>
            <w:webHidden/>
          </w:rPr>
          <w:fldChar w:fldCharType="begin"/>
        </w:r>
        <w:r w:rsidR="00626D47">
          <w:rPr>
            <w:noProof/>
            <w:webHidden/>
          </w:rPr>
          <w:instrText xml:space="preserve"> PAGEREF _Toc530673995 \h </w:instrText>
        </w:r>
        <w:r w:rsidR="00626D47">
          <w:rPr>
            <w:noProof/>
            <w:webHidden/>
          </w:rPr>
        </w:r>
        <w:r w:rsidR="00626D47">
          <w:rPr>
            <w:noProof/>
            <w:webHidden/>
          </w:rPr>
          <w:fldChar w:fldCharType="separate"/>
        </w:r>
        <w:r w:rsidR="00E2070A">
          <w:rPr>
            <w:noProof/>
            <w:webHidden/>
          </w:rPr>
          <w:t>193</w:t>
        </w:r>
        <w:r w:rsidR="00626D47">
          <w:rPr>
            <w:noProof/>
            <w:webHidden/>
          </w:rPr>
          <w:fldChar w:fldCharType="end"/>
        </w:r>
      </w:hyperlink>
    </w:p>
    <w:p w:rsidR="00DA1971" w:rsidRDefault="00F7122D" w:rsidP="00E87672">
      <w:pPr>
        <w:pStyle w:val="Heading1"/>
      </w:pPr>
      <w:r>
        <w:fldChar w:fldCharType="end"/>
      </w:r>
      <w:r w:rsidR="00DA1971">
        <w:br w:type="page"/>
      </w:r>
      <w:bookmarkStart w:id="6" w:name="_Toc310579467"/>
      <w:bookmarkStart w:id="7" w:name="_Toc532553069"/>
      <w:r w:rsidR="00DA1971">
        <w:lastRenderedPageBreak/>
        <w:t>Abstract</w:t>
      </w:r>
      <w:bookmarkEnd w:id="6"/>
      <w:bookmarkEnd w:id="7"/>
    </w:p>
    <w:p w:rsidR="00DA1971" w:rsidRDefault="000639E3" w:rsidP="00E87672">
      <w:pPr>
        <w:ind w:firstLine="432"/>
        <w:jc w:val="both"/>
        <w:sectPr w:rsidR="00DA1971" w:rsidSect="004F60D6">
          <w:footerReference w:type="default" r:id="rId16"/>
          <w:pgSz w:w="12240" w:h="15840" w:code="1"/>
          <w:pgMar w:top="1440" w:right="1440" w:bottom="1440" w:left="1440" w:header="720" w:footer="720" w:gutter="0"/>
          <w:pgNumType w:fmt="lowerRoman" w:start="4"/>
          <w:cols w:space="720"/>
          <w:docGrid w:linePitch="360"/>
        </w:sectPr>
      </w:pPr>
      <w:r>
        <w:t xml:space="preserve">Oxysterol-binding protein (OSBP) is the founding member of a conserved protein family found among eukaryotes that functions as a lipid transporter between the ER and Golgi. OSBP is ubiquitously expressed in all tissues and is an essential host protein in the viral replication of many public health menaces, especially the </w:t>
      </w:r>
      <w:r>
        <w:rPr>
          <w:i/>
        </w:rPr>
        <w:t>Enteroviruses</w:t>
      </w:r>
      <w:r w:rsidR="00BB05C5">
        <w:t>. Over the past decade, many broad-spectrum anti-viral small molecules have been identified as OSBP inhibitors. The anti-cancer and anti-viral natural product, OSW-1, is of interest due to its high affinity for OSBP and its ability to cause proteasomal degradation of OSBP. The work outlined in this dissertation details the unique ability of the OSW-1 compound to induce persistent OSBP r</w:t>
      </w:r>
      <w:r w:rsidR="00D56F45">
        <w:t>epression</w:t>
      </w:r>
      <w:r w:rsidR="00BE3671">
        <w:t xml:space="preserve"> in cells</w:t>
      </w:r>
      <w:r w:rsidR="00D56F45">
        <w:t xml:space="preserve"> through multiple days without affecting cell viability.</w:t>
      </w:r>
      <w:r w:rsidR="00BB05C5">
        <w:t xml:space="preserve"> </w:t>
      </w:r>
      <w:r w:rsidR="00D56F45">
        <w:t xml:space="preserve">Even in the absence of the </w:t>
      </w:r>
      <w:r w:rsidR="00BE3671">
        <w:t xml:space="preserve">OSW-1 </w:t>
      </w:r>
      <w:r w:rsidR="00D56F45">
        <w:t xml:space="preserve">compound, the reduced OSBP levels confers a </w:t>
      </w:r>
      <w:r w:rsidR="00BB05C5">
        <w:t>prophylactic anti-v</w:t>
      </w:r>
      <w:r w:rsidR="00BE3671">
        <w:t>iral activity against clinical isolates of</w:t>
      </w:r>
      <w:r w:rsidR="00BB05C5">
        <w:t xml:space="preserve"> </w:t>
      </w:r>
      <w:r w:rsidR="00BE3671">
        <w:rPr>
          <w:i/>
        </w:rPr>
        <w:t xml:space="preserve">Enterovirus </w:t>
      </w:r>
      <w:r w:rsidR="00BE3671" w:rsidRPr="00BE3671">
        <w:t>viruses</w:t>
      </w:r>
      <w:r w:rsidR="00BB05C5">
        <w:t>. This long-term reduction</w:t>
      </w:r>
      <w:r w:rsidR="00BE3671">
        <w:t xml:space="preserve"> is specific for OSBP in the proteasome, and reduction</w:t>
      </w:r>
      <w:r w:rsidR="00BB05C5">
        <w:t xml:space="preserve"> occurs through a</w:t>
      </w:r>
      <w:r w:rsidR="00BE3671">
        <w:t>n unknown</w:t>
      </w:r>
      <w:r w:rsidR="00BB05C5">
        <w:t xml:space="preserve"> mechanism that does not </w:t>
      </w:r>
      <w:r w:rsidR="00BE3671">
        <w:t xml:space="preserve">involve OSBP </w:t>
      </w:r>
      <w:r w:rsidR="00BB05C5">
        <w:t>proteolysis or transcriptional repression</w:t>
      </w:r>
      <w:r w:rsidR="00BE3671">
        <w:t>. Of the</w:t>
      </w:r>
      <w:r w:rsidR="00BB05C5">
        <w:t xml:space="preserve"> </w:t>
      </w:r>
      <w:r w:rsidR="00D57EF3">
        <w:t xml:space="preserve">known OSBP </w:t>
      </w:r>
      <w:r w:rsidR="00BE3671">
        <w:t xml:space="preserve">small molecule </w:t>
      </w:r>
      <w:r w:rsidR="00D57EF3">
        <w:t xml:space="preserve">inhibitors with anti-viral activity, </w:t>
      </w:r>
      <w:r w:rsidR="00BE3671">
        <w:t>only OSW-1 triggered the long-term repression of OSBP.</w:t>
      </w:r>
      <w:r w:rsidR="00D57EF3">
        <w:t xml:space="preserve"> </w:t>
      </w:r>
      <w:r w:rsidR="00BE3671">
        <w:t>The OSBP</w:t>
      </w:r>
      <w:r w:rsidR="00D57EF3">
        <w:t xml:space="preserve"> inhibitor</w:t>
      </w:r>
      <w:r w:rsidR="00BE3671">
        <w:t xml:space="preserve"> compound T-00127-HEV2 </w:t>
      </w:r>
      <w:r w:rsidR="00626D47">
        <w:t xml:space="preserve">was </w:t>
      </w:r>
      <w:r w:rsidR="00E808A7">
        <w:t xml:space="preserve">the only compound tested </w:t>
      </w:r>
      <w:r w:rsidR="00626D47">
        <w:t xml:space="preserve">able to </w:t>
      </w:r>
      <w:r w:rsidR="00E808A7">
        <w:t>protect</w:t>
      </w:r>
      <w:r w:rsidR="00626D47">
        <w:t xml:space="preserve"> OSBP levels</w:t>
      </w:r>
      <w:r w:rsidR="00E808A7">
        <w:t xml:space="preserve"> from the OSW-1-induced repression of the protein. Of the OSBP inhibitor compounds</w:t>
      </w:r>
      <w:r w:rsidR="00626D47">
        <w:t xml:space="preserve">, only the </w:t>
      </w:r>
      <w:r w:rsidR="007A587E">
        <w:t>OSW-1 compound</w:t>
      </w:r>
      <w:r w:rsidR="00626D47">
        <w:t xml:space="preserve"> was able to induce </w:t>
      </w:r>
      <w:r w:rsidR="00E808A7">
        <w:t xml:space="preserve">the </w:t>
      </w:r>
      <w:r w:rsidR="00626D47">
        <w:t xml:space="preserve">prophylactic anti-viral response </w:t>
      </w:r>
      <w:r w:rsidR="00E808A7">
        <w:t>against two clinical isolates of Enterovirus</w:t>
      </w:r>
      <w:r w:rsidR="00E808A7">
        <w:rPr>
          <w:i/>
        </w:rPr>
        <w:t xml:space="preserve"> </w:t>
      </w:r>
      <w:r w:rsidR="00E808A7">
        <w:t>viruses. The results produced</w:t>
      </w:r>
      <w:r w:rsidR="00626D47">
        <w:t xml:space="preserve"> will be </w:t>
      </w:r>
      <w:r w:rsidR="00E808A7">
        <w:t>beneficial in future research</w:t>
      </w:r>
      <w:r w:rsidR="00626D47">
        <w:t xml:space="preserve"> that seek</w:t>
      </w:r>
      <w:r w:rsidR="00E808A7">
        <w:t>s</w:t>
      </w:r>
      <w:r w:rsidR="00626D47">
        <w:t xml:space="preserve"> to de</w:t>
      </w:r>
      <w:r w:rsidR="00E808A7">
        <w:t>fine OSBP cellular regulation, especially upon OSW-1 treatment, and to potentially develop</w:t>
      </w:r>
      <w:r w:rsidR="00626D47">
        <w:t xml:space="preserve"> prophylactic anti-viral </w:t>
      </w:r>
      <w:r w:rsidR="00E808A7">
        <w:t>therapeutics through targeting OSBP</w:t>
      </w:r>
      <w:r w:rsidR="00626D47">
        <w:t xml:space="preserve">.  </w:t>
      </w:r>
      <w:r w:rsidR="00D57EF3">
        <w:t xml:space="preserve">    </w:t>
      </w:r>
    </w:p>
    <w:p w:rsidR="00DA1971" w:rsidRPr="000F56FF" w:rsidRDefault="00DA1971" w:rsidP="00E87672">
      <w:pPr>
        <w:pStyle w:val="Heading1"/>
      </w:pPr>
      <w:bookmarkStart w:id="8" w:name="_Toc310579468"/>
      <w:bookmarkStart w:id="9" w:name="_Toc532553070"/>
      <w:r w:rsidRPr="000F56FF">
        <w:lastRenderedPageBreak/>
        <w:t xml:space="preserve">Chapter </w:t>
      </w:r>
      <w:r w:rsidR="00111915" w:rsidRPr="000F56FF">
        <w:t>1</w:t>
      </w:r>
      <w:r w:rsidR="009245C5" w:rsidRPr="000F56FF">
        <w:t xml:space="preserve">: </w:t>
      </w:r>
      <w:r w:rsidRPr="000F56FF">
        <w:t>Introduction</w:t>
      </w:r>
      <w:bookmarkEnd w:id="8"/>
      <w:r w:rsidR="00C42093">
        <w:t xml:space="preserve"> to the Oxysterol-binding Proteins</w:t>
      </w:r>
      <w:bookmarkEnd w:id="9"/>
    </w:p>
    <w:p w:rsidR="00961548" w:rsidRDefault="00961548" w:rsidP="00154AB8">
      <w:pPr>
        <w:pStyle w:val="Heading2"/>
      </w:pPr>
      <w:bookmarkStart w:id="10" w:name="_Toc532553071"/>
      <w:r>
        <w:t>Overview</w:t>
      </w:r>
      <w:bookmarkEnd w:id="10"/>
    </w:p>
    <w:p w:rsidR="00A77A5E" w:rsidRDefault="00AF22F3" w:rsidP="00154AB8">
      <w:pPr>
        <w:ind w:firstLine="720"/>
        <w:jc w:val="both"/>
      </w:pPr>
      <w:r>
        <w:t>Oxysterol-binding protein (OSBP) and OSBP-related proteins (ORPs) are a highly conserved family of proteins found in almost all e</w:t>
      </w:r>
      <w:r w:rsidR="00961548" w:rsidRPr="00074EDA">
        <w:t>ukaryotes spanning from yeast to humans</w:t>
      </w:r>
      <w:r>
        <w:fldChar w:fldCharType="begin" w:fldLock="1"/>
      </w:r>
      <w:r w:rsidR="004B0503">
        <w:instrText>ADDIN CSL_CITATION {"citationItems":[{"id":"ITEM-1","itemData":{"DOI":"10.1002/ejlt.201200044","ISSN":"14387697","abstract":"Cytoplasmic oxysterol-binding protein homologues, designated OSBP-like\\n(OSBPL) or OSBP-related (ORP) proteins, constitute a family of lipid\\nbinding/transfer proteins present in a wide spectrum of eukaryotes. In\\nmammals these proteins are encoded by 12 genes expressed ubiquitously\\nbut at different quantities in different tissue and cell types. Their\\nunifying feature is a beta-barrel-like ligand-binding domain that has\\nbeen shown to accommodate sterol ligands: oxysterols, cholesterol, or\\nboth, while a recent report shows that also phospholipid can be bound.\\nCertain family members have the capacity to mediate or facilitate\\nintracellular sterol transport or lipid exchange, while others are\\nimplicated as sterol sensors involved in cell regulation: lipid\\nhomeostatic control, signal transduction, organelle motility, or vesicle\\ntransport. Several ORPs have been localized to membrane contact sites,\\nat which endoplasmic reticulum membranes are closely apposed with other\\norganellesindicating functions in the non-vesicular transport of ions or\\nsmall molecules, or in regulation of enzymatic components active at the\\ncontact sites. OSBPL gene polymorphisms are associated with\\ncardiovascular risk factors, and altered ORP expression levels occur in\\ncertain cancers, providing the first indications of ORP involvement in\\nhuman disease. In this review we summarize and analyze the latest\\nfindings concerning the function of OSBPL/ORP proteins.","author":[{"dropping-particle":"","family":"Olkkonen","given":"Vesa M.","non-dropping-particle":"","parse-names":false,"suffix":""},{"dropping-particle":"","family":"Zhou","given":"You","non-dropping-particle":"","parse-names":false,"suffix":""},{"dropping-particle":"","family":"Yan","given":"Daoguang","non-dropping-particle":"","parse-names":false,"suffix":""},{"dropping-particle":"","family":"Vihervaara","given":"Terhi","non-dropping-particle":"","parse-names":false,"suffix":""}],"container-title":"European Journal of Lipid Science and Technology","id":"ITEM-1","issue":"6","issued":{"date-parts":[["2012"]]},"page":"634-643","title":"Oxysterol-binding proteins-emerging roles in cell regulation","type":"article-journal","volume":"114"},"uris":["http://www.mendeley.com/documents/?uuid=ebbf54b8-da36-4a5b-a6d4-b2a84ca33ce0"]},{"id":"ITEM-2","itemData":{"DOI":"10.1007/s00018-018-2795-y","ISBN":"0123456789","ISSN":"14209071","PMID":"29536114","abstract":"Oxysterol-binding protein (OSBP) and OSBP-related proteins (ORPs) constitute a large eukaryotic gene family that transports and regulates the metabolism of sterols and phospholipids. The original classification of the family based on oxysterol-binding activity belies the complex dual lipid-binding specificity of the conserved OSBP homology domain (OHD). Additional protein- and membrane-interacting modules mediate the targeting of select OSBP/ORPs to membrane contact sites between organelles, thus positioning the OHD between opposing membranes for lipid transfer and metabolic regulation. This unique subcellular location, coupled with diverse ligand preferences and tissue distribution, has identified OSBP/ORPs as key arbiters of membrane composition and function. Here, we will review how molecular models of OSBP/ORP-mediated intracellular lipid transport and regulation at membrane contact sites relate to their emerging roles in cellular and organismal functions.","author":[{"dropping-particle":"","family":"Pietrangelo","given":"Antonietta","non-dropping-particle":"","parse-names":false,"suffix":""},{"dropping-particle":"","family":"Ridgway","given":"Neale D.","non-dropping-particle":"","parse-names":false,"suffix":""}],"container-title":"Cellular and Molecular Life Sciences","id":"ITEM-2","issue":"17","issued":{"date-parts":[["2018"]]},"page":"3079-3098","publisher":"Springer International Publishing","title":"Bridging the molecular and biological functions of the oxysterol-binding protein family","type":"article-journal","volume":"75"},"uris":["http://www.mendeley.com/documents/?uuid=2a64f309-64a8-4335-adde-aa132327329f"]}],"mendeley":{"formattedCitation":"(1, 2)","plainTextFormattedCitation":"(1, 2)","previouslyFormattedCitation":"(1, 2)"},"properties":{"noteIndex":0},"schema":"https://github.com/citation-style-language/schema/raw/master/csl-citation.json"}</w:instrText>
      </w:r>
      <w:r>
        <w:fldChar w:fldCharType="separate"/>
      </w:r>
      <w:r w:rsidR="004B0503" w:rsidRPr="004B0503">
        <w:rPr>
          <w:noProof/>
        </w:rPr>
        <w:t>(1, 2)</w:t>
      </w:r>
      <w:r>
        <w:fldChar w:fldCharType="end"/>
      </w:r>
      <w:r>
        <w:t>.</w:t>
      </w:r>
      <w:r w:rsidR="00961548" w:rsidRPr="00074EDA">
        <w:t xml:space="preserve"> </w:t>
      </w:r>
      <w:r>
        <w:t xml:space="preserve">This </w:t>
      </w:r>
      <w:r w:rsidR="00961548" w:rsidRPr="00074EDA">
        <w:t xml:space="preserve">family of proteins </w:t>
      </w:r>
      <w:r>
        <w:t xml:space="preserve">contains a conserved ligand binding domain </w:t>
      </w:r>
      <w:r w:rsidR="00961548" w:rsidRPr="00074EDA">
        <w:t xml:space="preserve">with the function of binding </w:t>
      </w:r>
      <w:r w:rsidR="00961548">
        <w:t xml:space="preserve">various forms of </w:t>
      </w:r>
      <w:r w:rsidR="00961548" w:rsidRPr="00074EDA">
        <w:t>sterols and phospho</w:t>
      </w:r>
      <w:r w:rsidR="00CE4EC0">
        <w:t>lipids</w:t>
      </w:r>
      <w:r w:rsidR="00CE4EC0" w:rsidRPr="00074EDA" w:rsidDel="00CE4EC0">
        <w:t xml:space="preserve"> </w:t>
      </w:r>
      <w:r w:rsidR="00961548" w:rsidRPr="00B25249">
        <w:rPr>
          <w:vertAlign w:val="superscript"/>
        </w:rPr>
        <w:fldChar w:fldCharType="begin" w:fldLock="1"/>
      </w:r>
      <w:r w:rsidR="00A87FC7">
        <w:rPr>
          <w:vertAlign w:val="superscript"/>
        </w:rPr>
        <w:instrText>ADDIN CSL_CITATION {"citationItems":[{"id":"ITEM-1","itemData":{"DOI":"10.1016/j.plipres.2013.06.004","ISBN":"0163-7827","ISSN":"01637827","PMID":"23830809","abstract":"Oxysterol-binding protein (OSBP) and OSBP-related proteins (ORPs) constitute a family of sterol and phosphoinositide binding proteins conserved in eukaryofile:///C:/Users/user/Downloads/ORP10 micro.pdftes. The mechanisms of ORP function have remained incompletely understood. However, several ORPs are present at membrane contact sites and control the activity of enzymatic effectors or assembly of protein complexes, with impacts on signaling, vesicle transport, and lipid metabolism. An increasing number of protein interaction partners of ORPs have been identified, providing clues of their involvement in multiple aspects of cell regulation. The functions assigned for mammalian ORPs include coordination of sterol and sphingolipid metabolism and mitogenic signaling (OSBP), control of ER-late endosome (LE) contacts and LE motility (ORP1L), neutral lipid metabolism (ORP2), cell adhesion (ORP3), cholesterol eggress from LE (ORP5), macrophage lipid homeostasis, migration and high-density lipoprotein metabolism (ORP8), apolipoprotein B-100 secretion (ORP10), and adipogenesis (ORP11). The anti-proliferative ORPphilin compounds target OSBP and ORP4, revealing a function of ORPs in cell proliferation and survival. The Saccharomyces cerevisiae OSBP homologue (Osh) proteins execute multifaceted functions in sterol and sphingolipid homeostasis, post-Golgi vesicle transport, as well as phosphatidylinositol-4-phosphate and target of rapamycin complex 1 (TORC1) signaling. These observations identify ORPs as coordinators of lipid signals with an unforeseen variety of cellular processes. © 2013 Elsevier Ltd. All rights reserved.","author":[{"dropping-particle":"","family":"Olkkonen","given":"Vesa M.","non-dropping-particle":"","parse-names":false,"suffix":""},{"dropping-particle":"","family":"Li","given":"Shiqian","non-dropping-particle":"","parse-names":false,"suffix":""}],"container-title":"Progress in Lipid Research","id":"ITEM-1","issue":"4","issued":{"date-parts":[["2013","10","2"]]},"page":"529-538","publisher":"Elsevier Ltd","title":"Oxysterol-binding proteins: Sterol and phosphoinositide sensors coordinating transport, signaling and metabolism","type":"article-journal","volume":"52"},"uris":["http://www.mendeley.com/documents/?uuid=857d10db-29d4-47b0-bf27-3ea7326f86e8"]},{"id":"ITEM-2","itemData":{"DOI":"10.1016/S0074-7696(07)65007-4","ISBN":"9780123743329","ISSN":"00747696","PMID":"18275891","abstract":"Protein families characterized by a ligand binding domain related to that of oxysterol binding protein (OSBP) have been identified in eukaryotic species from yeast to humans. These proteins, designated OSBP-related (ORP) or OSBP-like (OSBPL) proteins, have been implicated in various cellular functions. However, the detailed mechanisms of their action have remained elusive. Data from our and other laboratories suggest that binding of sterol ligands may be a unifying theme. Work with Saccharomyces cerevisiae ORPs suggests a function of these proteins in the nonvesicular intracellular transport of sterols, in secretory vesicle transport from the Golgi complex, and in the establishment of cell polarity. Mammals have more ORP genes, and differential splicing substantially increases the complexity of the encoded protein family. Functional studies on mammalian ORPs point in different directions: integration of sterol and sphingomyelin metabolism, sterol transport, regulation of neutral lipid metabolism, control of the microtubule-dependent motility of endosomes/lysosomes, and regulation of signaling cascades. We envision that during evolution, the functions of ORPs have diverged from an ancestral one in sterol transport, to meet the increasing demand of the regulatory potential in multicellular organisms. Our working hypothesis is that mammalian ORPs mainly act as sterol sensors that relay information to a spectrum of different cellular processes. © 2008 Elsevier Inc. All rights reserved.","author":[{"dropping-particle":"","family":"Yan","given":"Daoguang","non-dropping-particle":"","parse-names":false,"suffix":""},{"dropping-particle":"","family":"Olkkonen","given":"Vesa M","non-dropping-particle":"","parse-names":false,"suffix":""}],"container-title":"International Review of Cytology","id":"ITEM-2","issue":"07","issued":{"date-parts":[["2008"]]},"page":"253-285","publisher":"Elsevier Masson SAS","title":"Characteristics of Oxysterol Binding Proteins","type":"article","volume":"265"},"uris":["http://www.mendeley.com/documents/?uuid=5681c10f-9455-47ae-bf64-854fd1937076"]},{"id":"ITEM-3","itemData":{"DOI":"10.1002/ejlt.201200044","ISSN":"14387697","abstract":"Cytoplasmic oxysterol-binding protein homologues, designated OSBP-like\\n(OSBPL) or OSBP-related (ORP) proteins, constitute a family of lipid\\nbinding/transfer proteins present in a wide spectrum of eukaryotes. In\\nmammals these proteins are encoded by 12 genes expressed ubiquitously\\nbut at different quantities in different tissue and cell types. Their\\nunifying feature is a beta-barrel-like ligand-binding domain that has\\nbeen shown to accommodate sterol ligands: oxysterols, cholesterol, or\\nboth, while a recent report shows that also phospholipid can be bound.\\nCertain family members have the capacity to mediate or facilitate\\nintracellular sterol transport or lipid exchange, while others are\\nimplicated as sterol sensors involved in cell regulation: lipid\\nhomeostatic control, signal transduction, organelle motility, or vesicle\\ntransport. Several ORPs have been localized to membrane contact sites,\\nat which endoplasmic reticulum membranes are closely apposed with other\\norganellesindicating functions in the non-vesicular transport of ions or\\nsmall molecules, or in regulation of enzymatic components active at the\\ncontact sites. OSBPL gene polymorphisms are associated with\\ncardiovascular risk factors, and altered ORP expression levels occur in\\ncertain cancers, providing the first indications of ORP involvement in\\nhuman disease. In this review we summarize and analyze the latest\\nfindings concerning the function of OSBPL/ORP proteins.","author":[{"dropping-particle":"","family":"Olkkonen","given":"Vesa M.","non-dropping-particle":"","parse-names":false,"suffix":""},{"dropping-particle":"","family":"Zhou","given":"You","non-dropping-particle":"","parse-names":false,"suffix":""},{"dropping-particle":"","family":"Yan","given":"Daoguang","non-dropping-particle":"","parse-names":false,"suffix":""},{"dropping-particle":"","family":"Vihervaara","given":"Terhi","non-dropping-particle":"","parse-names":false,"suffix":""}],"container-title":"European Journal of Lipid Science and Technology","id":"ITEM-3","issue":"6","issued":{"date-parts":[["2012"]]},"page":"634-643","title":"Oxysterol-binding proteins-emerging roles in cell regulation","type":"article-journal","volume":"114"},"uris":["http://www.mendeley.com/documents/?uuid=ebbf54b8-da36-4a5b-a6d4-b2a84ca33ce0"]},{"id":"ITEM-4","itemData":{"DOI":"10.1007/s00018-018-2795-y","ISBN":"0123456789","ISSN":"14209071","PMID":"29536114","abstract":"Oxysterol-binding protein (OSBP) and OSBP-related proteins (ORPs) constitute a large eukaryotic gene family that transports and regulates the metabolism of sterols and phospholipids. The original classification of the family based on oxysterol-binding activity belies the complex dual lipid-binding specificity of the conserved OSBP homology domain (OHD). Additional protein- and membrane-interacting modules mediate the targeting of select OSBP/ORPs to membrane contact sites between organelles, thus positioning the OHD between opposing membranes for lipid transfer and metabolic regulation. This unique subcellular location, coupled with diverse ligand preferences and tissue distribution, has identified OSBP/ORPs as key arbiters of membrane composition and function. Here, we will review how molecular models of OSBP/ORP-mediated intracellular lipid transport and regulation at membrane contact sites relate to their emerging roles in cellular and organismal functions.","author":[{"dropping-particle":"","family":"Pietrangelo","given":"Antonietta","non-dropping-particle":"","parse-names":false,"suffix":""},{"dropping-particle":"","family":"Ridgway","given":"Neale D.","non-dropping-particle":"","parse-names":false,"suffix":""}],"container-title":"Cellular and Molecular Life Sciences","id":"ITEM-4","issue":"17","issued":{"date-parts":[["2018"]]},"page":"3079-3098","publisher":"Springer International Publishing","title":"Bridging the molecular and biological functions of the oxysterol-binding protein family","type":"article-journal","volume":"75"},"uris":["http://www.mendeley.com/documents/?uuid=2a64f309-64a8-4335-adde-aa132327329f"]}],"mendeley":{"formattedCitation":"(1–4)","plainTextFormattedCitation":"(1–4)","previouslyFormattedCitation":"(1–4)"},"properties":{"noteIndex":0},"schema":"https://github.com/citation-style-language/schema/raw/master/csl-citation.json"}</w:instrText>
      </w:r>
      <w:r w:rsidR="00961548" w:rsidRPr="00B25249">
        <w:rPr>
          <w:vertAlign w:val="superscript"/>
        </w:rPr>
        <w:fldChar w:fldCharType="separate"/>
      </w:r>
      <w:r w:rsidR="004B0503" w:rsidRPr="004B0503">
        <w:rPr>
          <w:noProof/>
        </w:rPr>
        <w:t>(1–4)</w:t>
      </w:r>
      <w:r w:rsidR="00961548" w:rsidRPr="00B25249">
        <w:rPr>
          <w:vertAlign w:val="superscript"/>
        </w:rPr>
        <w:fldChar w:fldCharType="end"/>
      </w:r>
      <w:r w:rsidR="00961548">
        <w:t xml:space="preserve">. </w:t>
      </w:r>
      <w:r w:rsidR="00CE4EC0">
        <w:t>Despite the conserved domains and overlapping function, each member of the family seems to have its own role within the cell</w:t>
      </w:r>
      <w:r w:rsidR="00771F51">
        <w:t xml:space="preserve"> that appears to be involved with membrane lipid homeostasis</w:t>
      </w:r>
      <w:r w:rsidR="00CE4EC0">
        <w:fldChar w:fldCharType="begin" w:fldLock="1"/>
      </w:r>
      <w:r w:rsidR="004B0503">
        <w:instrText>ADDIN CSL_CITATION {"citationItems":[{"id":"ITEM-1","itemData":{"DOI":"10.1007/s00018-018-2795-y","ISBN":"0123456789","ISSN":"14209071","PMID":"29536114","abstract":"Oxysterol-binding protein (OSBP) and OSBP-related proteins (ORPs) constitute a large eukaryotic gene family that transports and regulates the metabolism of sterols and phospholipids. The original classification of the family based on oxysterol-binding activity belies the complex dual lipid-binding specificity of the conserved OSBP homology domain (OHD). Additional protein- and membrane-interacting modules mediate the targeting of select OSBP/ORPs to membrane contact sites between organelles, thus positioning the OHD between opposing membranes for lipid transfer and metabolic regulation. This unique subcellular location, coupled with diverse ligand preferences and tissue distribution, has identified OSBP/ORPs as key arbiters of membrane composition and function. Here, we will review how molecular models of OSBP/ORP-mediated intracellular lipid transport and regulation at membrane contact sites relate to their emerging roles in cellular and organismal functions.","author":[{"dropping-particle":"","family":"Pietrangelo","given":"Antonietta","non-dropping-particle":"","parse-names":false,"suffix":""},{"dropping-particle":"","family":"Ridgway","given":"Neale D.","non-dropping-particle":"","parse-names":false,"suffix":""}],"container-title":"Cellular and Molecular Life Sciences","id":"ITEM-1","issue":"17","issued":{"date-parts":[["2018"]]},"page":"3079-3098","publisher":"Springer International Publishing","title":"Bridging the molecular and biological functions of the oxysterol-binding protein family","type":"article-journal","volume":"75"},"uris":["http://www.mendeley.com/documents/?uuid=2a64f309-64a8-4335-adde-aa132327329f"]},{"id":"ITEM-2","itemData":{"DOI":"10.1016/bs.ircmb.2015.09.006","ISBN":"9780128047071","ISSN":"19376448","PMID":"26715851","abstract":"Oxysterol-binding protein (OSBP) and its related protein homologs, ORPs, constitute a conserved family of lipid-binding/transfer proteins (LTPs) expressed ubiquitously in eukaryotes. The ligand-binding domain of ORPs accommodates cholesterol and oxysterols, but also glycerophospholipids, particularly phosphatidylinositol-4-phosphate (PI4P). ORPs have been implicated as intracellular lipid sensors or transporters. Most ORPs carry targeting determinants for the endoplasmic reticulum (ER) and non-ER organelle membrane. ORPs are located and function at membrane contact sites (MCSs), at which ER is closely apposed with other organelle limiting membranes. Such sites have roles in lipid transport and metabolism, control of Ca2+fluxes, and signaling events. ORPs are postulated either to transport lipids over MCSs to maintain the distinct lipid compositions of organelle membranes, or to control the activity of enzymes/protein complexes with functions in signaling and lipid metabolism. ORPs may transfer PI4P and another lipid class bidirectionally. Transport of PI4P followed by its hydrolysis would in this model provide the energy for transfer of the other lipid against its concentration gradient. Control of organelle lipid compositions by OSBP/ORPs is important for the life cycles of several pathogenic viruses. Targeting ORPs with small-molecular antagonists is proposed as a new strategy to combat viral infections. Several ORPs are reported to modulate vesicle transport along the secretory or endocytic pathways. Moreover, antagonists of certain ORPs inhibit cancer cell proliferation. Thus, ORPs are LTPs, which mediate interorganelle lipid transport and coordinate lipid signals with a variety of cellular regimes. © 2016 Elsevier Inc.","author":[{"dropping-particle":"","family":"Kentala","given":"Henriikka","non-dropping-particle":"","parse-names":false,"suffix":""},{"dropping-particle":"","family":"Weber-Boyvat","given":"Marion","non-dropping-particle":"","parse-names":false,"suffix":""},{"dropping-particle":"","family":"Olkkonen","given":"Vesa M.","non-dropping-particle":"","parse-names":false,"suffix":""}],"container-title":"International Review of Cell and Molecular Biology","id":"ITEM-2","issued":{"date-parts":[["2016"]]},"page":"299-340","publisher":"Elsevier Inc.","title":"OSBP-Related Protein Family: Mediators of Lipid Transport and Signaling at Membrane Contact Sites","type":"chapter","volume":"321"},"uris":["http://www.mendeley.com/documents/?uuid=6a0e123f-3f73-411f-9291-c5a54c49efd3"]}],"mendeley":{"formattedCitation":"(2, 5)","plainTextFormattedCitation":"(2, 5)","previouslyFormattedCitation":"(2, 5)"},"properties":{"noteIndex":0},"schema":"https://github.com/citation-style-language/schema/raw/master/csl-citation.json"}</w:instrText>
      </w:r>
      <w:r w:rsidR="00CE4EC0">
        <w:fldChar w:fldCharType="separate"/>
      </w:r>
      <w:r w:rsidR="004B0503" w:rsidRPr="004B0503">
        <w:rPr>
          <w:noProof/>
        </w:rPr>
        <w:t>(2, 5)</w:t>
      </w:r>
      <w:r w:rsidR="00CE4EC0">
        <w:fldChar w:fldCharType="end"/>
      </w:r>
      <w:r w:rsidR="00A87FC7">
        <w:t>. With these specific roles, each family member has been implicated in various forms of cancer as well as other lipid based human diseases</w:t>
      </w:r>
      <w:r w:rsidR="00A87FC7">
        <w:fldChar w:fldCharType="begin" w:fldLock="1"/>
      </w:r>
      <w:r w:rsidR="00953B72">
        <w:instrText>ADDIN CSL_CITATION {"citationItems":[{"id":"ITEM-1","itemData":{"DOI":"10.1007/s00018-018-2795-y","ISBN":"0123456789","ISSN":"14209071","PMID":"29536114","abstract":"Oxysterol-binding protein (OSBP) and OSBP-related proteins (ORPs) constitute a large eukaryotic gene family that transports and regulates the metabolism of sterols and phospholipids. The original classification of the family based on oxysterol-binding activity belies the complex dual lipid-binding specificity of the conserved OSBP homology domain (OHD). Additional protein- and membrane-interacting modules mediate the targeting of select OSBP/ORPs to membrane contact sites between organelles, thus positioning the OHD between opposing membranes for lipid transfer and metabolic regulation. This unique subcellular location, coupled with diverse ligand preferences and tissue distribution, has identified OSBP/ORPs as key arbiters of membrane composition and function. Here, we will review how molecular models of OSBP/ORP-mediated intracellular lipid transport and regulation at membrane contact sites relate to their emerging roles in cellular and organismal functions.","author":[{"dropping-particle":"","family":"Pietrangelo","given":"Antonietta","non-dropping-particle":"","parse-names":false,"suffix":""},{"dropping-particle":"","family":"Ridgway","given":"Neale D.","non-dropping-particle":"","parse-names":false,"suffix":""}],"container-title":"Cellular and Molecular Life Sciences","id":"ITEM-1","issue":"17","issued":{"date-parts":[["2018"]]},"page":"3079-3098","publisher":"Springer International Publishing","title":"Bridging the molecular and biological functions of the oxysterol-binding protein family","type":"article-journal","volume":"75"},"uris":["http://www.mendeley.com/documents/?uuid=2a64f309-64a8-4335-adde-aa132327329f"]}],"mendeley":{"formattedCitation":"(2)","plainTextFormattedCitation":"(2)","previouslyFormattedCitation":"(2)"},"properties":{"noteIndex":0},"schema":"https://github.com/citation-style-language/schema/raw/master/csl-citation.json"}</w:instrText>
      </w:r>
      <w:r w:rsidR="00A87FC7">
        <w:fldChar w:fldCharType="separate"/>
      </w:r>
      <w:r w:rsidR="00A87FC7" w:rsidRPr="00A87FC7">
        <w:rPr>
          <w:noProof/>
        </w:rPr>
        <w:t>(2)</w:t>
      </w:r>
      <w:r w:rsidR="00A87FC7">
        <w:fldChar w:fldCharType="end"/>
      </w:r>
      <w:r w:rsidR="00A87FC7">
        <w:t>.</w:t>
      </w:r>
      <w:r w:rsidR="00A77A5E">
        <w:t xml:space="preserve"> The true roles that each member of the family plays within the cell is not fully known and the regulation of the proteins is unknown. This chapter will outline the basic structure of OSBP/ORPs and their specific cellular binding ligands and the known biological role of each family member. OSBP and its closest homolog ORP4 will be preferentially highlighted due to their focus in this dissertation. This chapter will look at their clinical relevance and the various small molecule ligands that each bind while briefly addressing some of the cellular effects that these molecules induce.</w:t>
      </w:r>
    </w:p>
    <w:p w:rsidR="00961548" w:rsidRPr="00B25249" w:rsidRDefault="00BA47B6" w:rsidP="00154AB8">
      <w:pPr>
        <w:pStyle w:val="Heading2"/>
      </w:pPr>
      <w:bookmarkStart w:id="11" w:name="_Toc532553072"/>
      <w:r>
        <w:t>Oxysterols as ligands for the OSBP/</w:t>
      </w:r>
      <w:r w:rsidR="00A77A5E">
        <w:t>ORPs</w:t>
      </w:r>
      <w:bookmarkEnd w:id="11"/>
    </w:p>
    <w:p w:rsidR="00E2070A" w:rsidRPr="00E2070A" w:rsidRDefault="00961548" w:rsidP="00E2070A">
      <w:pPr>
        <w:ind w:firstLine="720"/>
        <w:rPr>
          <w:b/>
        </w:rPr>
      </w:pPr>
      <w:r>
        <w:t>Oxysterols are 27-carbon oxidized forms of cholesterol that are generated through the cholesterol biosynthetic pathway and are involved in multiple activities in the body</w:t>
      </w:r>
      <w:r w:rsidR="00BA47B6">
        <w:fldChar w:fldCharType="begin" w:fldLock="1"/>
      </w:r>
      <w:r w:rsidR="00DE076B">
        <w:instrText>ADDIN CSL_CITATION {"citationItems":[{"id":"ITEM-1","itemData":{"DOI":"10.3390/biom2010076","ISBN":"2218-273X","ISSN":"2218273X","PMID":"24970128","abstract":"Oxysterols are oxidized 27-carbon cholesterol derivatives or by-products of cholesterol biosynthesis, with a spectrum of biologic activities. Several oxysterols have cytotoxic and pro-apoptotic activities, the ability to interfere with the lateral domain organization, and packing of membrane lipids. These properties may account for their suggested roles in the pathology of diseases such as atherosclerosis, age-onset macular degeneration and Alzheimer's disease. Oxysterols also have the capacity to induce inflammatory responses and play roles in cell differentiation processes. The functions of oxysterols as intermediates in the synthesis of bile acids and steroid hormones, and as readily transportable forms of sterol, are well established. Furthermore, their actions as endogenous regulators of gene expression in lipid metabolism via liver X receptors and the Insig (insulin-induced gene) proteins have been investigated in detail. The cytoplasmic oxysterol-binding protein (OSBP) homologues form a group of oxysterol/cholesterol sensors that has recently attracted a lot of attention. However, their mode of action is, as yet, poorly understood. Retinoic acid receptor-related orphan receptors (ROR) α and γ, and Epstein-Barr virus induced gene 2 (EBI2) have been identified as novel oxysterol receptors, revealing new physiologic oxysterol effector mechanisms in development, metabolism, and immunity, and evoking enhanced interest in these compounds in the field of biomedicine.","author":[{"dropping-particle":"","family":"Olkkonen","given":"Vesa M.","non-dropping-particle":"","parse-names":false,"suffix":""},{"dropping-particle":"","family":"Beaslas","given":"Olivier","non-dropping-particle":"","parse-names":false,"suffix":""},{"dropping-particle":"","family":"Nissila","given":"Eija","non-dropping-particle":"","parse-names":false,"suffix":""}],"container-title":"Biomolecules","id":"ITEM-1","issue":"1","issued":{"date-parts":[["2012"]]},"page":"76-103","title":"Oxysterols and their cellular effectors","type":"article-journal","volume":"2"},"uris":["http://www.mendeley.com/documents/?uuid=16503336-070e-4508-8d91-d2390109716f"]},{"id":"ITEM-2","itemData":{"DOI":"10.1016/j.chemphyslip.2016.03.001","ISSN":"18732941","PMID":"26956952","abstract":"The main biological cause of oxysterols is the oxidation of cholesterol. They differ from cholesterol by the presence of additional polar groups that are typically hydroxyl, keto, hydroperoxy, epoxy, or carboxyl moieties. Under typical conditions, oxysterol concentration is maintained at a very low and precisely regulated level, with an excess of cholesterol. Like cholesterol, many oxysterols are hydrophobic and hence confined to cell membranes. However, small chemical differences between the sterols can significantly affect how they interact with other membrane components, and this in turn can have a substantial effect on membrane properties. In this spirit, this review describes the biological importance and the roles of oxysterols in the human body. We focus primarily on the effect of oxysterols on lipid membranes, but we also consider other issues such as enzymatic and nonenzymatic synthesis processes of oxysterols as well as pathological conditions induced by oxysterols.","author":[{"dropping-particle":"","family":"Kulig","given":"Waldemar","non-dropping-particle":"","parse-names":false,"suffix":""},{"dropping-particle":"","family":"Cwiklik","given":"Lukasz","non-dropping-particle":"","parse-names":false,"suffix":""},{"dropping-particle":"","family":"Jurkiewicz","given":"Piotr","non-dropping-particle":"","parse-names":false,"suffix":""},{"dropping-particle":"","family":"Rog","given":"Tomasz","non-dropping-particle":"","parse-names":false,"suffix":""},{"dropping-particle":"","family":"Vattulainen","given":"Ilpo","non-dropping-particle":"","parse-names":false,"suffix":""}],"container-title":"Chemistry and Physics of Lipids","id":"ITEM-2","issued":{"date-parts":[["2016","9"]]},"page":"144-160","title":"Cholesterol oxidation products and their biological importance","type":"article-journal","volume":"199"},"uris":["http://www.mendeley.com/documents/?uuid=3fac5a9d-ae04-4294-9bbc-f8ad8fce66ce"]}],"mendeley":{"formattedCitation":"(6, 7)","plainTextFormattedCitation":"(6, 7)","previouslyFormattedCitation":"(6, 7)"},"properties":{"noteIndex":0},"schema":"https://github.com/citation-style-language/schema/raw/master/csl-citation.json"}</w:instrText>
      </w:r>
      <w:r w:rsidR="00BA47B6">
        <w:fldChar w:fldCharType="separate"/>
      </w:r>
      <w:r w:rsidR="00423910" w:rsidRPr="00423910">
        <w:rPr>
          <w:noProof/>
        </w:rPr>
        <w:t>(6, 7)</w:t>
      </w:r>
      <w:r w:rsidR="00BA47B6">
        <w:fldChar w:fldCharType="end"/>
      </w:r>
      <w:r>
        <w:t xml:space="preserve">. Numerous oxysterols are generated by the ER or mitochondria of hepatic cells by cytochrome P450 enzymes, </w:t>
      </w:r>
      <w:r w:rsidRPr="00A53A77">
        <w:rPr>
          <w:i/>
        </w:rPr>
        <w:t>in vivo</w:t>
      </w:r>
      <w:r>
        <w:t>, and</w:t>
      </w:r>
      <w:r w:rsidR="00A53A77">
        <w:t xml:space="preserve"> also</w:t>
      </w:r>
      <w:r>
        <w:t xml:space="preserve"> through food processing during cholesterol autoxidation</w:t>
      </w:r>
      <w:r w:rsidRPr="00B25249">
        <w:rPr>
          <w:vertAlign w:val="superscript"/>
        </w:rPr>
        <w:fldChar w:fldCharType="begin" w:fldLock="1"/>
      </w:r>
      <w:r w:rsidR="00DE076B">
        <w:rPr>
          <w:vertAlign w:val="superscript"/>
        </w:rPr>
        <w:instrText>ADDIN CSL_CITATION {"citationItems":[{"id":"ITEM-1","itemData":{"DOI":"10.3390/biom2010076","ISBN":"2218-273X","ISSN":"2218273X","PMID":"24970128","abstract":"Oxysterols are oxidized 27-carbon cholesterol derivatives or by-products of cholesterol biosynthesis, with a spectrum of biologic activities. Several oxysterols have cytotoxic and pro-apoptotic activities, the ability to interfere with the lateral domain organization, and packing of membrane lipids. These properties may account for their suggested roles in the pathology of diseases such as atherosclerosis, age-onset macular degeneration and Alzheimer's disease. Oxysterols also have the capacity to induce inflammatory responses and play roles in cell differentiation processes. The functions of oxysterols as intermediates in the synthesis of bile acids and steroid hormones, and as readily transportable forms of sterol, are well established. Furthermore, their actions as endogenous regulators of gene expression in lipid metabolism via liver X receptors and the Insig (insulin-induced gene) proteins have been investigated in detail. The cytoplasmic oxysterol-binding protein (OSBP) homologues form a group of oxysterol/cholesterol sensors that has recently attracted a lot of attention. However, their mode of action is, as yet, poorly understood. Retinoic acid receptor-related orphan receptors (ROR) α and γ, and Epstein-Barr virus induced gene 2 (EBI2) have been identified as novel oxysterol receptors, revealing new physiologic oxysterol effector mechanisms in development, metabolism, and immunity, and evoking enhanced interest in these compounds in the field of biomedicine.","author":[{"dropping-particle":"","family":"Olkkonen","given":"Vesa M.","non-dropping-particle":"","parse-names":false,"suffix":""},{"dropping-particle":"","family":"Beaslas","given":"Olivier","non-dropping-particle":"","parse-names":false,"suffix":""},{"dropping-particle":"","family":"Nissila","given":"Eija","non-dropping-particle":"","parse-names":false,"suffix":""}],"container-title":"Biomolecules","id":"ITEM-1","issue":"1","issued":{"date-parts":[["2012"]]},"page":"76-103","title":"Oxysterols and their cellular effectors","type":"article-journal","volume":"2"},"uris":["http://www.mendeley.com/documents/?uuid=16503336-070e-4508-8d91-d2390109716f"]},{"id":"ITEM-2","itemData":{"DOI":"10.1016/j.chemphyslip.2016.03.001","ISSN":"18732941","PMID":"26956952","abstract":"The main biological cause of oxysterols is the oxidation of cholesterol. They differ from cholesterol by the presence of additional polar groups that are typically hydroxyl, keto, hydroperoxy, epoxy, or carboxyl moieties. Under typical conditions, oxysterol concentration is maintained at a very low and precisely regulated level, with an excess of cholesterol. Like cholesterol, many oxysterols are hydrophobic and hence confined to cell membranes. However, small chemical differences between the sterols can significantly affect how they interact with other membrane components, and this in turn can have a substantial effect on membrane properties. In this spirit, this review describes the biological importance and the roles of oxysterols in the human body. We focus primarily on the effect of oxysterols on lipid membranes, but we also consider other issues such as enzymatic and nonenzymatic synthesis processes of oxysterols as well as pathological conditions induced by oxysterols.","author":[{"dropping-particle":"","family":"Kulig","given":"Waldemar","non-dropping-particle":"","parse-names":false,"suffix":""},{"dropping-particle":"","family":"Cwiklik","given":"Lukasz","non-dropping-particle":"","parse-names":false,"suffix":""},{"dropping-particle":"","family":"Jurkiewicz","given":"Piotr","non-dropping-particle":"","parse-names":false,"suffix":""},{"dropping-particle":"","family":"Rog","given":"Tomasz","non-dropping-particle":"","parse-names":false,"suffix":""},{"dropping-particle":"","family":"Vattulainen","given":"Ilpo","non-dropping-particle":"","parse-names":false,"suffix":""}],"container-title":"Chemistry and Physics of Lipids","id":"ITEM-2","issued":{"date-parts":[["2016","9"]]},"page":"144-160","title":"Cholesterol oxidation products and their biological importance","type":"article-journal","volume":"199"},"uris":["http://www.mendeley.com/documents/?uuid=3fac5a9d-ae04-4294-9bbc-f8ad8fce66ce"]}],"mendeley":{"formattedCitation":"(6, 7)","plainTextFormattedCitation":"(6, 7)","previouslyFormattedCitation":"(6, 7)"},"properties":{"noteIndex":0},"schema":"https://github.com/citation-style-language/schema/raw/master/csl-citation.json"}</w:instrText>
      </w:r>
      <w:r w:rsidRPr="00B25249">
        <w:rPr>
          <w:vertAlign w:val="superscript"/>
        </w:rPr>
        <w:fldChar w:fldCharType="separate"/>
      </w:r>
      <w:r w:rsidR="00423910" w:rsidRPr="00423910">
        <w:rPr>
          <w:noProof/>
        </w:rPr>
        <w:t>(6, 7)</w:t>
      </w:r>
      <w:r w:rsidRPr="00B25249">
        <w:rPr>
          <w:vertAlign w:val="superscript"/>
        </w:rPr>
        <w:fldChar w:fldCharType="end"/>
      </w:r>
      <w:r>
        <w:t xml:space="preserve"> (</w:t>
      </w:r>
      <w:r w:rsidR="00154AB8" w:rsidRPr="00154AB8">
        <w:rPr>
          <w:b/>
        </w:rPr>
        <w:fldChar w:fldCharType="begin"/>
      </w:r>
      <w:r w:rsidR="00154AB8" w:rsidRPr="00154AB8">
        <w:rPr>
          <w:b/>
        </w:rPr>
        <w:instrText xml:space="preserve"> REF _Ref530500586 \h  \* MERGEFORMAT </w:instrText>
      </w:r>
      <w:r w:rsidR="00154AB8" w:rsidRPr="00154AB8">
        <w:rPr>
          <w:b/>
        </w:rPr>
      </w:r>
      <w:r w:rsidR="00154AB8" w:rsidRPr="00154AB8">
        <w:rPr>
          <w:b/>
        </w:rPr>
        <w:fldChar w:fldCharType="separate"/>
      </w:r>
      <w:r w:rsidR="00E2070A" w:rsidRPr="00E2070A">
        <w:rPr>
          <w:b/>
        </w:rPr>
        <w:t xml:space="preserve">Figure </w:t>
      </w:r>
      <w:r w:rsidR="00E2070A" w:rsidRPr="00E2070A">
        <w:rPr>
          <w:b/>
          <w:noProof/>
        </w:rPr>
        <w:t>1</w:t>
      </w:r>
      <w:r w:rsidR="00154AB8" w:rsidRPr="00154AB8">
        <w:rPr>
          <w:b/>
        </w:rPr>
        <w:fldChar w:fldCharType="end"/>
      </w:r>
      <w:r>
        <w:t xml:space="preserve">). </w:t>
      </w:r>
      <w:r w:rsidR="00F93CD4">
        <w:t>Once produced, these oxysterols serve as major signaling molecules with a variety of functions such as development, differentiation, immune functions, apoptosis, etc.</w:t>
      </w:r>
      <w:r w:rsidR="00A53A77">
        <w:fldChar w:fldCharType="begin" w:fldLock="1"/>
      </w:r>
      <w:r w:rsidR="00DE076B">
        <w:instrText>ADDIN CSL_CITATION {"citationItems":[{"id":"ITEM-1","itemData":{"DOI":"10.3390/biom2010076","ISBN":"2218-273X","ISSN":"2218273X","PMID":"24970128","abstract":"Oxysterols are oxidized 27-carbon cholesterol derivatives or by-products of cholesterol biosynthesis, with a spectrum of biologic activities. Several oxysterols have cytotoxic and pro-apoptotic activities, the ability to interfere with the lateral domain organization, and packing of membrane lipids. These properties may account for their suggested roles in the pathology of diseases such as atherosclerosis, age-onset macular degeneration and Alzheimer's disease. Oxysterols also have the capacity to induce inflammatory responses and play roles in cell differentiation processes. The functions of oxysterols as intermediates in the synthesis of bile acids and steroid hormones, and as readily transportable forms of sterol, are well established. Furthermore, their actions as endogenous regulators of gene expression in lipid metabolism via liver X receptors and the Insig (insulin-induced gene) proteins have been investigated in detail. The cytoplasmic oxysterol-binding protein (OSBP) homologues form a group of oxysterol/cholesterol sensors that has recently attracted a lot of attention. However, their mode of action is, as yet, poorly understood. Retinoic acid receptor-related orphan receptors (ROR) α and γ, and Epstein-Barr virus induced gene 2 (EBI2) have been identified as novel oxysterol receptors, revealing new physiologic oxysterol effector mechanisms in development, metabolism, and immunity, and evoking enhanced interest in these compounds in the field of biomedicine.","author":[{"dropping-particle":"","family":"Olkkonen","given":"Vesa M.","non-dropping-particle":"","parse-names":false,"suffix":""},{"dropping-particle":"","family":"Beaslas","given":"Olivier","non-dropping-particle":"","parse-names":false,"suffix":""},{"dropping-particle":"","family":"Nissila","given":"Eija","non-dropping-particle":"","parse-names":false,"suffix":""}],"container-title":"Biomolecules","id":"ITEM-1","issue":"1","issued":{"date-parts":[["2012"]]},"page":"76-103","title":"Oxysterols and their cellular effectors","type":"article-journal","volume":"2"},"uris":["http://www.mendeley.com/documents/?uuid=16503336-070e-4508-8d91-d2390109716f"]},{"id":"ITEM-2","itemData":{"DOI":"10.1016/j.chemphyslip.2016.03.001","ISSN":"18732941","PMID":"26956952","abstract":"The main biological cause of oxysterols is the oxidation of cholesterol. They differ from cholesterol by the presence of additional polar groups that are typically hydroxyl, keto, hydroperoxy, epoxy, or carboxyl moieties. Under typical conditions, oxysterol concentration is maintained at a very low and precisely regulated level, with an excess of cholesterol. Like cholesterol, many oxysterols are hydrophobic and hence confined to cell membranes. However, small chemical differences between the sterols can significantly affect how they interact with other membrane components, and this in turn can have a substantial effect on membrane properties. In this spirit, this review describes the biological importance and the roles of oxysterols in the human body. We focus primarily on the effect of oxysterols on lipid membranes, but we also consider other issues such as enzymatic and nonenzymatic synthesis processes of oxysterols as well as pathological conditions induced by oxysterols.","author":[{"dropping-particle":"","family":"Kulig","given":"Waldemar","non-dropping-particle":"","parse-names":false,"suffix":""},{"dropping-particle":"","family":"Cwiklik","given":"Lukasz","non-dropping-particle":"","parse-names":false,"suffix":""},{"dropping-particle":"","family":"Jurkiewicz","given":"Piotr","non-dropping-particle":"","parse-names":false,"suffix":""},{"dropping-particle":"","family":"Rog","given":"Tomasz","non-dropping-particle":"","parse-names":false,"suffix":""},{"dropping-particle":"","family":"Vattulainen","given":"Ilpo","non-dropping-particle":"","parse-names":false,"suffix":""}],"container-title":"Chemistry and Physics of Lipids","id":"ITEM-2","issued":{"date-parts":[["2016","9"]]},"page":"144-160","title":"Cholesterol oxidation products and their biological importance","type":"article-journal","volume":"199"},"uris":["http://www.mendeley.com/documents/?uuid=3fac5a9d-ae04-4294-9bbc-f8ad8fce66ce"]}],"mendeley":{"formattedCitation":"(6, 7)","plainTextFormattedCitation":"(6, 7)","previouslyFormattedCitation":"(6, 7)"},"properties":{"noteIndex":0},"schema":"https://github.com/citation-style-language/schema/raw/master/csl-citation.json"}</w:instrText>
      </w:r>
      <w:r w:rsidR="00A53A77">
        <w:fldChar w:fldCharType="separate"/>
      </w:r>
      <w:r w:rsidR="00423910" w:rsidRPr="00423910">
        <w:rPr>
          <w:noProof/>
        </w:rPr>
        <w:t>(6, 7)</w:t>
      </w:r>
      <w:r w:rsidR="00A53A77">
        <w:fldChar w:fldCharType="end"/>
      </w:r>
      <w:r w:rsidR="00F93CD4">
        <w:t xml:space="preserve"> (</w:t>
      </w:r>
      <w:r w:rsidR="00154AB8" w:rsidRPr="00154AB8">
        <w:rPr>
          <w:b/>
        </w:rPr>
        <w:fldChar w:fldCharType="begin"/>
      </w:r>
      <w:r w:rsidR="00154AB8" w:rsidRPr="00154AB8">
        <w:rPr>
          <w:b/>
        </w:rPr>
        <w:instrText xml:space="preserve"> REF _Ref530500545 \h  \* MERGEFORMAT </w:instrText>
      </w:r>
      <w:r w:rsidR="00154AB8" w:rsidRPr="00154AB8">
        <w:rPr>
          <w:b/>
        </w:rPr>
      </w:r>
      <w:r w:rsidR="00154AB8" w:rsidRPr="00154AB8">
        <w:rPr>
          <w:b/>
        </w:rPr>
        <w:fldChar w:fldCharType="separate"/>
      </w:r>
      <w:r w:rsidR="00E2070A" w:rsidRPr="00E2070A">
        <w:rPr>
          <w:b/>
        </w:rPr>
        <w:t xml:space="preserve">Figure </w:t>
      </w:r>
      <w:r w:rsidR="00E2070A" w:rsidRPr="00E2070A">
        <w:rPr>
          <w:b/>
          <w:noProof/>
        </w:rPr>
        <w:lastRenderedPageBreak/>
        <w:t>2</w:t>
      </w:r>
      <w:r w:rsidR="00154AB8" w:rsidRPr="00154AB8">
        <w:rPr>
          <w:b/>
        </w:rPr>
        <w:fldChar w:fldCharType="end"/>
      </w:r>
      <w:r w:rsidR="00F93CD4">
        <w:t>). Like any other cellular signaling molecule, there are specific receptors for oxysterols, one of which is OSBP/ORPs</w:t>
      </w:r>
      <w:r w:rsidR="00A53A77">
        <w:fldChar w:fldCharType="begin" w:fldLock="1"/>
      </w:r>
      <w:r w:rsidR="00DE076B">
        <w:instrText>ADDIN CSL_CITATION {"citationItems":[{"id":"ITEM-1","itemData":{"DOI":"10.3390/biom2010076","ISBN":"2218-273X","ISSN":"2218273X","PMID":"24970128","abstract":"Oxysterols are oxidized 27-carbon cholesterol derivatives or by-products of cholesterol biosynthesis, with a spectrum of biologic activities. Several oxysterols have cytotoxic and pro-apoptotic activities, the ability to interfere with the lateral domain organization, and packing of membrane lipids. These properties may account for their suggested roles in the pathology of diseases such as atherosclerosis, age-onset macular degeneration and Alzheimer's disease. Oxysterols also have the capacity to induce inflammatory responses and play roles in cell differentiation processes. The functions of oxysterols as intermediates in the synthesis of bile acids and steroid hormones, and as readily transportable forms of sterol, are well established. Furthermore, their actions as endogenous regulators of gene expression in lipid metabolism via liver X receptors and the Insig (insulin-induced gene) proteins have been investigated in detail. The cytoplasmic oxysterol-binding protein (OSBP) homologues form a group of oxysterol/cholesterol sensors that has recently attracted a lot of attention. However, their mode of action is, as yet, poorly understood. Retinoic acid receptor-related orphan receptors (ROR) α and γ, and Epstein-Barr virus induced gene 2 (EBI2) have been identified as novel oxysterol receptors, revealing new physiologic oxysterol effector mechanisms in development, metabolism, and immunity, and evoking enhanced interest in these compounds in the field of biomedicine.","author":[{"dropping-particle":"","family":"Olkkonen","given":"Vesa M.","non-dropping-particle":"","parse-names":false,"suffix":""},{"dropping-particle":"","family":"Beaslas","given":"Olivier","non-dropping-particle":"","parse-names":false,"suffix":""},{"dropping-particle":"","family":"Nissila","given":"Eija","non-dropping-particle":"","parse-names":false,"suffix":""}],"container-title":"Biomolecules","id":"ITEM-1","issue":"1","issued":{"date-parts":[["2012"]]},"page":"76-103","title":"Oxysterols and their cellular effectors","type":"article-journal","volume":"2"},"uris":["http://www.mendeley.com/documents/?uuid=16503336-070e-4508-8d91-d2390109716f"]}],"mendeley":{"formattedCitation":"(6)","plainTextFormattedCitation":"(6)","previouslyFormattedCitation":"(6)"},"properties":{"noteIndex":0},"schema":"https://github.com/citation-style-language/schema/raw/master/csl-citation.json"}</w:instrText>
      </w:r>
      <w:r w:rsidR="00A53A77">
        <w:fldChar w:fldCharType="separate"/>
      </w:r>
      <w:r w:rsidR="00423910" w:rsidRPr="00423910">
        <w:rPr>
          <w:noProof/>
        </w:rPr>
        <w:t>(6)</w:t>
      </w:r>
      <w:r w:rsidR="00A53A77">
        <w:fldChar w:fldCharType="end"/>
      </w:r>
      <w:r w:rsidR="00F93CD4">
        <w:t xml:space="preserve"> (</w:t>
      </w:r>
      <w:r w:rsidR="00154AB8" w:rsidRPr="00154AB8">
        <w:rPr>
          <w:b/>
        </w:rPr>
        <w:fldChar w:fldCharType="begin"/>
      </w:r>
      <w:r w:rsidR="00154AB8" w:rsidRPr="00154AB8">
        <w:rPr>
          <w:b/>
        </w:rPr>
        <w:instrText xml:space="preserve"> REF _Ref530500563 \h  \* MERGEFORMAT </w:instrText>
      </w:r>
      <w:r w:rsidR="00154AB8" w:rsidRPr="00154AB8">
        <w:rPr>
          <w:b/>
        </w:rPr>
      </w:r>
      <w:r w:rsidR="00154AB8" w:rsidRPr="00154AB8">
        <w:rPr>
          <w:b/>
        </w:rPr>
        <w:fldChar w:fldCharType="separate"/>
      </w:r>
    </w:p>
    <w:p w:rsidR="00E2070A" w:rsidRPr="00E2070A" w:rsidRDefault="00E2070A" w:rsidP="00E2070A">
      <w:pPr>
        <w:ind w:firstLine="720"/>
        <w:rPr>
          <w:b/>
        </w:rPr>
      </w:pPr>
    </w:p>
    <w:p w:rsidR="00E2070A" w:rsidRPr="00E2070A" w:rsidRDefault="00E2070A" w:rsidP="00E2070A">
      <w:pPr>
        <w:ind w:firstLine="720"/>
        <w:rPr>
          <w:b/>
          <w:noProof/>
        </w:rPr>
      </w:pPr>
    </w:p>
    <w:p w:rsidR="00E2070A" w:rsidRDefault="00E2070A" w:rsidP="00154AB8">
      <w:pPr>
        <w:pStyle w:val="Caption"/>
        <w:jc w:val="both"/>
      </w:pPr>
    </w:p>
    <w:p w:rsidR="00F93CD4" w:rsidRDefault="00E2070A" w:rsidP="00154AB8">
      <w:pPr>
        <w:ind w:firstLine="720"/>
        <w:jc w:val="both"/>
      </w:pPr>
      <w:r>
        <w:t xml:space="preserve">Table </w:t>
      </w:r>
      <w:r>
        <w:rPr>
          <w:noProof/>
        </w:rPr>
        <w:t>1</w:t>
      </w:r>
      <w:r w:rsidR="00154AB8" w:rsidRPr="00154AB8">
        <w:rPr>
          <w:b/>
        </w:rPr>
        <w:fldChar w:fldCharType="end"/>
      </w:r>
      <w:r w:rsidR="00154AB8">
        <w:t>).</w:t>
      </w:r>
    </w:p>
    <w:p w:rsidR="00154AB8" w:rsidRDefault="002D5E12" w:rsidP="00154AB8">
      <w:pPr>
        <w:keepNext/>
        <w:spacing w:line="240" w:lineRule="auto"/>
        <w:jc w:val="both"/>
      </w:pPr>
      <w:r>
        <w:rPr>
          <w:noProof/>
          <w:lang w:bidi="ar-SA"/>
        </w:rPr>
        <w:drawing>
          <wp:inline distT="0" distB="0" distL="0" distR="0" wp14:anchorId="7819B800" wp14:editId="0DB4C09A">
            <wp:extent cx="5394960" cy="3033540"/>
            <wp:effectExtent l="19050" t="19050" r="15240" b="146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3033540"/>
                    </a:xfrm>
                    <a:prstGeom prst="rect">
                      <a:avLst/>
                    </a:prstGeom>
                    <a:noFill/>
                    <a:ln>
                      <a:solidFill>
                        <a:schemeClr val="tx1"/>
                      </a:solidFill>
                    </a:ln>
                  </pic:spPr>
                </pic:pic>
              </a:graphicData>
            </a:graphic>
          </wp:inline>
        </w:drawing>
      </w:r>
    </w:p>
    <w:p w:rsidR="00154AB8" w:rsidRPr="006A2B41" w:rsidRDefault="00A841B4" w:rsidP="00154AB8">
      <w:pPr>
        <w:pStyle w:val="Caption"/>
        <w:jc w:val="both"/>
      </w:pPr>
      <w:bookmarkStart w:id="12" w:name="_Ref530500586"/>
      <w:bookmarkStart w:id="13" w:name="_Toc530673926"/>
      <w:r w:rsidRPr="00A841B4">
        <w:t>Figure</w:t>
      </w:r>
      <w:r w:rsidR="00154AB8">
        <w:t xml:space="preserve"> </w:t>
      </w:r>
      <w:fldSimple w:instr=" SEQ Figure \* ARABIC ">
        <w:r w:rsidR="00E2070A">
          <w:rPr>
            <w:noProof/>
          </w:rPr>
          <w:t>1</w:t>
        </w:r>
      </w:fldSimple>
      <w:bookmarkEnd w:id="12"/>
      <w:r w:rsidR="00154AB8">
        <w:t xml:space="preserve">: </w:t>
      </w:r>
      <w:r w:rsidR="00154AB8" w:rsidRPr="0034011E">
        <w:t xml:space="preserve">Fates of Cholesterol when processed by CYP450’s. </w:t>
      </w:r>
      <w:r w:rsidR="00154AB8" w:rsidRPr="00154AB8">
        <w:rPr>
          <w:b w:val="0"/>
        </w:rPr>
        <w:t>When cholesterol is processed by various CYP450 enzymes</w:t>
      </w:r>
      <w:r w:rsidR="002D5E12">
        <w:rPr>
          <w:b w:val="0"/>
        </w:rPr>
        <w:t xml:space="preserve"> or oxidation</w:t>
      </w:r>
      <w:r w:rsidR="00154AB8" w:rsidRPr="00154AB8">
        <w:rPr>
          <w:b w:val="0"/>
        </w:rPr>
        <w:t>, a variety of oxysterols are produced that contain very similar structures but very different effects.</w:t>
      </w:r>
      <w:bookmarkEnd w:id="13"/>
    </w:p>
    <w:p w:rsidR="00F93CD4" w:rsidRDefault="00F93CD4" w:rsidP="00F93CD4">
      <w:r>
        <w:rPr>
          <w:noProof/>
          <w:lang w:bidi="ar-SA"/>
        </w:rPr>
        <w:lastRenderedPageBreak/>
        <mc:AlternateContent>
          <mc:Choice Requires="wps">
            <w:drawing>
              <wp:anchor distT="0" distB="0" distL="114300" distR="114300" simplePos="0" relativeHeight="251672576" behindDoc="1" locked="0" layoutInCell="1" allowOverlap="1" wp14:anchorId="6A4D9D4C" wp14:editId="3E986625">
                <wp:simplePos x="0" y="0"/>
                <wp:positionH relativeFrom="column">
                  <wp:posOffset>3810</wp:posOffset>
                </wp:positionH>
                <wp:positionV relativeFrom="paragraph">
                  <wp:posOffset>3667125</wp:posOffset>
                </wp:positionV>
                <wp:extent cx="5379085" cy="635"/>
                <wp:effectExtent l="0" t="0" r="0" b="0"/>
                <wp:wrapTight wrapText="bothSides">
                  <wp:wrapPolygon edited="0">
                    <wp:start x="0" y="0"/>
                    <wp:lineTo x="0" y="21600"/>
                    <wp:lineTo x="21600" y="21600"/>
                    <wp:lineTo x="21600" y="0"/>
                  </wp:wrapPolygon>
                </wp:wrapTight>
                <wp:docPr id="53" name="Text Box 53"/>
                <wp:cNvGraphicFramePr/>
                <a:graphic xmlns:a="http://schemas.openxmlformats.org/drawingml/2006/main">
                  <a:graphicData uri="http://schemas.microsoft.com/office/word/2010/wordprocessingShape">
                    <wps:wsp>
                      <wps:cNvSpPr txBox="1"/>
                      <wps:spPr>
                        <a:xfrm>
                          <a:off x="0" y="0"/>
                          <a:ext cx="5379085" cy="635"/>
                        </a:xfrm>
                        <a:prstGeom prst="rect">
                          <a:avLst/>
                        </a:prstGeom>
                        <a:solidFill>
                          <a:prstClr val="white"/>
                        </a:solidFill>
                        <a:ln>
                          <a:noFill/>
                        </a:ln>
                      </wps:spPr>
                      <wps:txbx>
                        <w:txbxContent>
                          <w:p w:rsidR="00D9132A" w:rsidRPr="0013212F" w:rsidRDefault="00D9132A" w:rsidP="00154AB8">
                            <w:pPr>
                              <w:pStyle w:val="Caption"/>
                              <w:jc w:val="both"/>
                              <w:rPr>
                                <w:noProof/>
                                <w:szCs w:val="24"/>
                              </w:rPr>
                            </w:pPr>
                            <w:bookmarkStart w:id="14" w:name="_Ref530500545"/>
                            <w:bookmarkStart w:id="15" w:name="_Toc530673927"/>
                            <w:r w:rsidRPr="00A841B4">
                              <w:t>Figure</w:t>
                            </w:r>
                            <w:r>
                              <w:t xml:space="preserve"> </w:t>
                            </w:r>
                            <w:fldSimple w:instr=" SEQ Figure \* ARABIC ">
                              <w:r w:rsidR="00E2070A">
                                <w:rPr>
                                  <w:noProof/>
                                </w:rPr>
                                <w:t>2</w:t>
                              </w:r>
                            </w:fldSimple>
                            <w:bookmarkEnd w:id="14"/>
                            <w:r>
                              <w:t xml:space="preserve">: </w:t>
                            </w:r>
                            <w:r w:rsidRPr="00B35EEB">
                              <w:rPr>
                                <w:b w:val="0"/>
                              </w:rPr>
                              <w:t>Cellular signaling of oxysterols. Cholesterol is processed into various oxysterols and these oxysterols have cellular signaling for developmental processes, differentiation abilities, and transcriptional control. They also have inflammation, immunity and apoptotic abilities alongside normal metabolic processes of sterols.</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A4D9D4C" id="_x0000_t202" coordsize="21600,21600" o:spt="202" path="m,l,21600r21600,l21600,xe">
                <v:stroke joinstyle="miter"/>
                <v:path gradientshapeok="t" o:connecttype="rect"/>
              </v:shapetype>
              <v:shape id="Text Box 53" o:spid="_x0000_s1026" type="#_x0000_t202" style="position:absolute;margin-left:.3pt;margin-top:288.75pt;width:423.55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" stroked="f">
                <v:textbox style="mso-fit-shape-to-text:t" inset="0,0,0,0">
                  <w:txbxContent>
                    <w:p w:rsidR="00D9132A" w:rsidRPr="0013212F" w:rsidRDefault="00D9132A" w:rsidP="00154AB8">
                      <w:pPr>
                        <w:pStyle w:val="Caption"/>
                        <w:jc w:val="both"/>
                        <w:rPr>
                          <w:noProof/>
                          <w:szCs w:val="24"/>
                        </w:rPr>
                      </w:pPr>
                      <w:bookmarkStart w:id="16" w:name="_Ref530500545"/>
                      <w:bookmarkStart w:id="17" w:name="_Toc530673927"/>
                      <w:r w:rsidRPr="00A841B4">
                        <w:t>Figure</w:t>
                      </w:r>
                      <w:r>
                        <w:t xml:space="preserve"> </w:t>
                      </w:r>
                      <w:fldSimple w:instr=" SEQ Figure \* ARABIC ">
                        <w:r w:rsidR="00E2070A">
                          <w:rPr>
                            <w:noProof/>
                          </w:rPr>
                          <w:t>2</w:t>
                        </w:r>
                      </w:fldSimple>
                      <w:bookmarkEnd w:id="16"/>
                      <w:r>
                        <w:t xml:space="preserve">: </w:t>
                      </w:r>
                      <w:r w:rsidRPr="00B35EEB">
                        <w:rPr>
                          <w:b w:val="0"/>
                        </w:rPr>
                        <w:t>Cellular signaling of oxysterols. Cholesterol is processed into various oxysterols and these oxysterols have cellular signaling for developmental processes, differentiation abilities, and transcriptional control. They also have inflammation, immunity and apoptotic abilities alongside normal metabolic processes of sterols.</w:t>
                      </w:r>
                      <w:bookmarkEnd w:id="17"/>
                    </w:p>
                  </w:txbxContent>
                </v:textbox>
                <w10:wrap type="tight"/>
              </v:shape>
            </w:pict>
          </mc:Fallback>
        </mc:AlternateContent>
      </w:r>
      <w:r w:rsidR="00154AB8" w:rsidRPr="003D4DED">
        <w:rPr>
          <w:noProof/>
          <w:lang w:bidi="ar-SA"/>
        </w:rPr>
        <w:drawing>
          <wp:inline distT="0" distB="0" distL="0" distR="0" wp14:anchorId="779364BE" wp14:editId="6C8CBBEA">
            <wp:extent cx="5379085" cy="3590925"/>
            <wp:effectExtent l="19050" t="19050" r="12065" b="28575"/>
            <wp:docPr id="4" name="Picture 3">
              <a:extLst xmlns:a="http://schemas.openxmlformats.org/drawingml/2006/main">
                <a:ext uri="{FF2B5EF4-FFF2-40B4-BE49-F238E27FC236}">
                  <a16:creationId xmlns:a16="http://schemas.microsoft.com/office/drawing/2014/main" id="{6D8E5C01-4C86-438B-B42C-9A6CB5B714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D8E5C01-4C86-438B-B42C-9A6CB5B71478}"/>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79085" cy="3590925"/>
                    </a:xfrm>
                    <a:prstGeom prst="rect">
                      <a:avLst/>
                    </a:prstGeom>
                    <a:ln>
                      <a:solidFill>
                        <a:schemeClr val="tx1"/>
                      </a:solidFill>
                    </a:ln>
                  </pic:spPr>
                </pic:pic>
              </a:graphicData>
            </a:graphic>
          </wp:inline>
        </w:drawing>
      </w:r>
    </w:p>
    <w:p w:rsidR="0015171B" w:rsidRDefault="0015171B" w:rsidP="00154AB8">
      <w:pPr>
        <w:pStyle w:val="Caption"/>
        <w:jc w:val="both"/>
      </w:pPr>
      <w:bookmarkStart w:id="18" w:name="_Ref530500563"/>
      <w:bookmarkStart w:id="19" w:name="_Toc530338300"/>
    </w:p>
    <w:p w:rsidR="0015171B" w:rsidRDefault="0015171B" w:rsidP="00154AB8">
      <w:pPr>
        <w:pStyle w:val="Caption"/>
        <w:jc w:val="both"/>
      </w:pPr>
    </w:p>
    <w:p w:rsidR="0015171B" w:rsidRDefault="0015171B" w:rsidP="00154AB8">
      <w:pPr>
        <w:pStyle w:val="Caption"/>
        <w:jc w:val="both"/>
      </w:pPr>
    </w:p>
    <w:p w:rsidR="0015171B" w:rsidRDefault="0015171B" w:rsidP="00154AB8">
      <w:pPr>
        <w:pStyle w:val="Caption"/>
        <w:jc w:val="both"/>
      </w:pPr>
    </w:p>
    <w:p w:rsidR="006A2B41" w:rsidRPr="006A2B41" w:rsidRDefault="00F93CD4" w:rsidP="00154AB8">
      <w:pPr>
        <w:pStyle w:val="Caption"/>
        <w:jc w:val="both"/>
        <w:rPr>
          <w:b w:val="0"/>
        </w:rPr>
      </w:pPr>
      <w:r>
        <w:t xml:space="preserve">Table </w:t>
      </w:r>
      <w:fldSimple w:instr=" SEQ Table \* ARABIC ">
        <w:r w:rsidR="00E2070A">
          <w:rPr>
            <w:noProof/>
          </w:rPr>
          <w:t>1</w:t>
        </w:r>
      </w:fldSimple>
      <w:bookmarkEnd w:id="18"/>
      <w:r>
        <w:t xml:space="preserve">: </w:t>
      </w:r>
      <w:r w:rsidRPr="00387D20">
        <w:rPr>
          <w:b w:val="0"/>
        </w:rPr>
        <w:t xml:space="preserve">List of oxysterol receptors and the various functions. Table </w:t>
      </w:r>
      <w:r>
        <w:rPr>
          <w:b w:val="0"/>
        </w:rPr>
        <w:t xml:space="preserve">adapted </w:t>
      </w:r>
      <w:r w:rsidRPr="00387D20">
        <w:rPr>
          <w:b w:val="0"/>
        </w:rPr>
        <w:t>from Olkkonen et al. 2012.</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5611"/>
      </w:tblGrid>
      <w:tr w:rsidR="00961548" w:rsidTr="00DB64F2">
        <w:tc>
          <w:tcPr>
            <w:tcW w:w="2875" w:type="dxa"/>
            <w:tcBorders>
              <w:top w:val="single" w:sz="4" w:space="0" w:color="auto"/>
              <w:bottom w:val="single" w:sz="4" w:space="0" w:color="auto"/>
            </w:tcBorders>
          </w:tcPr>
          <w:p w:rsidR="00961548" w:rsidRPr="00B35EEB" w:rsidRDefault="00961548" w:rsidP="00154AB8">
            <w:pPr>
              <w:spacing w:line="240" w:lineRule="auto"/>
              <w:jc w:val="both"/>
              <w:rPr>
                <w:b/>
              </w:rPr>
            </w:pPr>
            <w:r>
              <w:rPr>
                <w:b/>
              </w:rPr>
              <w:t>Receptor (or rec. Family)</w:t>
            </w:r>
          </w:p>
        </w:tc>
        <w:tc>
          <w:tcPr>
            <w:tcW w:w="5611" w:type="dxa"/>
            <w:tcBorders>
              <w:top w:val="single" w:sz="4" w:space="0" w:color="auto"/>
              <w:bottom w:val="single" w:sz="4" w:space="0" w:color="auto"/>
            </w:tcBorders>
          </w:tcPr>
          <w:p w:rsidR="00961548" w:rsidRPr="00B35EEB" w:rsidRDefault="00961548" w:rsidP="00154AB8">
            <w:pPr>
              <w:spacing w:line="240" w:lineRule="auto"/>
              <w:jc w:val="both"/>
              <w:rPr>
                <w:b/>
              </w:rPr>
            </w:pPr>
            <w:r>
              <w:rPr>
                <w:b/>
              </w:rPr>
              <w:t>Function</w:t>
            </w:r>
          </w:p>
        </w:tc>
      </w:tr>
      <w:tr w:rsidR="00961548" w:rsidTr="00DB64F2">
        <w:tc>
          <w:tcPr>
            <w:tcW w:w="2875" w:type="dxa"/>
            <w:tcBorders>
              <w:top w:val="single" w:sz="4" w:space="0" w:color="auto"/>
            </w:tcBorders>
          </w:tcPr>
          <w:p w:rsidR="00961548" w:rsidRDefault="00961548" w:rsidP="00154AB8">
            <w:pPr>
              <w:spacing w:line="240" w:lineRule="auto"/>
              <w:jc w:val="both"/>
            </w:pPr>
            <w:r>
              <w:t>LXR</w:t>
            </w:r>
            <w:r>
              <w:rPr>
                <w:rFonts w:cstheme="minorHAnsi"/>
              </w:rPr>
              <w:t>α, LXRβ</w:t>
            </w:r>
          </w:p>
        </w:tc>
        <w:tc>
          <w:tcPr>
            <w:tcW w:w="5611" w:type="dxa"/>
            <w:tcBorders>
              <w:top w:val="single" w:sz="4" w:space="0" w:color="auto"/>
            </w:tcBorders>
          </w:tcPr>
          <w:p w:rsidR="00961548" w:rsidRDefault="00961548" w:rsidP="00154AB8">
            <w:pPr>
              <w:spacing w:line="240" w:lineRule="auto"/>
              <w:jc w:val="both"/>
            </w:pPr>
            <w:r>
              <w:t>Transcriptional regulation of cholesterol adsorption and cellular efflux, cholesterol and bile acid synthesis, neutral lipid secretion into bile, inflammation and immune response</w:t>
            </w:r>
          </w:p>
        </w:tc>
      </w:tr>
      <w:tr w:rsidR="00961548" w:rsidTr="00DB64F2">
        <w:tc>
          <w:tcPr>
            <w:tcW w:w="2875" w:type="dxa"/>
          </w:tcPr>
          <w:p w:rsidR="00961548" w:rsidRDefault="00961548" w:rsidP="00154AB8">
            <w:pPr>
              <w:spacing w:line="240" w:lineRule="auto"/>
              <w:jc w:val="both"/>
            </w:pPr>
            <w:r>
              <w:t>OSBP/ORPs</w:t>
            </w:r>
          </w:p>
        </w:tc>
        <w:tc>
          <w:tcPr>
            <w:tcW w:w="5611" w:type="dxa"/>
          </w:tcPr>
          <w:p w:rsidR="00961548" w:rsidRDefault="00961548" w:rsidP="00154AB8">
            <w:pPr>
              <w:spacing w:line="240" w:lineRule="auto"/>
              <w:jc w:val="both"/>
            </w:pPr>
            <w:r>
              <w:t>Regulation of lipid homeostasis, vesicle transport and cell signaling</w:t>
            </w:r>
          </w:p>
        </w:tc>
      </w:tr>
      <w:tr w:rsidR="00961548" w:rsidTr="00DB64F2">
        <w:tc>
          <w:tcPr>
            <w:tcW w:w="2875" w:type="dxa"/>
          </w:tcPr>
          <w:p w:rsidR="00961548" w:rsidRDefault="00961548" w:rsidP="00154AB8">
            <w:pPr>
              <w:spacing w:line="240" w:lineRule="auto"/>
              <w:jc w:val="both"/>
            </w:pPr>
            <w:r>
              <w:t>Insig</w:t>
            </w:r>
          </w:p>
        </w:tc>
        <w:tc>
          <w:tcPr>
            <w:tcW w:w="5611" w:type="dxa"/>
          </w:tcPr>
          <w:p w:rsidR="00961548" w:rsidRDefault="00961548" w:rsidP="00154AB8">
            <w:pPr>
              <w:spacing w:line="240" w:lineRule="auto"/>
              <w:jc w:val="both"/>
            </w:pPr>
            <w:r>
              <w:t>Regulation of SREBP maturation: cholesterol and fatty acid biosynthesis and LDL receptor expression</w:t>
            </w:r>
          </w:p>
        </w:tc>
      </w:tr>
      <w:tr w:rsidR="00961548" w:rsidTr="00DB64F2">
        <w:tc>
          <w:tcPr>
            <w:tcW w:w="2875" w:type="dxa"/>
          </w:tcPr>
          <w:p w:rsidR="00961548" w:rsidRDefault="00961548" w:rsidP="00154AB8">
            <w:pPr>
              <w:spacing w:line="240" w:lineRule="auto"/>
              <w:jc w:val="both"/>
            </w:pPr>
            <w:r>
              <w:t>StarD5</w:t>
            </w:r>
          </w:p>
        </w:tc>
        <w:tc>
          <w:tcPr>
            <w:tcW w:w="5611" w:type="dxa"/>
          </w:tcPr>
          <w:p w:rsidR="00961548" w:rsidRDefault="00961548" w:rsidP="00154AB8">
            <w:pPr>
              <w:spacing w:line="240" w:lineRule="auto"/>
              <w:jc w:val="both"/>
            </w:pPr>
            <w:r>
              <w:t>Cellular cholesterol metabolism and transport; up-regulated upon ER stress</w:t>
            </w:r>
          </w:p>
        </w:tc>
      </w:tr>
      <w:tr w:rsidR="00961548" w:rsidTr="00DB64F2">
        <w:tc>
          <w:tcPr>
            <w:tcW w:w="2875" w:type="dxa"/>
          </w:tcPr>
          <w:p w:rsidR="00961548" w:rsidRDefault="00961548" w:rsidP="00154AB8">
            <w:pPr>
              <w:spacing w:line="240" w:lineRule="auto"/>
              <w:jc w:val="both"/>
            </w:pPr>
            <w:r>
              <w:t>NPC1</w:t>
            </w:r>
          </w:p>
        </w:tc>
        <w:tc>
          <w:tcPr>
            <w:tcW w:w="5611" w:type="dxa"/>
          </w:tcPr>
          <w:p w:rsidR="00961548" w:rsidRDefault="00961548" w:rsidP="00154AB8">
            <w:pPr>
              <w:spacing w:line="240" w:lineRule="auto"/>
              <w:jc w:val="both"/>
            </w:pPr>
            <w:r>
              <w:t>Egress of endocytosed cholesterol out of late endocytic compartments</w:t>
            </w:r>
          </w:p>
        </w:tc>
      </w:tr>
      <w:tr w:rsidR="00961548" w:rsidTr="00DB64F2">
        <w:tc>
          <w:tcPr>
            <w:tcW w:w="2875" w:type="dxa"/>
          </w:tcPr>
          <w:p w:rsidR="00961548" w:rsidRDefault="00961548" w:rsidP="00154AB8">
            <w:pPr>
              <w:spacing w:line="240" w:lineRule="auto"/>
              <w:jc w:val="both"/>
            </w:pPr>
            <w:r>
              <w:t>ROR</w:t>
            </w:r>
            <w:r>
              <w:rPr>
                <w:rFonts w:cstheme="minorHAnsi"/>
              </w:rPr>
              <w:t>α, RORγ</w:t>
            </w:r>
          </w:p>
        </w:tc>
        <w:tc>
          <w:tcPr>
            <w:tcW w:w="5611" w:type="dxa"/>
          </w:tcPr>
          <w:p w:rsidR="00961548" w:rsidRDefault="00961548" w:rsidP="00154AB8">
            <w:pPr>
              <w:spacing w:line="240" w:lineRule="auto"/>
              <w:jc w:val="both"/>
            </w:pPr>
            <w:r>
              <w:t>Transcriptional regulation of genes involved in development, metabolism, and immunity</w:t>
            </w:r>
          </w:p>
        </w:tc>
      </w:tr>
      <w:tr w:rsidR="00961548" w:rsidTr="00DB64F2">
        <w:tc>
          <w:tcPr>
            <w:tcW w:w="2875" w:type="dxa"/>
          </w:tcPr>
          <w:p w:rsidR="00961548" w:rsidRDefault="00961548" w:rsidP="00154AB8">
            <w:pPr>
              <w:spacing w:line="240" w:lineRule="auto"/>
              <w:jc w:val="both"/>
            </w:pPr>
            <w:r>
              <w:t>EB12/GRP183</w:t>
            </w:r>
          </w:p>
        </w:tc>
        <w:tc>
          <w:tcPr>
            <w:tcW w:w="5611" w:type="dxa"/>
          </w:tcPr>
          <w:p w:rsidR="00961548" w:rsidRDefault="00961548" w:rsidP="00154AB8">
            <w:pPr>
              <w:spacing w:line="240" w:lineRule="auto"/>
              <w:jc w:val="both"/>
            </w:pPr>
            <w:r>
              <w:t>Control of B-cell migration</w:t>
            </w:r>
          </w:p>
        </w:tc>
      </w:tr>
      <w:tr w:rsidR="00961548" w:rsidTr="00DB64F2">
        <w:tc>
          <w:tcPr>
            <w:tcW w:w="2875" w:type="dxa"/>
            <w:tcBorders>
              <w:bottom w:val="single" w:sz="4" w:space="0" w:color="auto"/>
            </w:tcBorders>
          </w:tcPr>
          <w:p w:rsidR="00961548" w:rsidRDefault="00961548" w:rsidP="00154AB8">
            <w:pPr>
              <w:spacing w:line="240" w:lineRule="auto"/>
              <w:jc w:val="both"/>
            </w:pPr>
            <w:r>
              <w:t>Smoothened</w:t>
            </w:r>
          </w:p>
        </w:tc>
        <w:tc>
          <w:tcPr>
            <w:tcW w:w="5611" w:type="dxa"/>
            <w:tcBorders>
              <w:bottom w:val="single" w:sz="4" w:space="0" w:color="auto"/>
            </w:tcBorders>
          </w:tcPr>
          <w:p w:rsidR="00961548" w:rsidRDefault="00961548" w:rsidP="00154AB8">
            <w:pPr>
              <w:keepNext/>
              <w:spacing w:line="240" w:lineRule="auto"/>
              <w:jc w:val="both"/>
            </w:pPr>
            <w:r>
              <w:t>Hedgehog signaling</w:t>
            </w:r>
          </w:p>
        </w:tc>
      </w:tr>
    </w:tbl>
    <w:p w:rsidR="00154AB8" w:rsidRDefault="00961548" w:rsidP="00042529">
      <w:pPr>
        <w:ind w:firstLine="720"/>
        <w:jc w:val="both"/>
      </w:pPr>
      <w:r>
        <w:lastRenderedPageBreak/>
        <w:t>OSBP/ORPs</w:t>
      </w:r>
      <w:r w:rsidR="00423910">
        <w:t xml:space="preserve"> functions are thought to be sterol sensing molecules and the binding</w:t>
      </w:r>
      <w:r>
        <w:t xml:space="preserve"> </w:t>
      </w:r>
      <w:r w:rsidR="00423910">
        <w:t>of oxysterols over cholesterol leads to sterol transport that helps maintain lipid homeostasis of various membranes as well as specific signaling events based on the ligand</w:t>
      </w:r>
      <w:r w:rsidRPr="00B25249">
        <w:rPr>
          <w:vertAlign w:val="superscript"/>
        </w:rPr>
        <w:fldChar w:fldCharType="begin" w:fldLock="1"/>
      </w:r>
      <w:r w:rsidR="00DE076B">
        <w:rPr>
          <w:vertAlign w:val="superscript"/>
        </w:rPr>
        <w:instrText>ADDIN CSL_CITATION {"citationItems":[{"id":"ITEM-1","itemData":{"DOI":"10.1016/j.plipres.2013.06.004","ISBN":"0163-7827","ISSN":"01637827","PMID":"23830809","abstract":"Oxysterol-binding protein (OSBP) and OSBP-related proteins (ORPs) constitute a family of sterol and phosphoinositide binding proteins conserved in eukaryofile:///C:/Users/user/Downloads/ORP10 micro.pdftes. The mechanisms of ORP function have remained incompletely understood. However, several ORPs are present at membrane contact sites and control the activity of enzymatic effectors or assembly of protein complexes, with impacts on signaling, vesicle transport, and lipid metabolism. An increasing number of protein interaction partners of ORPs have been identified, providing clues of their involvement in multiple aspects of cell regulation. The functions assigned for mammalian ORPs include coordination of sterol and sphingolipid metabolism and mitogenic signaling (OSBP), control of ER-late endosome (LE) contacts and LE motility (ORP1L), neutral lipid metabolism (ORP2), cell adhesion (ORP3), cholesterol eggress from LE (ORP5), macrophage lipid homeostasis, migration and high-density lipoprotein metabolism (ORP8), apolipoprotein B-100 secretion (ORP10), and adipogenesis (ORP11). The anti-proliferative ORPphilin compounds target OSBP and ORP4, revealing a function of ORPs in cell proliferation and survival. The Saccharomyces cerevisiae OSBP homologue (Osh) proteins execute multifaceted functions in sterol and sphingolipid homeostasis, post-Golgi vesicle transport, as well as phosphatidylinositol-4-phosphate and target of rapamycin complex 1 (TORC1) signaling. These observations identify ORPs as coordinators of lipid signals with an unforeseen variety of cellular processes. © 2013 Elsevier Ltd. All rights reserved.","author":[{"dropping-particle":"","family":"Olkkonen","given":"Vesa M.","non-dropping-particle":"","parse-names":false,"suffix":""},{"dropping-particle":"","family":"Li","given":"Shiqian","non-dropping-particle":"","parse-names":false,"suffix":""}],"container-title":"Progress in Lipid Research","id":"ITEM-1","issue":"4","issued":{"date-parts":[["2013","10","2"]]},"page":"529-538","publisher":"Elsevier Ltd","title":"Oxysterol-binding proteins: Sterol and phosphoinositide sensors coordinating transport, signaling and metabolism","type":"article-journal","volume":"52"},"uris":["http://www.mendeley.com/documents/?uuid=857d10db-29d4-47b0-bf27-3ea7326f86e8"]},{"id":"ITEM-2","itemData":{"DOI":"10.1016/S0074-7696(07)65007-4","ISBN":"9780123743329","ISSN":"00747696","PMID":"18275891","abstract":"Protein families characterized by a ligand binding domain related to that of oxysterol binding protein (OSBP) have been identified in eukaryotic species from yeast to humans. These proteins, designated OSBP-related (ORP) or OSBP-like (OSBPL) proteins, have been implicated in various cellular functions. However, the detailed mechanisms of their action have remained elusive. Data from our and other laboratories suggest that binding of sterol ligands may be a unifying theme. Work with Saccharomyces cerevisiae ORPs suggests a function of these proteins in the nonvesicular intracellular transport of sterols, in secretory vesicle transport from the Golgi complex, and in the establishment of cell polarity. Mammals have more ORP genes, and differential splicing substantially increases the complexity of the encoded protein family. Functional studies on mammalian ORPs point in different directions: integration of sterol and sphingomyelin metabolism, sterol transport, regulation of neutral lipid metabolism, control of the microtubule-dependent motility of endosomes/lysosomes, and regulation of signaling cascades. We envision that during evolution, the functions of ORPs have diverged from an ancestral one in sterol transport, to meet the increasing demand of the regulatory potential in multicellular organisms. Our working hypothesis is that mammalian ORPs mainly act as sterol sensors that relay information to a spectrum of different cellular processes. © 2008 Elsevier Inc. All rights reserved.","author":[{"dropping-particle":"","family":"Yan","given":"Daoguang","non-dropping-particle":"","parse-names":false,"suffix":""},{"dropping-particle":"","family":"Olkkonen","given":"Vesa M","non-dropping-particle":"","parse-names":false,"suffix":""}],"container-title":"International Review of Cytology","id":"ITEM-2","issue":"07","issued":{"date-parts":[["2008"]]},"page":"253-285","publisher":"Elsevier Masson SAS","title":"Characteristics of Oxysterol Binding Proteins","type":"article","volume":"265"},"uris":["http://www.mendeley.com/documents/?uuid=5681c10f-9455-47ae-bf64-854fd1937076"]},{"id":"ITEM-3","itemData":{"DOI":"10.1016/j.chemphyslip.2011.03.002","ISBN":"1873-2941 (Electronic)\\r0009-3084 (Linking)","ISSN":"00093084","PMID":"21419754","abstract":"Families of oxysterol-binding protein (ORP) homologues are present in eukaryotes from yeast to man. Their hallmark feature is a characteristic ligand binding domain that, for several family members, has been shown to accommodate different oxysterols and/or cholesterol. ORPs of the \"long\" subtype contain targeting determinants for the endoplasmic reticulum and to other organelle membranes, the most prominent of which are phosphoinositide-binding pleckstrin homology domains, while \"short\" ORPs comprise a ligand binding domain with little additional sequences. There is increasing evidence that both long and short ORPs can be enriched at membrane contact sites, junctions of the endoplasmic reticulum with other organelles, where they are suggested to execute regulatory or sterol transfer functions. In this review we discuss the current evidence for putative roles of ORPs as sterol sensors or transporters. © 2011 Elsevier Ireland Ltd.","author":[{"dropping-particle":"","family":"Vihervaara","given":"Terhi","non-dropping-particle":"","parse-names":false,"suffix":""},{"dropping-particle":"","family":"Jansen","given":"Maurice","non-dropping-particle":"","parse-names":false,"suffix":""},{"dropping-particle":"","family":"Uronen","given":"Riikka Liisa","non-dropping-particle":"","parse-names":false,"suffix":""},{"dropping-particle":"","family":"Ohsaki","given":"Yuki","non-dropping-particle":"","parse-names":false,"suffix":""},{"dropping-particle":"","family":"Ikonen","given":"Elina","non-dropping-particle":"","parse-names":false,"suffix":""},{"dropping-particle":"","family":"Olkkonen","given":"Vesa M","non-dropping-particle":"","parse-names":false,"suffix":""}],"container-title":"Chemistry and Physics of Lipids","id":"ITEM-3","issue":"6","issued":{"date-parts":[["2011"]]},"page":"443-450","publisher":"Elsevier Ireland Ltd","title":"Cytoplasmic oxysterol-binding proteins: Sterol sensors or transporters?","type":"article","volume":"164"},"uris":["http://www.mendeley.com/documents/?uuid=5f849719-e5c2-4533-b5bd-8ac482463d01"]},{"id":"ITEM-4","itemData":{"DOI":"10.3390/biom2010076","ISBN":"2218-273X","ISSN":"2218273X","PMID":"24970128","abstract":"Oxysterols are oxidized 27-carbon cholesterol derivatives or by-products of cholesterol biosynthesis, with a spectrum of biologic activities. Several oxysterols have cytotoxic and pro-apoptotic activities, the ability to interfere with the lateral domain organization, and packing of membrane lipids. These properties may account for their suggested roles in the pathology of diseases such as atherosclerosis, age-onset macular degeneration and Alzheimer's disease. Oxysterols also have the capacity to induce inflammatory responses and play roles in cell differentiation processes. The functions of oxysterols as intermediates in the synthesis of bile acids and steroid hormones, and as readily transportable forms of sterol, are well established. Furthermore, their actions as endogenous regulators of gene expression in lipid metabolism via liver X receptors and the Insig (insulin-induced gene) proteins have been investigated in detail. The cytoplasmic oxysterol-binding protein (OSBP) homologues form a group of oxysterol/cholesterol sensors that has recently attracted a lot of attention. However, their mode of action is, as yet, poorly understood. Retinoic acid receptor-related orphan receptors (ROR) α and γ, and Epstein-Barr virus induced gene 2 (EBI2) have been identified as novel oxysterol receptors, revealing new physiologic oxysterol effector mechanisms in development, metabolism, and immunity, and evoking enhanced interest in these compounds in the field of biomedicine.","author":[{"dropping-particle":"","family":"Olkkonen","given":"Vesa M.","non-dropping-particle":"","parse-names":false,"suffix":""},{"dropping-particle":"","family":"Beaslas","given":"Olivier","non-dropping-particle":"","parse-names":false,"suffix":""},{"dropping-particle":"","family":"Nissila","given":"Eija","non-dropping-particle":"","parse-names":false,"suffix":""}],"container-title":"Biomolecules","id":"ITEM-4","issue":"1","issued":{"date-parts":[["2012"]]},"page":"76-103","title":"Oxysterols and their cellular effectors","type":"article-journal","volume":"2"},"uris":["http://www.mendeley.com/documents/?uuid=16503336-070e-4508-8d91-d2390109716f"]},{"id":"ITEM-5","itemData":{"DOI":"10.1016/j.bcp.2013.02.016","ISBN":"1873-2968 (Electronic)\\r0006-2952 (Linking)","ISSN":"18732968","PMID":"23428468","abstract":"Oxysterol-binding (OSBP)-related proteins (ORPs) constitute a family of sterol and phosphoinositide binding/transfer proteins in eukaryotes from yeast to man. While their functions have mainly been addressed in cellular lipid metabolism or sterol transport, increasing evidence points to more versatile regulatory roles in a spectrum of cellular regimes. In fact ORPs do not appear to be robust controllers of lipid homeostasis. Several ORPs localize at membrane contacts sites (MCS), where endoplasmic reticulum (ER) is apposed with other organelle limiting membranes. Apparently, ORPs have the capacity to control the formation of MCS or activity of enzymatic machineries at these sites. Thereby, ORPs most likely affect organelle membrane lipid compositions, with impacts on signaling and vesicle transport, but also cellular lipid metabolism. Moreover, an increasing number of protein interaction partners of ORPs have been identified, connecting these proteins with various aspects of cell regulation. Small molecular anti-proliferative compounds, ORPphilins, were recently found to target two members of the ORP family, OSBP and ORP4, revealing an essential function of ORPs in cancer cell proliferation and survival. Further functions assigned for ORPs include regulation of extracellular signal regulated kinase (ERK) activity (OSBP), control of ER-late endosome MCS and late endosome motility (ORP1L), regulation of b1-integrin activity (ORP3), modulation of hepatocyte insulin signaling and macrophage migration (ORP8), as well as post-Golgi vesicle transport, phosphatidylinositol-4-phosphate and target of rapamycin complex 1 signaling and nitrogen sensing (Saccharomyces cerevisiae Osh4p). These and other recent observations shed light on the ORPs as integrators of lipid signals with an unforeseen variety of vital cellular processes. © 2013 Elsevier Inc. All rights reserved.","author":[{"dropping-particle":"","family":"Weber-Boyvat","given":"Marion","non-dropping-particle":"","parse-names":false,"suffix":""},{"dropping-particle":"","family":"Zhong","given":"Wenbin","non-dropping-particle":"","parse-names":false,"suffix":""},{"dropping-particle":"","family":"Yan","given":"Daoguang","non-dropping-particle":"","parse-names":false,"suffix":""},{"dropping-particle":"","family":"Olkkonen","given":"Vesa M.","non-dropping-particle":"","parse-names":false,"suffix":""}],"container-title":"Biochemical Pharmacology","id":"ITEM-5","issue":"1","issued":{"date-parts":[["2013"]]},"page":"89-95","publisher":"Elsevier Inc.","title":"Oxysterol-binding proteins: Functions in cell regulation beyond lipid metabolism","type":"article-journal","volume":"86"},"uris":["http://www.mendeley.com/documents/?uuid=057b561a-c1ea-4a35-a5d8-f78ea1e0a62b"]}],"mendeley":{"formattedCitation":"(3, 4, 6, 8, 9)","plainTextFormattedCitation":"(3, 4, 6, 8, 9)","previouslyFormattedCitation":"(3, 4, 6, 8, 9)"},"properties":{"noteIndex":0},"schema":"https://github.com/citation-style-language/schema/raw/master/csl-citation.json"}</w:instrText>
      </w:r>
      <w:r w:rsidRPr="00B25249">
        <w:rPr>
          <w:vertAlign w:val="superscript"/>
        </w:rPr>
        <w:fldChar w:fldCharType="separate"/>
      </w:r>
      <w:r w:rsidR="00423910" w:rsidRPr="00423910">
        <w:rPr>
          <w:noProof/>
        </w:rPr>
        <w:t>(3, 4, 6, 8, 9)</w:t>
      </w:r>
      <w:r w:rsidRPr="00B25249">
        <w:rPr>
          <w:vertAlign w:val="superscript"/>
        </w:rPr>
        <w:fldChar w:fldCharType="end"/>
      </w:r>
      <w:r>
        <w:t>.</w:t>
      </w:r>
      <w:r w:rsidR="00423910">
        <w:t xml:space="preserve"> The sensing ability of OSBP/ORPs</w:t>
      </w:r>
      <w:r w:rsidR="00423910" w:rsidRPr="00074EDA">
        <w:t xml:space="preserve"> </w:t>
      </w:r>
      <w:r w:rsidR="00423910">
        <w:t>is due to their ability to complex</w:t>
      </w:r>
      <w:r w:rsidR="00423910" w:rsidRPr="00074EDA">
        <w:t xml:space="preserve"> </w:t>
      </w:r>
      <w:r w:rsidR="00423910">
        <w:t>cholesterol and oxysterols</w:t>
      </w:r>
      <w:r w:rsidR="00423910">
        <w:fldChar w:fldCharType="begin" w:fldLock="1"/>
      </w:r>
      <w:r w:rsidR="00DE076B">
        <w:instrText>ADDIN CSL_CITATION {"citationItems":[{"id":"ITEM-1","itemData":{"ISBN":"0021-9258 (Print)","ISSN":"00219258","PMID":"2777807","abstract":"Feedback repression of the genes encoding the low density lipoprotein receptor and several enzymes of the cholesterol biosynthetic pathway is mediated by 25-hydroxycholesterol and other oxysterols. In this study, we have cloned a rabbit cDNA encoding an oxysterol-binding protein that may play a role in this regulation. The predicted amino acid sequence revealed a protein of 809 amino acids with two distinctive features: 1) a glycine- and alanine-rich region (63% of 80 residues) at the NH2 terminus, and 2) a 35-residue leucine zipper motif that may mediate the previously observed oligomerization of the protein. When transfected into simian COS cells, the rabbit cDNA produced a protein that exhibited the same affinity and specificity for sterols as the previously purified hamster liver protein. Immunoblotting analysis showed that the rabbit cDNA encodes both the 96- and 101-kilodalton forms of the oxysterol-binding protein that were previously observed. The availability of an expressible cDNA for the oxysterol-binding protein should help elucidate its role in sterol metabolism.","author":[{"dropping-particle":"","family":"Dawson","given":"P. A.","non-dropping-particle":"","parse-names":false,"suffix":""},{"dropping-particle":"","family":"Ridgway","given":"N. D.","non-dropping-particle":"","parse-names":false,"suffix":""},{"dropping-particle":"","family":"Slaughter","given":"C. A.","non-dropping-particle":"","parse-names":false,"suffix":""},{"dropping-particle":"","family":"Brown","given":"M. S.","non-dropping-particle":"","parse-names":false,"suffix":""},{"dropping-particle":"","family":"Goldstein","given":"J. L.","non-dropping-particle":"","parse-names":false,"suffix":""}],"container-title":"Journal of Biological Chemistry","id":"ITEM-1","issue":"28","issued":{"date-parts":[["1989"]]},"page":"16798-16803","title":"cDNA cloning and expression of oxysterol-binding protein, an oligomer with a potential leucine zipper","type":"article-journal","volume":"264"},"uris":["http://www.mendeley.com/documents/?uuid=00b92ebf-1f43-4309-998e-01744786701d"]},{"id":"ITEM-2","itemData":{"ISBN":"0021-9525 (Print)","ISSN":"0021-9525","PMID":"1730758","abstract":"A cDNA encoding a cytoplasmic oxysterol binding protein was expressed at high levels by transfection in animal cells. This protein binds oxysterols such as 25-hydroxycholesterol that regulate sterol metabolism by transcriptional and posttranscriptional effects. In the transfected cells, some of the oxysterol binding protein (OSBP) was distributed diffusely in the cytoplasm, and some was bound to small vesicles near the nucleus, as revealed by indirect immunofluorescence. Upon addition of 25-hydroxycholesterol, most of the OSBP became concentrated in large perinuclear structures that stained with lentil lectin, a protein that stains the Golgi apparatus. The structures that contained OSBP were disrupted by brefeldin A, confirming their identification as Golgi. A mutant OSBP lacking the COOH-terminal oxysterol binding domain localized to the Golgi spontaneously, suggesting that this domain normally occludes the domain that binds to the Golgi and that sterols relieve this occlusion. The previously noted potential leucine zipper sequence in OSBP was not required for Golgi localization, nor was it essential for homodimer formation. We conclude that OSBP is triggered to bind extrinsically to Golgi membranes when it binds oxysterols and speculate that this translocation may play a role in the transport, metabolism, or regulatory actions of oxysterols.","author":[{"dropping-particle":"","family":"Ridgway","given":"Neale D","non-dropping-particle":"","parse-names":false,"suffix":""},{"dropping-particle":"","family":"Dawson","given":"Paul a","non-dropping-particle":"","parse-names":false,"suffix":""},{"dropping-particle":"","family":"Ho","given":"Y K","non-dropping-particle":"","parse-names":false,"suffix":""},{"dropping-particle":"","family":"Brown","given":"Michael S","non-dropping-particle":"","parse-names":false,"suffix":""},{"dropping-particle":"","family":"Goldstein","given":"Joseph L","non-dropping-particle":"","parse-names":false,"suffix":""}],"container-title":"The Journal of cell biology","id":"ITEM-2","issue":"2","issued":{"date-parts":[["1992","1"]]},"page":"307-19","title":"Translocation of oxysterol binding protein to Golgi apparatus triggered by ligand binding.","type":"article-journal","volume":"116"},"uris":["http://www.mendeley.com/documents/?uuid=9dc1b3f6-f81f-489d-a3e9-0b110a43355f"]},{"id":"ITEM-3","itemData":{"DOI":"10.1042/0264-6021:3610461","ISBN":"0264-6021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Journal","id":"ITEM-3","issue":"3","issued":{"date-parts":[["2002","2","1"]]},"page":"461","title":"Oxysterol-binding-protein (OSBP)-related protein 4 binds25-hydroxycholesterol and interacts with vimentin intermediate filaments","type":"article-journal","volume":"361"},"uris":["http://www.mendeley.com/documents/?uuid=cedfa320-07de-40ce-b2d3-c1f3abc9db40"]},{"id":"ITEM-4","itemData":{"DOI":"10.1016/j.celrep.2017.05.028","ISBN":"1476-4687 (Electronic) 0028-0836 (Linking)","ISSN":"22111247","PMID":"28564600","abstract":"Lipoprotein cholesterol is delivered to the limiting membrane of late endosomes/lysosomes (LELs) by Niemann-Pick C1 (NPC1). However, the mechanism of cholesterol transport from LELs to the endoplasmic reticulum (ER) is poorly characterized. We report that oxysterol-binding protein-related protein 1L (ORP1L) is necessary for this stage of cholesterol export. CRISPR-mediated knockout of ORP1L in HeLa and HEK293 cells reduced esterification of cholesterol to the level in NPC1 knockout cells, and it increased the expression of sterol-regulated genes and de novo cholesterol synthesis, indicative of a block in cholesterol transport to the ER. In the absence of this transport pathway, cholesterol-enriched LELs accumulated in the Golgi/perinuclear region. Cholesterol delivery to the ER required the sterol-, phosphatidylinositol 4-phosphate-, and vesicle-associated membrane protein-associated protein (VAP)-binding activities of ORP1L, as well as NPC1 expression. These results suggest that ORP1L-dependent membrane contacts between LELs and the ER coordinate cholesterol transfer with the retrograde movement of endo-lysosomal vesicles.","author":[{"dropping-particle":"","family":"Zhao","given":"Kexin","non-dropping-particle":"","parse-names":false,"suffix":""},{"dropping-particle":"","family":"Ridgway","given":"Neale D.","non-dropping-particle":"","parse-names":false,"suffix":""}],"container-title":"Cell Reports","id":"ITEM-4","issue":"9","issued":{"date-parts":[["2017","5","30"]]},"page":"1807-1818","title":"Oxysterol-Binding Protein-Related Protein 1L Regulates Cholesterol Egress from the Endo-Lysosomal System","type":"article-journal","volume":"19"},"uris":["http://www.mendeley.com/documents/?uuid=41c8087f-da3c-338d-855a-7c1c8cbc8808"]},{"id":"ITEM-5","itemData":{"DOI":"10.1042/BJ20070176","ISBN":"1470-8728 (Electronic)","ISSN":"0264-6021","PMID":"17428193","abstract":"OSBP (oxysterol-binding protein) homologues, ORPs (OSBP-related proteins), constitute a 12-member family in mammals. We employed an in vitro [3H]25OH (25-hydroxycholesterol)-binding assay with purified recombinant proteins as well as live cell photo-cross-linking with [3H]photo-25OH and [3H]photoCH (photo-cholesterol), to investigate sterol binding by the mammalian ORPs. ORP1 and ORP2 [a short ORP consisting of an ORD (OSBP-related ligand-binding domain) only] were in vitro shown to bind 25OH. GST (glutathione S-transferase) fusions of the ORP1L [long variant with an N-terminal extension that carries ankyrin repeats and a PH domain (pleckstrin homology domain)] and ORP1S (short variant consisting of an ORD only) variants bound 25OH with similar affinity (ORP1L, K(d)=9.7x10(-8) M; ORP1S, K(d)=8.4 x10(-8) M), while the affinity of GST-ORP2 for 25OH was lower (K(d)=3.9x10(-6) M). Molecular modelling suggested that ORP2 has a sterol-binding pocket similar to that of Saccharomyces cerevisiae Osh4p. This was confirmed by site-directed mutagenesis of residues in proximity of the bound sterol in the structural model. Substitution of Ile249 by tryptophan or Lys150 by alanine markedly inhibited 25OH binding by ORP2. In agreement with the in vitro data, ORP1L, ORP1S, and ORP2 were cross-linked with photo-25OH in live COS7 cells. Furthermore, in experiments with either truncated cDNAs encoding the OSBP-related ligand-binding domains of the ORPs or the full-length proteins, photo-25OH was bound to OSBP, ORP3, ORP4, ORP5, ORP6, ORP7, ORP8, ORP10 and ORP11. In addition, the ORP1L variant and ORP3, ORP5, and ORP8 were cross-linked with photoCH. The present study identifies ORP1 and ORP2 as OSBPs and suggests that most of the mammalian ORPs are able to bind sterols.","author":[{"dropping-particle":"","family":"Suchanek","given":"Monika","non-dropping-particle":"","parse-names":false,"suffix":""},{"dropping-particle":"","family":"Hynynen","given":"Riikka","non-dropping-particle":"","parse-names":false,"suffix":""},{"dropping-particle":"","family":"Wohlfahrt","given":"Gerd","non-dropping-particle":"","parse-names":false,"suffix":""},{"dropping-particle":"","family":"Lehto","given":"Markku","non-dropping-particle":"","parse-names":false,"suffix":""},{"dropping-particle":"","family":"Johansson","given":"Marie","non-dropping-particle":"","parse-names":false,"suffix":""},{"dropping-particle":"","family":"Saarinen","given":"Hannu","non-dropping-particle":"","parse-names":false,"suffix":""},{"dropping-particle":"","family":"Radzikowska","given":"Anna","non-dropping-particle":"","parse-names":false,"suffix":""},{"dropping-particle":"","family":"Thiele","given":"Christoph","non-dropping-particle":"","parse-names":false,"suffix":""},{"dropping-particle":"","family":"Olkkonen","given":"Vesa M.","non-dropping-particle":"","parse-names":false,"suffix":""}],"container-title":"Biochemical Journal","id":"ITEM-5","issue":"3","issued":{"date-parts":[["2007"]]},"page":"473-480","title":"The mammalian oxysterol-binding protein-related proteins (ORPs) bind 25-hydroxycholesterol in an evolutionarily conserved pocket","type":"article-journal","volume":"405"},"uris":["http://www.mendeley.com/documents/?uuid=425d1d5f-8307-47cd-aa55-9db9b0393731"]},{"id":"ITEM-6","itemData":{"DOI":"10.1083/jcb.201004142","ISBN":"1540-8140 (Electronic)\\n0021-9525 (Linking)","ISSN":"00219525","PMID":"21220512","abstract":"Oxysterol-binding protein (OSBP) and its related proteins (ORPs) constitute a large and evolutionarily conserved family of lipid-binding proteins that target organelle membranes to mediate sterol signaling and/or transport. Here we characterize ORP5, a tail-anchored ORP protein that localizes to the endoplasmic reticulum. Knocking down ORP5 causes cholesterol accumulation in late endosomes and lysosomes, which is reminiscent of the cholesterol trafficking defect in Niemann Pick C (NPC) fibroblasts. Cholesterol appears to accumulate in the limiting membranes of endosomal compartments in ORP5-depleted cells, whereas depletion of NPC1 or both ORP5 and NPC1 results in luminal accumulation of cholesterol. Moreover, trans-Golgi resident proteins mislocalize to endosomal compartments upon ORP5 depletion, which depends on a functional NPC1. Our results establish the first link between NPC1 and a cytoplasmic sterol carrier, and suggest that ORP5 may cooperate with NPC1 to mediate the exit of cholesterol from endosomes/lysosomes.","author":[{"dropping-particle":"","family":"Du","given":"Ximing","non-dropping-particle":"","parse-names":false,"suffix":""},{"dropping-particle":"","family":"Kumar","given":"Jaspal","non-dropping-particle":"","parse-names":false,"suffix":""},{"dropping-particle":"","family":"Ferguson","given":"Charles","non-dropping-particle":"","parse-names":false,"suffix":""},{"dropping-particle":"","family":"Schulz","given":"Timothy A.","non-dropping-particle":"","parse-names":false,"suffix":""},{"dropping-particle":"","family":"Ong","given":"Yan Shan","non-dropping-particle":"","parse-names":false,"suffix":""},{"dropping-particle":"","family":"Hong","given":"Wanjin","non-dropping-particle":"","parse-names":false,"suffix":""},{"dropping-particle":"","family":"Prinz","given":"William A.","non-dropping-particle":"","parse-names":false,"suffix":""},{"dropping-particle":"","family":"Parton","given":"Robert G.","non-dropping-particle":"","parse-names":false,"suffix":""},{"dropping-particle":"","family":"Brown","given":"Andrew J.","non-dropping-particle":"","parse-names":false,"suffix":""},{"dropping-particle":"","family":"Yang","given":"Hongyuan","non-dropping-particle":"","parse-names":false,"suffix":""}],"container-title":"Journal of Cell Biology","id":"ITEM-6","issue":"1","issued":{"date-parts":[["2011"]]},"page":"121-135","title":"A role for oxysterol-binding protein-related protein 5 in endosomal cholesterol trafficking","type":"article-journal","volume":"192"},"uris":["http://www.mendeley.com/documents/?uuid=9e35e3d4-7601-4c8d-a19c-2290fc4d093f"]},{"id":"ITEM-7","itemData":{"DOI":"10.1091/mbc.e08-09-0905","ISSN":"1059-1524","abstract":"Eight years of experience in performing only bone-patellar tendon-bone autograft reconstructions of the anterior cruciate ligament (ACL) are presented, with an emphasis on an accelerated post-operative rehabilitation protocol. Past patient non-compliance to previously established protocols still yielded very acceptable results that demanded further investigation. Gradually we developed a three-phase rehabilitation plan that is implemented after surgical correction of ACL deficiencies. The first phase (zero to two weeks) focuses primarily on wound healing, full extension, control of swelling, and leg control. The second phase (two to five weeks) involves increasing flexion, developing a functional gait, and resuming activities of daily living. The third phase (greater than 5 weeks) identifies a safe return to competitive athletics. This protocol evolved with close observation of approximately 1,000 reconstructions and has been used on the last 650 patients since January 1987. A decreased postoperative morbidity was noted without a compromised clinical stability.","author":[{"dropping-particle":"","family":"Ngo","given":"Mike","non-dropping-particle":"","parse-names":false,"suffix":""},{"dropping-particle":"","family":"Ridgway","given":"Neale D.","non-dropping-particle":"","parse-names":false,"suffix":""}],"container-title":"Molecular Biology of the Cell","editor":[{"dropping-particle":"","family":"Riezman","given":"Howard","non-dropping-particle":"","parse-names":false,"suffix":""}],"id":"ITEM-7","issue":"5","issued":{"date-parts":[["2009","3"]]},"page":"1388-1399","title":"Oxysterol Binding Protein–related Protein 9 (ORP9) Is a Cholesterol Transfer Protein That Regulates Golgi Structure and Function","type":"article-journal","volume":"20"},"uris":["http://www.mendeley.com/documents/?uuid=f2634cef-7b48-4b51-a330-a3e4593747ef"]},{"id":"ITEM-8","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Chemistry","id":"ITEM-8","issue":"22","issued":{"date-parts":[["2014"]]},"page":"15705-15717","title":"Oxysterol-binding protein (OSBP)-related protein 4 (ORP4) is essential for cell proliferation and survival","type":"article-journal","volume":"289"},"uris":["http://www.mendeley.com/documents/?uuid=69e80f92-9587-4c32-b5d3-c1560da16ba1"]}],"mendeley":{"formattedCitation":"(10–17)","plainTextFormattedCitation":"(10–17)","previouslyFormattedCitation":"(10–17)"},"properties":{"noteIndex":0},"schema":"https://github.com/citation-style-language/schema/raw/master/csl-citation.json"}</w:instrText>
      </w:r>
      <w:r w:rsidR="00423910">
        <w:fldChar w:fldCharType="separate"/>
      </w:r>
      <w:r w:rsidR="00423910" w:rsidRPr="00423910">
        <w:rPr>
          <w:noProof/>
        </w:rPr>
        <w:t>(10–17)</w:t>
      </w:r>
      <w:r w:rsidR="00423910">
        <w:fldChar w:fldCharType="end"/>
      </w:r>
      <w:r w:rsidR="00423910">
        <w:t xml:space="preserve"> as well as various </w:t>
      </w:r>
      <w:r w:rsidR="00423910" w:rsidRPr="00074EDA">
        <w:t>phosphatidylinositol</w:t>
      </w:r>
      <w:r w:rsidR="00423910">
        <w:t xml:space="preserve"> phosphates (PI</w:t>
      </w:r>
      <w:r w:rsidR="00423910" w:rsidRPr="00074EDA">
        <w:t>P</w:t>
      </w:r>
      <w:r w:rsidR="00423910">
        <w:t>s</w:t>
      </w:r>
      <w:r w:rsidR="00423910" w:rsidRPr="00074EDA">
        <w:t>)</w:t>
      </w:r>
      <w:r w:rsidR="00423910">
        <w:fldChar w:fldCharType="begin" w:fldLock="1"/>
      </w:r>
      <w:r w:rsidR="00DE076B">
        <w:instrText>ADDIN CSL_CITATION {"citationItems":[{"id":"ITEM-1","itemData":{"DOI":"10.1016/j.celrep.2017.05.028","ISBN":"1476-4687 (Electronic) 0028-0836 (Linking)","ISSN":"22111247","PMID":"28564600","abstract":"Lipoprotein cholesterol is delivered to the limiting membrane of late endosomes/lysosomes (LELs) by Niemann-Pick C1 (NPC1). However, the mechanism of cholesterol transport from LELs to the endoplasmic reticulum (ER) is poorly characterized. We report that oxysterol-binding protein-related protein 1L (ORP1L) is necessary for this stage of cholesterol export. CRISPR-mediated knockout of ORP1L in HeLa and HEK293 cells reduced esterification of cholesterol to the level in NPC1 knockout cells, and it increased the expression of sterol-regulated genes and de novo cholesterol synthesis, indicative of a block in cholesterol transport to the ER. In the absence of this transport pathway, cholesterol-enriched LELs accumulated in the Golgi/perinuclear region. Cholesterol delivery to the ER required the sterol-, phosphatidylinositol 4-phosphate-, and vesicle-associated membrane protein-associated protein (VAP)-binding activities of ORP1L, as well as NPC1 expression. These results suggest that ORP1L-dependent membrane contacts between LELs and the ER coordinate cholesterol transfer with the retrograde movement of endo-lysosomal vesicles.","author":[{"dropping-particle":"","family":"Zhao","given":"Kexin","non-dropping-particle":"","parse-names":false,"suffix":""},{"dropping-particle":"","family":"Ridgway","given":"Neale D.","non-dropping-particle":"","parse-names":false,"suffix":""}],"container-title":"Cell Reports","id":"ITEM-1","issue":"9","issued":{"date-parts":[["2017","5","30"]]},"page":"1807-1818","title":"Oxysterol-Binding Protein-Related Protein 1L Regulates Cholesterol Egress from the Endo-Lysosomal System","type":"article-journal","volume":"19"},"uris":["http://www.mendeley.com/documents/?uuid=41c8087f-da3c-338d-855a-7c1c8cbc8808"]},{"id":"ITEM-2","itemData":{"DOI":"10.1038/s41467-017-00861-5","ISBN":"2041-1723","ISSN":"20411723","PMID":"28970484","abstract":"ORP5 and ORP8, members of the oxysterol-binding protein (OSBP)-related proteins (ORP) family, are endoplasmic reticulum membrane proteins implicated in lipid trafficking. ORP5 and ORP8 are reported to localize to endoplasmic reticulum-plasma membrane junctions via binding to phosphatidylinositol-4-phosphate (PtdIns(4)P), and act as a PtdIns(4)P/phosphatidylserine counter exchanger between the endoplasmic reticulum and plasma membrane. Here we provide evidence that the pleckstrin homology domain of ORP5/8 via PtdIns(4,5)P 2, and not PtdIns(4)P binding mediates the recruitment of ORP5/8 to endoplasmic reticulum-plasma membrane contact sites. The OSBP-related domain of ORP8 can extract and transport multiple phosphoinositides in vitro, and knocking down both ORP5 and ORP8 in cells increases the plasma membrane level of PtdIns(4,5)P 2 with little effect on PtdIns(4)P. Overall, our data show, for the first time, that phosphoinositides other than PtdIns(4)P can also serve as co-exchangers for the transport of cargo lipids by ORPs.ORP5/8 are endoplasmic reticulum (ER) membrane proteins implicated in lipid trafficking that localize to ER-plasma membrane (PM) contacts and maintain membrane homeostasis. Here the authors show that PtdIns(4,5)P 2 plays a critical role in the targeting and function of ORP5/8 at the PM.","author":[{"dropping-particle":"","family":"Ghai","given":"Rajesh","non-dropping-particle":"","parse-names":false,"suffix":""},{"dropping-particle":"","family":"Du","given":"Ximing","non-dropping-particle":"","parse-names":false,"suffix":""},{"dropping-particle":"","family":"Wang","given":"Huan","non-dropping-particle":"","parse-names":false,"suffix":""},{"dropping-particle":"","family":"Dong","given":"Jiangqing","non-dropping-particle":"","parse-names":false,"suffix":""},{"dropping-particle":"","family":"Ferguson","given":"Charles","non-dropping-particle":"","parse-names":false,"suffix":""},{"dropping-particle":"","family":"Brown","given":"Andrew J.","non-dropping-particle":"","parse-names":false,"suffix":""},{"dropping-particle":"","family":"Parton","given":"Robert G.","non-dropping-particle":"","parse-names":false,"suffix":""},{"dropping-particle":"","family":"Wu","given":"Jia Wei","non-dropping-particle":"","parse-names":false,"suffix":""},{"dropping-particle":"","family":"Yang","given":"Hongyuan","non-dropping-particle":"","parse-names":false,"suffix":""}],"container-title":"Nature Communications","id":"ITEM-2","issue":"1","issued":{"date-parts":[["2017"]]},"publisher":"Springer US","title":"ORP5 and ORP8 bind phosphatidylinositol-4, 5-biphosphate (PtdIns(4,5)P2) and regulate its level at the plasma membrane","type":"article-journal","volume":"8"},"uris":["http://www.mendeley.com/documents/?uuid=a2c51a27-d4d9-4766-ac84-cba5dd24af26"]},{"id":"ITEM-3","itemData":{"DOI":"10.1016/j.cell.2013.09.056","ISBN":"1097-4172 (Electronic)\\r0092-8674 (Linking)","ISSN":"00928674","PMID":"24209621","abstract":"Summary Several proteins at endoplasmic reticulum (ER)-Golgi membrane contact sites contain a PH domain that interacts with the Golgi phosphoinositide PI(4)P, a FFAT motif that interacts with the ER protein VAP-A, and a lipid transfer domain. This architecture suggests the ability to both tether organelles and transport lipids between them. We show that in oxysterol binding protein (OSBP) these two activities are coupled by a four-step cycle. Membrane tethering by the PH domain and the FFAT motif enables sterol transfer by the lipid transfer domain (ORD), followed by back transfer of PI(4)P by the ORD. Finally, PI(4)P is hydrolyzed in cis by the ER protein Sac1. The energy provided by PI(4)P hydrolysis drives sterol transfer and allows negative feedback when PI(4)P becomes limiting. Other lipid transfer proteins are tethered by the same mechanism. Thus, OSBP-mediated back transfer of PI(4)P might coordinate the transfer of other lipid species at the ER-Golgi interface. © 2013 Elsevier Inc.","author":[{"dropping-particle":"","family":"Mesmin","given":"Bruno","non-dropping-particle":"","parse-names":false,"suffix":""},{"dropping-particle":"","family":"Bigay","given":"Joëlle","non-dropping-particle":"","parse-names":false,"suffix":""},{"dropping-particle":"","family":"Moser Von Filseck","given":"Joachim","non-dropping-particle":"","parse-names":false,"suffix":""},{"dropping-particle":"","family":"Lacas-Gervais","given":"Sandra","non-dropping-particle":"","parse-names":false,"suffix":""},{"dropping-particle":"","family":"Drin","given":"Guillaume","non-dropping-particle":"","parse-names":false,"suffix":""},{"dropping-particle":"","family":"Antonny","given":"Bruno","non-dropping-particle":"","parse-names":false,"suffix":""}],"container-title":"Cell","id":"ITEM-3","issue":"4","issued":{"date-parts":[["2013"]]},"title":"A four-step cycle driven by PI(4)P hydrolysis directs sterol/PI(4)P exchange by the ER-Golgi Tether OSBP","type":"article-journal","volume":"155"},"uris":["http://www.mendeley.com/documents/?uuid=0db0b93d-7c0e-41ce-bbee-37105f4f05c7"]},{"id":"ITEM-4","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Chemistry","id":"ITEM-4","issue":"22","issued":{"date-parts":[["2014"]]},"page":"15705-15717","title":"Oxysterol-binding protein (OSBP)-related protein 4 (ORP4) is essential for cell proliferation and survival","type":"article-journal","volume":"289"},"uris":["http://www.mendeley.com/documents/?uuid=69e80f92-9587-4c32-b5d3-c1560da16ba1"]}],"mendeley":{"formattedCitation":"(13, 17–19)","plainTextFormattedCitation":"(13, 17–19)","previouslyFormattedCitation":"(13, 17–19)"},"properties":{"noteIndex":0},"schema":"https://github.com/citation-style-language/schema/raw/master/csl-citation.json"}</w:instrText>
      </w:r>
      <w:r w:rsidR="00423910">
        <w:fldChar w:fldCharType="separate"/>
      </w:r>
      <w:r w:rsidR="00423910" w:rsidRPr="00423910">
        <w:rPr>
          <w:noProof/>
        </w:rPr>
        <w:t>(13, 17–19)</w:t>
      </w:r>
      <w:r w:rsidR="00423910">
        <w:fldChar w:fldCharType="end"/>
      </w:r>
      <w:r w:rsidR="00423910">
        <w:t xml:space="preserve"> in their conserved ligand binding domain (LBD). There are no protein crystal structures of mammalian OSBP/ORPs, but based on the protein crystal structures of the yeast OSBP/ORP homologs, the conserved LBD is </w:t>
      </w:r>
      <w:r w:rsidR="00423910" w:rsidRPr="00074EDA">
        <w:t>a beta barrel comprised of 19 anti-parallel beta sheets</w:t>
      </w:r>
      <w:r w:rsidR="00423910">
        <w:fldChar w:fldCharType="begin" w:fldLock="1"/>
      </w:r>
      <w:r w:rsidR="00DE076B">
        <w:instrText>ADDIN CSL_CITATION {"citationItems":[{"id":"ITEM-1","itemData":{"DOI":"10.1038/nature03923","ISSN":"0028-0836","author":[{"dropping-particle":"","family":"Im","given":"Young Jun","non-dropping-particle":"","parse-names":false,"suffix":""},{"dropping-particle":"","family":"Raychaudhuri","given":"Sumana","non-dropping-particle":"","parse-names":false,"suffix":""},{"dropping-particle":"","family":"Prinz","given":"William A","non-dropping-particle":"","parse-names":false,"suffix":""},{"dropping-particle":"","family":"Hurley","given":"James H","non-dropping-particle":"","parse-names":false,"suffix":""}],"container-title":"Nature","id":"ITEM-1","issue":"7055","issued":{"date-parts":[["2005","9","1"]]},"page":"154-158","title":"Structural mechanism for sterol sensing and transport by OSBP-related proteins","type":"article-journal","volume":"437"},"uris":["http://www.mendeley.com/documents/?uuid=1c24f375-62e4-453e-b550-741acfd14865"]}],"mendeley":{"formattedCitation":"(20)","plainTextFormattedCitation":"(20)","previouslyFormattedCitation":"(20)"},"properties":{"noteIndex":0},"schema":"https://github.com/citation-style-language/schema/raw/master/csl-citation.json"}</w:instrText>
      </w:r>
      <w:r w:rsidR="00423910">
        <w:fldChar w:fldCharType="separate"/>
      </w:r>
      <w:r w:rsidR="00423910" w:rsidRPr="00423910">
        <w:rPr>
          <w:noProof/>
        </w:rPr>
        <w:t>(20)</w:t>
      </w:r>
      <w:r w:rsidR="00423910">
        <w:fldChar w:fldCharType="end"/>
      </w:r>
      <w:r w:rsidR="00423910">
        <w:t xml:space="preserve">. </w:t>
      </w:r>
      <w:r w:rsidR="00423910" w:rsidRPr="009F0D45">
        <w:t xml:space="preserve">The OSBP/ORP homolog with the most extensive protein structure is </w:t>
      </w:r>
      <w:r w:rsidR="00423910">
        <w:t xml:space="preserve">the yeast protein </w:t>
      </w:r>
      <w:r w:rsidR="00423910" w:rsidRPr="009F0D45">
        <w:t>Osh4, which has been co-crystallized with various ste</w:t>
      </w:r>
      <w:r w:rsidR="00423910">
        <w:t>r</w:t>
      </w:r>
      <w:r w:rsidR="00423910" w:rsidRPr="009F0D45">
        <w:t>ols and oxysterols bound</w:t>
      </w:r>
      <w:r w:rsidR="00423910">
        <w:fldChar w:fldCharType="begin" w:fldLock="1"/>
      </w:r>
      <w:r w:rsidR="00DE076B">
        <w:instrText>ADDIN CSL_CITATION {"citationItems":[{"id":"ITEM-1","itemData":{"DOI":"10.1038/nature03923","ISSN":"0028-0836","author":[{"dropping-particle":"","family":"Im","given":"Young Jun","non-dropping-particle":"","parse-names":false,"suffix":""},{"dropping-particle":"","family":"Raychaudhuri","given":"Sumana","non-dropping-particle":"","parse-names":false,"suffix":""},{"dropping-particle":"","family":"Prinz","given":"William A","non-dropping-particle":"","parse-names":false,"suffix":""},{"dropping-particle":"","family":"Hurley","given":"James H","non-dropping-particle":"","parse-names":false,"suffix":""}],"container-title":"Nature","id":"ITEM-1","issue":"7055","issued":{"date-parts":[["2005","9","1"]]},"page":"154-158","title":"Structural mechanism for sterol sensing and transport by OSBP-related proteins","type":"article-journal","volume":"437"},"uris":["http://www.mendeley.com/documents/?uuid=1c24f375-62e4-453e-b550-741acfd14865"]}],"mendeley":{"formattedCitation":"(20)","plainTextFormattedCitation":"(20)","previouslyFormattedCitation":"(20)"},"properties":{"noteIndex":0},"schema":"https://github.com/citation-style-language/schema/raw/master/csl-citation.json"}</w:instrText>
      </w:r>
      <w:r w:rsidR="00423910">
        <w:fldChar w:fldCharType="separate"/>
      </w:r>
      <w:r w:rsidR="00423910" w:rsidRPr="00423910">
        <w:rPr>
          <w:noProof/>
        </w:rPr>
        <w:t>(20)</w:t>
      </w:r>
      <w:r w:rsidR="00423910">
        <w:fldChar w:fldCharType="end"/>
      </w:r>
      <w:r w:rsidR="00423910" w:rsidRPr="009F0D45">
        <w:t>. The ligand binding pocket contains a hydrophobic tunnel and a flexible lid capable of shielding the bound ligand sterol from the aqueous environment</w:t>
      </w:r>
      <w:r w:rsidR="00423910">
        <w:fldChar w:fldCharType="begin" w:fldLock="1"/>
      </w:r>
      <w:r w:rsidR="00DE076B">
        <w:instrText>ADDIN CSL_CITATION {"citationItems":[{"id":"ITEM-1","itemData":{"DOI":"10.1038/nature03923","ISSN":"0028-0836","author":[{"dropping-particle":"","family":"Im","given":"Young Jun","non-dropping-particle":"","parse-names":false,"suffix":""},{"dropping-particle":"","family":"Raychaudhuri","given":"Sumana","non-dropping-particle":"","parse-names":false,"suffix":""},{"dropping-particle":"","family":"Prinz","given":"William A","non-dropping-particle":"","parse-names":false,"suffix":""},{"dropping-particle":"","family":"Hurley","given":"James H","non-dropping-particle":"","parse-names":false,"suffix":""}],"container-title":"Nature","id":"ITEM-1","issue":"7055","issued":{"date-parts":[["2005","9","1"]]},"page":"154-158","title":"Structural mechanism for sterol sensing and transport by OSBP-related proteins","type":"article-journal","volume":"437"},"uris":["http://www.mendeley.com/documents/?uuid=1c24f375-62e4-453e-b550-741acfd14865"]}],"mendeley":{"formattedCitation":"(20)","plainTextFormattedCitation":"(20)","previouslyFormattedCitation":"(20)"},"properties":{"noteIndex":0},"schema":"https://github.com/citation-style-language/schema/raw/master/csl-citation.json"}</w:instrText>
      </w:r>
      <w:r w:rsidR="00423910">
        <w:fldChar w:fldCharType="separate"/>
      </w:r>
      <w:r w:rsidR="00423910" w:rsidRPr="00423910">
        <w:rPr>
          <w:noProof/>
        </w:rPr>
        <w:t>(20)</w:t>
      </w:r>
      <w:r w:rsidR="00423910">
        <w:fldChar w:fldCharType="end"/>
      </w:r>
      <w:r w:rsidR="00423910">
        <w:t xml:space="preserve"> (</w:t>
      </w:r>
      <w:r w:rsidR="00154AB8" w:rsidRPr="00154AB8">
        <w:rPr>
          <w:b/>
        </w:rPr>
        <w:fldChar w:fldCharType="begin"/>
      </w:r>
      <w:r w:rsidR="00154AB8" w:rsidRPr="00154AB8">
        <w:rPr>
          <w:b/>
        </w:rPr>
        <w:instrText xml:space="preserve"> REF _Ref530500509 \h  \* MERGEFORMAT </w:instrText>
      </w:r>
      <w:r w:rsidR="00154AB8" w:rsidRPr="00154AB8">
        <w:rPr>
          <w:b/>
        </w:rPr>
      </w:r>
      <w:r w:rsidR="00154AB8" w:rsidRPr="00154AB8">
        <w:rPr>
          <w:b/>
        </w:rPr>
        <w:fldChar w:fldCharType="separate"/>
      </w:r>
      <w:r w:rsidR="00E2070A" w:rsidRPr="00E2070A">
        <w:rPr>
          <w:b/>
        </w:rPr>
        <w:t xml:space="preserve">Figure </w:t>
      </w:r>
      <w:r w:rsidR="00E2070A" w:rsidRPr="00E2070A">
        <w:rPr>
          <w:b/>
          <w:noProof/>
        </w:rPr>
        <w:t>3</w:t>
      </w:r>
      <w:r w:rsidR="00154AB8" w:rsidRPr="00154AB8">
        <w:rPr>
          <w:b/>
        </w:rPr>
        <w:fldChar w:fldCharType="end"/>
      </w:r>
      <w:r w:rsidR="00154AB8">
        <w:rPr>
          <w:b/>
        </w:rPr>
        <w:t>B</w:t>
      </w:r>
      <w:r w:rsidR="00423910">
        <w:t xml:space="preserve">). </w:t>
      </w:r>
      <w:r w:rsidR="00423910" w:rsidRPr="00074EDA">
        <w:t>After transport, the lid opens and has a flat surface allowing for contact with the cell membrane and possible sterol targetin</w:t>
      </w:r>
      <w:r w:rsidR="00423910">
        <w:t>g to the membrane</w:t>
      </w:r>
      <w:r w:rsidR="00423910">
        <w:fldChar w:fldCharType="begin" w:fldLock="1"/>
      </w:r>
      <w:r w:rsidR="00DE076B">
        <w:instrText>ADDIN CSL_CITATION {"citationItems":[{"id":"ITEM-1","itemData":{"DOI":"10.1038/nature03923","ISSN":"0028-0836","author":[{"dropping-particle":"","family":"Im","given":"Young Jun","non-dropping-particle":"","parse-names":false,"suffix":""},{"dropping-particle":"","family":"Raychaudhuri","given":"Sumana","non-dropping-particle":"","parse-names":false,"suffix":""},{"dropping-particle":"","family":"Prinz","given":"William A","non-dropping-particle":"","parse-names":false,"suffix":""},{"dropping-particle":"","family":"Hurley","given":"James H","non-dropping-particle":"","parse-names":false,"suffix":""}],"container-title":"Nature","id":"ITEM-1","issue":"7055","issued":{"date-parts":[["2005","9","1"]]},"page":"154-158","title":"Structural mechanism for sterol sensing and transport by OSBP-related proteins","type":"article-journal","volume":"437"},"uris":["http://www.mendeley.com/documents/?uuid=1c24f375-62e4-453e-b550-741acfd14865"]}],"mendeley":{"formattedCitation":"(20)","plainTextFormattedCitation":"(20)","previouslyFormattedCitation":"(20)"},"properties":{"noteIndex":0},"schema":"https://github.com/citation-style-language/schema/raw/master/csl-citation.json"}</w:instrText>
      </w:r>
      <w:r w:rsidR="00423910">
        <w:fldChar w:fldCharType="separate"/>
      </w:r>
      <w:r w:rsidR="00423910" w:rsidRPr="00423910">
        <w:rPr>
          <w:noProof/>
        </w:rPr>
        <w:t>(20)</w:t>
      </w:r>
      <w:r w:rsidR="00423910">
        <w:fldChar w:fldCharType="end"/>
      </w:r>
      <w:r w:rsidR="00423910">
        <w:t>. In addition to sterols and oxysterols being ligands for OSBP/ORPs, crystal structures of Osh4 have also been generated with PI4P bound in the LBD</w:t>
      </w:r>
      <w:r w:rsidR="00423910">
        <w:fldChar w:fldCharType="begin" w:fldLock="1"/>
      </w:r>
      <w:r w:rsidR="00DE076B">
        <w:instrText>ADDIN CSL_CITATION {"citationItems":[{"id":"ITEM-1","itemData":{"DOI":"10.1083/jcb.201104062","ISBN":"1540-8140 (Electronic)\\r0021-9525 (Linking)","ISSN":"00219525","PMID":"22162133","abstract":"Osh/Orp proteins transport sterols between organelles and are involved in phosphoinositide metabolism. The link between these two aspects remains elusive. Using novel assays, we address the influence of membrane composition on the ability of Osh4p/Kes1p to extract, deliver, or transport dehydroergosterol (DHE). Surprisingly, phosphatidylinositol 4-phosphate (PI(4)P) specifically inhibited DHE extraction because PI(4)P was itself efficiently extracted by Osh4p. We solve the structure of the Osh4p-PI(4)P complex and reveal how Osh4p selectively substitutes PI(4)P for sterol. Last, we show that Osh4p quickly exchanges DHE for PI(4)P and, thereby, can transport these two lipids between membranes along opposite routes. These results suggest a model in which Osh4p transports sterol from the ER to late compartments pinpointed by PI(4)P and, in turn, transports PI(4)P backward. Coupled to PI(4)P metabolism, this transport cycle would create sterol gradients. Because the residues that recognize PI(4)P are conserved in Osh4p homologues, other Osh/Orp are potential sterol/phosphoinositol phosphate exchangers.","author":[{"dropping-particle":"","family":"Saint-Jean","given":"Maud","non-dropping-particle":"de","parse-names":false,"suffix":""},{"dropping-particle":"","family":"Delfosse","given":"Vanessa","non-dropping-particle":"","parse-names":false,"suffix":""},{"dropping-particle":"","family":"Douguet","given":"Dominique","non-dropping-particle":"","parse-names":false,"suffix":""},{"dropping-particle":"","family":"Chicanne","given":"Gaëtan","non-dropping-particle":"","parse-names":false,"suffix":""},{"dropping-particle":"","family":"Payrastre","given":"Bernard","non-dropping-particle":"","parse-names":false,"suffix":""},{"dropping-particle":"","family":"Bourguet","given":"William","non-dropping-particle":"","parse-names":false,"suffix":""},{"dropping-particle":"","family":"Antonny","given":"Bruno","non-dropping-particle":"","parse-names":false,"suffix":""},{"dropping-particle":"","family":"Drin","given":"Guillaume","non-dropping-particle":"","parse-names":false,"suffix":""}],"container-title":"Journal of Cell Biology","id":"ITEM-1","issue":"6","issued":{"date-parts":[["2011"]]},"page":"965-978","title":"Osh4p exchanges sterols for phosphatidylinositol 4-phosphate between lipid bilayers","type":"article-journal","volume":"195"},"uris":["http://www.mendeley.com/documents/?uuid=7ed7733b-b894-41f4-aa06-7a6c1b838fa9"]}],"mendeley":{"formattedCitation":"(21)","plainTextFormattedCitation":"(21)","previouslyFormattedCitation":"(21)"},"properties":{"noteIndex":0},"schema":"https://github.com/citation-style-language/schema/raw/master/csl-citation.json"}</w:instrText>
      </w:r>
      <w:r w:rsidR="00423910">
        <w:fldChar w:fldCharType="separate"/>
      </w:r>
      <w:r w:rsidR="00423910" w:rsidRPr="00423910">
        <w:rPr>
          <w:noProof/>
        </w:rPr>
        <w:t>(21)</w:t>
      </w:r>
      <w:r w:rsidR="00423910">
        <w:fldChar w:fldCharType="end"/>
      </w:r>
      <w:r w:rsidR="00423910">
        <w:t>. The acyl chains of PI4P are stuck down in to the hydrophobic tunnel while the polar head group makes specific contact with the entrance and lid region</w:t>
      </w:r>
      <w:r w:rsidR="00423910">
        <w:fldChar w:fldCharType="begin" w:fldLock="1"/>
      </w:r>
      <w:r w:rsidR="00DE076B">
        <w:instrText>ADDIN CSL_CITATION {"citationItems":[{"id":"ITEM-1","itemData":{"DOI":"10.1083/jcb.201104062","ISBN":"1540-8140 (Electronic)\\r0021-9525 (Linking)","ISSN":"00219525","PMID":"22162133","abstract":"Osh/Orp proteins transport sterols between organelles and are involved in phosphoinositide metabolism. The link between these two aspects remains elusive. Using novel assays, we address the influence of membrane composition on the ability of Osh4p/Kes1p to extract, deliver, or transport dehydroergosterol (DHE). Surprisingly, phosphatidylinositol 4-phosphate (PI(4)P) specifically inhibited DHE extraction because PI(4)P was itself efficiently extracted by Osh4p. We solve the structure of the Osh4p-PI(4)P complex and reveal how Osh4p selectively substitutes PI(4)P for sterol. Last, we show that Osh4p quickly exchanges DHE for PI(4)P and, thereby, can transport these two lipids between membranes along opposite routes. These results suggest a model in which Osh4p transports sterol from the ER to late compartments pinpointed by PI(4)P and, in turn, transports PI(4)P backward. Coupled to PI(4)P metabolism, this transport cycle would create sterol gradients. Because the residues that recognize PI(4)P are conserved in Osh4p homologues, other Osh/Orp are potential sterol/phosphoinositol phosphate exchangers.","author":[{"dropping-particle":"","family":"Saint-Jean","given":"Maud","non-dropping-particle":"de","parse-names":false,"suffix":""},{"dropping-particle":"","family":"Delfosse","given":"Vanessa","non-dropping-particle":"","parse-names":false,"suffix":""},{"dropping-particle":"","family":"Douguet","given":"Dominique","non-dropping-particle":"","parse-names":false,"suffix":""},{"dropping-particle":"","family":"Chicanne","given":"Gaëtan","non-dropping-particle":"","parse-names":false,"suffix":""},{"dropping-particle":"","family":"Payrastre","given":"Bernard","non-dropping-particle":"","parse-names":false,"suffix":""},{"dropping-particle":"","family":"Bourguet","given":"William","non-dropping-particle":"","parse-names":false,"suffix":""},{"dropping-particle":"","family":"Antonny","given":"Bruno","non-dropping-particle":"","parse-names":false,"suffix":""},{"dropping-particle":"","family":"Drin","given":"Guillaume","non-dropping-particle":"","parse-names":false,"suffix":""}],"container-title":"Journal of Cell Biology","id":"ITEM-1","issue":"6","issued":{"date-parts":[["2011"]]},"page":"965-978","title":"Osh4p exchanges sterols for phosphatidylinositol 4-phosphate between lipid bilayers","type":"article-journal","volume":"195"},"uris":["http://www.mendeley.com/documents/?uuid=7ed7733b-b894-41f4-aa06-7a6c1b838fa9"]}],"mendeley":{"formattedCitation":"(21)","plainTextFormattedCitation":"(21)","previouslyFormattedCitation":"(21)"},"properties":{"noteIndex":0},"schema":"https://github.com/citation-style-language/schema/raw/master/csl-citation.json"}</w:instrText>
      </w:r>
      <w:r w:rsidR="00423910">
        <w:fldChar w:fldCharType="separate"/>
      </w:r>
      <w:r w:rsidR="00423910" w:rsidRPr="00423910">
        <w:rPr>
          <w:noProof/>
        </w:rPr>
        <w:t>(21)</w:t>
      </w:r>
      <w:r w:rsidR="00423910">
        <w:fldChar w:fldCharType="end"/>
      </w:r>
      <w:r w:rsidR="00423910">
        <w:t xml:space="preserve">. </w:t>
      </w:r>
    </w:p>
    <w:p w:rsidR="00DB64F2" w:rsidRDefault="00423910" w:rsidP="00154AB8">
      <w:pPr>
        <w:ind w:firstLine="720"/>
        <w:jc w:val="both"/>
      </w:pPr>
      <w:r>
        <w:t xml:space="preserve">In order to bind both sterols and PI4P, OSBP/ORPs have various targeting domains besides their conserved LBD. OSBP/ORPs </w:t>
      </w:r>
      <w:r w:rsidRPr="00074EDA">
        <w:t xml:space="preserve">have </w:t>
      </w:r>
      <w:r>
        <w:t>an</w:t>
      </w:r>
      <w:r w:rsidRPr="00074EDA">
        <w:t xml:space="preserve"> endoplasmic reticulum (ER) targeting </w:t>
      </w:r>
      <w:r>
        <w:t>domain</w:t>
      </w:r>
      <w:r w:rsidRPr="00074EDA">
        <w:t xml:space="preserve"> (</w:t>
      </w:r>
      <w:r>
        <w:t>FFAT) that interacts with vesicle-associated membrane protein-associated proteins (VAPs)</w:t>
      </w:r>
      <w:r>
        <w:fldChar w:fldCharType="begin" w:fldLock="1"/>
      </w:r>
      <w:r w:rsidR="00DE076B">
        <w:instrText>ADDIN CSL_CITATION {"citationItems":[{"id":"ITEM-1","itemData":{"DOI":"10.1093/emboj/cdg201","ISBN":"0261-4189","ISSN":"02614189","PMID":"12727870","abstract":"Intracellular lipid traffic is mediated both by membrane vesicles and by a number of non-vesicular pathways facilitated by cytoplasmic lipid binding proteins. For these proteins to act effectively they must be targeted accurately to specific membranes. Here we identify a novel short conserved determinant called the FFAT motif that is shared by several seemingly unrelated lipid binding proteins and is also found in Opi1p, a transcriptional regulator of phospholipid synthesis in yeast. FFAT motifs act as membrane- targeting determinants by their direct interaction with homologues of VAMP-associated protein (VAP), a conserved endoplasmic reticulum (ER) protein. In budding yeast, all four proteins with FFAT motifs interact with Scs2p, a homologue of VAP, to target the ER to some extent. The precise intracellular distribution of each of these proteins depends on the integration of the FFAT-Scs2p interaction with other targeting determinants, and the interaction is functionally significant. We conclude that binding to a VAP homologue is a common mechanism by which proteins with FFAT motifs, most of which are involved in lipid metabolism, target ER membranes.","author":[{"dropping-particle":"","family":"Loewen","given":"Christopher J.R.","non-dropping-particle":"","parse-names":false,"suffix":""},{"dropping-particle":"","family":"Roy","given":"Anjana","non-dropping-particle":"","parse-names":false,"suffix":""},{"dropping-particle":"","family":"Levine","given":"Timothy P.","non-dropping-particle":"","parse-names":false,"suffix":""}],"container-title":"EMBO Journal","id":"ITEM-1","issue":"9","issued":{"date-parts":[["2003"]]},"page":"2025-2035","title":"A conserved ER targeting motif in three families of lipid binding proteins and in Opi1p binds VAP","type":"article-journal","volume":"22"},"uris":["http://www.mendeley.com/documents/?uuid=c6efa0ae-4e1b-40f6-9987-9816689602b7"]}],"mendeley":{"formattedCitation":"(22)","plainTextFormattedCitation":"(22)","previouslyFormattedCitation":"(22)"},"properties":{"noteIndex":0},"schema":"https://github.com/citation-style-language/schema/raw/master/csl-citation.json"}</w:instrText>
      </w:r>
      <w:r>
        <w:fldChar w:fldCharType="separate"/>
      </w:r>
      <w:r w:rsidRPr="00423910">
        <w:rPr>
          <w:noProof/>
        </w:rPr>
        <w:t>(22)</w:t>
      </w:r>
      <w:r>
        <w:fldChar w:fldCharType="end"/>
      </w:r>
      <w:r>
        <w:t xml:space="preserve"> and/or</w:t>
      </w:r>
      <w:r w:rsidRPr="00074EDA">
        <w:t xml:space="preserve"> a pleckstrin homology (PH) domain that may interact with PIPs</w:t>
      </w:r>
      <w:r>
        <w:t xml:space="preserve"> on various membranes</w:t>
      </w:r>
      <w:r>
        <w:fldChar w:fldCharType="begin" w:fldLock="1"/>
      </w:r>
      <w:r w:rsidR="00DE076B">
        <w:instrText>ADDIN CSL_CITATION {"citationItems":[{"id":"ITEM-1","itemData":{"DOI":"10.1016/j.bbalip.2012.08.004","ISBN":"0006-3002 (Print)\\n0006-3002 (Linking)","ISSN":"13881981","PMID":"22906437","abstract":"ORP10/OSBPL10 is a member of the oxysterol-binding protein family, and genetic variation in OSBPL10 is associated with dyslipidemias and peripheral artery disease. In this study we investigated the ligand binding properties of ORP10 in vitro as well as its localization and function in human HuH7 hepatocytes. The pleckstrin homology (PH) domain of ORP10 selectively interacts with phosphatidylinositol-4-phosphate, while the C-terminal ligand binding domain binds cholesterol and several acidic phospholipids. Full-length ORP10 decorates microtubules (MT), while the ORP10 N-terminal fragment (aa 1-318) localizes at Golgi membranes. Removal of the C-terminal aa 712-764 of ORP10 containing a predicted coiled-coil segment abolishes the MT association, but allows partial Golgi targeting. A PH domain-GFP fusion protein is distributed mainly in the cytosol and the plasma membrane, indicating that the Golgi affinity of ORP10 involves other determinants in addition to the PH domain. HuH7 cells expressing ORP10-specific shRNA display increased accumulation of apolipoprotein B-100 (apoB-100), but not of albumin, in culture medium, and contain reduced levels of intracellular apoB-100. Pulse-chase analysis of cellular [35S]apoB-100 demonstrates enhanced apoB-100 secretion by cells expressing ORP10-specific shRNA. The apoB-100 secretion phenotype is replicated in HepG2 cells transduced with the ORP10 shRNA lentiviruses. As a conclusion, the present study dissects the determinants of ORP10 association with MT and the Golgi complex and provides evidence for a specific role of this protein in β-lipoprotein secretion by human hepatocytes. © 2012 Elsevier B.V. All rights reserved.","author":[{"dropping-particle":"","family":"Nissilä","given":"Eija","non-dropping-particle":"","parse-names":false,"suffix":""},{"dropping-particle":"","family":"Ohsaki","given":"Yuki","non-dropping-particle":"","parse-names":false,"suffix":""},{"dropping-particle":"","family":"Weber-Boyvat","given":"Marion","non-dropping-particle":"","parse-names":false,"suffix":""},{"dropping-particle":"","family":"Perttilä","given":"Julia","non-dropping-particle":"","parse-names":false,"suffix":""},{"dropping-particle":"","family":"Ikonen","given":"Elina","non-dropping-particle":"","parse-names":false,"suffix":""},{"dropping-particle":"","family":"Olkkonen","given":"Vesa M.","non-dropping-particle":"","parse-names":false,"suffix":""}],"container-title":"Biochimica et Biophysica Acta - Molecular and Cell Biology of Lipids","id":"ITEM-1","issue":"12","issued":{"date-parts":[["2012","12"]]},"page":"1472-1484","title":"ORP10, a cholesterol binding protein associated with microtubules, regulates apolipoprotein B-100 secretion","type":"article-journal","volume":"1821"},"uris":["http://www.mendeley.com/documents/?uuid=3223d778-2134-4f93-8e02-b2b23f180cf1"]},{"id":"ITEM-2","itemData":{"DOI":"10.1016/S0960-9822(98)70296-9","ISBN":"0960-9822","ISSN":"09609822","PMID":"9651677","abstract":"Background: Peripheral membrane proteins are targeted to the cytoplasmic face of specific intracellular membranes. The organelle-specific ligands recognised by peripheral proteins include both other proteins and lipids. Oxysterol-binding protein (OSBP) translocates from the cytoplasm to the Golgi apparatus on binding oxygenated derivatives of cholesterol. The mechanism by which OSBP recognises the Golgi is unknown. It does, however, contain a pleckstrin homology (PH) domain, which in other proteins has been found to mediate regulated membrane binding, although in all previously studied examples the binding is to the plasma membrane. Results: The PH domains of OSBP and of a yeast homologue, Osh1p, were sufficient to target fusion proteins specifically to mammalian Golgi membranes. In addition, high level expression disrupted Golgi architecture and prevented forward traffic of cargo protein. In vitro, the OSBP PH domain bound to Golgi membranes in a manner apparently dependent on phosphatidylinositol-4,5bisphoaphate (PI(4,5)P2) or a related phosphatidylinositide. The OSBP PH domain bound to PI(4,5)P2in liposomes with a submicromolar dissociation constant. Conclusions: The PH domains of OSBP and its yeast homologue recognise a determinant which is specific to Golgi membranes and important for Golgi function. The determinant appears to be a combination of a phosphatidylinositol polyphosphate and a second, Golgi-specific feature.","author":[{"dropping-particle":"","family":"Levine","given":"Timothy P.","non-dropping-particle":"","parse-names":false,"suffix":""},{"dropping-particle":"","family":"Munro","given":"Sean","non-dropping-particle":"","parse-names":false,"suffix":""}],"container-title":"Current Biology","id":"ITEM-2","issue":"13","issued":{"date-parts":[["1998"]]},"page":"729-739","title":"The pleckstrin homology domain of oxysterol-binding protein recognises a determinant specific to Golgi membranes","type":"article-journal","volume":"8"},"uris":["http://www.mendeley.com/documents/?uuid=cdd5ec26-96fe-49fa-a20d-582eb4b3a6ea"]},{"id":"ITEM-3","itemData":{"DOI":"10.1091/mbc.e08-09-0905","ISSN":"1059-1524","abstract":"Eight years of experience in performing only bone-patellar tendon-bone autograft reconstructions of the anterior cruciate ligament (ACL) are presented, with an emphasis on an accelerated post-operative rehabilitation protocol. Past patient non-compliance to previously established protocols still yielded very acceptable results that demanded further investigation. Gradually we developed a three-phase rehabilitation plan that is implemented after surgical correction of ACL deficiencies. The first phase (zero to two weeks) focuses primarily on wound healing, full extension, control of swelling, and leg control. The second phase (two to five weeks) involves increasing flexion, developing a functional gait, and resuming activities of daily living. The third phase (greater than 5 weeks) identifies a safe return to competitive athletics. This protocol evolved with close observation of approximately 1,000 reconstructions and has been used on the last 650 patients since January 1987. A decreased postoperative morbidity was noted without a compromised clinical stability.","author":[{"dropping-particle":"","family":"Ngo","given":"Mike","non-dropping-particle":"","parse-names":false,"suffix":""},{"dropping-particle":"","family":"Ridgway","given":"Neale D.","non-dropping-particle":"","parse-names":false,"suffix":""}],"container-title":"Molecular Biology of the Cell","editor":[{"dropping-particle":"","family":"Riezman","given":"Howard","non-dropping-particle":"","parse-names":false,"suffix":""}],"id":"ITEM-3","issue":"5","issued":{"date-parts":[["2009","3"]]},"page":"1388-1399","title":"Oxysterol Binding Protein–related Protein 9 (ORP9) Is a Cholesterol Transfer Protein That Regulates Golgi Structure and Function","type":"article-journal","volume":"20"},"uris":["http://www.mendeley.com/documents/?uuid=f2634cef-7b48-4b51-a330-a3e4593747ef"]},{"id":"ITEM-4","itemData":{"DOI":"10.1091/mbc.e05-03-0189","ISSN":"1059-1524","abstract":"Agricultural and food production systems in Asia must undergo a significant transformation in order to meet the concurrent challenges of increasing food, water, and energy demands amid on-going climate change. This is particularly true in countries in South Asia, including Pakistan, where hunger and undernutrition persist and natural resource are increasingly strained. Sustainable intensification with a focus on nutrition is particularly crucial to provide adequate and nutritious food for all without further damages to the planet. However, a silo approach to meeting the demands of a growing, increasingly urbanised, and wealthier population is no longer acceptable. Instead, capitalising on the inter sectoral linkages between food, water, and energy can more effectively minimise trade-offs and maximise synergies across concurrent efforts to improve water, energy, food, and nutrition security sustainably. © The Pakistan Development Review.","author":[{"dropping-particle":"","family":"Johansson","given":"Marie","non-dropping-particle":"","parse-names":false,"suffix":""},{"dropping-particle":"","family":"Lehto","given":"Markku","non-dropping-particle":"","parse-names":false,"suffix":""},{"dropping-particle":"","family":"Tanhuanpää","given":"Kimmo","non-dropping-particle":"","parse-names":false,"suffix":""},{"dropping-particle":"","family":"Cover","given":"Timothy L.","non-dropping-particle":"","parse-names":false,"suffix":""},{"dropping-particle":"","family":"Olkkonen","given":"Vesa M.","non-dropping-particle":"","parse-names":false,"suffix":""}],"container-title":"Molecular Biology of the Cell","id":"ITEM-4","issue":"12","issued":{"date-parts":[["2005","12"]]},"page":"5480-5492","title":"The Oxysterol-binding Protein Homologue ORP1L Interacts with Rab7 and Alters Functional Properties of Late Endocytic Compartments","type":"article-journal","volume":"16"},"uris":["http://www.mendeley.com/documents/?uuid=5bf5cdc1-b4e6-419d-8e09-f469c3dd60d7"]},{"id":"ITEM-5","itemData":{"DOI":"10.1016/j.yexcr.2005.08.003","ISSN":"00144827","PMID":"16143324","abstract":"The intracellular targeting determinants of oxysterol binding protein (OSBP)-related protein 3 (ORP3) were studied using a series of truncated and point mutated constructs. The pleckstrin homology (PH) domain of ORP3 binds the phosphoinositide-3-kinase (PI3K) products, PI(3,4)P2and PI(3,4,5)P3. A functional PH domain and flanking sequences are crucial for the plasma membrane (PM) targeting of ORP3. The endoplasmic reticulum (ER) targeting of ORP3 is regulated the by a FFAT motif (EFFDAxE), which mediates interaction with VAMP-associated protein (VAP)-A. The targeting function of the FFAT motif dominates over that of the PH domain. In addition, the exon 10/11 region modulates interaction of ORP3 with the ER and the nuclear membrane. Analysis of a chimeric ORP3:OSBP protein suggests that ligand binding by the C-terminal domain of OSBP induces allosteric changes that activate the N-terminal targeting modules of ORP3. Notably, over-expression of ORP3 together with VAP-A induces stacked ER membrane structures also known as organized smooth ER (OSER). Moreover, lipid starvation promotes formation of dilated peripheral ER (DPER) structures dependent on the ORP3 protein. Based on the present data, we introduce a model for the inter-relationships of the functional domains of ORP3 in the membrane targeting of the protein. © 2005 Elsevier Inc. All rights reserved.","author":[{"dropping-particle":"","family":"Lehto","given":"Markku","non-dropping-particle":"","parse-names":false,"suffix":""},{"dropping-particle":"","family":"Hynynen","given":"Riikka","non-dropping-particle":"","parse-names":false,"suffix":""},{"dropping-particle":"","family":"Karjalainen","given":"Katja","non-dropping-particle":"","parse-names":false,"suffix":""},{"dropping-particle":"","family":"Kuismanen","given":"Esa","non-dropping-particle":"","parse-names":false,"suffix":""},{"dropping-particle":"","family":"Hyvärinen","given":"Kati","non-dropping-particle":"","parse-names":false,"suffix":""},{"dropping-particle":"","family":"Olkkonen","given":"Vesa M.","non-dropping-particle":"","parse-names":false,"suffix":""}],"container-title":"Experimental Cell Research","id":"ITEM-5","issue":"2","issued":{"date-parts":[["2005"]]},"page":"445-462","title":"Targeting of OSBP-related protein 3 (ORP3) to endoplasmic reticulum and plasma membrane is controlled by multiple determinants","type":"article-journal","volume":"310"},"uris":["http://www.mendeley.com/documents/?uuid=1d033d5f-f41e-448a-bd8b-36ffb86f5c40"]}],"mendeley":{"formattedCitation":"(16, 23–26)","plainTextFormattedCitation":"(16, 23–26)","previouslyFormattedCitation":"(16, 23–26)"},"properties":{"noteIndex":0},"schema":"https://github.com/citation-style-language/schema/raw/master/csl-citation.json"}</w:instrText>
      </w:r>
      <w:r>
        <w:fldChar w:fldCharType="separate"/>
      </w:r>
      <w:r w:rsidRPr="00423910">
        <w:rPr>
          <w:noProof/>
        </w:rPr>
        <w:t>(16, 23–26)</w:t>
      </w:r>
      <w:r>
        <w:fldChar w:fldCharType="end"/>
      </w:r>
      <w:r w:rsidRPr="00074EDA">
        <w:t xml:space="preserve"> (</w:t>
      </w:r>
      <w:r w:rsidR="004B38EB">
        <w:rPr>
          <w:b/>
        </w:rPr>
        <w:fldChar w:fldCharType="begin"/>
      </w:r>
      <w:r w:rsidR="004B38EB">
        <w:instrText xml:space="preserve"> REF _Ref530500509 \h </w:instrText>
      </w:r>
      <w:r w:rsidR="004B38EB">
        <w:rPr>
          <w:b/>
        </w:rPr>
      </w:r>
      <w:r w:rsidR="004B38EB">
        <w:rPr>
          <w:b/>
        </w:rPr>
        <w:fldChar w:fldCharType="separate"/>
      </w:r>
      <w:r w:rsidR="00E2070A" w:rsidRPr="00A841B4">
        <w:t>Figure</w:t>
      </w:r>
      <w:r w:rsidR="00E2070A">
        <w:t xml:space="preserve"> </w:t>
      </w:r>
      <w:r w:rsidR="00E2070A">
        <w:rPr>
          <w:noProof/>
        </w:rPr>
        <w:t>3</w:t>
      </w:r>
      <w:r w:rsidR="004B38EB">
        <w:rPr>
          <w:b/>
        </w:rPr>
        <w:fldChar w:fldCharType="end"/>
      </w:r>
      <w:r w:rsidR="004B38EB">
        <w:rPr>
          <w:b/>
        </w:rPr>
        <w:t>A</w:t>
      </w:r>
      <w:r w:rsidRPr="00074EDA">
        <w:t>).</w:t>
      </w:r>
      <w:r w:rsidR="00154AB8">
        <w:t xml:space="preserve"> </w:t>
      </w:r>
      <w:r w:rsidR="00961548">
        <w:t>ORPs can associate with two membranes through the binding of PIPs where the ORP will bind a ligand sterol, go through a conformational change, and deliver the sterol to the opposite membrane (</w:t>
      </w:r>
      <w:r w:rsidR="00A841B4" w:rsidRPr="00A841B4">
        <w:rPr>
          <w:b/>
        </w:rPr>
        <w:t>Figure</w:t>
      </w:r>
      <w:r w:rsidR="00961548" w:rsidRPr="00E921DB">
        <w:rPr>
          <w:b/>
        </w:rPr>
        <w:t xml:space="preserve"> 4A</w:t>
      </w:r>
      <w:r w:rsidR="00961548">
        <w:t xml:space="preserve">). ORPs can also bind both PIPs and sterols in the same binding pocket, </w:t>
      </w:r>
      <w:r w:rsidR="00961548">
        <w:lastRenderedPageBreak/>
        <w:t>creating an exchange of the two in opposite directions to modulate lipid compositions (</w:t>
      </w:r>
      <w:r w:rsidR="00A841B4" w:rsidRPr="00A841B4">
        <w:rPr>
          <w:b/>
        </w:rPr>
        <w:t>Figure</w:t>
      </w:r>
      <w:r w:rsidR="00961548" w:rsidRPr="00E921DB">
        <w:rPr>
          <w:b/>
        </w:rPr>
        <w:t xml:space="preserve"> 4B</w:t>
      </w:r>
      <w:r w:rsidR="00961548">
        <w:t>). Endocytosis is controlled by ORPs through binding PIP, blocking transport factors and sending signals for metabolic regulation, and binding of sterols releases the ORPs and d</w:t>
      </w:r>
      <w:r w:rsidR="00C5325B">
        <w:t>ecreases the activity (</w:t>
      </w:r>
      <w:r w:rsidR="00A841B4" w:rsidRPr="00A841B4">
        <w:rPr>
          <w:b/>
        </w:rPr>
        <w:t>Figure</w:t>
      </w:r>
      <w:r w:rsidR="00C5325B" w:rsidRPr="00E921DB">
        <w:rPr>
          <w:b/>
        </w:rPr>
        <w:t xml:space="preserve"> 4D</w:t>
      </w:r>
      <w:r w:rsidR="00961548">
        <w:t>). Longer ORPs associate with the ER through peptide motifs where oxysterol binding activates a PH domain to</w:t>
      </w:r>
      <w:r w:rsidR="006A2B41">
        <w:t xml:space="preserve"> </w:t>
      </w:r>
      <w:r w:rsidR="00961548">
        <w:t>bind PIPs on a non-ER membrane contact site and recruit effector molecules of various functions, while binding of sterols can di</w:t>
      </w:r>
      <w:r w:rsidR="00C5325B">
        <w:t>ssociate this complex (</w:t>
      </w:r>
      <w:r w:rsidR="00A841B4" w:rsidRPr="00A841B4">
        <w:rPr>
          <w:b/>
        </w:rPr>
        <w:t>Figure</w:t>
      </w:r>
      <w:r w:rsidR="00C5325B" w:rsidRPr="00E921DB">
        <w:rPr>
          <w:b/>
        </w:rPr>
        <w:t xml:space="preserve"> 4C</w:t>
      </w:r>
      <w:r w:rsidR="00961548" w:rsidRPr="00E921DB">
        <w:rPr>
          <w:b/>
        </w:rPr>
        <w:t>&amp;E</w:t>
      </w:r>
      <w:r w:rsidR="00961548">
        <w:t>).</w:t>
      </w:r>
    </w:p>
    <w:p w:rsidR="00154AB8" w:rsidRDefault="00154AB8" w:rsidP="00154AB8"/>
    <w:p w:rsidR="00154AB8" w:rsidRDefault="0015171B" w:rsidP="00154AB8">
      <w:pPr>
        <w:keepNext/>
      </w:pPr>
      <w:r>
        <w:rPr>
          <w:noProof/>
          <w:lang w:bidi="ar-SA"/>
        </w:rPr>
        <w:drawing>
          <wp:inline distT="0" distB="0" distL="0" distR="0" wp14:anchorId="6E11F99D" wp14:editId="42A1F4BF">
            <wp:extent cx="5353050" cy="2358390"/>
            <wp:effectExtent l="19050" t="19050" r="19050" b="228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53050" cy="2358390"/>
                    </a:xfrm>
                    <a:prstGeom prst="rect">
                      <a:avLst/>
                    </a:prstGeom>
                    <a:noFill/>
                    <a:ln>
                      <a:solidFill>
                        <a:schemeClr val="tx1"/>
                      </a:solidFill>
                    </a:ln>
                  </pic:spPr>
                </pic:pic>
              </a:graphicData>
            </a:graphic>
          </wp:inline>
        </w:drawing>
      </w:r>
    </w:p>
    <w:p w:rsidR="00154AB8" w:rsidRDefault="00A841B4" w:rsidP="00042529">
      <w:pPr>
        <w:pStyle w:val="Caption"/>
        <w:jc w:val="both"/>
        <w:rPr>
          <w:b w:val="0"/>
        </w:rPr>
      </w:pPr>
      <w:bookmarkStart w:id="20" w:name="_Ref530500509"/>
      <w:bookmarkStart w:id="21" w:name="_Toc530673928"/>
      <w:r w:rsidRPr="00A841B4">
        <w:t>Figure</w:t>
      </w:r>
      <w:r w:rsidR="00154AB8">
        <w:t xml:space="preserve"> </w:t>
      </w:r>
      <w:fldSimple w:instr=" SEQ Figure \* ARABIC ">
        <w:r w:rsidR="00E2070A">
          <w:rPr>
            <w:noProof/>
          </w:rPr>
          <w:t>3</w:t>
        </w:r>
      </w:fldSimple>
      <w:bookmarkEnd w:id="20"/>
      <w:r w:rsidR="00154AB8">
        <w:t>:</w:t>
      </w:r>
      <w:r w:rsidR="00154AB8" w:rsidRPr="009D2AD7">
        <w:t xml:space="preserve"> </w:t>
      </w:r>
      <w:r w:rsidR="00154AB8" w:rsidRPr="00D76DFE">
        <w:rPr>
          <w:b w:val="0"/>
        </w:rPr>
        <w:t xml:space="preserve">Homology and Basic Structure of Human ORPs. A) </w:t>
      </w:r>
      <w:r w:rsidR="00154AB8">
        <w:rPr>
          <w:b w:val="0"/>
        </w:rPr>
        <w:t>Protein domain homology graph showing the different OSBP/ORP families</w:t>
      </w:r>
      <w:r w:rsidR="00154AB8" w:rsidRPr="00D76DFE">
        <w:rPr>
          <w:b w:val="0"/>
        </w:rPr>
        <w:t xml:space="preserve"> B) Structure model showing the beta-barrel of the ORP domain with the N-terminus lid interaction with </w:t>
      </w:r>
      <w:r w:rsidR="00154AB8">
        <w:rPr>
          <w:b w:val="0"/>
        </w:rPr>
        <w:t>25-hydro</w:t>
      </w:r>
      <w:r w:rsidR="00154AB8" w:rsidRPr="00D76DFE">
        <w:rPr>
          <w:b w:val="0"/>
        </w:rPr>
        <w:t>xy</w:t>
      </w:r>
      <w:r w:rsidR="00154AB8">
        <w:rPr>
          <w:b w:val="0"/>
        </w:rPr>
        <w:t>chole</w:t>
      </w:r>
      <w:r w:rsidR="00154AB8" w:rsidRPr="00D76DFE">
        <w:rPr>
          <w:b w:val="0"/>
        </w:rPr>
        <w:t xml:space="preserve">sterol shown. </w:t>
      </w:r>
      <w:r w:rsidRPr="00A841B4">
        <w:t>Figure</w:t>
      </w:r>
      <w:r w:rsidR="00154AB8" w:rsidRPr="00D76DFE">
        <w:rPr>
          <w:b w:val="0"/>
        </w:rPr>
        <w:t xml:space="preserve">s A </w:t>
      </w:r>
      <w:r w:rsidR="00154AB8">
        <w:rPr>
          <w:b w:val="0"/>
        </w:rPr>
        <w:t>was created by Juan Nu</w:t>
      </w:r>
      <w:r w:rsidR="00154AB8">
        <w:rPr>
          <w:rFonts w:cstheme="minorHAnsi"/>
          <w:b w:val="0"/>
        </w:rPr>
        <w:t>ñ</w:t>
      </w:r>
      <w:r w:rsidR="00154AB8">
        <w:rPr>
          <w:b w:val="0"/>
        </w:rPr>
        <w:t xml:space="preserve">ez </w:t>
      </w:r>
      <w:r w:rsidR="00154AB8" w:rsidRPr="00D76DFE">
        <w:rPr>
          <w:b w:val="0"/>
        </w:rPr>
        <w:t>&amp; B</w:t>
      </w:r>
      <w:r w:rsidR="00154AB8">
        <w:rPr>
          <w:b w:val="0"/>
        </w:rPr>
        <w:t xml:space="preserve"> is a screen shot from the yeast oxysterol binding protein Osh4 in complex with 25-hydroxycholesterol (PDB number 1ZHX)</w:t>
      </w:r>
      <w:bookmarkEnd w:id="21"/>
    </w:p>
    <w:p w:rsidR="006A2B41" w:rsidRDefault="006A2B41" w:rsidP="00154AB8"/>
    <w:p w:rsidR="0015171B" w:rsidRDefault="005B54FE" w:rsidP="00154AB8">
      <w:pPr>
        <w:spacing w:line="240" w:lineRule="auto"/>
        <w:jc w:val="both"/>
        <w:rPr>
          <w:b/>
        </w:rPr>
      </w:pPr>
      <w:bookmarkStart w:id="22" w:name="_Toc530673929"/>
      <w:r>
        <w:rPr>
          <w:b/>
          <w:noProof/>
          <w:lang w:bidi="ar-SA"/>
        </w:rPr>
        <w:lastRenderedPageBreak/>
        <w:drawing>
          <wp:inline distT="0" distB="0" distL="0" distR="0" wp14:anchorId="5A370ED7" wp14:editId="0D412493">
            <wp:extent cx="5276850" cy="7200496"/>
            <wp:effectExtent l="19050" t="19050" r="19050" b="1968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83544" cy="7209630"/>
                    </a:xfrm>
                    <a:prstGeom prst="rect">
                      <a:avLst/>
                    </a:prstGeom>
                    <a:noFill/>
                    <a:ln>
                      <a:solidFill>
                        <a:schemeClr val="tx1"/>
                      </a:solidFill>
                    </a:ln>
                  </pic:spPr>
                </pic:pic>
              </a:graphicData>
            </a:graphic>
          </wp:inline>
        </w:drawing>
      </w:r>
    </w:p>
    <w:p w:rsidR="00961548" w:rsidRPr="006A2B41" w:rsidRDefault="00A841B4" w:rsidP="00154AB8">
      <w:pPr>
        <w:spacing w:line="240" w:lineRule="auto"/>
        <w:jc w:val="both"/>
      </w:pPr>
      <w:r w:rsidRPr="00A841B4">
        <w:rPr>
          <w:b/>
        </w:rPr>
        <w:t>Figure</w:t>
      </w:r>
      <w:r w:rsidR="00961548" w:rsidRPr="006A2B41">
        <w:rPr>
          <w:b/>
        </w:rPr>
        <w:t xml:space="preserve"> </w:t>
      </w:r>
      <w:r w:rsidR="00DB64F2" w:rsidRPr="006A2B41">
        <w:rPr>
          <w:b/>
        </w:rPr>
        <w:fldChar w:fldCharType="begin"/>
      </w:r>
      <w:r w:rsidR="00DB64F2" w:rsidRPr="006A2B41">
        <w:rPr>
          <w:b/>
        </w:rPr>
        <w:instrText xml:space="preserve"> SEQ Figure \* ARABIC </w:instrText>
      </w:r>
      <w:r w:rsidR="00DB64F2" w:rsidRPr="006A2B41">
        <w:rPr>
          <w:b/>
        </w:rPr>
        <w:fldChar w:fldCharType="separate"/>
      </w:r>
      <w:r w:rsidR="00E2070A">
        <w:rPr>
          <w:b/>
          <w:noProof/>
        </w:rPr>
        <w:t>4</w:t>
      </w:r>
      <w:r w:rsidR="00DB64F2" w:rsidRPr="006A2B41">
        <w:rPr>
          <w:b/>
          <w:noProof/>
        </w:rPr>
        <w:fldChar w:fldCharType="end"/>
      </w:r>
      <w:r w:rsidR="00961548" w:rsidRPr="006A2B41">
        <w:rPr>
          <w:b/>
        </w:rPr>
        <w:t>:</w:t>
      </w:r>
      <w:r w:rsidR="00961548" w:rsidRPr="006A2B41">
        <w:t xml:space="preserve"> </w:t>
      </w:r>
      <w:r w:rsidR="00961548" w:rsidRPr="00C5325B">
        <w:rPr>
          <w:b/>
        </w:rPr>
        <w:t>Schematics of ORP/OSBP cellular pathway interactions</w:t>
      </w:r>
      <w:r w:rsidR="00961548" w:rsidRPr="006A2B41">
        <w:t xml:space="preserve">. </w:t>
      </w:r>
      <w:r w:rsidR="00C5325B">
        <w:t>(</w:t>
      </w:r>
      <w:r w:rsidR="00961548" w:rsidRPr="006A2B41">
        <w:t xml:space="preserve">A) Sterol transport between membranes using PIP’s as a docking site. </w:t>
      </w:r>
      <w:r w:rsidR="00C5325B">
        <w:t>(</w:t>
      </w:r>
      <w:r w:rsidR="00961548" w:rsidRPr="006A2B41">
        <w:t>B) Binding sterols and PIPs in the same pock</w:t>
      </w:r>
      <w:r w:rsidR="00C5325B">
        <w:t>et in an exchange-like fashion. (</w:t>
      </w:r>
      <w:r w:rsidR="00961548" w:rsidRPr="006A2B41">
        <w:t>C)</w:t>
      </w:r>
      <w:r w:rsidR="00C5325B" w:rsidRPr="00C5325B">
        <w:t xml:space="preserve"> </w:t>
      </w:r>
      <w:r w:rsidR="00C5325B" w:rsidRPr="006A2B41">
        <w:t>Disassembly of ER complex with sterol binding.</w:t>
      </w:r>
      <w:r w:rsidR="00961548" w:rsidRPr="006A2B41">
        <w:t xml:space="preserve"> </w:t>
      </w:r>
      <w:r w:rsidR="00C5325B">
        <w:t xml:space="preserve">(D) </w:t>
      </w:r>
      <w:r w:rsidR="00961548" w:rsidRPr="006A2B41">
        <w:t xml:space="preserve">Modulating endocytosis </w:t>
      </w:r>
      <w:r w:rsidR="00C5325B">
        <w:t>by blocking transport factors. (E</w:t>
      </w:r>
      <w:r w:rsidR="00961548" w:rsidRPr="006A2B41">
        <w:t>) Binding to ER to activate effector proteins for signal transduction with oxysterol binding.</w:t>
      </w:r>
      <w:bookmarkEnd w:id="22"/>
    </w:p>
    <w:p w:rsidR="00961548" w:rsidRPr="00B25249" w:rsidRDefault="00961548" w:rsidP="00961548">
      <w:pPr>
        <w:rPr>
          <w:b/>
          <w:szCs w:val="28"/>
        </w:rPr>
      </w:pPr>
    </w:p>
    <w:p w:rsidR="00961548" w:rsidRDefault="00961548" w:rsidP="00FB099D">
      <w:pPr>
        <w:pStyle w:val="Heading2"/>
      </w:pPr>
      <w:bookmarkStart w:id="23" w:name="_Toc532553073"/>
      <w:r>
        <w:t>OSBP/ORP biology</w:t>
      </w:r>
      <w:bookmarkEnd w:id="23"/>
    </w:p>
    <w:p w:rsidR="00961548" w:rsidRPr="00154AB8" w:rsidRDefault="00961548" w:rsidP="00042529">
      <w:pPr>
        <w:pStyle w:val="Heading3"/>
      </w:pPr>
      <w:bookmarkStart w:id="24" w:name="_Ref530661904"/>
      <w:bookmarkStart w:id="25" w:name="_Toc532553074"/>
      <w:r w:rsidRPr="00AE0583">
        <w:t>OSBP</w:t>
      </w:r>
      <w:bookmarkEnd w:id="24"/>
      <w:bookmarkEnd w:id="25"/>
    </w:p>
    <w:p w:rsidR="00995672" w:rsidRDefault="00154AB8" w:rsidP="00FB099D">
      <w:pPr>
        <w:ind w:firstLine="720"/>
        <w:jc w:val="both"/>
        <w:rPr>
          <w:szCs w:val="28"/>
        </w:rPr>
      </w:pPr>
      <w:r>
        <w:rPr>
          <w:szCs w:val="28"/>
        </w:rPr>
        <w:t xml:space="preserve">Oxysterol-binding protein (OSBP) was first described by its ability to bind oxysterols </w:t>
      </w:r>
      <w:r>
        <w:rPr>
          <w:i/>
          <w:szCs w:val="28"/>
        </w:rPr>
        <w:t xml:space="preserve">in </w:t>
      </w:r>
      <w:r w:rsidRPr="00154AB8">
        <w:rPr>
          <w:szCs w:val="28"/>
        </w:rPr>
        <w:t>vitro</w:t>
      </w:r>
      <w:r w:rsidR="00DE076B">
        <w:rPr>
          <w:szCs w:val="28"/>
        </w:rPr>
        <w:fldChar w:fldCharType="begin" w:fldLock="1"/>
      </w:r>
      <w:r w:rsidR="00CE1968">
        <w:rPr>
          <w:szCs w:val="28"/>
        </w:rPr>
        <w:instrText>ADDIN CSL_CITATION {"citationItems":[{"id":"ITEM-1","itemData":{"ISSN":"00219258","PMID":"6490619","abstract":"Support for the role of a cytosolic oxysterol-binding protein in the regulation of 3-hydroxy-3-methylglutaryl coenzyme A (HMG-CoA) reductase was obtained by correlating the relative binding affinities of a wide range of oxysterols to their potency in suppressing HMG-CoA reductase activity in mouse fibroblast cell cultures. Forty-seven oxysterols encompassing a 100-fold range of activity in both assays were tested and the two parameters were closely correlated for 35 of the sterols. Twelve sterols showed poor binding when compared to their ability to suppress HMG-CoA reductase activity in cell cultures. Among these were seven sterols with a ketone function at C-3. For this group, the discrepancy could be explained by their rapid conversion within cells to the 3 beta-hydroxy derivatives which have a much higher affinity for the binding protein. One sterol with 3-keto-4-ene grouping was not reduced to its 3 beta-hydroxy derivative in cells and thereby showed no discrepancy in the two assays. The remaining five sterols exhibiting discordant activities in the two tests contained 4,4-dimethyl moieties and were relatively weak suppressors of HMG-CoA reductase activity. Cellular metabolism of these sterols was not detected. Possible reasons for their apparent inactivity in the binding assay are discussed.","author":[{"dropping-particle":"","family":"Taylor","given":"F. R.","non-dropping-particle":"","parse-names":false,"suffix":""},{"dropping-particle":"","family":"Saucier","given":"S. E.","non-dropping-particle":"","parse-names":false,"suffix":""},{"dropping-particle":"","family":"Shown","given":"E. P.","non-dropping-particle":"","parse-names":false,"suffix":""},{"dropping-particle":"","family":"Parish","given":"E. J.","non-dropping-particle":"","parse-names":false,"suffix":""},{"dropping-particle":"","family":"Kandutsch","given":"A. A.","non-dropping-particle":"","parse-names":false,"suffix":""}],"container-title":"Journal of Biological Chemistry","id":"ITEM-1","issue":"20","issued":{"date-parts":[["1984"]]},"page":"12382-12387","title":"Correlation between oxysterol binding to a cytosolic binding protein and potency in the repression of hydroxymethylglutaryl coenzyme A reductase","type":"article-journal","volume":"259"},"uris":["http://www.mendeley.com/documents/?uuid=f6d1b077-f962-4b21-b9b7-95108320a3bd"]},{"id":"ITEM-2","itemData":{"DOI":"10.1016/0009-3084(85)90066-0","ISSN":"00093084","abstract":"A binding protein is described for certain oxygenated derivatives of cholesterol which suppress 3-hydroxy-3-methylglutaryl coenzyme A reductase and cholesterol synthesis in cultured mammalian cells. This protein is found in the cytolosic fraction of many cell types and is distinct from cytosolic proteins which bind cholesterol. The relative binding affinity of a wide variety of oxysterols correlates with their ability to suppress reductase and it is proposed that the binding protein functions as a receptor for endogenous regulatory oxysterols. The binding protein from cultured mouse fibroblasts (L cells) has been partially purified and characterized. Changes in its molecular form occur when a ligand is bound and further changes in form and binding kinetics occur at acid pH and in the presence of urea. Based on these changes a subunit model for the binding protein is presented. © 1985.","author":[{"dropping-particle":"","family":"Taylor","given":"Frederick R.","non-dropping-particle":"","parse-names":false,"suffix":""},{"dropping-particle":"","family":"Kandutsch","given":"Andrew A.","non-dropping-particle":"","parse-names":false,"suffix":""}],"container-title":"Chemistry and Physics of Lipids","id":"ITEM-2","issue":"1-2","issued":{"date-parts":[["1985"]]},"page":"187-194","title":"Oxysterol binding protein","type":"article-journal","volume":"38"},"uris":["http://www.mendeley.com/documents/?uuid=90290501-a5ba-49f2-9e95-01d49bafadc9"]},{"id":"ITEM-3","itemData":{"ISBN":"0021-9258 (Print)","ISSN":"00219258","PMID":"2722817","abstract":"We have purified to apparent homogeneity an oxysterol binding protein from cytosol of hamster livers. This protein, which corresponds to the protein described by Taylor and Kandutsch (Taylor, F. R., and Kandutsch, A. (1985) Chem. Phys. Lipids 38, 187-194), binds oxysterols such as 25-hydroxycholesterol but does not bind cholesterol or steroid hormones in vitro. It may participate in the feedback repression of enzymes of cholesterol biosynthesis and the low density lipoprotein receptor. The protein was purified more than 40,000-fold with a series of ion exchange chromatography steps. The final preparation contained a doublet of peptides with molecular weights (Mr) of 101,000 and 96,000, as determined by sodium dodecyl sulfate-polyacrylamide gel electrophoresis. These components formed a complex that migrated on gel filtration with an apparent Mr of 280,000 in the absence or presence of 25-hydroxycholesterol. The amino acid sequence of a tryptic peptide from this protein complex was obtained, and a monoclonal antipeptide antibody was prepared. The antibody stained both the 101,000- and 96,000-Da proteins on immunoblots, suggesting that these two components are closely related and that one may be a modified or proteolyzed form of the other. With the purified protein now available, it should become possible to determine the role, if any, that this protein plays in the regulation of intracellular cholesterol metabolism.","author":[{"dropping-particle":"","family":"Dawson","given":"P. A.","non-dropping-particle":"","parse-names":false,"suffix":""},{"dropping-particle":"","family":"Westhuyzen","given":"D. R.","non-dropping-particle":"Van Der","parse-names":false,"suffix":""},{"dropping-particle":"","family":"Goldstein","given":"J. L.","non-dropping-particle":"","parse-names":false,"suffix":""},{"dropping-particle":"","family":"Brown","given":"M. S.","non-dropping-particle":"","parse-names":false,"suffix":""}],"container-title":"Journal of Biological Chemistry","id":"ITEM-3","issue":"15","issued":{"date-parts":[["1989"]]},"page":"9046-9052","title":"Purification of oxysterol binding protein from hamster liver cytosol","type":"article-journal","volume":"264"},"uris":["http://www.mendeley.com/documents/?uuid=70ed80a4-b004-4fcf-a0f3-2622a43b6472"]}],"mendeley":{"formattedCitation":"(27–29)","plainTextFormattedCitation":"(27–29)","previouslyFormattedCitation":"(27–29)"},"properties":{"noteIndex":0},"schema":"https://github.com/citation-style-language/schema/raw/master/csl-citation.json"}</w:instrText>
      </w:r>
      <w:r w:rsidR="00DE076B">
        <w:rPr>
          <w:szCs w:val="28"/>
        </w:rPr>
        <w:fldChar w:fldCharType="separate"/>
      </w:r>
      <w:r w:rsidR="00DE076B" w:rsidRPr="00DE076B">
        <w:rPr>
          <w:noProof/>
          <w:szCs w:val="28"/>
        </w:rPr>
        <w:t>(27–29)</w:t>
      </w:r>
      <w:r w:rsidR="00DE076B">
        <w:rPr>
          <w:szCs w:val="28"/>
        </w:rPr>
        <w:fldChar w:fldCharType="end"/>
      </w:r>
      <w:r>
        <w:rPr>
          <w:szCs w:val="28"/>
        </w:rPr>
        <w:t xml:space="preserve">. </w:t>
      </w:r>
      <w:r w:rsidR="00961548" w:rsidRPr="00154AB8">
        <w:rPr>
          <w:szCs w:val="28"/>
        </w:rPr>
        <w:t>In</w:t>
      </w:r>
      <w:r w:rsidR="00961548" w:rsidRPr="00B25249">
        <w:rPr>
          <w:szCs w:val="28"/>
        </w:rPr>
        <w:t xml:space="preserve"> the </w:t>
      </w:r>
      <w:r>
        <w:rPr>
          <w:szCs w:val="28"/>
        </w:rPr>
        <w:t>early 1990s</w:t>
      </w:r>
      <w:r w:rsidR="00961548" w:rsidRPr="00B25249">
        <w:rPr>
          <w:szCs w:val="28"/>
        </w:rPr>
        <w:t>, OSBP</w:t>
      </w:r>
      <w:r>
        <w:rPr>
          <w:szCs w:val="28"/>
        </w:rPr>
        <w:t xml:space="preserve"> gene was cloned</w:t>
      </w:r>
      <w:r w:rsidR="00961548" w:rsidRPr="00B25249">
        <w:rPr>
          <w:szCs w:val="28"/>
        </w:rPr>
        <w:t xml:space="preserve"> </w:t>
      </w:r>
      <w:r w:rsidR="00DE076B">
        <w:rPr>
          <w:szCs w:val="28"/>
        </w:rPr>
        <w:t>and the OSBP protein was determined to be an 809 amino acid (~89 kDa) protein</w:t>
      </w:r>
      <w:r w:rsidR="00CE1968">
        <w:rPr>
          <w:szCs w:val="28"/>
        </w:rPr>
        <w:fldChar w:fldCharType="begin" w:fldLock="1"/>
      </w:r>
      <w:r w:rsidR="00CE1968">
        <w:rPr>
          <w:szCs w:val="28"/>
        </w:rPr>
        <w:instrText>ADDIN CSL_CITATION {"citationItems":[{"id":"ITEM-1","itemData":{"ISBN":"0021-9258 (Print)","ISSN":"00219258","PMID":"2777807","abstract":"Feedback repression of the genes encoding the low density lipoprotein receptor and several enzymes of the cholesterol biosynthetic pathway is mediated by 25-hydroxycholesterol and other oxysterols. In this study, we have cloned a rabbit cDNA encoding an oxysterol-binding protein that may play a role in this regulation. The predicted amino acid sequence revealed a protein of 809 amino acids with two distinctive features: 1) a glycine- and alanine-rich region (63% of 80 residues) at the NH2 terminus, and 2) a 35-residue leucine zipper motif that may mediate the previously observed oligomerization of the protein. When transfected into simian COS cells, the rabbit cDNA produced a protein that exhibited the same affinity and specificity for sterols as the previously purified hamster liver protein. Immunoblotting analysis showed that the rabbit cDNA encodes both the 96- and 101-kilodalton forms of the oxysterol-binding protein that were previously observed. The availability of an expressible cDNA for the oxysterol-binding protein should help elucidate its role in sterol metabolism.","author":[{"dropping-particle":"","family":"Dawson","given":"P. A.","non-dropping-particle":"","parse-names":false,"suffix":""},{"dropping-particle":"","family":"Ridgway","given":"N. D.","non-dropping-particle":"","parse-names":false,"suffix":""},{"dropping-particle":"","family":"Slaughter","given":"C. A.","non-dropping-particle":"","parse-names":false,"suffix":""},{"dropping-particle":"","family":"Brown","given":"M. S.","non-dropping-particle":"","parse-names":false,"suffix":""},{"dropping-particle":"","family":"Goldstein","given":"J. L.","non-dropping-particle":"","parse-names":false,"suffix":""}],"container-title":"Journal of Biological Chemistry","id":"ITEM-1","issue":"28","issued":{"date-parts":[["1989"]]},"page":"16798-16803","title":"cDNA cloning and expression of oxysterol-binding protein, an oligomer with a potential leucine zipper","type":"article-journal","volume":"264"},"uris":["http://www.mendeley.com/documents/?uuid=00b92ebf-1f43-4309-998e-01744786701d"]},{"id":"ITEM-2","itemData":{"DOI":"10.1016/0888-7543(90)90519-Z","ISBN":"0888-7543 (Print)","ISSN":"10898646","PMID":"1970801","abstract":"Cellular cholesterol metabolism is regulated primarily through sterol-mediated feedback suppression of the activity of the low-density lipoprotein receptor and several enzymes of the cholesterol biosynthetic pathway. We previously described the cloning of a rabbit cDNA for the oxysterol-binding protein (OSBP), a cytosolic protein of 809 amino acids that may participate in these regulatory events. We now use the rabbit OSBP cDNA to clone the human OSBP cDNA and 5′ genomic region. Comparison of the human and rabbit OSBP sequences revealed a remarkably high degree of conservation. The cDNA sequence in the coding region showed 94% identity between the two species, and the predicted amino acid sequence showed 98% identity. The human cDNA was used to determine the chromosomal localization of the OSBP gene by Southern blot hybridization to panels of somatic cell hybrid clones containing subsets of human or mouse chromosomes and by RFLP analysis of recombinant inbred mouse strains. The OSBP locus mapped to the long arm of human chromosome 11 and the proximal end of mouse chromosome 19. Along with previously mapped genes including Ly-1 and CD20, OSBP defines a new conserved syntenic group on the long arm of chromosome 11 in the human and the proximal end of chromosome 19 in the mouse. © 1990.","author":[{"dropping-particle":"","family":"Levanon","given":"Ditsa","non-dropping-particle":"","parse-names":false,"suffix":""},{"dropping-particle":"","family":"Hsieh","given":"Chih Lin","non-dropping-particle":"","parse-names":false,"suffix":""},{"dropping-particle":"","family":"Francke","given":"Uta","non-dropping-particle":"","parse-names":false,"suffix":""},{"dropping-particle":"","family":"Dawson","given":"Paul A.","non-dropping-particle":"","parse-names":false,"suffix":""},{"dropping-particle":"","family":"Ridgway","given":"Neale D.","non-dropping-particle":"","parse-names":false,"suffix":""},{"dropping-particle":"","family":"Brown","given":"Michael S.","non-dropping-particle":"","parse-names":false,"suffix":""},{"dropping-particle":"","family":"Goldstein","given":"Joseph L.","non-dropping-particle":"","parse-names":false,"suffix":""}],"container-title":"Genomics","id":"ITEM-2","issue":"1","issued":{"date-parts":[["1990"]]},"page":"65-74","title":"cDNA cloning of human oxysterol-binding protein and localization of the gene to human chromosome 11 and mouse chromosome 19","type":"article-journal","volume":"7"},"uris":["http://www.mendeley.com/documents/?uuid=c600024b-c2a1-479e-9548-775bfc9a0ec8"]}],"mendeley":{"formattedCitation":"(10, 30)","plainTextFormattedCitation":"(10, 30)","previouslyFormattedCitation":"(10, 30)"},"properties":{"noteIndex":0},"schema":"https://github.com/citation-style-language/schema/raw/master/csl-citation.json"}</w:instrText>
      </w:r>
      <w:r w:rsidR="00CE1968">
        <w:rPr>
          <w:szCs w:val="28"/>
        </w:rPr>
        <w:fldChar w:fldCharType="separate"/>
      </w:r>
      <w:r w:rsidR="00CE1968" w:rsidRPr="00CE1968">
        <w:rPr>
          <w:noProof/>
          <w:szCs w:val="28"/>
        </w:rPr>
        <w:t>(10, 30)</w:t>
      </w:r>
      <w:r w:rsidR="00CE1968">
        <w:rPr>
          <w:szCs w:val="28"/>
        </w:rPr>
        <w:fldChar w:fldCharType="end"/>
      </w:r>
      <w:r w:rsidR="00DE076B">
        <w:rPr>
          <w:szCs w:val="28"/>
        </w:rPr>
        <w:t>. In the early 2000s, OSBP was recognized as being a member of a conserved protein family present in all eukaryotic cells</w:t>
      </w:r>
      <w:r w:rsidR="00CE1968">
        <w:rPr>
          <w:szCs w:val="28"/>
        </w:rPr>
        <w:fldChar w:fldCharType="begin" w:fldLock="1"/>
      </w:r>
      <w:r w:rsidR="00046011">
        <w:rPr>
          <w:szCs w:val="28"/>
        </w:rPr>
        <w:instrText>ADDIN CSL_CITATION {"citationItems":[{"id":"ITEM-1","itemData":{"DOI":"10.1006/geno.2001.6663","ISSN":"0888-7543","PMID":"11735225","abstract":"Oxysterol-binding proteins (OSBPs) have been described in a wide range of eukaryotes, and are often found to be part of a multi-gene family. We have used bioinformatics and data mining as a starting point for identifying new family members in humans based on the presence of the OSBP signature EQVSHHPP. In addition to OSBP and the recently reported OSBP2, we have found 10 other genes encoding oxysterol-binding domains. Here, we report cDNA and deduced peptide sequences of the previously unknown OSBPs and compare the peptides and genes. All of the genes encode a pleckstrin homology domain, except OSBPL2. However, two of the peptides, OSBPL2 and OSBPL1A, consist of the OSBP domain only. A second OSBPL1 transcript (OSBPL1B) contains 15 additional upstream exons, with a deduced peptide containing a pleckstrin homology domain. Cladistic analysis divides the human OSBP genes into five groups, whose members share similarities in sequence and gene structure; RT-PCR analysis indicates that expression patterns among group members vary widely.","author":[{"dropping-particle":"","family":"Jaworski","given":"C J","non-dropping-particle":"","parse-names":false,"suffix":""},{"dropping-particle":"","family":"Moreira","given":"E","non-dropping-particle":"","parse-names":false,"suffix":""},{"dropping-particle":"","family":"Li","given":"A","non-dropping-particle":"","parse-names":false,"suffix":""},{"dropping-particle":"","family":"Lee","given":"R","non-dropping-particle":"","parse-names":false,"suffix":""},{"dropping-particle":"","family":"Rodriguez","given":"I R","non-dropping-particle":"","parse-names":false,"suffix":""}],"container-title":"Genomics","id":"ITEM-1","issue":"3","issued":{"date-parts":[["2001"]]},"page":"185-196","title":"A family of 12 human genes containing oxysterol-binding domains.","type":"article-journal","volume":"78"},"uris":["http://www.mendeley.com/documents/?uuid=c3e85f91-30b7-40a1-9306-3ae3628b347f"]},{"id":"ITEM-2","itemData":{"DOI":"10.1161/ATVBAHA.107.144121","ISBN":"0022-2275","ISSN":"0022-2275","PMID":"10588946","abstract":"Oxysterol binding protein (OSBP) is a cytosolic protein that undergoes ligand-induced binding to the Golgi apparatus and has been implicated in the regulation of cellular cholesterol metabolism. In the yeast Saccharomyces cerevisiae an OSBP homologue is involved in membrane trafficking through the Golgi complex. Prompted by the multitude of OSBP-related genes in the yeast genome, we carried out a search for human expressed sequence tags (ESTs) displaying homology to the sterol-binding domain of OSBP. This revealed a minimum of six novel OSBP-related proteins, designated ORP-1 to ORP-6. ORP cDNA probes were generated by reverse transcription-PCR from human liver mRNA, and used for Northern blot analysis of human tissue transcript panels. This verified that each of them represents a different gene product and showed that they display distinct tissue-specific expression patterns. The ORP-1 and -2 mRNA expression levels were similar to or higher than that of OSBP while the ORP-3 to -6 mRNAs were detected at lower levels in specific tissues. The most abundantly expressed new gene, ORP-1, was transcribed at strikingly high levels in the cortical areas of human brain and displayed sterol-regulated expression in a cultured human neuroblastoma cell line. This indicates that ORP-1 may play an important role in maintaining the sterol balance in cells of the central nervous system. Together with OSBP, the identified gene products constitute a novel human protein family that may provide a link between organellar sterol status and membrane dynamics.","author":[{"dropping-particle":"","family":"Laitinen","given":"S","non-dropping-particle":"","parse-names":false,"suffix":""},{"dropping-particle":"","family":"Olkkonen","given":"Vesa M","non-dropping-particle":"","parse-names":false,"suffix":""},{"dropping-particle":"","family":"Ehnholm","given":"Christian","non-dropping-particle":"","parse-names":false,"suffix":""},{"dropping-particle":"","family":"Ikonen","given":"Elina","non-dropping-particle":"","parse-names":false,"suffix":""}],"container-title":"Journal of lipid research","id":"ITEM-2","issue":"12","issued":{"date-parts":[["1999"]]},"page":"2204-11","title":"Family of human oxysterol binding protein (OSBP) homologues. A novel member implicated in brain sterol metabolism.","type":"article-journal","volume":"40"},"uris":["http://www.mendeley.com/documents/?uuid=db730102-13d1-442c-a759-90382e463409"]}],"mendeley":{"formattedCitation":"(31, 32)","plainTextFormattedCitation":"(31, 32)","previouslyFormattedCitation":"(31, 32)"},"properties":{"noteIndex":0},"schema":"https://github.com/citation-style-language/schema/raw/master/csl-citation.json"}</w:instrText>
      </w:r>
      <w:r w:rsidR="00CE1968">
        <w:rPr>
          <w:szCs w:val="28"/>
        </w:rPr>
        <w:fldChar w:fldCharType="separate"/>
      </w:r>
      <w:r w:rsidR="00470B16" w:rsidRPr="00470B16">
        <w:rPr>
          <w:noProof/>
          <w:szCs w:val="28"/>
        </w:rPr>
        <w:t>(31, 32)</w:t>
      </w:r>
      <w:r w:rsidR="00CE1968">
        <w:rPr>
          <w:szCs w:val="28"/>
        </w:rPr>
        <w:fldChar w:fldCharType="end"/>
      </w:r>
      <w:r w:rsidR="00DE076B">
        <w:rPr>
          <w:szCs w:val="28"/>
        </w:rPr>
        <w:t>. The OSBP-related proteins (ORPs) were identified based on the shared presence of a C-terminus ligand binding domain (LBD)</w:t>
      </w:r>
      <w:r w:rsidR="00CE1968">
        <w:rPr>
          <w:szCs w:val="28"/>
        </w:rPr>
        <w:fldChar w:fldCharType="begin" w:fldLock="1"/>
      </w:r>
      <w:r w:rsidR="00470B16">
        <w:rPr>
          <w:szCs w:val="28"/>
        </w:rPr>
        <w:instrText>ADDIN CSL_CITATION {"citationItems":[{"id":"ITEM-1","itemData":{"DOI":"10.1006/geno.2001.6663","ISSN":"0888-7543","PMID":"11735225","abstract":"Oxysterol-binding proteins (OSBPs) have been described in a wide range of eukaryotes, and are often found to be part of a multi-gene family. We have used bioinformatics and data mining as a starting point for identifying new family members in humans based on the presence of the OSBP signature EQVSHHPP. In addition to OSBP and the recently reported OSBP2, we have found 10 other genes encoding oxysterol-binding domains. Here, we report cDNA and deduced peptide sequences of the previously unknown OSBPs and compare the peptides and genes. All of the genes encode a pleckstrin homology domain, except OSBPL2. However, two of the peptides, OSBPL2 and OSBPL1A, consist of the OSBP domain only. A second OSBPL1 transcript (OSBPL1B) contains 15 additional upstream exons, with a deduced peptide containing a pleckstrin homology domain. Cladistic analysis divides the human OSBP genes into five groups, whose members share similarities in sequence and gene structure; RT-PCR analysis indicates that expression patterns among group members vary widely.","author":[{"dropping-particle":"","family":"Jaworski","given":"C J","non-dropping-particle":"","parse-names":false,"suffix":""},{"dropping-particle":"","family":"Moreira","given":"E","non-dropping-particle":"","parse-names":false,"suffix":""},{"dropping-particle":"","family":"Li","given":"A","non-dropping-particle":"","parse-names":false,"suffix":""},{"dropping-particle":"","family":"Lee","given":"R","non-dropping-particle":"","parse-names":false,"suffix":""},{"dropping-particle":"","family":"Rodriguez","given":"I R","non-dropping-particle":"","parse-names":false,"suffix":""}],"container-title":"Genomics","id":"ITEM-1","issue":"3","issued":{"date-parts":[["2001"]]},"page":"185-196","title":"A family of 12 human genes containing oxysterol-binding domains.","type":"article-journal","volume":"78"},"uris":["http://www.mendeley.com/documents/?uuid=c3e85f91-30b7-40a1-9306-3ae3628b347f"]}],"mendeley":{"formattedCitation":"(31)","plainTextFormattedCitation":"(31)","previouslyFormattedCitation":"(31)"},"properties":{"noteIndex":0},"schema":"https://github.com/citation-style-language/schema/raw/master/csl-citation.json"}</w:instrText>
      </w:r>
      <w:r w:rsidR="00CE1968">
        <w:rPr>
          <w:szCs w:val="28"/>
        </w:rPr>
        <w:fldChar w:fldCharType="separate"/>
      </w:r>
      <w:r w:rsidR="00CE1968" w:rsidRPr="00CE1968">
        <w:rPr>
          <w:noProof/>
          <w:szCs w:val="28"/>
        </w:rPr>
        <w:t>(31)</w:t>
      </w:r>
      <w:r w:rsidR="00CE1968">
        <w:rPr>
          <w:szCs w:val="28"/>
        </w:rPr>
        <w:fldChar w:fldCharType="end"/>
      </w:r>
      <w:r w:rsidR="00DE076B">
        <w:rPr>
          <w:szCs w:val="28"/>
        </w:rPr>
        <w:t xml:space="preserve">. In addition to the LBD, OSBP also contains </w:t>
      </w:r>
      <w:r w:rsidR="00961548" w:rsidRPr="00B25249">
        <w:rPr>
          <w:szCs w:val="28"/>
        </w:rPr>
        <w:t>a PH domain located near the N-terminus that interacts with PI4P and ARF1 for trans-Golgi localization and a FFAT domain that interacts wi</w:t>
      </w:r>
      <w:r w:rsidR="00E227D7">
        <w:rPr>
          <w:szCs w:val="28"/>
        </w:rPr>
        <w:t>th VAPA on the ER membrane</w:t>
      </w:r>
      <w:r w:rsidR="00E227D7">
        <w:rPr>
          <w:szCs w:val="28"/>
        </w:rPr>
        <w:fldChar w:fldCharType="begin" w:fldLock="1"/>
      </w:r>
      <w:r w:rsidR="00046011">
        <w:rPr>
          <w:szCs w:val="28"/>
        </w:rPr>
        <w:instrText>ADDIN CSL_CITATION {"citationItems":[{"id":"ITEM-1","itemData":{"DOI":"10.1016/S0960-9822(02)00779-0","ISBN":"0960-9822","ISSN":"0960-9822","PMID":"12007412","abstract":"Phosphoinositides are required for the recruitment of many proteins to both the plasma membrane and the endosome; however, their role in protein targeting to other organelles is less clear. The pleckstrin homology {(PH)} domains of oxysterol binding protein {(OSBP)} and its relatives have been shown to bind to the Golgi apparatus in yeast and mammalian cells. Previous in vitro binding studies identified phosphatidylinositol {(PtdIns)} {(4)P} and {PtdIns(4,5)P(2)} as candidate ligands, but it is not known which is recognized in vivo and whether phosphoinositide specificity can account for Golgi-specific targeting.","author":[{"dropping-particle":"","family":"Levine","given":"Timothy P","non-dropping-particle":"","parse-names":false,"suffix":""},{"dropping-particle":"","family":"Munro","given":"Sean","non-dropping-particle":"","parse-names":false,"suffix":""}],"container-title":"Curr. Biol.","id":"ITEM-1","issue":"9","issued":{"date-parts":[["2002"]]},"page":"695-704","title":"Targeting of Golgi-specific pleckstrin homology domains involves both {PtdIns} 4-kinase-dependent and -independent components.","type":"article-journal","volume":"12"},"uris":["http://www.mendeley.com/documents/?uuid=16885508-a005-4814-9a25-dc96b69b7607"]},{"id":"ITEM-2","itemData":{"DOI":"10.1074/jbc.M201191200","ISBN":"0021-9258 (Print)\\r0021-9258 (Linking)","ISSN":"00219258","PMID":"12023275","abstract":"Oxysterol-binding protein (OSBP) is 1 of 12 related proteins implicated in the regulation of vesicle transport and sterol homeostasis. A yeast two-hybrid screen using full-length OSBP as bait was undertaken to identify partner proteins that would provide clues to the function of OSBP. This resulted in the cloning of vesicle-associated membrane protein-associated protein-A (VAP-A), a syntaxin-like protein implicated in endoplasmic reticulum (ER)/Golgi vesicle transport, and phospholipid regulation in mammalian cells and yeast, respectively. By using a combination of yeast two-hybrid, glutathione S-transferase pull-down and immunoprecipitation experiments, the VAP-A-binding region in OSBP was localized to amino acids 351-442. This region did not include the pleckstrin homology (PH) domain but overlapped with the N terminus of the oxysterol binding and OSBP homology domains. C- and N-terminal truncations or deletions of VAP prevented interaction with OSBP but did not affect VAP multimerization. Although the OSBP PH domain was not necessary for VAP-A binding in vitro, interaction with VAP-A was enhanced in cells by mutation of the conserved PH domain tryptophan (OSBP W174A) or deletion of the C-terminal half of the PH domain (OSBP Delta 132-182). OSBP W174A retained oxysterol binding activity, association with phospholipid vesicles via the PH domain, and localized with VAP in unusual ER-associated structures. At 40 degrees C, misfolded ts045-vesicular stomatitis virus G protein fused to green fluorescent protein was co-localized with VAP-A/OSBP W174A structures on the ER but was exported to the Golgi when folded normally at 32 degrees C. A fluorescent ceramide analogue also accumulated in these ER inclusions, and export to the Golgi was partially inhibited as indicated by decreased Golgi staining and a 30% reduction in sphingomyelin synthesis. These studies show that OSBP binding to the ER and Golgi apparatus is regulated by its PH domain and VAP interactions, and the complex is involved at a stage of protein and ceramide transport from the ER.","author":[{"dropping-particle":"","family":"Wyles","given":"Jessica P.","non-dropping-particle":"","parse-names":false,"suffix":""},{"dropping-particle":"","family":"McMaster","given":"Christopher R.","non-dropping-particle":"","parse-names":false,"suffix":""},{"dropping-particle":"","family":"Ridgway","given":"Neale D.","non-dropping-particle":"","parse-names":false,"suffix":""}],"container-title":"The Journal of biological chemistry","id":"ITEM-2","issue":"33","issued":{"date-parts":[["2002"]]},"page":"29908-29918","title":"Vesicle-associated membrane protein-associated protein-A (VAP-A) interacts with the oxysterol-binding protein to modify export from the endoplasmic reticulum.","type":"article-journal","volume":"277"},"uris":["http://www.mendeley.com/documents/?uuid=edc167c2-a866-4ed3-b5bd-138bd0ac1b5f"]}],"mendeley":{"formattedCitation":"(33, 34)","plainTextFormattedCitation":"(33, 34)","previouslyFormattedCitation":"(33, 34)"},"properties":{"noteIndex":0},"schema":"https://github.com/citation-style-language/schema/raw/master/csl-citation.json"}</w:instrText>
      </w:r>
      <w:r w:rsidR="00E227D7">
        <w:rPr>
          <w:szCs w:val="28"/>
        </w:rPr>
        <w:fldChar w:fldCharType="separate"/>
      </w:r>
      <w:r w:rsidR="00470B16" w:rsidRPr="00470B16">
        <w:rPr>
          <w:noProof/>
          <w:szCs w:val="28"/>
        </w:rPr>
        <w:t>(33, 34)</w:t>
      </w:r>
      <w:r w:rsidR="00E227D7">
        <w:rPr>
          <w:szCs w:val="28"/>
        </w:rPr>
        <w:fldChar w:fldCharType="end"/>
      </w:r>
      <w:r w:rsidR="00961548" w:rsidRPr="00B25249">
        <w:rPr>
          <w:szCs w:val="28"/>
        </w:rPr>
        <w:t>. It was shown that upon ligand binding, the mostly cytocyolic OSBP would shift localization to membrane contact sites (MCS) consistent wit</w:t>
      </w:r>
      <w:r w:rsidR="00E227D7">
        <w:rPr>
          <w:szCs w:val="28"/>
        </w:rPr>
        <w:t>h trans-Golgi and ER staining</w:t>
      </w:r>
      <w:r w:rsidR="00E227D7">
        <w:rPr>
          <w:szCs w:val="28"/>
        </w:rPr>
        <w:fldChar w:fldCharType="begin" w:fldLock="1"/>
      </w:r>
      <w:r w:rsidR="00DE076B">
        <w:rPr>
          <w:szCs w:val="28"/>
        </w:rPr>
        <w:instrText>ADDIN CSL_CITATION {"citationItems":[{"id":"ITEM-1","itemData":{"ISBN":"0021-9525 (Print)","ISSN":"0021-9525","PMID":"1730758","abstract":"A cDNA encoding a cytoplasmic oxysterol binding protein was expressed at high levels by transfection in animal cells. This protein binds oxysterols such as 25-hydroxycholesterol that regulate sterol metabolism by transcriptional and posttranscriptional effects. In the transfected cells, some of the oxysterol binding protein (OSBP) was distributed diffusely in the cytoplasm, and some was bound to small vesicles near the nucleus, as revealed by indirect immunofluorescence. Upon addition of 25-hydroxycholesterol, most of the OSBP became concentrated in large perinuclear structures that stained with lentil lectin, a protein that stains the Golgi apparatus. The structures that contained OSBP were disrupted by brefeldin A, confirming their identification as Golgi. A mutant OSBP lacking the COOH-terminal oxysterol binding domain localized to the Golgi spontaneously, suggesting that this domain normally occludes the domain that binds to the Golgi and that sterols relieve this occlusion. The previously noted potential leucine zipper sequence in OSBP was not required for Golgi localization, nor was it essential for homodimer formation. We conclude that OSBP is triggered to bind extrinsically to Golgi membranes when it binds oxysterols and speculate that this translocation may play a role in the transport, metabolism, or regulatory actions of oxysterols.","author":[{"dropping-particle":"","family":"Ridgway","given":"Neale D","non-dropping-particle":"","parse-names":false,"suffix":""},{"dropping-particle":"","family":"Dawson","given":"Paul a","non-dropping-particle":"","parse-names":false,"suffix":""},{"dropping-particle":"","family":"Ho","given":"Y K","non-dropping-particle":"","parse-names":false,"suffix":""},{"dropping-particle":"","family":"Brown","given":"Michael S","non-dropping-particle":"","parse-names":false,"suffix":""},{"dropping-particle":"","family":"Goldstein","given":"Joseph L","non-dropping-particle":"","parse-names":false,"suffix":""}],"container-title":"The Journal of cell biology","id":"ITEM-1","issue":"2","issued":{"date-parts":[["1992","1"]]},"page":"307-19","title":"Translocation of oxysterol binding protein to Golgi apparatus triggered by ligand binding.","type":"article-journal","volume":"116"},"uris":["http://www.mendeley.com/documents/?uuid=9dc1b3f6-f81f-489d-a3e9-0b110a43355f"]}],"mendeley":{"formattedCitation":"(11)","plainTextFormattedCitation":"(11)","previouslyFormattedCitation":"(11)"},"properties":{"noteIndex":0},"schema":"https://github.com/citation-style-language/schema/raw/master/csl-citation.json"}</w:instrText>
      </w:r>
      <w:r w:rsidR="00E227D7">
        <w:rPr>
          <w:szCs w:val="28"/>
        </w:rPr>
        <w:fldChar w:fldCharType="separate"/>
      </w:r>
      <w:r w:rsidR="00423910" w:rsidRPr="00423910">
        <w:rPr>
          <w:noProof/>
          <w:szCs w:val="28"/>
        </w:rPr>
        <w:t>(11)</w:t>
      </w:r>
      <w:r w:rsidR="00E227D7">
        <w:rPr>
          <w:szCs w:val="28"/>
        </w:rPr>
        <w:fldChar w:fldCharType="end"/>
      </w:r>
      <w:r w:rsidR="00961548" w:rsidRPr="00B25249">
        <w:rPr>
          <w:szCs w:val="28"/>
        </w:rPr>
        <w:t>.</w:t>
      </w:r>
    </w:p>
    <w:p w:rsidR="0015171B" w:rsidRDefault="00961548" w:rsidP="00FB099D">
      <w:pPr>
        <w:ind w:firstLine="720"/>
        <w:jc w:val="both"/>
        <w:rPr>
          <w:szCs w:val="28"/>
        </w:rPr>
      </w:pPr>
      <w:r w:rsidRPr="00B25249">
        <w:rPr>
          <w:szCs w:val="28"/>
        </w:rPr>
        <w:t xml:space="preserve">Multiple </w:t>
      </w:r>
      <w:r w:rsidRPr="00E307B9">
        <w:rPr>
          <w:i/>
          <w:szCs w:val="28"/>
        </w:rPr>
        <w:t>in vitro</w:t>
      </w:r>
      <w:r w:rsidRPr="00B25249">
        <w:rPr>
          <w:szCs w:val="28"/>
        </w:rPr>
        <w:t xml:space="preserve"> assays have shown the ability of OSBP to tether between the ER and Golgi membranes to counter transport cholesterol and PI4P</w:t>
      </w:r>
      <w:r w:rsidR="00E227D7">
        <w:rPr>
          <w:szCs w:val="28"/>
        </w:rPr>
        <w:fldChar w:fldCharType="begin" w:fldLock="1"/>
      </w:r>
      <w:r w:rsidR="00046011">
        <w:rPr>
          <w:szCs w:val="28"/>
        </w:rPr>
        <w:instrText>ADDIN CSL_CITATION {"citationItems":[{"id":"ITEM-1","itemData":{"DOI":"10.1016/j.cell.2013.09.056","ISBN":"1097-4172 (Electronic)$\\$r0092-8674 (Linking)","ISSN":"00928674","PMID":"24209621","abstract":"Summary Several proteins at endoplasmic reticulum (ER)-Golgi membrane contact sites contain a PH domain that interacts with the Golgi phosphoinositide PI(4)P, a FFAT motif that interacts with the ER protein VAP-A, and a lipid transfer domain. This architecture suggests the ability to both tether organelles and transport lipids between them. We show that in oxysterol binding protein (OSBP) these two activities are coupled by a four-step cycle. Membrane tethering by the PH domain and the FFAT motif enables sterol transfer by the lipid transfer domain (ORD), followed by back transfer of PI(4)P by the ORD. Finally, PI(4)P is hydrolyzed in cis by the ER protein Sac1. The energy provided by PI(4)P hydrolysis drives sterol transfer and allows negative feedback when PI(4)P becomes limiting. Other lipid transfer proteins are tethered by the same mechanism. Thus, OSBP-mediated back transfer of PI(4)P might coordinate the transfer of other lipid species at the ER-Golgi interface. {©} 2013 Elsevier Inc.","author":[{"dropping-particle":"","family":"Mesmin","given":"Bruno","non-dropping-particle":"","parse-names":false,"suffix":""},{"dropping-particle":"","family":"Bigay","given":"Joëlle","non-dropping-particle":"","parse-names":false,"suffix":""},{"dropping-particle":"","family":"Moser Von Filseck","given":"Joachim","non-dropping-particle":"","parse-names":false,"suffix":""},{"dropping-particle":"","family":"Lacas-Gervais","given":"Sandra","non-dropping-particle":"","parse-names":false,"suffix":""},{"dropping-particle":"","family":"Drin","given":"Guillaume","non-dropping-particle":"","parse-names":false,"suffix":""},{"dropping-particle":"","family":"Antonny","given":"Bruno","non-dropping-particle":"","parse-names":false,"suffix":""}],"container-title":"Cell","id":"ITEM-1","issue":"4","issued":{"date-parts":[["2013"]]},"title":"A four-step cycle driven by PI(4)P hydrolysis directs sterol/PI(4)P exchange by the ER-Golgi Tether OSBP","type":"article-journal","volume":"155"},"uris":["http://www.mendeley.com/documents/?uuid=1f022887-7488-4e31-acec-03e43f3244ee"]},{"id":"ITEM-2","itemData":{"DOI":"10.15252/embj.201796687","ISSN":"0261-4189","PMID":"28978670","abstract":"The network of proteins that orchestrate the distribution of cholesterol among cellular organelles is not fully characterized. We previously proposed that oxysterol-binding protein (OSBP) drives cholesterol/PI4P exchange at contact sites between the endoplas-mic reticulum (ER) and the trans-Golgi network (TGN). Using the inhibitor OSW-1, we report here that the sole activity of endoge-nous OSBP makes a major contribution to cholesterol distribution, lipid order, and PI4P turnover in living cells. Blocking OSBP causes accumulation of sterols at ER/lipid droplets at the expense of TGN, thereby reducing the gradient of lipid order along the secretory pathway. OSBP consumes about half of the total cellular pool of PI4P, a consumption that depends on the amount of cholesterol to be transported. Inhibiting the spatially restricted PI4-kinase PI4KIIIb triggers large periodic traveling waves of PI4P across the TGN. These waves are cadenced by long-range PI4P production by PI4KIIa and PI4P consumption by OSBP. Collectively, these data indicate a massive spatiotemporal coupling between cholesterol transport and PI4P turnover via OSBP and PI4-kinases to control the lipid composition of subcellular membranes.","author":[{"dropping-particle":"","family":"Mesmin","given":"Bruno","non-dropping-particle":"","parse-names":false,"suffix":""},{"dropping-particle":"","family":"Bigay","given":"Joëlle","non-dropping-particle":"","parse-names":false,"suffix":""},{"dropping-particle":"","family":"Polidori","given":"Joël","non-dropping-particle":"","parse-names":false,"suffix":""},{"dropping-particle":"","family":"Jamecna","given":"Denisa","non-dropping-particle":"","parse-names":false,"suffix":""},{"dropping-particle":"","family":"Lacas‐Gervais","given":"Sandra","non-dropping-particle":"","parse-names":false,"suffix":""},{"dropping-particle":"","family":"Antonny","given":"Bruno","non-dropping-particle":"","parse-names":false,"suffix":""}],"container-title":"The EMBO Journal","id":"ITEM-2","issue":"21","issued":{"date-parts":[["2017"]]},"page":"e201796687","title":"Sterol transfer, PI4P consumption, and control of membrane lipid order by endogenous OSBP","type":"article-journal","volume":"36"},"uris":["http://www.mendeley.com/documents/?uuid=30aea0bb-1cad-43ea-9e50-5dbf30cc77be"]}],"mendeley":{"formattedCitation":"(35, 36)","plainTextFormattedCitation":"(35, 36)","previouslyFormattedCitation":"(35, 36)"},"properties":{"noteIndex":0},"schema":"https://github.com/citation-style-language/schema/raw/master/csl-citation.json"}</w:instrText>
      </w:r>
      <w:r w:rsidR="00E227D7">
        <w:rPr>
          <w:szCs w:val="28"/>
        </w:rPr>
        <w:fldChar w:fldCharType="separate"/>
      </w:r>
      <w:r w:rsidR="00470B16" w:rsidRPr="00470B16">
        <w:rPr>
          <w:noProof/>
          <w:szCs w:val="28"/>
        </w:rPr>
        <w:t>(35, 36)</w:t>
      </w:r>
      <w:r w:rsidR="00E227D7">
        <w:rPr>
          <w:szCs w:val="28"/>
        </w:rPr>
        <w:fldChar w:fldCharType="end"/>
      </w:r>
      <w:r w:rsidR="006F57EF">
        <w:rPr>
          <w:szCs w:val="28"/>
        </w:rPr>
        <w:t xml:space="preserve"> (</w:t>
      </w:r>
      <w:r w:rsidR="00E921DB" w:rsidRPr="00E921DB">
        <w:rPr>
          <w:b/>
          <w:szCs w:val="28"/>
        </w:rPr>
        <w:fldChar w:fldCharType="begin"/>
      </w:r>
      <w:r w:rsidR="00E921DB" w:rsidRPr="00E921DB">
        <w:rPr>
          <w:b/>
          <w:szCs w:val="28"/>
        </w:rPr>
        <w:instrText xml:space="preserve"> REF _Ref530507993 \h </w:instrText>
      </w:r>
      <w:r w:rsidR="00E921DB">
        <w:rPr>
          <w:b/>
          <w:szCs w:val="28"/>
        </w:rPr>
        <w:instrText xml:space="preserve"> \* MERGEFORMAT </w:instrText>
      </w:r>
      <w:r w:rsidR="00E921DB" w:rsidRPr="00E921DB">
        <w:rPr>
          <w:b/>
          <w:szCs w:val="28"/>
        </w:rPr>
      </w:r>
      <w:r w:rsidR="00E921DB" w:rsidRPr="00E921DB">
        <w:rPr>
          <w:b/>
          <w:szCs w:val="28"/>
        </w:rPr>
        <w:fldChar w:fldCharType="separate"/>
      </w:r>
      <w:r w:rsidR="00E2070A" w:rsidRPr="00E2070A">
        <w:rPr>
          <w:b/>
        </w:rPr>
        <w:t xml:space="preserve">Figure </w:t>
      </w:r>
      <w:r w:rsidR="00E2070A" w:rsidRPr="00E2070A">
        <w:rPr>
          <w:b/>
          <w:noProof/>
        </w:rPr>
        <w:t>5</w:t>
      </w:r>
      <w:r w:rsidR="00E921DB" w:rsidRPr="00E921DB">
        <w:rPr>
          <w:b/>
          <w:szCs w:val="28"/>
        </w:rPr>
        <w:fldChar w:fldCharType="end"/>
      </w:r>
      <w:r w:rsidR="006F57EF">
        <w:rPr>
          <w:szCs w:val="28"/>
        </w:rPr>
        <w:t>)</w:t>
      </w:r>
      <w:r w:rsidRPr="00B25249">
        <w:rPr>
          <w:szCs w:val="28"/>
        </w:rPr>
        <w:t>. Use of a high affinity ligand of OSBP, 25-hydroxycholsterol, has also been shown to stop the counter transport and lead to aggregation of OSBP tethered particles, further confirming the abi</w:t>
      </w:r>
      <w:r w:rsidR="00E227D7">
        <w:rPr>
          <w:szCs w:val="28"/>
        </w:rPr>
        <w:t>lity of OSBP to bind to MCSs</w:t>
      </w:r>
      <w:r w:rsidR="00E227D7">
        <w:rPr>
          <w:szCs w:val="28"/>
        </w:rPr>
        <w:fldChar w:fldCharType="begin" w:fldLock="1"/>
      </w:r>
      <w:r w:rsidR="00046011">
        <w:rPr>
          <w:szCs w:val="28"/>
        </w:rPr>
        <w:instrText>ADDIN CSL_CITATION {"citationItems":[{"id":"ITEM-1","itemData":{"DOI":"10.1016/j.cell.2013.09.056","ISBN":"1097-4172 (Electronic)$\\$r0092-8674 (Linking)","ISSN":"00928674","PMID":"24209621","abstract":"Summary Several proteins at endoplasmic reticulum (ER)-Golgi membrane contact sites contain a PH domain that interacts with the Golgi phosphoinositide PI(4)P, a FFAT motif that interacts with the ER protein VAP-A, and a lipid transfer domain. This architecture suggests the ability to both tether organelles and transport lipids between them. We show that in oxysterol binding protein (OSBP) these two activities are coupled by a four-step cycle. Membrane tethering by the PH domain and the FFAT motif enables sterol transfer by the lipid transfer domain (ORD), followed by back transfer of PI(4)P by the ORD. Finally, PI(4)P is hydrolyzed in cis by the ER protein Sac1. The energy provided by PI(4)P hydrolysis drives sterol transfer and allows negative feedback when PI(4)P becomes limiting. Other lipid transfer proteins are tethered by the same mechanism. Thus, OSBP-mediated back transfer of PI(4)P might coordinate the transfer of other lipid species at the ER-Golgi interface. {©} 2013 Elsevier Inc.","author":[{"dropping-particle":"","family":"Mesmin","given":"Bruno","non-dropping-particle":"","parse-names":false,"suffix":""},{"dropping-particle":"","family":"Bigay","given":"Joëlle","non-dropping-particle":"","parse-names":false,"suffix":""},{"dropping-particle":"","family":"Moser Von Filseck","given":"Joachim","non-dropping-particle":"","parse-names":false,"suffix":""},{"dropping-particle":"","family":"Lacas-Gervais","given":"Sandra","non-dropping-particle":"","parse-names":false,"suffix":""},{"dropping-particle":"","family":"Drin","given":"Guillaume","non-dropping-particle":"","parse-names":false,"suffix":""},{"dropping-particle":"","family":"Antonny","given":"Bruno","non-dropping-particle":"","parse-names":false,"suffix":""}],"container-title":"Cell","id":"ITEM-1","issue":"4","issued":{"date-parts":[["2013"]]},"title":"A four-step cycle driven by PI(4)P hydrolysis directs sterol/PI(4)P exchange by the ER-Golgi Tether OSBP","type":"article-journal","volume":"155"},"uris":["http://www.mendeley.com/documents/?uuid=1f022887-7488-4e31-acec-03e43f3244ee"]}],"mendeley":{"formattedCitation":"(35)","plainTextFormattedCitation":"(35)","previouslyFormattedCitation":"(35)"},"properties":{"noteIndex":0},"schema":"https://github.com/citation-style-language/schema/raw/master/csl-citation.json"}</w:instrText>
      </w:r>
      <w:r w:rsidR="00E227D7">
        <w:rPr>
          <w:szCs w:val="28"/>
        </w:rPr>
        <w:fldChar w:fldCharType="separate"/>
      </w:r>
      <w:r w:rsidR="00470B16" w:rsidRPr="00470B16">
        <w:rPr>
          <w:noProof/>
          <w:szCs w:val="28"/>
        </w:rPr>
        <w:t>(35)</w:t>
      </w:r>
      <w:r w:rsidR="00E227D7">
        <w:rPr>
          <w:szCs w:val="28"/>
        </w:rPr>
        <w:fldChar w:fldCharType="end"/>
      </w:r>
      <w:r w:rsidRPr="00B25249">
        <w:rPr>
          <w:szCs w:val="28"/>
        </w:rPr>
        <w:t xml:space="preserve">. Through these </w:t>
      </w:r>
      <w:r w:rsidRPr="00E307B9">
        <w:rPr>
          <w:i/>
          <w:szCs w:val="28"/>
        </w:rPr>
        <w:t>in vitro</w:t>
      </w:r>
      <w:r w:rsidRPr="00B25249">
        <w:rPr>
          <w:szCs w:val="28"/>
        </w:rPr>
        <w:t xml:space="preserve"> assays it was suggested that OSBP uses PI4P as a fuel source due to SAC1 hydrolysis of PI4P on the ER membrane, keeping the c</w:t>
      </w:r>
      <w:r w:rsidR="00E227D7">
        <w:rPr>
          <w:szCs w:val="28"/>
        </w:rPr>
        <w:t>oncentration gradient intact</w:t>
      </w:r>
      <w:r w:rsidR="00E227D7">
        <w:rPr>
          <w:szCs w:val="28"/>
        </w:rPr>
        <w:fldChar w:fldCharType="begin" w:fldLock="1"/>
      </w:r>
      <w:r w:rsidR="00046011">
        <w:rPr>
          <w:szCs w:val="28"/>
        </w:rPr>
        <w:instrText>ADDIN CSL_CITATION {"citationItems":[{"id":"ITEM-1","itemData":{"DOI":"10.1016/j.cell.2013.09.056","ISBN":"1097-4172 (Electronic)$\\$r0092-8674 (Linking)","ISSN":"00928674","PMID":"24209621","abstract":"Summary Several proteins at endoplasmic reticulum (ER)-Golgi membrane contact sites contain a PH domain that interacts with the Golgi phosphoinositide PI(4)P, a FFAT motif that interacts with the ER protein VAP-A, and a lipid transfer domain. This architecture suggests the ability to both tether organelles and transport lipids between them. We show that in oxysterol binding protein (OSBP) these two activities are coupled by a four-step cycle. Membrane tethering by the PH domain and the FFAT motif enables sterol transfer by the lipid transfer domain (ORD), followed by back transfer of PI(4)P by the ORD. Finally, PI(4)P is hydrolyzed in cis by the ER protein Sac1. The energy provided by PI(4)P hydrolysis drives sterol transfer and allows negative feedback when PI(4)P becomes limiting. Other lipid transfer proteins are tethered by the same mechanism. Thus, OSBP-mediated back transfer of PI(4)P might coordinate the transfer of other lipid species at the ER-Golgi interface. {©} 2013 Elsevier Inc.","author":[{"dropping-particle":"","family":"Mesmin","given":"Bruno","non-dropping-particle":"","parse-names":false,"suffix":""},{"dropping-particle":"","family":"Bigay","given":"Joëlle","non-dropping-particle":"","parse-names":false,"suffix":""},{"dropping-particle":"","family":"Moser Von Filseck","given":"Joachim","non-dropping-particle":"","parse-names":false,"suffix":""},{"dropping-particle":"","family":"Lacas-Gervais","given":"Sandra","non-dropping-particle":"","parse-names":false,"suffix":""},{"dropping-particle":"","family":"Drin","given":"Guillaume","non-dropping-particle":"","parse-names":false,"suffix":""},{"dropping-particle":"","family":"Antonny","given":"Bruno","non-dropping-particle":"","parse-names":false,"suffix":""}],"container-title":"Cell","id":"ITEM-1","issue":"4","issued":{"date-parts":[["2013"]]},"title":"A four-step cycle driven by PI(4)P hydrolysis directs sterol/PI(4)P exchange by the ER-Golgi Tether OSBP","type":"article-journal","volume":"155"},"uris":["http://www.mendeley.com/documents/?uuid=1f022887-7488-4e31-acec-03e43f3244ee"]}],"mendeley":{"formattedCitation":"(35)","plainTextFormattedCitation":"(35)","previouslyFormattedCitation":"(35)"},"properties":{"noteIndex":0},"schema":"https://github.com/citation-style-language/schema/raw/master/csl-citation.json"}</w:instrText>
      </w:r>
      <w:r w:rsidR="00E227D7">
        <w:rPr>
          <w:szCs w:val="28"/>
        </w:rPr>
        <w:fldChar w:fldCharType="separate"/>
      </w:r>
      <w:r w:rsidR="00470B16" w:rsidRPr="00470B16">
        <w:rPr>
          <w:noProof/>
          <w:szCs w:val="28"/>
        </w:rPr>
        <w:t>(35)</w:t>
      </w:r>
      <w:r w:rsidR="00E227D7">
        <w:rPr>
          <w:szCs w:val="28"/>
        </w:rPr>
        <w:fldChar w:fldCharType="end"/>
      </w:r>
      <w:r w:rsidRPr="00B25249">
        <w:rPr>
          <w:szCs w:val="28"/>
        </w:rPr>
        <w:t xml:space="preserve">. </w:t>
      </w:r>
      <w:r w:rsidR="00E307B9">
        <w:rPr>
          <w:szCs w:val="28"/>
        </w:rPr>
        <w:t>Further studies in cells suggest</w:t>
      </w:r>
      <w:r w:rsidRPr="00B25249">
        <w:rPr>
          <w:szCs w:val="28"/>
        </w:rPr>
        <w:t xml:space="preserve"> that the major role of OSBP in cells is to c</w:t>
      </w:r>
      <w:r w:rsidR="00E227D7">
        <w:rPr>
          <w:szCs w:val="28"/>
        </w:rPr>
        <w:t>ontrol cholesterol transport</w:t>
      </w:r>
      <w:r w:rsidR="00046011">
        <w:rPr>
          <w:szCs w:val="28"/>
        </w:rPr>
        <w:t xml:space="preserve"> through interacting with the kinase </w:t>
      </w:r>
      <w:r w:rsidR="00046011" w:rsidRPr="00B25249">
        <w:rPr>
          <w:szCs w:val="28"/>
        </w:rPr>
        <w:t>PI4KIIIβ</w:t>
      </w:r>
      <w:r w:rsidR="00E227D7">
        <w:rPr>
          <w:szCs w:val="28"/>
        </w:rPr>
        <w:fldChar w:fldCharType="begin" w:fldLock="1"/>
      </w:r>
      <w:r w:rsidR="00046011">
        <w:rPr>
          <w:szCs w:val="28"/>
        </w:rPr>
        <w:instrText>ADDIN CSL_CITATION {"citationItems":[{"id":"ITEM-1","itemData":{"DOI":"10.15252/embj.201796687","ISSN":"0261-4189","PMID":"28978670","abstract":"The network of proteins that orchestrate the distribution of cholesterol among cellular organelles is not fully characterized. We previously proposed that oxysterol-binding protein (OSBP) drives cholesterol/PI4P exchange at contact sites between the endoplas-mic reticulum (ER) and the trans-Golgi network (TGN). Using the inhibitor OSW-1, we report here that the sole activity of endoge-nous OSBP makes a major contribution to cholesterol distribution, lipid order, and PI4P turnover in living cells. Blocking OSBP causes accumulation of sterols at ER/lipid droplets at the expense of TGN, thereby reducing the gradient of lipid order along the secretory pathway. OSBP consumes about half of the total cellular pool of PI4P, a consumption that depends on the amount of cholesterol to be transported. Inhibiting the spatially restricted PI4-kinase PI4KIIIb triggers large periodic traveling waves of PI4P across the TGN. These waves are cadenced by long-range PI4P production by PI4KIIa and PI4P consumption by OSBP. Collectively, these data indicate a massive spatiotemporal coupling between cholesterol transport and PI4P turnover via OSBP and PI4-kinases to control the lipid composition of subcellular membranes.","author":[{"dropping-particle":"","family":"Mesmin","given":"Bruno","non-dropping-particle":"","parse-names":false,"suffix":""},{"dropping-particle":"","family":"Bigay","given":"Joëlle","non-dropping-particle":"","parse-names":false,"suffix":""},{"dropping-particle":"","family":"Polidori","given":"Joël","non-dropping-particle":"","parse-names":false,"suffix":""},{"dropping-particle":"","family":"Jamecna","given":"Denisa","non-dropping-particle":"","parse-names":false,"suffix":""},{"dropping-particle":"","family":"Lacas‐Gervais","given":"Sandra","non-dropping-particle":"","parse-names":false,"suffix":""},{"dropping-particle":"","family":"Antonny","given":"Bruno","non-dropping-particle":"","parse-names":false,"suffix":""}],"container-title":"The EMBO Journal","id":"ITEM-1","issue":"21","issued":{"date-parts":[["2017"]]},"page":"e201796687","title":"Sterol transfer, PI4P consumption, and control of membrane lipid order by endogenous OSBP","type":"article-journal","volume":"36"},"uris":["http://www.mendeley.com/documents/?uuid=30aea0bb-1cad-43ea-9e50-5dbf30cc77be"]}],"mendeley":{"formattedCitation":"(36)","plainTextFormattedCitation":"(36)","previouslyFormattedCitation":"(36)"},"properties":{"noteIndex":0},"schema":"https://github.com/citation-style-language/schema/raw/master/csl-citation.json"}</w:instrText>
      </w:r>
      <w:r w:rsidR="00E227D7">
        <w:rPr>
          <w:szCs w:val="28"/>
        </w:rPr>
        <w:fldChar w:fldCharType="separate"/>
      </w:r>
      <w:r w:rsidR="00470B16" w:rsidRPr="00470B16">
        <w:rPr>
          <w:noProof/>
          <w:szCs w:val="28"/>
        </w:rPr>
        <w:t>(36)</w:t>
      </w:r>
      <w:r w:rsidR="00E227D7">
        <w:rPr>
          <w:szCs w:val="28"/>
        </w:rPr>
        <w:fldChar w:fldCharType="end"/>
      </w:r>
      <w:r w:rsidRPr="00B25249">
        <w:rPr>
          <w:szCs w:val="28"/>
        </w:rPr>
        <w:t xml:space="preserve">. This </w:t>
      </w:r>
      <w:r w:rsidR="00046011">
        <w:rPr>
          <w:szCs w:val="28"/>
        </w:rPr>
        <w:t>kinase</w:t>
      </w:r>
      <w:r w:rsidRPr="00B25249">
        <w:rPr>
          <w:szCs w:val="28"/>
        </w:rPr>
        <w:t xml:space="preserve">, which is responsible for making PI4P, and </w:t>
      </w:r>
      <w:r w:rsidR="00046011">
        <w:rPr>
          <w:szCs w:val="28"/>
        </w:rPr>
        <w:t>thereby OSBP can consume</w:t>
      </w:r>
      <w:r w:rsidRPr="00B25249">
        <w:rPr>
          <w:szCs w:val="28"/>
        </w:rPr>
        <w:t xml:space="preserve"> </w:t>
      </w:r>
      <w:r w:rsidR="00046011">
        <w:rPr>
          <w:szCs w:val="28"/>
        </w:rPr>
        <w:t>large</w:t>
      </w:r>
      <w:r w:rsidRPr="00B25249">
        <w:rPr>
          <w:szCs w:val="28"/>
        </w:rPr>
        <w:t xml:space="preserve"> quantities of PI4P in order to transport cholesterol to </w:t>
      </w:r>
      <w:r w:rsidR="00046011">
        <w:rPr>
          <w:szCs w:val="28"/>
        </w:rPr>
        <w:t>regulate</w:t>
      </w:r>
      <w:r w:rsidRPr="00B25249">
        <w:rPr>
          <w:szCs w:val="28"/>
        </w:rPr>
        <w:t xml:space="preserve"> the lipid compositions o</w:t>
      </w:r>
      <w:r w:rsidR="00E227D7">
        <w:rPr>
          <w:szCs w:val="28"/>
        </w:rPr>
        <w:t>f various cellular membranes</w:t>
      </w:r>
      <w:r w:rsidR="00E227D7">
        <w:rPr>
          <w:szCs w:val="28"/>
        </w:rPr>
        <w:fldChar w:fldCharType="begin" w:fldLock="1"/>
      </w:r>
      <w:r w:rsidR="00046011">
        <w:rPr>
          <w:szCs w:val="28"/>
        </w:rPr>
        <w:instrText>ADDIN CSL_CITATION {"citationItems":[{"id":"ITEM-1","itemData":{"DOI":"10.15252/embj.201796687","ISSN":"0261-4189","PMID":"28978670","abstract":"The network of proteins that orchestrate the distribution of cholesterol among cellular organelles is not fully characterized. We previously proposed that oxysterol-binding protein (OSBP) drives cholesterol/PI4P exchange at contact sites between the endoplas-mic reticulum (ER) and the trans-Golgi network (TGN). Using the inhibitor OSW-1, we report here that the sole activity of endoge-nous OSBP makes a major contribution to cholesterol distribution, lipid order, and PI4P turnover in living cells. Blocking OSBP causes accumulation of sterols at ER/lipid droplets at the expense of TGN, thereby reducing the gradient of lipid order along the secretory pathway. OSBP consumes about half of the total cellular pool of PI4P, a consumption that depends on the amount of cholesterol to be transported. Inhibiting the spatially restricted PI4-kinase PI4KIIIb triggers large periodic traveling waves of PI4P across the TGN. These waves are cadenced by long-range PI4P production by PI4KIIa and PI4P consumption by OSBP. Collectively, these data indicate a massive spatiotemporal coupling between cholesterol transport and PI4P turnover via OSBP and PI4-kinases to control the lipid composition of subcellular membranes.","author":[{"dropping-particle":"","family":"Mesmin","given":"Bruno","non-dropping-particle":"","parse-names":false,"suffix":""},{"dropping-particle":"","family":"Bigay","given":"Joëlle","non-dropping-particle":"","parse-names":false,"suffix":""},{"dropping-particle":"","family":"Polidori","given":"Joël","non-dropping-particle":"","parse-names":false,"suffix":""},{"dropping-particle":"","family":"Jamecna","given":"Denisa","non-dropping-particle":"","parse-names":false,"suffix":""},{"dropping-particle":"","family":"Lacas‐Gervais","given":"Sandra","non-dropping-particle":"","parse-names":false,"suffix":""},{"dropping-particle":"","family":"Antonny","given":"Bruno","non-dropping-particle":"","parse-names":false,"suffix":""}],"container-title":"The EMBO Journal","id":"ITEM-1","issue":"21","issued":{"date-parts":[["2017"]]},"page":"e201796687","title":"Sterol transfer, PI4P consumption, and control of membrane lipid order by endogenous OSBP","type":"article-journal","volume":"36"},"uris":["http://www.mendeley.com/documents/?uuid=30aea0bb-1cad-43ea-9e50-5dbf30cc77be"]}],"mendeley":{"formattedCitation":"(36)","plainTextFormattedCitation":"(36)","previouslyFormattedCitation":"(36)"},"properties":{"noteIndex":0},"schema":"https://github.com/citation-style-language/schema/raw/master/csl-citation.json"}</w:instrText>
      </w:r>
      <w:r w:rsidR="00E227D7">
        <w:rPr>
          <w:szCs w:val="28"/>
        </w:rPr>
        <w:fldChar w:fldCharType="separate"/>
      </w:r>
      <w:r w:rsidR="00470B16" w:rsidRPr="00470B16">
        <w:rPr>
          <w:noProof/>
          <w:szCs w:val="28"/>
        </w:rPr>
        <w:t>(36)</w:t>
      </w:r>
      <w:r w:rsidR="00E227D7">
        <w:rPr>
          <w:szCs w:val="28"/>
        </w:rPr>
        <w:fldChar w:fldCharType="end"/>
      </w:r>
      <w:r w:rsidRPr="00B25249">
        <w:rPr>
          <w:szCs w:val="28"/>
        </w:rPr>
        <w:t xml:space="preserve">. In </w:t>
      </w:r>
      <w:r w:rsidRPr="00B25249">
        <w:rPr>
          <w:szCs w:val="28"/>
        </w:rPr>
        <w:lastRenderedPageBreak/>
        <w:t>addition to its cholesterol transport ability, OSBP is also able to recruit CERT to the Golgi for ceramide transport and SM production</w:t>
      </w:r>
      <w:r w:rsidR="00046011">
        <w:rPr>
          <w:szCs w:val="28"/>
        </w:rPr>
        <w:fldChar w:fldCharType="begin" w:fldLock="1"/>
      </w:r>
      <w:r w:rsidR="00495F15">
        <w:rPr>
          <w:szCs w:val="28"/>
        </w:rPr>
        <w:instrText>ADDIN CSL_CITATION {"citationItems":[{"id":"ITEM-1","itemData":{"DOI":"10.1091/mbc.E10","ISBN":"1939-4586 (Electronic)$\\$r1059-1524 (Linking)","ISSN":"00219525","PMID":"20980618","abstract":"Protein kinase D (PKD) plays a critical role at the trans-Golgi network by regulating the fission of transport carriers destined for the plasma membrane. Two known Golgi-localized PKD substrates, PI4-kinase III ? and the ceramide transfer protein CERT, mediate PKD signaling to influence vesicle trafficking to the plasma membrane and sphingomy- elin synthesis, respectively. PKD is recruited and activated at the Golgi through interaction with diacylglycerol, a pool of which is generated as a by-product of sphingomyelin synthesis from ceramide. Here we identify a novel substrate of PKD at the Golgi, the oxysterol-binding protein OSBP. Using a substrate-directed phospho-specific antibody that recognizes the optimal PKD consensus motif, we show that PKD phosphorylates OSBP at Ser240 in vitro and in cells. We further show that OSBP phosphorylation occurs at the Golgi. Phosphorylation of OSBP by PKD does not modulate dimerization, sterol binding, or affinity for PI(4)P. Instead, phosphorylation attenuates OSBP Golgi localization in response to 25-hydroxycholesterol and cholesterol depletion, impairs CERT Golgi localization, and promotes Golgi fragmentation.","author":[{"dropping-particle":"","family":"Nhek S., Ngo M., Yang X., Ng M.M., Field J. S., Asara J.M., Ridgway N.D.","given":"","non-dropping-particle":"","parse-names":false,"suffix":""},{"dropping-particle":"","family":"A.","given":"Toker","non-dropping-particle":"","parse-names":false,"suffix":""}],"container-title":"Molecular Biology of the Cell","id":"ITEM-1","issued":{"date-parts":[["2010"]]},"page":"2327-2337","title":"Regulation of Oxysterol-binding Protein Golgi Localization through Protein Kinase D-mediated Phosphorylation","type":"article-journal","volume":"21"},"uris":["http://www.mendeley.com/documents/?uuid=e4e5d226-09ae-45be-9c13-dd5d48edb48a"]}],"mendeley":{"formattedCitation":"(37)","plainTextFormattedCitation":"(37)","previouslyFormattedCitation":"(37)"},"properties":{"noteIndex":0},"schema":"https://github.com/citation-style-language/schema/raw/master/csl-citation.json"}</w:instrText>
      </w:r>
      <w:r w:rsidR="00046011">
        <w:rPr>
          <w:szCs w:val="28"/>
        </w:rPr>
        <w:fldChar w:fldCharType="separate"/>
      </w:r>
      <w:r w:rsidR="00046011" w:rsidRPr="00046011">
        <w:rPr>
          <w:noProof/>
          <w:szCs w:val="28"/>
        </w:rPr>
        <w:t>(37)</w:t>
      </w:r>
      <w:r w:rsidR="00046011">
        <w:rPr>
          <w:szCs w:val="28"/>
        </w:rPr>
        <w:fldChar w:fldCharType="end"/>
      </w:r>
      <w:r w:rsidRPr="00B25249">
        <w:rPr>
          <w:szCs w:val="28"/>
        </w:rPr>
        <w:t>. This recruitment of CERT is presumably through OSBP’s association with ARF1 that leads to PI4KIIIβ stimulation of PI4P production, allowing inactive C</w:t>
      </w:r>
      <w:r w:rsidR="00E227D7">
        <w:rPr>
          <w:szCs w:val="28"/>
        </w:rPr>
        <w:t>ERT to localize to the Golgi</w:t>
      </w:r>
      <w:r w:rsidR="00E227D7">
        <w:rPr>
          <w:szCs w:val="28"/>
        </w:rPr>
        <w:fldChar w:fldCharType="begin" w:fldLock="1"/>
      </w:r>
      <w:r w:rsidR="00495F15">
        <w:rPr>
          <w:szCs w:val="28"/>
        </w:rPr>
        <w:instrText>ADDIN CSL_CITATION {"citationItems":[{"id":"ITEM-1","itemData":{"DOI":"10.1091/mbc.e06-01-0060","ISBN":"2242032313","ISSN":"1059-1524","PMID":"17538018","abstract":"Sphingomyelin (SM) and cholesterol are coregulated metabolically and associate physically in membrane microdomains involved in cargo sorting and signaling. One mechanism for regulation of this metabolic interface involves oxysterol binding protein (OSBP) via high-affinity binding to oxysterol regulators of cholesterol homeostasis and activation of SM synthesis at the Golgi apparatus. Here, we show that OSBP regulation of SM synthesis involves the endoplasmic reticulum (ER)-to-Golgi ceramide transport protein (CERT). RNA interference (RNAi) experiments in Chinese hamster ovary (CHO)-K1 cells revealed that OSBP and vesicle-associated membrane protein–associated protein (VAP) were required for stimulation of CERT-dependent ceramide transport and SM synthesis by 25-hydroxycholesterol and choles- terol depletion in response to cyclodextrin. Additional RNAi experiments in human embryonic kidney 293 cells supported OSBP involvement in oxysterol-activated SM synthesis and also revealed a role for OSBP in basal SM synthesis. Activation of ER-to-Golgi ceramide transport in CHO-K1 cells required interaction of OSBP with the ER and Golgi apparatus, OSBP-dependent Golgi translocation of CERT, and enhanced CERT–VAP interaction. Regulation of CERT by OSBP, sterols, and VAP reveals a novel mechanism for integrating sterol regulatory signals with ceramide transport and SM synthesis in the Golgi apparatus.","author":[{"dropping-particle":"","family":"Perry","given":"Ryan J.","non-dropping-particle":"","parse-names":false,"suffix":""},{"dropping-particle":"","family":"Ridgway","given":"Neale D.","non-dropping-particle":"","parse-names":false,"suffix":""}],"container-title":"Molecular Biology of the Cell","editor":[{"dropping-particle":"","family":"Munro","given":"Sean","non-dropping-particle":"","parse-names":false,"suffix":""}],"id":"ITEM-1","issue":"6","issued":{"date-parts":[["2006","6"]]},"page":"2604-2616","title":"Oxysterol-binding Protein and Vesicle-associated Membrane Protein–associated Protein Are Required for Sterol-dependent Activation of the Ceramide Transport Protein","type":"article-journal","volume":"17"},"uris":["http://www.mendeley.com/documents/?uuid=c33191e3-feae-4f12-b369-00f13a18827f"]}],"mendeley":{"formattedCitation":"(38)","plainTextFormattedCitation":"(38)","previouslyFormattedCitation":"(38)"},"properties":{"noteIndex":0},"schema":"https://github.com/citation-style-language/schema/raw/master/csl-citation.json"}</w:instrText>
      </w:r>
      <w:r w:rsidR="00E227D7">
        <w:rPr>
          <w:szCs w:val="28"/>
        </w:rPr>
        <w:fldChar w:fldCharType="separate"/>
      </w:r>
      <w:r w:rsidR="00046011" w:rsidRPr="00046011">
        <w:rPr>
          <w:noProof/>
          <w:szCs w:val="28"/>
        </w:rPr>
        <w:t>(38)</w:t>
      </w:r>
      <w:r w:rsidR="00E227D7">
        <w:rPr>
          <w:szCs w:val="28"/>
        </w:rPr>
        <w:fldChar w:fldCharType="end"/>
      </w:r>
      <w:r w:rsidRPr="00B25249">
        <w:rPr>
          <w:szCs w:val="28"/>
        </w:rPr>
        <w:t>. This adds another level of OSBP’s ability to control overall lipid composition of cell membranes.</w:t>
      </w:r>
    </w:p>
    <w:p w:rsidR="006F57EF" w:rsidRPr="00193131" w:rsidRDefault="0015171B" w:rsidP="00FB099D">
      <w:pPr>
        <w:ind w:firstLine="720"/>
        <w:jc w:val="both"/>
        <w:rPr>
          <w:szCs w:val="28"/>
        </w:rPr>
      </w:pPr>
      <w:r w:rsidRPr="0015171B">
        <w:rPr>
          <w:noProof/>
          <w:szCs w:val="28"/>
          <w:lang w:bidi="ar-SA"/>
        </w:rPr>
        <w:t xml:space="preserve"> </w:t>
      </w:r>
      <w:r w:rsidRPr="006F57EF">
        <w:rPr>
          <w:noProof/>
          <w:szCs w:val="28"/>
          <w:lang w:bidi="ar-SA"/>
        </w:rPr>
        <w:drawing>
          <wp:inline distT="0" distB="0" distL="0" distR="0" wp14:anchorId="1724E669" wp14:editId="7DA7F6CC">
            <wp:extent cx="5343525" cy="3371215"/>
            <wp:effectExtent l="19050" t="19050" r="28575" b="196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5650" r="5190"/>
                    <a:stretch/>
                  </pic:blipFill>
                  <pic:spPr bwMode="auto">
                    <a:xfrm>
                      <a:off x="0" y="0"/>
                      <a:ext cx="5343525" cy="337121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6F57EF" w:rsidRPr="001E15D7" w:rsidRDefault="00A841B4" w:rsidP="00FB099D">
      <w:pPr>
        <w:pStyle w:val="Caption"/>
        <w:jc w:val="both"/>
        <w:rPr>
          <w:b w:val="0"/>
          <w:szCs w:val="28"/>
        </w:rPr>
      </w:pPr>
      <w:bookmarkStart w:id="26" w:name="_Ref530507993"/>
      <w:bookmarkStart w:id="27" w:name="_Toc530673930"/>
      <w:r w:rsidRPr="00A841B4">
        <w:t>Figure</w:t>
      </w:r>
      <w:r w:rsidR="006F57EF">
        <w:t xml:space="preserve"> </w:t>
      </w:r>
      <w:fldSimple w:instr=" SEQ Figure \* ARABIC ">
        <w:r w:rsidR="00E2070A">
          <w:rPr>
            <w:noProof/>
          </w:rPr>
          <w:t>5</w:t>
        </w:r>
      </w:fldSimple>
      <w:bookmarkEnd w:id="26"/>
      <w:r w:rsidR="001E15D7">
        <w:t xml:space="preserve">: OSBP Counter-transport schematic. </w:t>
      </w:r>
      <w:r w:rsidR="00795185">
        <w:rPr>
          <w:b w:val="0"/>
        </w:rPr>
        <w:t>(A) OSBP binds to PI4P at the Golgi using its PH domain which is stabilized by ARF1 and interacts with the ER using its FFAT domain that binds VAP-A. The LBD domain of OSBP binds cholesterol at the ER and (B) transports it to the Golgi membrane. (C) OSBP releases cholesterol into the Golgi membrane and the LBD then binds PI4P. (D) OSBP counter-transports</w:t>
      </w:r>
      <w:r w:rsidR="00C87048">
        <w:rPr>
          <w:b w:val="0"/>
        </w:rPr>
        <w:t xml:space="preserve"> PI4P from the Golgi to the ER membrane where it is then hydrolyzed by the ER-resident SAC1.</w:t>
      </w:r>
      <w:bookmarkEnd w:id="27"/>
    </w:p>
    <w:p w:rsidR="00961548" w:rsidRPr="00AE0583" w:rsidRDefault="00961548" w:rsidP="00FB099D">
      <w:pPr>
        <w:pStyle w:val="Heading4"/>
        <w:jc w:val="both"/>
        <w:rPr>
          <w:b w:val="0"/>
          <w:i/>
          <w:sz w:val="24"/>
        </w:rPr>
      </w:pPr>
      <w:bookmarkStart w:id="28" w:name="_Ref530662438"/>
      <w:r w:rsidRPr="00AE0583">
        <w:rPr>
          <w:b w:val="0"/>
          <w:i/>
          <w:sz w:val="24"/>
        </w:rPr>
        <w:t>Cell Signaling Role</w:t>
      </w:r>
      <w:bookmarkEnd w:id="28"/>
    </w:p>
    <w:p w:rsidR="00995672" w:rsidRDefault="00495F15" w:rsidP="00FB099D">
      <w:pPr>
        <w:ind w:firstLine="720"/>
        <w:jc w:val="both"/>
        <w:rPr>
          <w:szCs w:val="28"/>
        </w:rPr>
      </w:pPr>
      <w:r>
        <w:rPr>
          <w:szCs w:val="28"/>
        </w:rPr>
        <w:t>As mentioned before, OSBP/ORPs can take place in various cell signaling pathways through the binding of sterols</w:t>
      </w:r>
      <w:r>
        <w:rPr>
          <w:szCs w:val="28"/>
        </w:rPr>
        <w:fldChar w:fldCharType="begin" w:fldLock="1"/>
      </w:r>
      <w:r w:rsidR="00393368">
        <w:rPr>
          <w:szCs w:val="28"/>
        </w:rPr>
        <w:instrText>ADDIN CSL_CITATION {"citationItems":[{"id":"ITEM-1","itemData":{"DOI":"10.1016/j.plipres.2013.06.004","ISBN":"0163-7827","ISSN":"01637827","PMID":"23830809","abstract":"Oxysterol-binding protein (OSBP) and OSBP-related proteins (ORPs) constitute a family of sterol and phosphoinositide binding proteins conserved in eukaryofile:///C:/Users/user/Downloads/ORP10 micro.pdftes. The mechanisms of ORP function have remained incompletely understood. However, several ORPs are present at membrane contact sites and control the activity of enzymatic effectors or assembly of protein complexes, with impacts on signaling, vesicle transport, and lipid metabolism. An increasing number of protein interaction partners of ORPs have been identified, providing clues of their involvement in multiple aspects of cell regulation. The functions assigned for mammalian ORPs include coordination of sterol and sphingolipid metabolism and mitogenic signaling (OSBP), control of ER-late endosome (LE) contacts and LE motility (ORP1L), neutral lipid metabolism (ORP2), cell adhesion (ORP3), cholesterol eggress from LE (ORP5), macrophage lipid homeostasis, migration and high-density lipoprotein metabolism (ORP8), apolipoprotein B-100 secretion (ORP10), and adipogenesis (ORP11). The anti-proliferative ORPphilin compounds target OSBP and ORP4, revealing a function of ORPs in cell proliferation and survival. The Saccharomyces cerevisiae OSBP homologue (Osh) proteins execute multifaceted functions in sterol and sphingolipid homeostasis, post-Golgi vesicle transport, as well as phosphatidylinositol-4-phosphate and target of rapamycin complex 1 (TORC1) signaling. These observations identify ORPs as coordinators of lipid signals with an unforeseen variety of cellular processes. © 2013 Elsevier Ltd. All rights reserved.","author":[{"dropping-particle":"","family":"Olkkonen","given":"Vesa M.","non-dropping-particle":"","parse-names":false,"suffix":""},{"dropping-particle":"","family":"Li","given":"Shiqian","non-dropping-particle":"","parse-names":false,"suffix":""}],"container-title":"Progress in Lipid Research","id":"ITEM-1","issue":"4","issued":{"date-parts":[["2013","10","2"]]},"page":"529-538","publisher":"Elsevier Ltd","title":"Oxysterol-binding proteins: Sterol and phosphoinositide sensors coordinating transport, signaling and metabolism","type":"article-journal","volume":"52"},"uris":["http://www.mendeley.com/documents/?uuid=857d10db-29d4-47b0-bf27-3ea7326f86e8"]},{"id":"ITEM-2","itemData":{"DOI":"10.1016/S0074-7696(07)65007-4","ISBN":"9780123743329","ISSN":"00747696","PMID":"18275891","abstract":"Protein families characterized by a ligand binding domain related to that of oxysterol binding protein (OSBP) have been identified in eukaryotic species from yeast to humans. These proteins, designated OSBP-related (ORP) or OSBP-like (OSBPL) proteins, have been implicated in various cellular functions. However, the detailed mechanisms of their action have remained elusive. Data from our and other laboratories suggest that binding of sterol ligands may be a unifying theme. Work with Saccharomyces cerevisiae ORPs suggests a function of these proteins in the nonvesicular intracellular transport of sterols, in secretory vesicle transport from the Golgi complex, and in the establishment of cell polarity. Mammals have more ORP genes, and differential splicing substantially increases the complexity of the encoded protein family. Functional studies on mammalian ORPs point in different directions: integration of sterol and sphingomyelin metabolism, sterol transport, regulation of neutral lipid metabolism, control of the microtubule-dependent motility of endosomes/lysosomes, and regulation of signaling cascades. We envision that during evolution, the functions of ORPs have diverged from an ancestral one in sterol transport, to meet the increasing demand of the regulatory potential in multicellular organisms. Our working hypothesis is that mammalian ORPs mainly act as sterol sensors that relay information to a spectrum of different cellular processes. © 2008 Elsevier Inc. All rights reserved.","author":[{"dropping-particle":"","family":"Yan","given":"Daoguang","non-dropping-particle":"","parse-names":false,"suffix":""},{"dropping-particle":"","family":"Olkkonen","given":"Vesa M","non-dropping-particle":"","parse-names":false,"suffix":""}],"container-title":"International Review of Cytology","id":"ITEM-2","issue":"07","issued":{"date-parts":[["2008"]]},"page":"253-285","publisher":"Elsevier Masson SAS","title":"Characteristics of Oxysterol Binding Proteins","type":"article","volume":"265"},"uris":["http://www.mendeley.com/documents/?uuid=5681c10f-9455-47ae-bf64-854fd1937076"]},{"id":"ITEM-3","itemData":{"DOI":"10.3390/biom2010076","ISBN":"2218-273X","ISSN":"2218273X","PMID":"24970128","abstract":"Oxysterols are oxidized 27-carbon cholesterol derivatives or by-products of cholesterol biosynthesis, with a spectrum of biologic activities. Several oxysterols have cytotoxic and pro-apoptotic activities, the ability to interfere with the lateral domain organization, and packing of membrane lipids. These properties may account for their suggested roles in the pathology of diseases such as atherosclerosis, age-onset macular degeneration and Alzheimer's disease. Oxysterols also have the capacity to induce inflammatory responses and play roles in cell differentiation processes. The functions of oxysterols as intermediates in the synthesis of bile acids and steroid hormones, and as readily transportable forms of sterol, are well established. Furthermore, their actions as endogenous regulators of gene expression in lipid metabolism via liver X receptors and the Insig (insulin-induced gene) proteins have been investigated in detail. The cytoplasmic oxysterol-binding protein (OSBP) homologues form a group of oxysterol/cholesterol sensors that has recently attracted a lot of attention. However, their mode of action is, as yet, poorly understood. Retinoic acid receptor-related orphan receptors (ROR) α and γ, and Epstein-Barr virus induced gene 2 (EBI2) have been identified as novel oxysterol receptors, revealing new physiologic oxysterol effector mechanisms in development, metabolism, and immunity, and evoking enhanced interest in these compounds in the field of biomedicine.","author":[{"dropping-particle":"","family":"Olkkonen","given":"Vesa M.","non-dropping-particle":"","parse-names":false,"suffix":""},{"dropping-particle":"","family":"Beaslas","given":"Olivier","non-dropping-particle":"","parse-names":false,"suffix":""},{"dropping-particle":"","family":"Nissila","given":"Eija","non-dropping-particle":"","parse-names":false,"suffix":""}],"container-title":"Biomolecules","id":"ITEM-3","issue":"1","issued":{"date-parts":[["2012"]]},"page":"76-103","title":"Oxysterols and their cellular effectors","type":"article-journal","volume":"2"},"uris":["http://www.mendeley.com/documents/?uuid=16503336-070e-4508-8d91-d2390109716f"]},{"id":"ITEM-4","itemData":{"DOI":"10.1016/j.chemphyslip.2011.03.002","ISBN":"1873-2941 (Electronic)\\r0009-3084 (Linking)","ISSN":"00093084","PMID":"21419754","abstract":"Families of oxysterol-binding protein (ORP) homologues are present in eukaryotes from yeast to man. Their hallmark feature is a characteristic ligand binding domain that, for several family members, has been shown to accommodate different oxysterols and/or cholesterol. ORPs of the \"long\" subtype contain targeting determinants for the endoplasmic reticulum and to other organelle membranes, the most prominent of which are phosphoinositide-binding pleckstrin homology domains, while \"short\" ORPs comprise a ligand binding domain with little additional sequences. There is increasing evidence that both long and short ORPs can be enriched at membrane contact sites, junctions of the endoplasmic reticulum with other organelles, where they are suggested to execute regulatory or sterol transfer functions. In this review we discuss the current evidence for putative roles of ORPs as sterol sensors or transporters. © 2011 Elsevier Ireland Ltd.","author":[{"dropping-particle":"","family":"Vihervaara","given":"Terhi","non-dropping-particle":"","parse-names":false,"suffix":""},{"dropping-particle":"","family":"Jansen","given":"Maurice","non-dropping-particle":"","parse-names":false,"suffix":""},{"dropping-particle":"","family":"Uronen","given":"Riikka Liisa","non-dropping-particle":"","parse-names":false,"suffix":""},{"dropping-particle":"","family":"Ohsaki","given":"Yuki","non-dropping-particle":"","parse-names":false,"suffix":""},{"dropping-particle":"","family":"Ikonen","given":"Elina","non-dropping-particle":"","parse-names":false,"suffix":""},{"dropping-particle":"","family":"Olkkonen","given":"Vesa M","non-dropping-particle":"","parse-names":false,"suffix":""}],"container-title":"Chemistry and Physics of Lipids","id":"ITEM-4","issue":"6","issued":{"date-parts":[["2011"]]},"page":"443-450","publisher":"Elsevier Ireland Ltd","title":"Cytoplasmic oxysterol-binding proteins: Sterol sensors or transporters?","type":"article","volume":"164"},"uris":["http://www.mendeley.com/documents/?uuid=5f849719-e5c2-4533-b5bd-8ac482463d01"]},{"id":"ITEM-5","itemData":{"DOI":"10.1016/j.bcp.2013.02.016","ISBN":"1873-2968 (Electronic)\\r0006-2952 (Linking)","ISSN":"18732968","PMID":"23428468","abstract":"Oxysterol-binding (OSBP)-related proteins (ORPs) constitute a family of sterol and phosphoinositide binding/transfer proteins in eukaryotes from yeast to man. While their functions have mainly been addressed in cellular lipid metabolism or sterol transport, increasing evidence points to more versatile regulatory roles in a spectrum of cellular regimes. In fact ORPs do not appear to be robust controllers of lipid homeostasis. Several ORPs localize at membrane contacts sites (MCS), where endoplasmic reticulum (ER) is apposed with other organelle limiting membranes. Apparently, ORPs have the capacity to control the formation of MCS or activity of enzymatic machineries at these sites. Thereby, ORPs most likely affect organelle membrane lipid compositions, with impacts on signaling and vesicle transport, but also cellular lipid metabolism. Moreover, an increasing number of protein interaction partners of ORPs have been identified, connecting these proteins with various aspects of cell regulation. Small molecular anti-proliferative compounds, ORPphilins, were recently found to target two members of the ORP family, OSBP and ORP4, revealing an essential function of ORPs in cancer cell proliferation and survival. Further functions assigned for ORPs include regulation of extracellular signal regulated kinase (ERK) activity (OSBP), control of ER-late endosome MCS and late endosome motility (ORP1L), regulation of b1-integrin activity (ORP3), modulation of hepatocyte insulin signaling and macrophage migration (ORP8), as well as post-Golgi vesicle transport, phosphatidylinositol-4-phosphate and target of rapamycin complex 1 signaling and nitrogen sensing (Saccharomyces cerevisiae Osh4p). These and other recent observations shed light on the ORPs as integrators of lipid signals with an unforeseen variety of vital cellular processes. © 2013 Elsevier Inc. All rights reserved.","author":[{"dropping-particle":"","family":"Weber-Boyvat","given":"Marion","non-dropping-particle":"","parse-names":false,"suffix":""},{"dropping-particle":"","family":"Zhong","given":"Wenbin","non-dropping-particle":"","parse-names":false,"suffix":""},{"dropping-particle":"","family":"Yan","given":"Daoguang","non-dropping-particle":"","parse-names":false,"suffix":""},{"dropping-particle":"","family":"Olkkonen","given":"Vesa M.","non-dropping-particle":"","parse-names":false,"suffix":""}],"container-title":"Biochemical Pharmacology","id":"ITEM-5","issue":"1","issued":{"date-parts":[["2013"]]},"page":"89-95","publisher":"Elsevier Inc.","title":"Oxysterol-binding proteins: Functions in cell regulation beyond lipid metabolism","type":"article-journal","volume":"86"},"uris":["http://www.mendeley.com/documents/?uuid=057b561a-c1ea-4a35-a5d8-f78ea1e0a62b"]}],"mendeley":{"formattedCitation":"(3, 4, 6, 8, 9)","plainTextFormattedCitation":"(3, 4, 6, 8, 9)","previouslyFormattedCitation":"(3, 4, 6, 8, 9)"},"properties":{"noteIndex":0},"schema":"https://github.com/citation-style-language/schema/raw/master/csl-citation.json"}</w:instrText>
      </w:r>
      <w:r>
        <w:rPr>
          <w:szCs w:val="28"/>
        </w:rPr>
        <w:fldChar w:fldCharType="separate"/>
      </w:r>
      <w:r w:rsidRPr="00495F15">
        <w:rPr>
          <w:noProof/>
          <w:szCs w:val="28"/>
        </w:rPr>
        <w:t>(3, 4, 6, 8, 9)</w:t>
      </w:r>
      <w:r>
        <w:rPr>
          <w:szCs w:val="28"/>
        </w:rPr>
        <w:fldChar w:fldCharType="end"/>
      </w:r>
      <w:r>
        <w:rPr>
          <w:szCs w:val="28"/>
        </w:rPr>
        <w:t>. OSBP</w:t>
      </w:r>
      <w:r w:rsidR="00393368">
        <w:rPr>
          <w:szCs w:val="28"/>
        </w:rPr>
        <w:t xml:space="preserve"> can be regulated by a cellular kinase or act as a scaffold for either kinases or phosphatases</w:t>
      </w:r>
      <w:r w:rsidR="00393368">
        <w:rPr>
          <w:szCs w:val="28"/>
        </w:rPr>
        <w:fldChar w:fldCharType="begin" w:fldLock="1"/>
      </w:r>
      <w:r w:rsidR="00E921DB">
        <w:rPr>
          <w:szCs w:val="28"/>
        </w:rPr>
        <w:instrText>ADDIN CSL_CITATION {"citationItems":[{"id":"ITEM-1","itemData":{"DOI":"10.1091/mbc.E10","ISBN":"1939-4586 (Electronic)$\\$r1059-1524 (Linking)","ISSN":"00219525","PMID":"20980618","abstract":"Protein kinase D (PKD) plays a critical role at the trans-Golgi network by regulating the fission of transport carriers destined for the plasma membrane. Two known Golgi-localized PKD substrates, PI4-kinase III ? and the ceramide transfer protein CERT, mediate PKD signaling to influence vesicle trafficking to the plasma membrane and sphingomy- elin synthesis, respectively. PKD is recruited and activated at the Golgi through interaction with diacylglycerol, a pool of which is generated as a by-product of sphingomyelin synthesis from ceramide. Here we identify a novel substrate of PKD at the Golgi, the oxysterol-binding protein OSBP. Using a substrate-directed phospho-specific antibody that recognizes the optimal PKD consensus motif, we show that PKD phosphorylates OSBP at Ser240 in vitro and in cells. We further show that OSBP phosphorylation occurs at the Golgi. Phosphorylation of OSBP by PKD does not modulate dimerization, sterol binding, or affinity for PI(4)P. Instead, phosphorylation attenuates OSBP Golgi localization in response to 25-hydroxycholesterol and cholesterol depletion, impairs CERT Golgi localization, and promotes Golgi fragmentation.","author":[{"dropping-particle":"","family":"Nhek S., Ngo M., Yang X., Ng M.M., Field J. S., Asara J.M., Ridgway N.D.","given":"","non-dropping-particle":"","parse-names":false,"suffix":""},{"dropping-particle":"","family":"A.","given":"Toker","non-dropping-particle":"","parse-names":false,"suffix":""}],"container-title":"Molecular Biology of the Cell","id":"ITEM-1","issued":{"date-parts":[["2010"]]},"page":"2327-2337","title":"Regulation of Oxysterol-binding Protein Golgi Localization through Protein Kinase D-mediated Phosphorylation","type":"article-journal","volume":"21"},"uris":["http://www.mendeley.com/documents/?uuid=e4e5d226-09ae-45be-9c13-dd5d48edb48a"]},{"id":"ITEM-2","itemData":{"DOI":"10.1126/science.1107710","ISSN":"0036-8075","PMID":"15746430","abstract":"Oxysterol-binding protein (OSBP) is the founding member of a family of sterol-binding proteins implicated in vesicle transport, lipid metabolism, and signal transduction. Here, OSBP was found to function as a cholesterol-binding scaffolding protein coordinating the activity of two phosphatases to control the extracellular signal-regulated kinase (ERK) signaling pathway. Cytosolic OSBP formed a approximately 440-kilodalton oligomer with a member of the PTPPBS family of tyrosine phosphatases, the serine/threonine phosphatase PP2A, and cholesterol. This oligomer had dual specific phosphatase activity for phosphorylated ERK (pERK). When cell cholesterol was lowered, the oligomer disassembled and the level of pERK rose. The oligomer also disassembled when exposed to oxysterols. Increasing the amount of OSBP oligomer rendered cells resistant to the effects of cholesterol depletion and decreased the basal level of pERK. Thus, cholesterol functions through its interaction with OSBP outside of membranes to regulate the assembly of an oligomeric phosphatase that controls a key signaling pathway in the cell.","author":[{"dropping-particle":"","family":"Wang","given":"Ping-Yuan","non-dropping-particle":"","parse-names":false,"suffix":""},{"dropping-particle":"","family":"Weng","given":"Jian","non-dropping-particle":"","parse-names":false,"suffix":""},{"dropping-particle":"","family":"Anderson","given":"Richard G W","non-dropping-particle":"","parse-names":false,"suffix":""}],"container-title":"Science (New York, N.Y.)","id":"ITEM-2","issue":"5714","issued":{"date-parts":[["2005"]]},"page":"1472-1476","title":"OSBP is a cholesterol-regulated scaffolding protein in control of ERK 1/2 activation.","type":"article-journal","volume":"307"},"uris":["http://www.mendeley.com/documents/?uuid=5d80aa99-2bda-4702-ab3d-c5e8c11646f2"]},{"id":"ITEM-3","itemData":{"DOI":"10.1074/jbc.M710092200","ISSN":"00219258","PMID":"18230613","abstract":"Endothelial dysfunction plays a central role in diabetic vascular disease, but its molecular bases are not completely defined. We showed previously that the actin-binding protein proflin-1 was increased in the diabetic endothelium and that attenuated expression of profilin-1 protected against atherosclerosis. Also 7-ketocholesterol up-regulated profilin-1 in endothelial cells via transcriptional mechanisms. The present study addressed the pathways responsible for profilin-1 gene expression in 7-ketocholesterol-stimulated endothelial cells and in the diabetic aorta. In luciferase reporter assays, the response to 7-ketocholesterol within the 5'-flanking region of profilin-1 was dependent on a single STAT response element. In aortic endothelial cells, 7-ketocholesterol enhanced STAT3 activation, which required JAK2 and tyrosine 394 phosphorylation of oxysterol-binding protein-1. These changes were recapitulated in the aorta of diabetic rats. Also 7-ketocholesterol in cultured endothelial cells and diabetes in the aorta elicited the recruitment of STAT3 and relevant coregulatory factors to the oxysterol-responsive region of the profilin-1 promoter. These events were required for profilin-1 up-regulation. These studies identify a previously unrecognized oxysterol-binding protein-mediated mode of activation of STAT3 that controls the expression of the proatherogenic protein profilin-1 in response to 7-ketocholesterol and the diabetic milieu.","author":[{"dropping-particle":"","family":"Romeo","given":"Giulio R.","non-dropping-particle":"","parse-names":false,"suffix":""},{"dropping-particle":"","family":"Kazlauskas","given":"Andrius","non-dropping-particle":"","parse-names":false,"suffix":""}],"container-title":"Journal of Biological Chemistry","id":"ITEM-3","issue":"15","issued":{"date-parts":[["2008"]]},"page":"9595-9605","title":"Oxysterol and diabetes activate STAT3 and control endothelial expression of profilin-1 via OSBP1","type":"article-journal","volume":"283"},"uris":["http://www.mendeley.com/documents/?uuid=917fe306-36be-4daf-aea1-96302717de6d"]}],"mendeley":{"formattedCitation":"(37, 39, 40)","plainTextFormattedCitation":"(37, 39, 40)","previouslyFormattedCitation":"(37, 39, 40)"},"properties":{"noteIndex":0},"schema":"https://github.com/citation-style-language/schema/raw/master/csl-citation.json"}</w:instrText>
      </w:r>
      <w:r w:rsidR="00393368">
        <w:rPr>
          <w:szCs w:val="28"/>
        </w:rPr>
        <w:fldChar w:fldCharType="separate"/>
      </w:r>
      <w:r w:rsidR="00393368" w:rsidRPr="00393368">
        <w:rPr>
          <w:noProof/>
          <w:szCs w:val="28"/>
        </w:rPr>
        <w:t>(37, 39, 40)</w:t>
      </w:r>
      <w:r w:rsidR="00393368">
        <w:rPr>
          <w:szCs w:val="28"/>
        </w:rPr>
        <w:fldChar w:fldCharType="end"/>
      </w:r>
      <w:r w:rsidR="00393368">
        <w:rPr>
          <w:szCs w:val="28"/>
        </w:rPr>
        <w:t xml:space="preserve">. </w:t>
      </w:r>
      <w:r>
        <w:rPr>
          <w:szCs w:val="28"/>
        </w:rPr>
        <w:t>O</w:t>
      </w:r>
      <w:r w:rsidR="00961548" w:rsidRPr="00B25249">
        <w:rPr>
          <w:szCs w:val="28"/>
        </w:rPr>
        <w:t xml:space="preserve">SBP activity has also been shown to be regulated by phosphorylation at Ser242 by PKD. A phospo-metic version of OSBP was shown to </w:t>
      </w:r>
      <w:r w:rsidR="00961548" w:rsidRPr="00B25249">
        <w:rPr>
          <w:szCs w:val="28"/>
        </w:rPr>
        <w:lastRenderedPageBreak/>
        <w:t>have impaired Golgi localization and</w:t>
      </w:r>
      <w:r w:rsidR="00E227D7">
        <w:rPr>
          <w:szCs w:val="28"/>
        </w:rPr>
        <w:t xml:space="preserve"> induced Golgi fragmentation</w:t>
      </w:r>
      <w:r w:rsidR="00E227D7">
        <w:rPr>
          <w:szCs w:val="28"/>
        </w:rPr>
        <w:fldChar w:fldCharType="begin" w:fldLock="1"/>
      </w:r>
      <w:r w:rsidR="00393368">
        <w:rPr>
          <w:szCs w:val="28"/>
        </w:rPr>
        <w:instrText>ADDIN CSL_CITATION {"citationItems":[{"id":"ITEM-1","itemData":{"DOI":"10.1091/mbc.E10","ISBN":"1939-4586 (Electronic)$\\$r1059-1524 (Linking)","ISSN":"00219525","PMID":"20980618","abstract":"Protein kinase D (PKD) plays a critical role at the trans-Golgi network by regulating the fission of transport carriers destined for the plasma membrane. Two known Golgi-localized PKD substrates, PI4-kinase III ? and the ceramide transfer protein CERT, mediate PKD signaling to influence vesicle trafficking to the plasma membrane and sphingomy- elin synthesis, respectively. PKD is recruited and activated at the Golgi through interaction with diacylglycerol, a pool of which is generated as a by-product of sphingomyelin synthesis from ceramide. Here we identify a novel substrate of PKD at the Golgi, the oxysterol-binding protein OSBP. Using a substrate-directed phospho-specific antibody that recognizes the optimal PKD consensus motif, we show that PKD phosphorylates OSBP at Ser240 in vitro and in cells. We further show that OSBP phosphorylation occurs at the Golgi. Phosphorylation of OSBP by PKD does not modulate dimerization, sterol binding, or affinity for PI(4)P. Instead, phosphorylation attenuates OSBP Golgi localization in response to 25-hydroxycholesterol and cholesterol depletion, impairs CERT Golgi localization, and promotes Golgi fragmentation.","author":[{"dropping-particle":"","family":"Nhek S., Ngo M., Yang X., Ng M.M., Field J. S., Asara J.M., Ridgway N.D.","given":"","non-dropping-particle":"","parse-names":false,"suffix":""},{"dropping-particle":"","family":"A.","given":"Toker","non-dropping-particle":"","parse-names":false,"suffix":""}],"container-title":"Molecular Biology of the Cell","id":"ITEM-1","issued":{"date-parts":[["2010"]]},"page":"2327-2337","title":"Regulation of Oxysterol-binding Protein Golgi Localization through Protein Kinase D-mediated Phosphorylation","type":"article-journal","volume":"21"},"uris":["http://www.mendeley.com/documents/?uuid=e4e5d226-09ae-45be-9c13-dd5d48edb48a"]}],"mendeley":{"formattedCitation":"(37)","plainTextFormattedCitation":"(37)","previouslyFormattedCitation":"(37)"},"properties":{"noteIndex":0},"schema":"https://github.com/citation-style-language/schema/raw/master/csl-citation.json"}</w:instrText>
      </w:r>
      <w:r w:rsidR="00E227D7">
        <w:rPr>
          <w:szCs w:val="28"/>
        </w:rPr>
        <w:fldChar w:fldCharType="separate"/>
      </w:r>
      <w:r w:rsidR="00393368" w:rsidRPr="00393368">
        <w:rPr>
          <w:noProof/>
          <w:szCs w:val="28"/>
        </w:rPr>
        <w:t>(37)</w:t>
      </w:r>
      <w:r w:rsidR="00E227D7">
        <w:rPr>
          <w:szCs w:val="28"/>
        </w:rPr>
        <w:fldChar w:fldCharType="end"/>
      </w:r>
      <w:r w:rsidR="00961548" w:rsidRPr="00B25249">
        <w:rPr>
          <w:szCs w:val="28"/>
        </w:rPr>
        <w:t xml:space="preserve">. This is consistent with the mechanism of action of brefeldin A, which inactivates ARF-1 and </w:t>
      </w:r>
      <w:r w:rsidR="00E227D7">
        <w:rPr>
          <w:szCs w:val="28"/>
        </w:rPr>
        <w:t>leads to Golgi fragmentation</w:t>
      </w:r>
      <w:r w:rsidR="00E227D7">
        <w:rPr>
          <w:szCs w:val="28"/>
        </w:rPr>
        <w:fldChar w:fldCharType="begin" w:fldLock="1"/>
      </w:r>
      <w:r w:rsidR="00E921DB">
        <w:rPr>
          <w:szCs w:val="28"/>
        </w:rPr>
        <w:instrText>ADDIN CSL_CITATION {"citationItems":[{"id":"ITEM-1","itemData":{"DOI":"10.1042/BST20051265","ISBN":"0300-5127 (Print)","ISSN":"03005127","PMID":"16246094","abstract":"GEFs (guanine nucleotide-exchange factors), which stimulate GDP dissociation from small G-proteins, are pivotal regulators of signalling pathways activated by small G-proteins. In the case of Arf proteins, which are major regulators of membrane traffic in the cell and have recently been found to be involved in an increasing number of human diseases, GDP/GTP exchange is stimulated by GEFs that carry a catalytic Sec7 domain. Recent structural results captured snapshots of the exchange reaction, revealing that Sec7 domains secure Arf-GDP to membranes before nucleotide exchange takes place, taking advantage of a built-in structural device in Arf proteins that couples their affinity for membranes to the nature of the bound nucleotide. One of the Arf-Sec7 intermediates was trapped by BFA (Brefeldin A), an uncompetitive inhibitor of Arf activation that has been instrumental in deciphering the molecular principles of membrane traffic at the Golgi. BFA targets a low-affinity Arf-Sec7 intermediate of the exchange reaction. It binds at the Arf-GDP/Sec7 interface, thus freezing the complex in an abortive conformation that cannot proceed to nucleotide dissociation. In the cell, this results in the specific inhibition of Arf1 by a subset of its GEFs, and the efficient and reversible block of membrane traffic at the Golgi. The mechanism of BFA leads to the concept of 'interfacial inhibition', in which a protein-protein interaction of therapeutic interest is stabilized, rather than impaired, by a drug. Up-regulated activity of small G-proteins is involved in various human diseases, making their GEFs attractive candidates to interrupt specifically the corresponding signalling pathway. Interfacial inhibitors are proposed as an alternative to competitive inhibitors that may be explored for their inhibition.","author":[{"dropping-particle":"","family":"Zeghouf","given":"M","non-dropping-particle":"","parse-names":false,"suffix":""},{"dropping-particle":"","family":"Guibert","given":"B","non-dropping-particle":"","parse-names":false,"suffix":""},{"dropping-particle":"","family":"Zeeh","given":"J-C","non-dropping-particle":"","parse-names":false,"suffix":""},{"dropping-particle":"","family":"Cherfils","given":"J","non-dropping-particle":"","parse-names":false,"suffix":""}],"container-title":"Biochemical Society transactions","id":"ITEM-1","issue":"6","issued":{"date-parts":[["2005"]]},"page":"1265-1268","title":"Arf, Sec7 and Brefeldin A: a model towards the therapeutic inhibition of guanine nucleotide-exchange factors","type":"article-journal","volume":"33"},"uris":["http://www.mendeley.com/documents/?uuid=c5093f56-617d-428e-a243-c5b51203149b"]}],"mendeley":{"formattedCitation":"(41)","plainTextFormattedCitation":"(41)","previouslyFormattedCitation":"(41)"},"properties":{"noteIndex":0},"schema":"https://github.com/citation-style-language/schema/raw/master/csl-citation.json"}</w:instrText>
      </w:r>
      <w:r w:rsidR="00E227D7">
        <w:rPr>
          <w:szCs w:val="28"/>
        </w:rPr>
        <w:fldChar w:fldCharType="separate"/>
      </w:r>
      <w:r w:rsidR="00393368" w:rsidRPr="00393368">
        <w:rPr>
          <w:noProof/>
          <w:szCs w:val="28"/>
        </w:rPr>
        <w:t>(41)</w:t>
      </w:r>
      <w:r w:rsidR="00E227D7">
        <w:rPr>
          <w:szCs w:val="28"/>
        </w:rPr>
        <w:fldChar w:fldCharType="end"/>
      </w:r>
      <w:r w:rsidR="00961548" w:rsidRPr="00B25249">
        <w:rPr>
          <w:szCs w:val="28"/>
        </w:rPr>
        <w:t>. This phosphorylation leads to the masking of the PH domain and possibly the interaction with ARF1, which is esse</w:t>
      </w:r>
      <w:r w:rsidR="00E227D7">
        <w:rPr>
          <w:szCs w:val="28"/>
        </w:rPr>
        <w:t>ntial for Golgi localization</w:t>
      </w:r>
      <w:r w:rsidR="00E227D7">
        <w:rPr>
          <w:szCs w:val="28"/>
        </w:rPr>
        <w:fldChar w:fldCharType="begin" w:fldLock="1"/>
      </w:r>
      <w:r w:rsidR="00393368">
        <w:rPr>
          <w:szCs w:val="28"/>
        </w:rPr>
        <w:instrText>ADDIN CSL_CITATION {"citationItems":[{"id":"ITEM-1","itemData":{"DOI":"10.1091/mbc.E10","ISBN":"1939-4586 (Electronic)$\\$r1059-1524 (Linking)","ISSN":"00219525","PMID":"20980618","abstract":"Protein kinase D (PKD) plays a critical role at the trans-Golgi network by regulating the fission of transport carriers destined for the plasma membrane. Two known Golgi-localized PKD substrates, PI4-kinase III ? and the ceramide transfer protein CERT, mediate PKD signaling to influence vesicle trafficking to the plasma membrane and sphingomy- elin synthesis, respectively. PKD is recruited and activated at the Golgi through interaction with diacylglycerol, a pool of which is generated as a by-product of sphingomyelin synthesis from ceramide. Here we identify a novel substrate of PKD at the Golgi, the oxysterol-binding protein OSBP. Using a substrate-directed phospho-specific antibody that recognizes the optimal PKD consensus motif, we show that PKD phosphorylates OSBP at Ser240 in vitro and in cells. We further show that OSBP phosphorylation occurs at the Golgi. Phosphorylation of OSBP by PKD does not modulate dimerization, sterol binding, or affinity for PI(4)P. Instead, phosphorylation attenuates OSBP Golgi localization in response to 25-hydroxycholesterol and cholesterol depletion, impairs CERT Golgi localization, and promotes Golgi fragmentation.","author":[{"dropping-particle":"","family":"Nhek S., Ngo M., Yang X., Ng M.M., Field J. S., Asara J.M., Ridgway N.D.","given":"","non-dropping-particle":"","parse-names":false,"suffix":""},{"dropping-particle":"","family":"A.","given":"Toker","non-dropping-particle":"","parse-names":false,"suffix":""}],"container-title":"Molecular Biology of the Cell","id":"ITEM-1","issued":{"date-parts":[["2010"]]},"page":"2327-2337","title":"Regulation of Oxysterol-binding Protein Golgi Localization through Protein Kinase D-mediated Phosphorylation","type":"article-journal","volume":"21"},"uris":["http://www.mendeley.com/documents/?uuid=e4e5d226-09ae-45be-9c13-dd5d48edb48a"]}],"mendeley":{"formattedCitation":"(37)","plainTextFormattedCitation":"(37)","previouslyFormattedCitation":"(37)"},"properties":{"noteIndex":0},"schema":"https://github.com/citation-style-language/schema/raw/master/csl-citation.json"}</w:instrText>
      </w:r>
      <w:r w:rsidR="00E227D7">
        <w:rPr>
          <w:szCs w:val="28"/>
        </w:rPr>
        <w:fldChar w:fldCharType="separate"/>
      </w:r>
      <w:r w:rsidR="00393368" w:rsidRPr="00393368">
        <w:rPr>
          <w:noProof/>
          <w:szCs w:val="28"/>
        </w:rPr>
        <w:t>(37)</w:t>
      </w:r>
      <w:r w:rsidR="00E227D7">
        <w:rPr>
          <w:szCs w:val="28"/>
        </w:rPr>
        <w:fldChar w:fldCharType="end"/>
      </w:r>
      <w:r w:rsidR="00961548" w:rsidRPr="00B25249">
        <w:rPr>
          <w:szCs w:val="28"/>
        </w:rPr>
        <w:t>. This leads to an inactivated form of OSBP and disassociation from the MCS. PKD’s substrates also include PI4KIIIβ and CERT, leading to activation of the former and deactivation of the later</w:t>
      </w:r>
      <w:r w:rsidR="00E227D7">
        <w:rPr>
          <w:szCs w:val="28"/>
        </w:rPr>
        <w:fldChar w:fldCharType="begin" w:fldLock="1"/>
      </w:r>
      <w:r w:rsidR="00E921DB">
        <w:rPr>
          <w:szCs w:val="28"/>
        </w:rPr>
        <w:instrText>ADDIN CSL_CITATION {"citationItems":[{"id":"ITEM-1","itemData":{"abstract":"Protein kinase D (PKD) regulates the fission of vesicles from the trans-Golgi-network1,2. We show that phosphatidylinositol-4-kinase III beta (PI4KIIIβ), a key player in Golgi complex structure and function3, is a physiological substrate of PKD. Of the three PKD isoforms, only PKD1 and PKD2 phosphorylated PI4KIIIβ at a motif highly conserved from yeast to man. PKD mediated phosphorylation stimulated lipid kinase activity of PI4KIIIβ and enhanced VSV-G transport to plasma membrane. The identification of PI4KIIIβ as one of the PKD substrates should help to reveal the molecular events leading to transport carrier formation.","author":[{"dropping-particle":"","family":"Hausser","given":"Angelika","non-dropping-particle":"","parse-names":false,"suffix":""},{"dropping-particle":"","family":"Märtens","given":"Susanne","non-dropping-particle":"","parse-names":false,"suffix":""},{"dropping-particle":"","family":"Link","given":"Gisela","non-dropping-particle":"","parse-names":false,"suffix":""},{"dropping-particle":"","family":"Pfizenmaier","given":"Klaus","non-dropping-particle":"","parse-names":false,"suffix":""}],"id":"ITEM-1","issue":"9","issued":{"date-parts":[["2006"]]},"page":"880-886","title":"Protein kinase D regulates vesicular transport by phosphorylation and activation of phosphatidylinositol-4 kinase III β at the Golgi complex","type":"article-journal","volume":"7"},"uris":["http://www.mendeley.com/documents/?uuid=fedd9830-a778-43ab-b7b2-53427d404082"]},{"id":"ITEM-2","itemData":{"DOI":"10.1083/jcb.200612017","ISBN":"0021-9525 (Print)\\r0021-9525 (Linking)","ISSN":"00219525","PMID":"17591919","abstract":"Protein kinase D (PKD) has been identified as a crucial regulator of secretory transport at the trans-Golgi network (TGN). Recruitment and activation of PKD at the TGN is mediated by the lipid diacylglycerol, a pool of which is generated by sphingomyelin synthase from ceramide and phosphatidylcholine. The nonvesicular transfer of ceramide from the endoplasmic reticulum to the Golgi complex is mediated by the lipid transfer protein CERT (ceramide transport). In this study, we identify CERT as a novel in vivo PKD substrate. Phosphorylation on serine 132 by PKD decreases the affinity of CERT toward its lipid target phosphatidylinositol 4-phosphate at Golgi membranes and reduces ceramide transfer activity, identifying PKD as a regulator of lipid homeostasis. We also show that CERT, in turn, is critical for PKD activation and PKD-dependent protein cargo transport to the plasma membrane. Thus, the interdependence of PKD and CERT is key to the maintenance of Golgi membrane integrity and secretory transport.","author":[{"dropping-particle":"","family":"Fugmann","given":"Tim","non-dropping-particle":"","parse-names":false,"suffix":""},{"dropping-particle":"","family":"Hausser","given":"Angelika","non-dropping-particle":"","parse-names":false,"suffix":""},{"dropping-particle":"","family":"Schöffler","given":"Patrik","non-dropping-particle":"","parse-names":false,"suffix":""},{"dropping-particle":"","family":"Schmid","given":"Simone","non-dropping-particle":"","parse-names":false,"suffix":""},{"dropping-particle":"","family":"Pfizenmaier","given":"Klaus","non-dropping-particle":"","parse-names":false,"suffix":""},{"dropping-particle":"","family":"Olayioye","given":"Monilola A.","non-dropping-particle":"","parse-names":false,"suffix":""}],"container-title":"Journal of Cell Biology","id":"ITEM-2","issue":"1","issued":{"date-parts":[["2007"]]},"page":"15-22","title":"Regulation of secretory transport by protein kinase D-mediated phosphorylation of the ceramide transfer protein","type":"article-journal","volume":"178"},"uris":["http://www.mendeley.com/documents/?uuid=bce15de3-d9e9-4d26-9338-29212f4cd9d9"]}],"mendeley":{"formattedCitation":"(42, 43)","plainTextFormattedCitation":"(42, 43)","previouslyFormattedCitation":"(42, 43)"},"properties":{"noteIndex":0},"schema":"https://github.com/citation-style-language/schema/raw/master/csl-citation.json"}</w:instrText>
      </w:r>
      <w:r w:rsidR="00E227D7">
        <w:rPr>
          <w:szCs w:val="28"/>
        </w:rPr>
        <w:fldChar w:fldCharType="separate"/>
      </w:r>
      <w:r w:rsidR="00393368" w:rsidRPr="00393368">
        <w:rPr>
          <w:noProof/>
          <w:szCs w:val="28"/>
        </w:rPr>
        <w:t>(42, 43)</w:t>
      </w:r>
      <w:r w:rsidR="00E227D7">
        <w:rPr>
          <w:szCs w:val="28"/>
        </w:rPr>
        <w:fldChar w:fldCharType="end"/>
      </w:r>
      <w:r w:rsidR="00961548" w:rsidRPr="00B25249">
        <w:rPr>
          <w:szCs w:val="28"/>
        </w:rPr>
        <w:t xml:space="preserve">. </w:t>
      </w:r>
      <w:r w:rsidR="00E921DB">
        <w:rPr>
          <w:szCs w:val="28"/>
        </w:rPr>
        <w:t xml:space="preserve">These results support an OSBP </w:t>
      </w:r>
      <w:r w:rsidR="00961548" w:rsidRPr="00B25249">
        <w:rPr>
          <w:szCs w:val="28"/>
        </w:rPr>
        <w:t xml:space="preserve">mechanism of action </w:t>
      </w:r>
      <w:r w:rsidR="00E921DB">
        <w:rPr>
          <w:szCs w:val="28"/>
        </w:rPr>
        <w:t>in which</w:t>
      </w:r>
      <w:r w:rsidR="00961548" w:rsidRPr="00B25249">
        <w:rPr>
          <w:szCs w:val="28"/>
        </w:rPr>
        <w:t xml:space="preserve"> PKD first phosphorylates PI4KIIIβ, leading to activation and production of PI4P. This production of PI4P then leads to recruitment of OSBP through its PH domain, which interacts with ARF1 in its active form. This in turn leads to more production of PI4P, allowing for the recruitment of CERT to the MCS. OSBP transports cholesterol for PI4P while CERT shuttles ceramide to make SM, and this activity is then controlled by PKD phosphorylation to preserve lipid raft for</w:t>
      </w:r>
      <w:r w:rsidR="00E227D7">
        <w:rPr>
          <w:szCs w:val="28"/>
        </w:rPr>
        <w:t>mation and lipid homeostasis</w:t>
      </w:r>
      <w:r w:rsidR="00E227D7">
        <w:rPr>
          <w:szCs w:val="28"/>
        </w:rPr>
        <w:fldChar w:fldCharType="begin" w:fldLock="1"/>
      </w:r>
      <w:r w:rsidR="00393368">
        <w:rPr>
          <w:szCs w:val="28"/>
        </w:rPr>
        <w:instrText>ADDIN CSL_CITATION {"citationItems":[{"id":"ITEM-1","itemData":{"DOI":"10.1091/mbc.E10","ISBN":"1939-4586 (Electronic)$\\$r1059-1524 (Linking)","ISSN":"00219525","PMID":"20980618","abstract":"Protein kinase D (PKD) plays a critical role at the trans-Golgi network by regulating the fission of transport carriers destined for the plasma membrane. Two known Golgi-localized PKD substrates, PI4-kinase III ? and the ceramide transfer protein CERT, mediate PKD signaling to influence vesicle trafficking to the plasma membrane and sphingomy- elin synthesis, respectively. PKD is recruited and activated at the Golgi through interaction with diacylglycerol, a pool of which is generated as a by-product of sphingomyelin synthesis from ceramide. Here we identify a novel substrate of PKD at the Golgi, the oxysterol-binding protein OSBP. Using a substrate-directed phospho-specific antibody that recognizes the optimal PKD consensus motif, we show that PKD phosphorylates OSBP at Ser240 in vitro and in cells. We further show that OSBP phosphorylation occurs at the Golgi. Phosphorylation of OSBP by PKD does not modulate dimerization, sterol binding, or affinity for PI(4)P. Instead, phosphorylation attenuates OSBP Golgi localization in response to 25-hydroxycholesterol and cholesterol depletion, impairs CERT Golgi localization, and promotes Golgi fragmentation.","author":[{"dropping-particle":"","family":"Nhek S., Ngo M., Yang X., Ng M.M., Field J. S., Asara J.M., Ridgway N.D.","given":"","non-dropping-particle":"","parse-names":false,"suffix":""},{"dropping-particle":"","family":"A.","given":"Toker","non-dropping-particle":"","parse-names":false,"suffix":""}],"container-title":"Molecular Biology of the Cell","id":"ITEM-1","issued":{"date-parts":[["2010"]]},"page":"2327-2337","title":"Regulation of Oxysterol-binding Protein Golgi Localization through Protein Kinase D-mediated Phosphorylation","type":"article-journal","volume":"21"},"uris":["http://www.mendeley.com/documents/?uuid=e4e5d226-09ae-45be-9c13-dd5d48edb48a"]}],"mendeley":{"formattedCitation":"(37)","plainTextFormattedCitation":"(37)","previouslyFormattedCitation":"(37)"},"properties":{"noteIndex":0},"schema":"https://github.com/citation-style-language/schema/raw/master/csl-citation.json"}</w:instrText>
      </w:r>
      <w:r w:rsidR="00E227D7">
        <w:rPr>
          <w:szCs w:val="28"/>
        </w:rPr>
        <w:fldChar w:fldCharType="separate"/>
      </w:r>
      <w:r w:rsidR="00393368" w:rsidRPr="00393368">
        <w:rPr>
          <w:noProof/>
          <w:szCs w:val="28"/>
        </w:rPr>
        <w:t>(37)</w:t>
      </w:r>
      <w:r w:rsidR="00E227D7">
        <w:rPr>
          <w:szCs w:val="28"/>
        </w:rPr>
        <w:fldChar w:fldCharType="end"/>
      </w:r>
      <w:r w:rsidR="00961548" w:rsidRPr="00B25249">
        <w:rPr>
          <w:szCs w:val="28"/>
        </w:rPr>
        <w:t>.</w:t>
      </w:r>
    </w:p>
    <w:p w:rsidR="00995672" w:rsidRDefault="00961548" w:rsidP="00FB099D">
      <w:pPr>
        <w:ind w:firstLine="720"/>
        <w:jc w:val="both"/>
        <w:rPr>
          <w:szCs w:val="28"/>
        </w:rPr>
      </w:pPr>
      <w:r w:rsidRPr="00B25249">
        <w:rPr>
          <w:szCs w:val="28"/>
        </w:rPr>
        <w:t>One study found that OSBP is also involved in regulating the activity of the ERK1/2 signaling pathway</w:t>
      </w:r>
      <w:r w:rsidR="00E921DB">
        <w:rPr>
          <w:szCs w:val="28"/>
        </w:rPr>
        <w:fldChar w:fldCharType="begin" w:fldLock="1"/>
      </w:r>
      <w:r w:rsidR="00D741FF">
        <w:rPr>
          <w:szCs w:val="28"/>
        </w:rPr>
        <w:instrText>ADDIN CSL_CITATION {"citationItems":[{"id":"ITEM-1","itemData":{"DOI":"10.1126/science.1107710","ISSN":"0036-8075","PMID":"15746430","abstract":"Oxysterol-binding protein (OSBP) is the founding member of a family of sterol-binding proteins implicated in vesicle transport, lipid metabolism, and signal transduction. Here, OSBP was found to function as a cholesterol-binding scaffolding protein coordinating the activity of two phosphatases to control the extracellular signal-regulated kinase (ERK) signaling pathway. Cytosolic OSBP formed a approximately 440-kilodalton oligomer with a member of the PTPPBS family of tyrosine phosphatases, the serine/threonine phosphatase PP2A, and cholesterol. This oligomer had dual specific phosphatase activity for phosphorylated ERK (pERK). When cell cholesterol was lowered, the oligomer disassembled and the level of pERK rose. The oligomer also disassembled when exposed to oxysterols. Increasing the amount of OSBP oligomer rendered cells resistant to the effects of cholesterol depletion and decreased the basal level of pERK. Thus, cholesterol functions through its interaction with OSBP outside of membranes to regulate the assembly of an oligomeric phosphatase that controls a key signaling pathway in the cell.","author":[{"dropping-particle":"","family":"Wang","given":"Ping-Yuan","non-dropping-particle":"","parse-names":false,"suffix":""},{"dropping-particle":"","family":"Weng","given":"Jian","non-dropping-particle":"","parse-names":false,"suffix":""},{"dropping-particle":"","family":"Anderson","given":"Richard G W","non-dropping-particle":"","parse-names":false,"suffix":""}],"container-title":"Science (New York, N.Y.)","id":"ITEM-1","issue":"5714","issued":{"date-parts":[["2005"]]},"page":"1472-1476","title":"OSBP is a cholesterol-regulated scaffolding protein in control of ERK 1/2 activation.","type":"article-journal","volume":"307"},"uris":["http://www.mendeley.com/documents/?uuid=5d80aa99-2bda-4702-ab3d-c5e8c11646f2"]}],"mendeley":{"formattedCitation":"(39)","plainTextFormattedCitation":"(39)","previouslyFormattedCitation":"(39)"},"properties":{"noteIndex":0},"schema":"https://github.com/citation-style-language/schema/raw/master/csl-citation.json"}</w:instrText>
      </w:r>
      <w:r w:rsidR="00E921DB">
        <w:rPr>
          <w:szCs w:val="28"/>
        </w:rPr>
        <w:fldChar w:fldCharType="separate"/>
      </w:r>
      <w:r w:rsidR="00E921DB" w:rsidRPr="00E921DB">
        <w:rPr>
          <w:noProof/>
          <w:szCs w:val="28"/>
        </w:rPr>
        <w:t>(39)</w:t>
      </w:r>
      <w:r w:rsidR="00E921DB">
        <w:rPr>
          <w:szCs w:val="28"/>
        </w:rPr>
        <w:fldChar w:fldCharType="end"/>
      </w:r>
      <w:r w:rsidRPr="00B25249">
        <w:rPr>
          <w:szCs w:val="28"/>
        </w:rPr>
        <w:t>. This study suggested that cytosolic OSBP acts as a sterol sensor that under normal conditions when cholesterol is bound, the PH domain is masked and the conformation of the protein changes to associate with HePTP and PP2A, which are tyrosine and s</w:t>
      </w:r>
      <w:r w:rsidR="00E227D7">
        <w:rPr>
          <w:szCs w:val="28"/>
        </w:rPr>
        <w:t>erine/threonine phosphatases</w:t>
      </w:r>
      <w:r w:rsidR="00E227D7">
        <w:rPr>
          <w:szCs w:val="28"/>
        </w:rPr>
        <w:fldChar w:fldCharType="begin" w:fldLock="1"/>
      </w:r>
      <w:r w:rsidR="00393368">
        <w:rPr>
          <w:szCs w:val="28"/>
        </w:rPr>
        <w:instrText>ADDIN CSL_CITATION {"citationItems":[{"id":"ITEM-1","itemData":{"DOI":"10.1126/science.1107710","ISSN":"0036-8075","PMID":"15746430","abstract":"Oxysterol-binding protein (OSBP) is the founding member of a family of sterol-binding proteins implicated in vesicle transport, lipid metabolism, and signal transduction. Here, OSBP was found to function as a cholesterol-binding scaffolding protein coordinating the activity of two phosphatases to control the extracellular signal-regulated kinase (ERK) signaling pathway. Cytosolic OSBP formed a approximately 440-kilodalton oligomer with a member of the PTPPBS family of tyrosine phosphatases, the serine/threonine phosphatase PP2A, and cholesterol. This oligomer had dual specific phosphatase activity for phosphorylated ERK (pERK). When cell cholesterol was lowered, the oligomer disassembled and the level of pERK rose. The oligomer also disassembled when exposed to oxysterols. Increasing the amount of OSBP oligomer rendered cells resistant to the effects of cholesterol depletion and decreased the basal level of pERK. Thus, cholesterol functions through its interaction with OSBP outside of membranes to regulate the assembly of an oligomeric phosphatase that controls a key signaling pathway in the cell.","author":[{"dropping-particle":"","family":"Wang","given":"Ping-Yuan","non-dropping-particle":"","parse-names":false,"suffix":""},{"dropping-particle":"","family":"Weng","given":"Jian","non-dropping-particle":"","parse-names":false,"suffix":""},{"dropping-particle":"","family":"Anderson","given":"Richard G W","non-dropping-particle":"","parse-names":false,"suffix":""}],"container-title":"Science (New York, N.Y.)","id":"ITEM-1","issue":"5714","issued":{"date-parts":[["2005"]]},"page":"1472-1476","title":"OSBP is a cholesterol-regulated scaffolding protein in control of ERK 1/2 activation.","type":"article-journal","volume":"307"},"uris":["http://www.mendeley.com/documents/?uuid=5d80aa99-2bda-4702-ab3d-c5e8c11646f2"]}],"mendeley":{"formattedCitation":"(39)","plainTextFormattedCitation":"(39)","previouslyFormattedCitation":"(39)"},"properties":{"noteIndex":0},"schema":"https://github.com/citation-style-language/schema/raw/master/csl-citation.json"}</w:instrText>
      </w:r>
      <w:r w:rsidR="00E227D7">
        <w:rPr>
          <w:szCs w:val="28"/>
        </w:rPr>
        <w:fldChar w:fldCharType="separate"/>
      </w:r>
      <w:r w:rsidR="00393368" w:rsidRPr="00393368">
        <w:rPr>
          <w:noProof/>
          <w:szCs w:val="28"/>
        </w:rPr>
        <w:t>(39)</w:t>
      </w:r>
      <w:r w:rsidR="00E227D7">
        <w:rPr>
          <w:szCs w:val="28"/>
        </w:rPr>
        <w:fldChar w:fldCharType="end"/>
      </w:r>
      <w:r w:rsidRPr="00B25249">
        <w:rPr>
          <w:szCs w:val="28"/>
        </w:rPr>
        <w:t xml:space="preserve">. This complex is then able to deactivate ERK1/2 and will only dissociate when cholesterol levels are low or oxysterols bind to OSBP. Under these conditions the conformation </w:t>
      </w:r>
      <w:r w:rsidRPr="00B25249">
        <w:rPr>
          <w:szCs w:val="28"/>
        </w:rPr>
        <w:lastRenderedPageBreak/>
        <w:t xml:space="preserve">changes, opening the PH domain and the phosphatases are removed, allowing for localization to </w:t>
      </w:r>
      <w:r w:rsidR="0015171B">
        <w:rPr>
          <w:noProof/>
          <w:szCs w:val="28"/>
          <w:lang w:bidi="ar-SA"/>
        </w:rPr>
        <w:drawing>
          <wp:anchor distT="0" distB="0" distL="114300" distR="114300" simplePos="0" relativeHeight="251660288" behindDoc="1" locked="0" layoutInCell="1" allowOverlap="1" wp14:anchorId="2FB3FA34" wp14:editId="26926DBD">
            <wp:simplePos x="0" y="0"/>
            <wp:positionH relativeFrom="margin">
              <wp:posOffset>352425</wp:posOffset>
            </wp:positionH>
            <wp:positionV relativeFrom="paragraph">
              <wp:posOffset>687705</wp:posOffset>
            </wp:positionV>
            <wp:extent cx="5391150" cy="3087370"/>
            <wp:effectExtent l="19050" t="19050" r="19050" b="17780"/>
            <wp:wrapTight wrapText="bothSides">
              <wp:wrapPolygon edited="0">
                <wp:start x="-76" y="-133"/>
                <wp:lineTo x="-76" y="21591"/>
                <wp:lineTo x="21600" y="21591"/>
                <wp:lineTo x="21600" y="-133"/>
                <wp:lineTo x="-76" y="-133"/>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1150" cy="308737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B25249">
        <w:rPr>
          <w:szCs w:val="28"/>
        </w:rPr>
        <w:t>the Golgi where cholesterol can be replenished</w:t>
      </w:r>
      <w:r w:rsidR="00193131">
        <w:rPr>
          <w:szCs w:val="28"/>
        </w:rPr>
        <w:t xml:space="preserve"> (</w:t>
      </w:r>
      <w:r w:rsidR="00E921DB" w:rsidRPr="00E921DB">
        <w:rPr>
          <w:b/>
          <w:szCs w:val="28"/>
        </w:rPr>
        <w:fldChar w:fldCharType="begin"/>
      </w:r>
      <w:r w:rsidR="00E921DB" w:rsidRPr="00E921DB">
        <w:rPr>
          <w:b/>
          <w:szCs w:val="28"/>
        </w:rPr>
        <w:instrText xml:space="preserve"> REF _Ref530507787 \h  \* MERGEFORMAT </w:instrText>
      </w:r>
      <w:r w:rsidR="00E921DB" w:rsidRPr="00E921DB">
        <w:rPr>
          <w:b/>
          <w:szCs w:val="28"/>
        </w:rPr>
      </w:r>
      <w:r w:rsidR="00E921DB" w:rsidRPr="00E921DB">
        <w:rPr>
          <w:b/>
          <w:szCs w:val="28"/>
        </w:rPr>
        <w:fldChar w:fldCharType="separate"/>
      </w:r>
      <w:r w:rsidR="00E2070A" w:rsidRPr="00E2070A">
        <w:rPr>
          <w:b/>
        </w:rPr>
        <w:t xml:space="preserve">Figure </w:t>
      </w:r>
      <w:r w:rsidR="00E2070A" w:rsidRPr="00E2070A">
        <w:rPr>
          <w:b/>
          <w:noProof/>
        </w:rPr>
        <w:t>6</w:t>
      </w:r>
      <w:r w:rsidR="00E921DB" w:rsidRPr="00E921DB">
        <w:rPr>
          <w:b/>
          <w:szCs w:val="28"/>
        </w:rPr>
        <w:fldChar w:fldCharType="end"/>
      </w:r>
      <w:r w:rsidR="00193131">
        <w:rPr>
          <w:szCs w:val="28"/>
        </w:rPr>
        <w:t>)</w:t>
      </w:r>
      <w:r w:rsidRPr="00B25249">
        <w:rPr>
          <w:szCs w:val="28"/>
        </w:rPr>
        <w:t>.</w:t>
      </w:r>
    </w:p>
    <w:p w:rsidR="00961548" w:rsidRDefault="00193131" w:rsidP="00FB099D">
      <w:pPr>
        <w:ind w:firstLine="720"/>
        <w:jc w:val="both"/>
        <w:rPr>
          <w:szCs w:val="28"/>
        </w:rPr>
      </w:pPr>
      <w:r>
        <w:rPr>
          <w:noProof/>
          <w:lang w:bidi="ar-SA"/>
        </w:rPr>
        <mc:AlternateContent>
          <mc:Choice Requires="wps">
            <w:drawing>
              <wp:anchor distT="0" distB="0" distL="114300" distR="114300" simplePos="0" relativeHeight="251662336" behindDoc="1" locked="0" layoutInCell="1" allowOverlap="1" wp14:anchorId="5A88C520" wp14:editId="4BFF31D1">
                <wp:simplePos x="0" y="0"/>
                <wp:positionH relativeFrom="column">
                  <wp:posOffset>-15240</wp:posOffset>
                </wp:positionH>
                <wp:positionV relativeFrom="paragraph">
                  <wp:posOffset>3163570</wp:posOffset>
                </wp:positionV>
                <wp:extent cx="5391150" cy="635"/>
                <wp:effectExtent l="0" t="0" r="0" b="0"/>
                <wp:wrapTight wrapText="bothSides">
                  <wp:wrapPolygon edited="0">
                    <wp:start x="0" y="0"/>
                    <wp:lineTo x="0" y="21600"/>
                    <wp:lineTo x="21600" y="21600"/>
                    <wp:lineTo x="21600" y="0"/>
                  </wp:wrapPolygon>
                </wp:wrapTight>
                <wp:docPr id="36" name="Text Box 36"/>
                <wp:cNvGraphicFramePr/>
                <a:graphic xmlns:a="http://schemas.openxmlformats.org/drawingml/2006/main">
                  <a:graphicData uri="http://schemas.microsoft.com/office/word/2010/wordprocessingShape">
                    <wps:wsp>
                      <wps:cNvSpPr txBox="1"/>
                      <wps:spPr>
                        <a:xfrm>
                          <a:off x="0" y="0"/>
                          <a:ext cx="5391150" cy="635"/>
                        </a:xfrm>
                        <a:prstGeom prst="rect">
                          <a:avLst/>
                        </a:prstGeom>
                        <a:solidFill>
                          <a:prstClr val="white"/>
                        </a:solidFill>
                        <a:ln>
                          <a:noFill/>
                        </a:ln>
                      </wps:spPr>
                      <wps:txbx>
                        <w:txbxContent>
                          <w:p w:rsidR="00D9132A" w:rsidRPr="00193131" w:rsidRDefault="00D9132A" w:rsidP="00042529">
                            <w:pPr>
                              <w:pStyle w:val="Caption"/>
                              <w:jc w:val="both"/>
                              <w:rPr>
                                <w:b w:val="0"/>
                                <w:noProof/>
                                <w:szCs w:val="28"/>
                              </w:rPr>
                            </w:pPr>
                            <w:bookmarkStart w:id="29" w:name="_Ref530507787"/>
                            <w:bookmarkStart w:id="30" w:name="_Toc530673931"/>
                            <w:r w:rsidRPr="00A841B4">
                              <w:t>Figure</w:t>
                            </w:r>
                            <w:r>
                              <w:t xml:space="preserve"> </w:t>
                            </w:r>
                            <w:fldSimple w:instr=" SEQ Figure \* ARABIC ">
                              <w:r w:rsidR="00E2070A">
                                <w:rPr>
                                  <w:noProof/>
                                </w:rPr>
                                <w:t>6</w:t>
                              </w:r>
                            </w:fldSimple>
                            <w:bookmarkEnd w:id="29"/>
                            <w:r>
                              <w:t xml:space="preserve">: OSBP in ERK signaling. </w:t>
                            </w:r>
                            <w:r>
                              <w:rPr>
                                <w:b w:val="0"/>
                              </w:rPr>
                              <w:t>When cholesterol is bound to OSBP it allows for the phosphatases PP2A and HePTP to complex with OSBP and dephosphorylate ERK. When cholesterol levels are low and oxysterol levels rise, oxysterol binding to OSBP allows for the complex to dissociate and OSBP then localizes between the ER and Golgi, allowing for ERK phosphorylation to occur.</w:t>
                            </w:r>
                            <w:bookmarkEnd w:id="30"/>
                            <w:r>
                              <w:rPr>
                                <w:b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88C520" id="Text Box 36" o:spid="_x0000_s1027" type="#_x0000_t202" style="position:absolute;left:0;text-align:left;margin-left:-1.2pt;margin-top:249.1pt;width:424.5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" stroked="f">
                <v:textbox style="mso-fit-shape-to-text:t" inset="0,0,0,0">
                  <w:txbxContent>
                    <w:p w:rsidR="00D9132A" w:rsidRPr="00193131" w:rsidRDefault="00D9132A" w:rsidP="00042529">
                      <w:pPr>
                        <w:pStyle w:val="Caption"/>
                        <w:jc w:val="both"/>
                        <w:rPr>
                          <w:b w:val="0"/>
                          <w:noProof/>
                          <w:szCs w:val="28"/>
                        </w:rPr>
                      </w:pPr>
                      <w:bookmarkStart w:id="31" w:name="_Ref530507787"/>
                      <w:bookmarkStart w:id="32" w:name="_Toc530673931"/>
                      <w:r w:rsidRPr="00A841B4">
                        <w:t>Figure</w:t>
                      </w:r>
                      <w:r>
                        <w:t xml:space="preserve"> </w:t>
                      </w:r>
                      <w:fldSimple w:instr=" SEQ Figure \* ARABIC ">
                        <w:r w:rsidR="00E2070A">
                          <w:rPr>
                            <w:noProof/>
                          </w:rPr>
                          <w:t>6</w:t>
                        </w:r>
                      </w:fldSimple>
                      <w:bookmarkEnd w:id="31"/>
                      <w:r>
                        <w:t xml:space="preserve">: OSBP in ERK signaling. </w:t>
                      </w:r>
                      <w:r>
                        <w:rPr>
                          <w:b w:val="0"/>
                        </w:rPr>
                        <w:t>When cholesterol is bound to OSBP it allows for the phosphatases PP2A and HePTP to complex with OSBP and dephosphorylate ERK. When cholesterol levels are low and oxysterol levels rise, oxysterol binding to OSBP allows for the complex to dissociate and OSBP then localizes between the ER and Golgi, allowing for ERK phosphorylation to occur.</w:t>
                      </w:r>
                      <w:bookmarkEnd w:id="32"/>
                      <w:r>
                        <w:rPr>
                          <w:b w:val="0"/>
                        </w:rPr>
                        <w:t xml:space="preserve"> </w:t>
                      </w:r>
                    </w:p>
                  </w:txbxContent>
                </v:textbox>
                <w10:wrap type="tight"/>
              </v:shape>
            </w:pict>
          </mc:Fallback>
        </mc:AlternateContent>
      </w:r>
      <w:r w:rsidR="00961548" w:rsidRPr="00B25249">
        <w:rPr>
          <w:szCs w:val="28"/>
        </w:rPr>
        <w:t>OSBP also has interactions with the JAK2/STAT3 pathway to lead to gene expression of profilin-1. 7-ketocholesterol levels were shown to lead to an up-regulation of profilin-1 transcription due to increased STAT3 activ</w:t>
      </w:r>
      <w:r w:rsidR="00E227D7">
        <w:rPr>
          <w:szCs w:val="28"/>
        </w:rPr>
        <w:t>ation, through JAK2 and OSBP</w:t>
      </w:r>
      <w:r w:rsidR="00E227D7">
        <w:rPr>
          <w:szCs w:val="28"/>
        </w:rPr>
        <w:fldChar w:fldCharType="begin" w:fldLock="1"/>
      </w:r>
      <w:r w:rsidR="00E921DB">
        <w:rPr>
          <w:szCs w:val="28"/>
        </w:rPr>
        <w:instrText>ADDIN CSL_CITATION {"citationItems":[{"id":"ITEM-1","itemData":{"DOI":"10.1074/jbc.M710092200","ISSN":"00219258","PMID":"18230613","abstract":"Endothelial dysfunction plays a central role in diabetic vascular disease, but its molecular bases are not completely defined. We showed previously that the actin-binding protein proflin-1 was increased in the diabetic endothelium and that attenuated expression of profilin-1 protected against atherosclerosis. Also 7-ketocholesterol up-regulated profilin-1 in endothelial cells via transcriptional mechanisms. The present study addressed the pathways responsible for profilin-1 gene expression in 7-ketocholesterol-stimulated endothelial cells and in the diabetic aorta. In luciferase reporter assays, the response to 7-ketocholesterol within the 5'-flanking region of profilin-1 was dependent on a single STAT response element. In aortic endothelial cells, 7-ketocholesterol enhanced STAT3 activation, which required JAK2 and tyrosine 394 phosphorylation of oxysterol-binding protein-1. These changes were recapitulated in the aorta of diabetic rats. Also 7-ketocholesterol in cultured endothelial cells and diabetes in the aorta elicited the recruitment of STAT3 and relevant coregulatory factors to the oxysterol-responsive region of the profilin-1 promoter. These events were required for profilin-1 up-regulation. These studies identify a previously unrecognized oxysterol-binding protein-mediated mode of activation of STAT3 that controls the expression of the proatherogenic protein profilin-1 in response to 7-ketocholesterol and the diabetic milieu.","author":[{"dropping-particle":"","family":"Romeo","given":"Giulio R.","non-dropping-particle":"","parse-names":false,"suffix":""},{"dropping-particle":"","family":"Kazlauskas","given":"Andrius","non-dropping-particle":"","parse-names":false,"suffix":""}],"container-title":"Journal of Biological Chemistry","id":"ITEM-1","issue":"15","issued":{"date-parts":[["2008"]]},"page":"9595-9605","title":"Oxysterol and diabetes activate STAT3 and control endothelial expression of profilin-1 via OSBP1","type":"article-journal","volume":"283"},"uris":["http://www.mendeley.com/documents/?uuid=caa5f084-d1ab-4f08-9b5b-794548d8051a"]}],"mendeley":{"formattedCitation":"(40)","plainTextFormattedCitation":"(40)","previouslyFormattedCitation":"(40)"},"properties":{"noteIndex":0},"schema":"https://github.com/citation-style-language/schema/raw/master/csl-citation.json"}</w:instrText>
      </w:r>
      <w:r w:rsidR="00E227D7">
        <w:rPr>
          <w:szCs w:val="28"/>
        </w:rPr>
        <w:fldChar w:fldCharType="separate"/>
      </w:r>
      <w:r w:rsidR="00393368" w:rsidRPr="00393368">
        <w:rPr>
          <w:noProof/>
          <w:szCs w:val="28"/>
        </w:rPr>
        <w:t>(40)</w:t>
      </w:r>
      <w:r w:rsidR="00E227D7">
        <w:rPr>
          <w:szCs w:val="28"/>
        </w:rPr>
        <w:fldChar w:fldCharType="end"/>
      </w:r>
      <w:r w:rsidR="00961548" w:rsidRPr="00B25249">
        <w:rPr>
          <w:szCs w:val="28"/>
        </w:rPr>
        <w:t>. When the oxysterol binds, OSBP interacts with JAK2 and is phosphorylated at position 394, which leads to a conformational change that allows for STAT3 to interact with the OSBP/JAK2 complex and also becomes activ</w:t>
      </w:r>
      <w:r w:rsidR="00E227D7">
        <w:rPr>
          <w:szCs w:val="28"/>
        </w:rPr>
        <w:t>ated by JAK2 phosphorylation</w:t>
      </w:r>
      <w:r w:rsidR="00E227D7">
        <w:rPr>
          <w:szCs w:val="28"/>
        </w:rPr>
        <w:fldChar w:fldCharType="begin" w:fldLock="1"/>
      </w:r>
      <w:r w:rsidR="00E921DB">
        <w:rPr>
          <w:szCs w:val="28"/>
        </w:rPr>
        <w:instrText>ADDIN CSL_CITATION {"citationItems":[{"id":"ITEM-1","itemData":{"DOI":"10.1074/jbc.M710092200","ISSN":"00219258","PMID":"18230613","abstract":"Endothelial dysfunction plays a central role in diabetic vascular disease, but its molecular bases are not completely defined. We showed previously that the actin-binding protein proflin-1 was increased in the diabetic endothelium and that attenuated expression of profilin-1 protected against atherosclerosis. Also 7-ketocholesterol up-regulated profilin-1 in endothelial cells via transcriptional mechanisms. The present study addressed the pathways responsible for profilin-1 gene expression in 7-ketocholesterol-stimulated endothelial cells and in the diabetic aorta. In luciferase reporter assays, the response to 7-ketocholesterol within the 5'-flanking region of profilin-1 was dependent on a single STAT response element. In aortic endothelial cells, 7-ketocholesterol enhanced STAT3 activation, which required JAK2 and tyrosine 394 phosphorylation of oxysterol-binding protein-1. These changes were recapitulated in the aorta of diabetic rats. Also 7-ketocholesterol in cultured endothelial cells and diabetes in the aorta elicited the recruitment of STAT3 and relevant coregulatory factors to the oxysterol-responsive region of the profilin-1 promoter. These events were required for profilin-1 up-regulation. These studies identify a previously unrecognized oxysterol-binding protein-mediated mode of activation of STAT3 that controls the expression of the proatherogenic protein profilin-1 in response to 7-ketocholesterol and the diabetic milieu.","author":[{"dropping-particle":"","family":"Romeo","given":"Giulio R.","non-dropping-particle":"","parse-names":false,"suffix":""},{"dropping-particle":"","family":"Kazlauskas","given":"Andrius","non-dropping-particle":"","parse-names":false,"suffix":""}],"container-title":"Journal of Biological Chemistry","id":"ITEM-1","issue":"15","issued":{"date-parts":[["2008"]]},"page":"9595-9605","title":"Oxysterol and diabetes activate STAT3 and control endothelial expression of profilin-1 via OSBP1","type":"article-journal","volume":"283"},"uris":["http://www.mendeley.com/documents/?uuid=caa5f084-d1ab-4f08-9b5b-794548d8051a"]}],"mendeley":{"formattedCitation":"(40)","plainTextFormattedCitation":"(40)","previouslyFormattedCitation":"(40)"},"properties":{"noteIndex":0},"schema":"https://github.com/citation-style-language/schema/raw/master/csl-citation.json"}</w:instrText>
      </w:r>
      <w:r w:rsidR="00E227D7">
        <w:rPr>
          <w:szCs w:val="28"/>
        </w:rPr>
        <w:fldChar w:fldCharType="separate"/>
      </w:r>
      <w:r w:rsidR="00393368" w:rsidRPr="00393368">
        <w:rPr>
          <w:noProof/>
          <w:szCs w:val="28"/>
        </w:rPr>
        <w:t>(40)</w:t>
      </w:r>
      <w:r w:rsidR="00E227D7">
        <w:rPr>
          <w:szCs w:val="28"/>
        </w:rPr>
        <w:fldChar w:fldCharType="end"/>
      </w:r>
      <w:r w:rsidR="00961548" w:rsidRPr="00B25249">
        <w:rPr>
          <w:szCs w:val="28"/>
        </w:rPr>
        <w:t>. Once activated, STAT3 can translocate to the nucleus and induce transcription of profilin-1 by binding to the gene promoter. This provides more evidence that OSBP maintains lipid homeostasis by acting as a sterol/lipid sensor, and through this sensing can modulate cell signaling in re</w:t>
      </w:r>
      <w:r w:rsidR="00E921DB">
        <w:rPr>
          <w:szCs w:val="28"/>
        </w:rPr>
        <w:t>sponse to various ligand levels (</w:t>
      </w:r>
      <w:r w:rsidR="00E921DB" w:rsidRPr="00E921DB">
        <w:rPr>
          <w:b/>
          <w:szCs w:val="28"/>
        </w:rPr>
        <w:fldChar w:fldCharType="begin"/>
      </w:r>
      <w:r w:rsidR="00E921DB" w:rsidRPr="00E921DB">
        <w:rPr>
          <w:b/>
          <w:szCs w:val="28"/>
        </w:rPr>
        <w:instrText xml:space="preserve"> REF _Ref530508044 \h </w:instrText>
      </w:r>
      <w:r w:rsidR="00E921DB">
        <w:rPr>
          <w:b/>
          <w:szCs w:val="28"/>
        </w:rPr>
        <w:instrText xml:space="preserve"> \* MERGEFORMAT </w:instrText>
      </w:r>
      <w:r w:rsidR="00E921DB" w:rsidRPr="00E921DB">
        <w:rPr>
          <w:b/>
          <w:szCs w:val="28"/>
        </w:rPr>
      </w:r>
      <w:r w:rsidR="00E921DB" w:rsidRPr="00E921DB">
        <w:rPr>
          <w:b/>
          <w:szCs w:val="28"/>
        </w:rPr>
        <w:fldChar w:fldCharType="separate"/>
      </w:r>
      <w:r w:rsidR="00E2070A" w:rsidRPr="00E2070A">
        <w:rPr>
          <w:b/>
        </w:rPr>
        <w:t xml:space="preserve">Figure </w:t>
      </w:r>
      <w:r w:rsidR="00E2070A" w:rsidRPr="00E2070A">
        <w:rPr>
          <w:b/>
          <w:noProof/>
        </w:rPr>
        <w:t>7</w:t>
      </w:r>
      <w:r w:rsidR="00E921DB" w:rsidRPr="00E921DB">
        <w:rPr>
          <w:b/>
          <w:szCs w:val="28"/>
        </w:rPr>
        <w:fldChar w:fldCharType="end"/>
      </w:r>
      <w:r w:rsidR="00E921DB">
        <w:rPr>
          <w:szCs w:val="28"/>
        </w:rPr>
        <w:t>)</w:t>
      </w:r>
    </w:p>
    <w:p w:rsidR="001E2413" w:rsidRDefault="00E921DB" w:rsidP="00FB099D">
      <w:pPr>
        <w:ind w:firstLine="720"/>
        <w:jc w:val="both"/>
        <w:rPr>
          <w:szCs w:val="28"/>
        </w:rPr>
      </w:pPr>
      <w:r w:rsidRPr="001E2413">
        <w:rPr>
          <w:noProof/>
          <w:szCs w:val="28"/>
          <w:lang w:bidi="ar-SA"/>
        </w:rPr>
        <w:lastRenderedPageBreak/>
        <w:drawing>
          <wp:anchor distT="0" distB="0" distL="114300" distR="114300" simplePos="0" relativeHeight="251665408" behindDoc="1" locked="0" layoutInCell="1" allowOverlap="1" wp14:anchorId="18270CEC" wp14:editId="2D278616">
            <wp:simplePos x="0" y="0"/>
            <wp:positionH relativeFrom="margin">
              <wp:posOffset>-15240</wp:posOffset>
            </wp:positionH>
            <wp:positionV relativeFrom="paragraph">
              <wp:posOffset>255270</wp:posOffset>
            </wp:positionV>
            <wp:extent cx="5394960" cy="3034665"/>
            <wp:effectExtent l="19050" t="19050" r="15240" b="13335"/>
            <wp:wrapTight wrapText="bothSides">
              <wp:wrapPolygon edited="0">
                <wp:start x="-76" y="-136"/>
                <wp:lineTo x="-76" y="21559"/>
                <wp:lineTo x="21585" y="21559"/>
                <wp:lineTo x="21585" y="-136"/>
                <wp:lineTo x="-76" y="-136"/>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394960" cy="3034665"/>
                    </a:xfrm>
                    <a:prstGeom prst="rect">
                      <a:avLst/>
                    </a:prstGeom>
                    <a:ln>
                      <a:solidFill>
                        <a:schemeClr val="tx1"/>
                      </a:solidFill>
                    </a:ln>
                  </pic:spPr>
                </pic:pic>
              </a:graphicData>
            </a:graphic>
          </wp:anchor>
        </w:drawing>
      </w:r>
    </w:p>
    <w:p w:rsidR="00193131" w:rsidRDefault="001E2413" w:rsidP="00FB099D">
      <w:pPr>
        <w:keepNext/>
        <w:jc w:val="both"/>
      </w:pPr>
      <w:r>
        <w:rPr>
          <w:noProof/>
          <w:lang w:bidi="ar-SA"/>
        </w:rPr>
        <mc:AlternateContent>
          <mc:Choice Requires="wps">
            <w:drawing>
              <wp:anchor distT="0" distB="0" distL="114300" distR="114300" simplePos="0" relativeHeight="251667456" behindDoc="1" locked="0" layoutInCell="1" allowOverlap="1" wp14:anchorId="604FD75A" wp14:editId="72057DF8">
                <wp:simplePos x="0" y="0"/>
                <wp:positionH relativeFrom="column">
                  <wp:posOffset>-15240</wp:posOffset>
                </wp:positionH>
                <wp:positionV relativeFrom="paragraph">
                  <wp:posOffset>3110865</wp:posOffset>
                </wp:positionV>
                <wp:extent cx="5394960" cy="635"/>
                <wp:effectExtent l="0" t="0" r="0" b="0"/>
                <wp:wrapTight wrapText="bothSides">
                  <wp:wrapPolygon edited="0">
                    <wp:start x="0" y="0"/>
                    <wp:lineTo x="0" y="21600"/>
                    <wp:lineTo x="21600" y="21600"/>
                    <wp:lineTo x="21600" y="0"/>
                  </wp:wrapPolygon>
                </wp:wrapTight>
                <wp:docPr id="39" name="Text Box 39"/>
                <wp:cNvGraphicFramePr/>
                <a:graphic xmlns:a="http://schemas.openxmlformats.org/drawingml/2006/main">
                  <a:graphicData uri="http://schemas.microsoft.com/office/word/2010/wordprocessingShape">
                    <wps:wsp>
                      <wps:cNvSpPr txBox="1"/>
                      <wps:spPr>
                        <a:xfrm>
                          <a:off x="0" y="0"/>
                          <a:ext cx="5394960" cy="635"/>
                        </a:xfrm>
                        <a:prstGeom prst="rect">
                          <a:avLst/>
                        </a:prstGeom>
                        <a:solidFill>
                          <a:prstClr val="white"/>
                        </a:solidFill>
                        <a:ln>
                          <a:noFill/>
                        </a:ln>
                      </wps:spPr>
                      <wps:txbx>
                        <w:txbxContent>
                          <w:p w:rsidR="00D9132A" w:rsidRPr="001E2413" w:rsidRDefault="00D9132A" w:rsidP="00042529">
                            <w:pPr>
                              <w:pStyle w:val="Caption"/>
                              <w:jc w:val="both"/>
                              <w:rPr>
                                <w:b w:val="0"/>
                                <w:szCs w:val="28"/>
                              </w:rPr>
                            </w:pPr>
                            <w:bookmarkStart w:id="33" w:name="_Ref530508044"/>
                            <w:bookmarkStart w:id="34" w:name="_Toc530673932"/>
                            <w:r w:rsidRPr="00A841B4">
                              <w:t>Figure</w:t>
                            </w:r>
                            <w:r>
                              <w:t xml:space="preserve"> </w:t>
                            </w:r>
                            <w:fldSimple w:instr=" SEQ Figure \* ARABIC ">
                              <w:r w:rsidR="00E2070A">
                                <w:rPr>
                                  <w:noProof/>
                                </w:rPr>
                                <w:t>7</w:t>
                              </w:r>
                            </w:fldSimple>
                            <w:bookmarkEnd w:id="33"/>
                            <w:r>
                              <w:t xml:space="preserve">: OSBP in JAK/STAT signaling. </w:t>
                            </w:r>
                            <w:r>
                              <w:rPr>
                                <w:b w:val="0"/>
                              </w:rPr>
                              <w:t>(A) OSBP binds an oxysterol which allows for JAK2 interactions leading to (B) OSBP phosphorylation and conformational change. (C) The new OSBP conformation allows for STAT3 to interact with the OSBP/JAK2 complex leading to STAT3 phosphorylation. (D) Activated STAT3 is then able to translocate into the nucleus and increase the transcription of profilin-1.</w:t>
                            </w:r>
                            <w:bookmarkEnd w:id="34"/>
                            <w:r>
                              <w:rPr>
                                <w:b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4FD75A" id="Text Box 39" o:spid="_x0000_s1028" type="#_x0000_t202" style="position:absolute;left:0;text-align:left;margin-left:-1.2pt;margin-top:244.95pt;width:424.8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" stroked="f">
                <v:textbox style="mso-fit-shape-to-text:t" inset="0,0,0,0">
                  <w:txbxContent>
                    <w:p w:rsidR="00D9132A" w:rsidRPr="001E2413" w:rsidRDefault="00D9132A" w:rsidP="00042529">
                      <w:pPr>
                        <w:pStyle w:val="Caption"/>
                        <w:jc w:val="both"/>
                        <w:rPr>
                          <w:b w:val="0"/>
                          <w:szCs w:val="28"/>
                        </w:rPr>
                      </w:pPr>
                      <w:bookmarkStart w:id="35" w:name="_Ref530508044"/>
                      <w:bookmarkStart w:id="36" w:name="_Toc530673932"/>
                      <w:r w:rsidRPr="00A841B4">
                        <w:t>Figure</w:t>
                      </w:r>
                      <w:r>
                        <w:t xml:space="preserve"> </w:t>
                      </w:r>
                      <w:fldSimple w:instr=" SEQ Figure \* ARABIC ">
                        <w:r w:rsidR="00E2070A">
                          <w:rPr>
                            <w:noProof/>
                          </w:rPr>
                          <w:t>7</w:t>
                        </w:r>
                      </w:fldSimple>
                      <w:bookmarkEnd w:id="35"/>
                      <w:r>
                        <w:t xml:space="preserve">: OSBP in JAK/STAT signaling. </w:t>
                      </w:r>
                      <w:r>
                        <w:rPr>
                          <w:b w:val="0"/>
                        </w:rPr>
                        <w:t>(A) OSBP binds an oxysterol which allows for JAK2 interactions leading to (B) OSBP phosphorylation and conformational change. (C) The new OSBP conformation allows for STAT3 to interact with the OSBP/JAK2 complex leading to STAT3 phosphorylation. (D) Activated STAT3 is then able to translocate into the nucleus and increase the transcription of profilin-1.</w:t>
                      </w:r>
                      <w:bookmarkEnd w:id="36"/>
                      <w:r>
                        <w:rPr>
                          <w:b w:val="0"/>
                        </w:rPr>
                        <w:t xml:space="preserve"> </w:t>
                      </w:r>
                    </w:p>
                  </w:txbxContent>
                </v:textbox>
                <w10:wrap type="tight"/>
              </v:shape>
            </w:pict>
          </mc:Fallback>
        </mc:AlternateContent>
      </w:r>
    </w:p>
    <w:p w:rsidR="00193131" w:rsidRPr="00193131" w:rsidRDefault="00193131" w:rsidP="00FB099D">
      <w:pPr>
        <w:pStyle w:val="Caption"/>
        <w:jc w:val="both"/>
        <w:rPr>
          <w:b w:val="0"/>
          <w:szCs w:val="28"/>
        </w:rPr>
      </w:pPr>
    </w:p>
    <w:p w:rsidR="00961548" w:rsidRDefault="00961548" w:rsidP="00042529">
      <w:pPr>
        <w:pStyle w:val="Heading3"/>
      </w:pPr>
      <w:bookmarkStart w:id="37" w:name="_Ref530661994"/>
      <w:bookmarkStart w:id="38" w:name="_Toc532553075"/>
      <w:r>
        <w:t>ORP4</w:t>
      </w:r>
      <w:bookmarkEnd w:id="37"/>
      <w:bookmarkEnd w:id="38"/>
    </w:p>
    <w:p w:rsidR="00961548" w:rsidRPr="00AE0583" w:rsidRDefault="00961548" w:rsidP="00FB099D">
      <w:pPr>
        <w:pStyle w:val="Heading4"/>
        <w:jc w:val="both"/>
        <w:rPr>
          <w:b w:val="0"/>
          <w:i/>
          <w:sz w:val="24"/>
        </w:rPr>
      </w:pPr>
      <w:r w:rsidRPr="00AE0583">
        <w:rPr>
          <w:b w:val="0"/>
          <w:i/>
          <w:sz w:val="24"/>
        </w:rPr>
        <w:t>Variants and Tissue Specificity</w:t>
      </w:r>
    </w:p>
    <w:p w:rsidR="00961548" w:rsidRPr="00032868" w:rsidRDefault="00961548" w:rsidP="00FB099D">
      <w:pPr>
        <w:ind w:firstLine="720"/>
        <w:jc w:val="both"/>
      </w:pPr>
      <w:r>
        <w:t>ORP4 is a protein of 916 amino acids that consists of an N-terminus PH and FFAT domain with a C-terminus ligand binding domain. OSBP shares the closest sequence similarity to ORP4 than any other human ORP with 58% sequence identity on the DNA level and 64% on the protein level</w:t>
      </w:r>
      <w:r w:rsidRPr="00B25249">
        <w:rPr>
          <w:vertAlign w:val="superscript"/>
        </w:rPr>
        <w:fldChar w:fldCharType="begin" w:fldLock="1"/>
      </w:r>
      <w:r w:rsidR="00393368">
        <w:rPr>
          <w:vertAlign w:val="superscript"/>
        </w:rPr>
        <w:instrText>ADDIN CSL_CITATION {"citationItems":[{"id":"ITEM-1","itemData":{"DOI":"10.1074/jbc.M011259200","ISSN":"00219258","PMID":"11278871","abstract":"We are interested in understanding the possible function(s) of the oxysterol-binding proteins in mediating oxysterol cytotoxicity in the retina. In this study we describe the cloning, localization, and biological activity of a novel oxysterol-binding protein (OSBP2), and complete the molecular characterization of the previously known OSBP1. Both OSBP genes contain 14 exons and have similar exon sizes and splice sites suggesting they may have arisen from a gene duplication event. OSBP1 is located in chromosome 11q12.1, and OSBP2 is located in 22q12. At the protein level they share 63% overall similarity and although they have unique N termini, both have similar pleckstrin homology domains within the N terminus region. Northern blot analyses indicate that OSBP1 is broadly expressed in human and monkey tissues. OSBP2 is detected mainly in retina, testis, and fetal liver. Western blot analysis using peptide antibodies specific to OSBP1 and OSBP2 detected the proteins in different subcellular fractions in the retinal monkey tissue. OSBP1 is detected mainly in the soluble or cytosolic fraction and nuclei whereas OSBP2 is detected exclusively in the detergent soluble fraction suggesting association with membranes. Immunohistochemical localization of OSBP1 and OSBP2 in the monkey retina placed these two proteins in similar but distinct areas of the inner retina. OSBP2 was found to bind 7-ketocholesterol but to have very little affinity for cholesterol or 25-hydroxycholesterol.","author":[{"dropping-particle":"","family":"Moreira","given":"Ernesto F.","non-dropping-particle":"","parse-names":false,"suffix":""},{"dropping-particle":"","family":"Jaworski","given":"Cynthia","non-dropping-particle":"","parse-names":false,"suffix":""},{"dropping-particle":"","family":"Li","given":"Aiguo","non-dropping-particle":"","parse-names":false,"suffix":""},{"dropping-particle":"","family":"Rodriguez","given":"Ignacio R.","non-dropping-particle":"","parse-names":false,"suffix":""}],"container-title":"Journal of Biological Chemistry","id":"ITEM-1","issue":"21","issued":{"date-parts":[["2001"]]},"page":"18570-18578","title":"Molecular and Biochemical Characterization of a Novel Oxysterol-binding Protein (OSBP2) Highly Expressed in Retina","type":"article-journal","volume":"276"},"uris":["http://www.mendeley.com/documents/?uuid=df23666d-b2d2-48d5-aefb-e9a97558d6ec"]}],"mendeley":{"formattedCitation":"(44)","plainTextFormattedCitation":"(44)","previouslyFormattedCitation":"(44)"},"properties":{"noteIndex":0},"schema":"https://github.com/citation-style-language/schema/raw/master/csl-citation.json"}</w:instrText>
      </w:r>
      <w:r w:rsidRPr="00B25249">
        <w:rPr>
          <w:vertAlign w:val="superscript"/>
        </w:rPr>
        <w:fldChar w:fldCharType="separate"/>
      </w:r>
      <w:r w:rsidR="00393368" w:rsidRPr="00393368">
        <w:rPr>
          <w:noProof/>
        </w:rPr>
        <w:t>(44)</w:t>
      </w:r>
      <w:r w:rsidRPr="00B25249">
        <w:rPr>
          <w:vertAlign w:val="superscript"/>
        </w:rPr>
        <w:fldChar w:fldCharType="end"/>
      </w:r>
      <w:r>
        <w:t>. Despite this high similarity in seque</w:t>
      </w:r>
      <w:r w:rsidR="00D741FF">
        <w:t xml:space="preserve">nce, the two proteins are </w:t>
      </w:r>
      <w:r>
        <w:t>different</w:t>
      </w:r>
      <w:r w:rsidR="00D741FF">
        <w:t xml:space="preserve"> in biological function</w:t>
      </w:r>
      <w:r>
        <w:t>. Unlike OSBP, ORP4 has three difference splice variants named: ORP4L, ORP4M, and ORP4S</w:t>
      </w:r>
      <w:r w:rsidRPr="00B25249">
        <w:rPr>
          <w:vertAlign w:val="superscript"/>
        </w:rPr>
        <w:fldChar w:fldCharType="begin" w:fldLock="1"/>
      </w:r>
      <w:r w:rsidR="00DE076B">
        <w:rPr>
          <w:vertAlign w:val="superscript"/>
        </w:rPr>
        <w:instrText>ADDIN CSL_CITATION {"citationItems":[{"id":"ITEM-1","itemData":{"DOI":"10.1042/0264-6021:3610461","ISBN":"0264-6021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Journal","id":"ITEM-1","issue":"3","issued":{"date-parts":[["2002","2","1"]]},"page":"461","title":"Oxysterol-binding-protein (OSBP)-related protein 4 binds25-hydroxycholesterol and interacts with vimentin intermediate filaments","type":"article-journal","volume":"361"},"uris":["http://www.mendeley.com/documents/?uuid=cedfa320-07de-40ce-b2d3-c1f3abc9db40"]},{"id":"ITEM-2","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Chemistry","id":"ITEM-2","issue":"22","issued":{"date-parts":[["2014"]]},"page":"15705-15717","title":"Oxysterol-binding protein (OSBP)-related protein 4 (ORP4) is essential for cell proliferation and survival","type":"article-journal","volume":"289"},"uris":["http://www.mendeley.com/documents/?uuid=69e80f92-9587-4c32-b5d3-c1560da16ba1"]}],"mendeley":{"formattedCitation":"(12, 17)","plainTextFormattedCitation":"(12, 17)","previouslyFormattedCitation":"(12, 17)"},"properties":{"noteIndex":0},"schema":"https://github.com/citation-style-language/schema/raw/master/csl-citation.json"}</w:instrText>
      </w:r>
      <w:r w:rsidRPr="00B25249">
        <w:rPr>
          <w:vertAlign w:val="superscript"/>
        </w:rPr>
        <w:fldChar w:fldCharType="separate"/>
      </w:r>
      <w:r w:rsidR="00423910" w:rsidRPr="00423910">
        <w:rPr>
          <w:noProof/>
        </w:rPr>
        <w:t>(12, 17)</w:t>
      </w:r>
      <w:r w:rsidRPr="00B25249">
        <w:rPr>
          <w:vertAlign w:val="superscript"/>
        </w:rPr>
        <w:fldChar w:fldCharType="end"/>
      </w:r>
      <w:r>
        <w:t>. ORP4L is the longest splice variant with all 916 amino acids and targeting domains</w:t>
      </w:r>
      <w:r w:rsidR="00D741FF">
        <w:fldChar w:fldCharType="begin" w:fldLock="1"/>
      </w:r>
      <w:r w:rsidR="00D741FF">
        <w:instrText>ADDIN CSL_CITATION {"citationItems":[{"id":"ITEM-1","itemData":{"DOI":"10.1074/jbc.M011259200","ISSN":"00219258","PMID":"11278871","abstract":"We are interested in understanding the possible function(s) of the oxysterol-binding proteins in mediating oxysterol cytotoxicity in the retina. In this study we describe the cloning, localization, and biological activity of a novel oxysterol-binding protein (OSBP2), and complete the molecular characterization of the previously known OSBP1. Both OSBP genes contain 14 exons and have similar exon sizes and splice sites suggesting they may have arisen from a gene duplication event. OSBP1 is located in chromosome 11q12.1, and OSBP2 is located in 22q12. At the protein level they share 63% overall similarity and although they have unique N termini, both have similar pleckstrin homology domains within the N terminus region. Northern blot analyses indicate that OSBP1 is broadly expressed in human and monkey tissues. OSBP2 is detected mainly in retina, testis, and fetal liver. Western blot analysis using peptide antibodies specific to OSBP1 and OSBP2 detected the proteins in different subcellular fractions in the retinal monkey tissue. OSBP1 is detected mainly in the soluble or cytosolic fraction and nuclei whereas OSBP2 is detected exclusively in the detergent soluble fraction suggesting association with membranes. Immunohistochemical localization of OSBP1 and OSBP2 in the monkey retina placed these two proteins in similar but distinct areas of the inner retina. OSBP2 was found to bind 7-ketocholesterol but to have very little affinity for cholesterol or 25-hydroxycholesterol.","author":[{"dropping-particle":"","family":"Moreira","given":"Ernesto F.","non-dropping-particle":"","parse-names":false,"suffix":""},{"dropping-particle":"","family":"Jaworski","given":"Cynthia","non-dropping-particle":"","parse-names":false,"suffix":""},{"dropping-particle":"","family":"Li","given":"Aiguo","non-dropping-particle":"","parse-names":false,"suffix":""},{"dropping-particle":"","family":"Rodriguez","given":"Ignacio R.","non-dropping-particle":"","parse-names":false,"suffix":""}],"container-title":"Journal of Biological Chemistry","id":"ITEM-1","issue":"21","issued":{"date-parts":[["2001"]]},"page":"18570-18578","title":"Molecular and Biochemical Characterization of a Novel Oxysterol-binding Protein (OSBP2) Highly Expressed in Retina","type":"article-journal","volume":"276"},"uris":["http://www.mendeley.com/documents/?uuid=df23666d-b2d2-48d5-aefb-e9a97558d6ec"]},{"id":"ITEM-2","itemData":{"DOI":"10.1042/0264-6021:3610461","ISBN":"0264-6021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Journal","id":"ITEM-2","issue":"3","issued":{"date-parts":[["2002","2","1"]]},"page":"461","title":"Oxysterol-binding-protein (OSBP)-related protein 4 binds25-hydroxycholesterol and interacts with vimentin intermediate filaments","type":"article-journal","volume":"361"},"uris":["http://www.mendeley.com/documents/?uuid=cedfa320-07de-40ce-b2d3-c1f3abc9db40"]},{"id":"ITEM-3","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Chemistry","id":"ITEM-3","issue":"22","issued":{"date-parts":[["2014"]]},"page":"15705-15717","title":"Oxysterol-binding protein (OSBP)-related protein 4 (ORP4) is essential for cell proliferation and survival","type":"article-journal","volume":"289"},"uris":["http://www.mendeley.com/documents/?uuid=69e80f92-9587-4c32-b5d3-c1560da16ba1"]}],"mendeley":{"formattedCitation":"(12, 17, 44)","plainTextFormattedCitation":"(12, 17, 44)","previouslyFormattedCitation":"(12, 17, 44)"},"properties":{"noteIndex":0},"schema":"https://github.com/citation-style-language/schema/raw/master/csl-citation.json"}</w:instrText>
      </w:r>
      <w:r w:rsidR="00D741FF">
        <w:fldChar w:fldCharType="separate"/>
      </w:r>
      <w:r w:rsidR="00D741FF" w:rsidRPr="00D741FF">
        <w:rPr>
          <w:noProof/>
        </w:rPr>
        <w:t>(12, 17, 44)</w:t>
      </w:r>
      <w:r w:rsidR="00D741FF">
        <w:fldChar w:fldCharType="end"/>
      </w:r>
      <w:r>
        <w:t>. ORP4M has a truncated PH domain that is predicted to be n</w:t>
      </w:r>
      <w:r w:rsidR="00D741FF">
        <w:t>onfunctional in binding PI4P</w:t>
      </w:r>
      <w:r w:rsidR="00D741FF">
        <w:fldChar w:fldCharType="begin" w:fldLock="1"/>
      </w:r>
      <w:r w:rsidR="00D741FF">
        <w:instrText>ADDIN CSL_CITATION {"citationItems":[{"id":"ITEM-1","itemData":{"DOI":"10.1074/jbc.M114.571216","ISBN":"9024924324","ISSN":"1083351X","PMID":"24742681","abstract":"Oxysterol-binding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Chemistry","id":"ITEM-1","issue":"22","issued":{"date-parts":[["2014"]]},"page":"15705-15717","title":"Oxysterol-binding protein (OSBP)-related protein 4 (ORP4) is essential for cell proliferation and survival","type":"article-journal","volume":"289"},"uris":["http://www.mendeley.com/documents/?uuid=69e80f92-9587-4c32-b5d3-c1560da16ba1"]}],"mendeley":{"formattedCitation":"(17)","plainTextFormattedCitation":"(17)","previouslyFormattedCitation":"(17)"},"properties":{"noteIndex":0},"schema":"https://github.com/citation-style-language/schema/raw/master/csl-citation.json"}</w:instrText>
      </w:r>
      <w:r w:rsidR="00D741FF">
        <w:fldChar w:fldCharType="separate"/>
      </w:r>
      <w:r w:rsidR="00D741FF" w:rsidRPr="00D741FF">
        <w:rPr>
          <w:noProof/>
        </w:rPr>
        <w:t>(17)</w:t>
      </w:r>
      <w:r w:rsidR="00D741FF">
        <w:fldChar w:fldCharType="end"/>
      </w:r>
      <w:r w:rsidR="00D741FF">
        <w:t>.</w:t>
      </w:r>
      <w:r>
        <w:t xml:space="preserve"> ORP4S is lacking the N-terminus PH domain altogether and a portion of the </w:t>
      </w:r>
      <w:r>
        <w:lastRenderedPageBreak/>
        <w:t>ligand binding domain</w:t>
      </w:r>
      <w:r w:rsidR="00D741FF">
        <w:fldChar w:fldCharType="begin" w:fldLock="1"/>
      </w:r>
      <w:r w:rsidR="00A02001">
        <w:instrText>ADDIN CSL_CITATION {"citationItems":[{"id":"ITEM-1","itemData":{"DOI":"10.1042/0264-6021:3610461","ISBN":"0264-6021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Journal","id":"ITEM-1","issue":"3","issued":{"date-parts":[["2002","2","1"]]},"page":"461","title":"Oxysterol-binding-protein (OSBP)-related protein 4 binds25-hydroxycholesterol and interacts with vimentin intermediate filaments","type":"article-journal","volume":"361"},"uris":["http://www.mendeley.com/documents/?uuid=cedfa320-07de-40ce-b2d3-c1f3abc9db40"]},{"id":"ITEM-2","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Chemistry","id":"ITEM-2","issue":"22","issued":{"date-parts":[["2014"]]},"page":"15705-15717","title":"Oxysterol-binding protein (OSBP)-related protein 4 (ORP4) is essential for cell proliferation and survival","type":"article-journal","volume":"289"},"uris":["http://www.mendeley.com/documents/?uuid=69e80f92-9587-4c32-b5d3-c1560da16ba1"]}],"mendeley":{"formattedCitation":"(12, 17)","plainTextFormattedCitation":"(12, 17)","previouslyFormattedCitation":"(12, 17)"},"properties":{"noteIndex":0},"schema":"https://github.com/citation-style-language/schema/raw/master/csl-citation.json"}</w:instrText>
      </w:r>
      <w:r w:rsidR="00D741FF">
        <w:fldChar w:fldCharType="separate"/>
      </w:r>
      <w:r w:rsidR="00D741FF" w:rsidRPr="00D741FF">
        <w:rPr>
          <w:noProof/>
        </w:rPr>
        <w:t>(12, 17)</w:t>
      </w:r>
      <w:r w:rsidR="00D741FF">
        <w:fldChar w:fldCharType="end"/>
      </w:r>
      <w:r>
        <w:t>. Whereas OSBP is ubiquitously expressed, ORP4 seems to be tissue specific with the highest levels being in brain, retina, heart, and kidney tissues</w:t>
      </w:r>
      <w:r w:rsidRPr="00B25249">
        <w:rPr>
          <w:vertAlign w:val="superscript"/>
        </w:rPr>
        <w:fldChar w:fldCharType="begin" w:fldLock="1"/>
      </w:r>
      <w:r w:rsidR="00393368">
        <w:rPr>
          <w:vertAlign w:val="superscript"/>
        </w:rPr>
        <w:instrText>ADDIN CSL_CITATION {"citationItems":[{"id":"ITEM-1","itemData":{"DOI":"10.1074/jbc.M011259200","ISSN":"00219258","PMID":"11278871","abstract":"We are interested in understanding the possible function(s) of the oxysterol-binding proteins in mediating oxysterol cytotoxicity in the retina. In this study we describe the cloning, localization, and biological activity of a novel oxysterol-binding protein (OSBP2), and complete the molecular characterization of the previously known OSBP1. Both OSBP genes contain 14 exons and have similar exon sizes and splice sites suggesting they may have arisen from a gene duplication event. OSBP1 is located in chromosome 11q12.1, and OSBP2 is located in 22q12. At the protein level they share 63% overall similarity and although they have unique N termini, both have similar pleckstrin homology domains within the N terminus region. Northern blot analyses indicate that OSBP1 is broadly expressed in human and monkey tissues. OSBP2 is detected mainly in retina, testis, and fetal liver. Western blot analysis using peptide antibodies specific to OSBP1 and OSBP2 detected the proteins in different subcellular fractions in the retinal monkey tissue. OSBP1 is detected mainly in the soluble or cytosolic fraction and nuclei whereas OSBP2 is detected exclusively in the detergent soluble fraction suggesting association with membranes. Immunohistochemical localization of OSBP1 and OSBP2 in the monkey retina placed these two proteins in similar but distinct areas of the inner retina. OSBP2 was found to bind 7-ketocholesterol but to have very little affinity for cholesterol or 25-hydroxycholesterol.","author":[{"dropping-particle":"","family":"Moreira","given":"Ernesto F.","non-dropping-particle":"","parse-names":false,"suffix":""},{"dropping-particle":"","family":"Jaworski","given":"Cynthia","non-dropping-particle":"","parse-names":false,"suffix":""},{"dropping-particle":"","family":"Li","given":"Aiguo","non-dropping-particle":"","parse-names":false,"suffix":""},{"dropping-particle":"","family":"Rodriguez","given":"Ignacio R.","non-dropping-particle":"","parse-names":false,"suffix":""}],"container-title":"Journal of Biological Chemistry","id":"ITEM-1","issue":"21","issued":{"date-parts":[["2001"]]},"page":"18570-18578","title":"Molecular and Biochemical Characterization of a Novel Oxysterol-binding Protein (OSBP2) Highly Expressed in Retina","type":"article-journal","volume":"276"},"uris":["http://www.mendeley.com/documents/?uuid=df23666d-b2d2-48d5-aefb-e9a97558d6ec"]},{"id":"ITEM-2","itemData":{"DOI":"10.1042/0264-6021:3610461","ISBN":"0264-6021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Journal","id":"ITEM-2","issue":"3","issued":{"date-parts":[["2002","2","1"]]},"page":"461","title":"Oxysterol-binding-protein (OSBP)-related protein 4 binds25-hydroxycholesterol and interacts with vimentin intermediate filaments","type":"article-journal","volume":"361"},"uris":["http://www.mendeley.com/documents/?uuid=cedfa320-07de-40ce-b2d3-c1f3abc9db40"]}],"mendeley":{"formattedCitation":"(12, 44)","plainTextFormattedCitation":"(12, 44)","previouslyFormattedCitation":"(12, 44)"},"properties":{"noteIndex":0},"schema":"https://github.com/citation-style-language/schema/raw/master/csl-citation.json"}</w:instrText>
      </w:r>
      <w:r w:rsidRPr="00B25249">
        <w:rPr>
          <w:vertAlign w:val="superscript"/>
        </w:rPr>
        <w:fldChar w:fldCharType="separate"/>
      </w:r>
      <w:r w:rsidR="00393368" w:rsidRPr="00393368">
        <w:rPr>
          <w:noProof/>
        </w:rPr>
        <w:t>(12, 44)</w:t>
      </w:r>
      <w:r w:rsidRPr="00B25249">
        <w:rPr>
          <w:vertAlign w:val="superscript"/>
        </w:rPr>
        <w:fldChar w:fldCharType="end"/>
      </w:r>
      <w:r>
        <w:t>. ORP4 was also shown to be overexpressed in patients with chronic leukemia as well as various cancer cell lines</w:t>
      </w:r>
      <w:r w:rsidRPr="00B25249">
        <w:rPr>
          <w:vertAlign w:val="superscript"/>
        </w:rPr>
        <w:fldChar w:fldCharType="begin" w:fldLock="1"/>
      </w:r>
      <w:r w:rsidR="00393368">
        <w:rPr>
          <w:vertAlign w:val="superscript"/>
        </w:rPr>
        <w:instrText>ADDIN CSL_CITATION {"citationItems":[{"id":"ITEM-1","itemData":{"author":[{"dropping-particle":"","family":"Silva","given":"NH","non-dropping-particle":"","parse-names":false,"suffix":""},{"dropping-particle":"V","family":"Fournier","given":"M","non-dropping-particle":"","parse-names":false,"suffix":""},{"dropping-particle":"","family":"Pimenta","given":"G","non-dropping-particle":"","parse-names":false,"suffix":""},{"dropping-particle":"","family":"Pulcheri","given":"W A","non-dropping-particle":"","parse-names":false,"suffix":""},{"dropping-particle":"","family":"Spector","given":"N","non-dropping-particle":"","parse-names":false,"suffix":""},{"dropping-particle":"","family":"Carvalho","given":"M G","non-dropping-particle":"","parse-names":false,"suffix":""}],"container-title":"International Journal of Molecular Medicine","id":"ITEM-1","issued":{"date-parts":[["2003"]]},"note":"From Duplicate 2 ( \n\n\n\n\n\n\n\n\n\n\n\n\n\n\n\n\n\n\n\n\n\n\n\n\n\n\n\n\n\n\n\n\n\n\n\n\n\n\n\n\n\n\n\n\n\n\n\n\n\n\n\n\n\n\n\n\n\n\n\n\n\n\n\n\n\n\n\n\n\n\n\n\n\n\n\n\n\n\n\n\n\n\n\n\n\n\n\n\n\n\n\n\n\n\n\n\n\n\n\n\n\n\n\n\n\n\n\n\n\n\n\n\n\n\n\n\n\n\n\n\n\n\n\n\n\n\n\n\n\nUnknown - Unknown - Silva et al. - HLMOSBP2 is expressed in chronic myeloid leukemia - 2003 - International journal of molecular medicine.pdf - Unknown - Unknown.pdf - Unknown - Unknown.pdf\n\n\n\n\n\n\n\n\n\n\n\n\n\n\n\n\n\n\n\n\n\n\n\n\n\n\n\n\n\n\n\n\n\n\n\n\n\n\n\n\n\n\n\n\n\n\n\n\n\n\n\n\n\n\n\n\n\n\n\n\n\n\n\n\n\n\n\n\n\n\n\n\n\n\n\n\n\n\n\n\n\n\n\n\n\n\n\n\n\n\n\n\n\n\n\n\n\n\n\n\n\n\n\n\n\n\n\n\n\n\n\n\n\n\n\n\n\n\n\n\n\n\n\n\n\n\n\n\n\n- )\n\n\n\n\n\n\n\n\n\n\n\n\n\n\n\n\n\n\n\n\n\n\n\n\n\n\n\n\n\n\n\n","page":"663-666","title":"HLMOSBP2 is expressed in chronic myeloid leukemia","type":"article-journal","volume":"12"},"uris":["http://www.mendeley.com/documents/?uuid=4a942059-98bd-40c4-b13a-d341952716d3"]},{"id":"ITEM-2","itemData":{"DOI":"10.1038/nchembio.625.Natural","abstract":"Cephalostatin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D","non-dropping-particle":"","parse-names":false,"suffix":""}],"id":"ITEM-2","issue":"9","issued":{"date-parts":[["2011"]]},"page":"639-647","title":"Natural products reveal cancer cell dependence on oxysterol- binding proteins","type":"article-journal","volume":"7"},"uris":["http://www.mendeley.com/documents/?uuid=738d7551-7762-4881-b322-86a5dd78671b"]},{"id":"ITEM-3","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Chemistry","id":"ITEM-3","issue":"22","issued":{"date-parts":[["2014"]]},"page":"15705-15717","title":"Oxysterol-binding protein (OSBP)-related protein 4 (ORP4) is essential for cell proliferation and survival","type":"article-journal","volume":"289"},"uris":["http://www.mendeley.com/documents/?uuid=69e80f92-9587-4c32-b5d3-c1560da16ba1"]}],"mendeley":{"formattedCitation":"(17, 45, 46)","plainTextFormattedCitation":"(17, 45, 46)","previouslyFormattedCitation":"(17, 45, 46)"},"properties":{"noteIndex":0},"schema":"https://github.com/citation-style-language/schema/raw/master/csl-citation.json"}</w:instrText>
      </w:r>
      <w:r w:rsidRPr="00B25249">
        <w:rPr>
          <w:vertAlign w:val="superscript"/>
        </w:rPr>
        <w:fldChar w:fldCharType="separate"/>
      </w:r>
      <w:r w:rsidR="00393368" w:rsidRPr="00393368">
        <w:rPr>
          <w:noProof/>
        </w:rPr>
        <w:t>(17, 45, 46)</w:t>
      </w:r>
      <w:r w:rsidRPr="00B25249">
        <w:rPr>
          <w:vertAlign w:val="superscript"/>
        </w:rPr>
        <w:fldChar w:fldCharType="end"/>
      </w:r>
      <w:r>
        <w:t>. Like OSBP, ORP4L was shown to have high affinity for cholesterol and 25-OHC, as well as bind PI4P and VAPA</w:t>
      </w:r>
      <w:r w:rsidRPr="00B25249">
        <w:rPr>
          <w:vertAlign w:val="superscript"/>
        </w:rPr>
        <w:fldChar w:fldCharType="begin" w:fldLock="1"/>
      </w:r>
      <w:r w:rsidR="00393368">
        <w:rPr>
          <w:vertAlign w:val="superscript"/>
        </w:rPr>
        <w:instrText>ADDIN CSL_CITATION {"citationItems":[{"id":"ITEM-1","itemData":{"DOI":"10.1042/0264-6021:3610461","ISBN":"0264-6021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Journal","id":"ITEM-1","issue":"3","issued":{"date-parts":[["2002","2","1"]]},"page":"461","title":"Oxysterol-binding-protein (OSBP)-related protein 4 binds25-hydroxycholesterol and interacts with vimentin intermediate filaments","type":"article-journal","volume":"361"},"uris":["http://www.mendeley.com/documents/?uuid=cedfa320-07de-40ce-b2d3-c1f3abc9db40"]},{"id":"ITEM-2","itemData":{"DOI":"10.1016/j.yexcr.2007.01.018","ISSN":"00144827","PMID":"17350617","abstract":"Oxysterol-binding protein (OSBP) and OSBP-related protein 4 (ORP4; also designated OSBP2 and HLM) are implicated in sterol-transport and/or sensing via binding to protein partners. The aggregation of vimentin by an N-terminal-truncated variant of ORP4 (ORP4S), but not full-length ORP4L, suggested a functional interaction with this intermediate filament. Herein, we identify ORP4 domains that interact with vimentin, and determine how sterols and OSBP influence this activity. In CHO cells, ORP4L co-localized with filamentous vimentin but extensive remodeling of vimentin filaments required mutation of a leucine repeat motif (amino acids 361-382) adjacent to the oxysterol-binding domain. Similarly, the absence of the leucine repeat in ORP4S 418-878 resulted in co-localization with aggregated vimentin filaments, suggesting that both the sterol-binding domain and leucine repeat are involved. Transient expression of OSBP leucine repeat mutants also promoted vimentin aggregation by a mechanism involving heterodimerization with ORP4L. Glutathione S-transferase (GST)-ORP4 380-878 bound vimentin, cholesterol and 25-hydroxycholesterol in vitro. However, sterol-binding or a mutation that ablated sterol-binding did not influence the interaction of GST-ORP4 with vimentin. Thus the sterol-binding domain of ORP4 binds vimentin, cholesterol and oxysterols, and interacts with the filamentous vimentin network. © 2007 Elsevier Inc. All rights reserved.","author":[{"dropping-particle":"","family":"Wyles","given":"Jessica P.","non-dropping-particle":"","parse-names":false,"suffix":""},{"dropping-particle":"","family":"Perry","given":"Ryan J.","non-dropping-particle":"","parse-names":false,"suffix":""},{"dropping-particle":"","family":"Ridgway","given":"Neale D.","non-dropping-particle":"","parse-names":false,"suffix":""}],"container-title":"Experimental Cell Research","id":"ITEM-2","issue":"7","issued":{"date-parts":[["2007"]]},"page":"1426-1437","title":"Characterization of the sterol-binding domain of oxysterol-binding protein (OSBP)-related protein 4 reveals a novel role in vimentin organization","type":"article-journal","volume":"313"},"uris":["http://www.mendeley.com/documents/?uuid=6881a0a6-9811-49bc-83c1-71524edc7e79"]}],"mendeley":{"formattedCitation":"(12, 47)","plainTextFormattedCitation":"(12, 47)","previouslyFormattedCitation":"(12, 47)"},"properties":{"noteIndex":0},"schema":"https://github.com/citation-style-language/schema/raw/master/csl-citation.json"}</w:instrText>
      </w:r>
      <w:r w:rsidRPr="00B25249">
        <w:rPr>
          <w:vertAlign w:val="superscript"/>
        </w:rPr>
        <w:fldChar w:fldCharType="separate"/>
      </w:r>
      <w:r w:rsidR="00393368" w:rsidRPr="00393368">
        <w:rPr>
          <w:noProof/>
        </w:rPr>
        <w:t>(12, 47)</w:t>
      </w:r>
      <w:r w:rsidRPr="00B25249">
        <w:rPr>
          <w:vertAlign w:val="superscript"/>
        </w:rPr>
        <w:fldChar w:fldCharType="end"/>
      </w:r>
      <w:r>
        <w:t>.</w:t>
      </w:r>
    </w:p>
    <w:p w:rsidR="00961548" w:rsidRPr="00AE0583" w:rsidRDefault="00961548" w:rsidP="00FB099D">
      <w:pPr>
        <w:pStyle w:val="Heading4"/>
        <w:jc w:val="both"/>
        <w:rPr>
          <w:b w:val="0"/>
          <w:i/>
          <w:sz w:val="24"/>
        </w:rPr>
      </w:pPr>
      <w:bookmarkStart w:id="39" w:name="_Ref530663770"/>
      <w:r w:rsidRPr="00AE0583">
        <w:rPr>
          <w:b w:val="0"/>
          <w:i/>
          <w:sz w:val="24"/>
        </w:rPr>
        <w:t>Ligand Binding and Cellular Localization</w:t>
      </w:r>
      <w:bookmarkEnd w:id="39"/>
    </w:p>
    <w:p w:rsidR="00A02001" w:rsidRDefault="00A02001" w:rsidP="00FB099D">
      <w:pPr>
        <w:ind w:firstLine="720"/>
        <w:jc w:val="both"/>
      </w:pPr>
      <w:r>
        <w:t>Unlike OSBP, which is mainly cytosolic unless ligand bound</w:t>
      </w:r>
      <w:r>
        <w:fldChar w:fldCharType="begin" w:fldLock="1"/>
      </w:r>
      <w:r w:rsidR="00427050">
        <w:instrText>ADDIN CSL_CITATION {"citationItems":[{"id":"ITEM-1","itemData":{"ISBN":"0021-9525 (Print)","ISSN":"0021-9525","PMID":"1730758","abstract":"A cDNA encoding a cytoplasmic oxysterol binding protein was expressed at high levels by transfection in animal cells. This protein binds oxysterols such as 25-hydroxycholesterol that regulate sterol metabolism by transcriptional and posttranscriptional effects. In the transfected cells, some of the oxysterol binding protein (OSBP) was distributed diffusely in the cytoplasm, and some was bound to small vesicles near the nucleus, as revealed by indirect immunofluorescence. Upon addition of 25-hydroxycholesterol, most of the OSBP became concentrated in large perinuclear structures that stained with lentil lectin, a protein that stains the Golgi apparatus. The structures that contained OSBP were disrupted by brefeldin A, confirming their identification as Golgi. A mutant OSBP lacking the COOH-terminal oxysterol binding domain localized to the Golgi spontaneously, suggesting that this domain normally occludes the domain that binds to the Golgi and that sterols relieve this occlusion. The previously noted potential leucine zipper sequence in OSBP was not required for Golgi localization, nor was it essential for homodimer formation. We conclude that OSBP is triggered to bind extrinsically to Golgi membranes when it binds oxysterols and speculate that this translocation may play a role in the transport, metabolism, or regulatory actions of oxysterols.","author":[{"dropping-particle":"","family":"Ridgway","given":"Neale D","non-dropping-particle":"","parse-names":false,"suffix":""},{"dropping-particle":"","family":"Dawson","given":"Paul a","non-dropping-particle":"","parse-names":false,"suffix":""},{"dropping-particle":"","family":"Ho","given":"Y K","non-dropping-particle":"","parse-names":false,"suffix":""},{"dropping-particle":"","family":"Brown","given":"Michael S","non-dropping-particle":"","parse-names":false,"suffix":""},{"dropping-particle":"","family":"Goldstein","given":"Joseph L","non-dropping-particle":"","parse-names":false,"suffix":""}],"container-title":"The Journal of cell biology","id":"ITEM-1","issue":"2","issued":{"date-parts":[["1992","1"]]},"page":"307-19","title":"Translocation of oxysterol binding protein to Golgi apparatus triggered by ligand binding.","type":"article-journal","volume":"116"},"uris":["http://www.mendeley.com/documents/?uuid=9dc1b3f6-f81f-489d-a3e9-0b110a43355f"]}],"mendeley":{"formattedCitation":"(11)","plainTextFormattedCitation":"(11)","previouslyFormattedCitation":"(11)"},"properties":{"noteIndex":0},"schema":"https://github.com/citation-style-language/schema/raw/master/csl-citation.json"}</w:instrText>
      </w:r>
      <w:r>
        <w:fldChar w:fldCharType="separate"/>
      </w:r>
      <w:r w:rsidRPr="00A02001">
        <w:rPr>
          <w:noProof/>
        </w:rPr>
        <w:t>(11)</w:t>
      </w:r>
      <w:r>
        <w:fldChar w:fldCharType="end"/>
      </w:r>
      <w:r>
        <w:t>, i</w:t>
      </w:r>
      <w:r w:rsidR="00961548">
        <w:t>mmunostaining has shown that ORP4L is loosely associated with vimentin intermediate filaments while ORP4S causes aggregation of the vimentin network</w:t>
      </w:r>
      <w:r w:rsidR="00961548" w:rsidRPr="00032868">
        <w:rPr>
          <w:vertAlign w:val="superscript"/>
        </w:rPr>
        <w:fldChar w:fldCharType="begin" w:fldLock="1"/>
      </w:r>
      <w:r w:rsidR="00DE076B">
        <w:rPr>
          <w:vertAlign w:val="superscript"/>
        </w:rPr>
        <w:instrText>ADDIN CSL_CITATION {"citationItems":[{"id":"ITEM-1","itemData":{"DOI":"10.1042/0264-6021:3610461","ISBN":"0264-6021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Journal","id":"ITEM-1","issue":"3","issued":{"date-parts":[["2002","2","1"]]},"page":"461","title":"Oxysterol-binding-protein (OSBP)-related protein 4 binds25-hydroxycholesterol and interacts with vimentin intermediate filaments","type":"article-journal","volume":"361"},"uris":["http://www.mendeley.com/documents/?uuid=cedfa320-07de-40ce-b2d3-c1f3abc9db40"]}],"mendeley":{"formattedCitation":"(12)","plainTextFormattedCitation":"(12)","previouslyFormattedCitation":"(12)"},"properties":{"noteIndex":0},"schema":"https://github.com/citation-style-language/schema/raw/master/csl-citation.json"}</w:instrText>
      </w:r>
      <w:r w:rsidR="00961548" w:rsidRPr="00032868">
        <w:rPr>
          <w:vertAlign w:val="superscript"/>
        </w:rPr>
        <w:fldChar w:fldCharType="separate"/>
      </w:r>
      <w:r w:rsidR="00423910" w:rsidRPr="00423910">
        <w:rPr>
          <w:noProof/>
        </w:rPr>
        <w:t>(12)</w:t>
      </w:r>
      <w:r w:rsidR="00961548" w:rsidRPr="00032868">
        <w:rPr>
          <w:vertAlign w:val="superscript"/>
        </w:rPr>
        <w:fldChar w:fldCharType="end"/>
      </w:r>
      <w:r w:rsidR="00961548">
        <w:t>.</w:t>
      </w:r>
    </w:p>
    <w:p w:rsidR="00961548" w:rsidRDefault="00A02001" w:rsidP="00FB099D">
      <w:pPr>
        <w:jc w:val="both"/>
      </w:pPr>
      <w:r>
        <w:t>ORP4S induced aggregation is due to the loss of leucine repeats near the N-terminus of the pr</w:t>
      </w:r>
      <w:r w:rsidR="0008190A">
        <w:t>otein based on mutational experiments with ORP4L and OSBP</w:t>
      </w:r>
      <w:r w:rsidR="00961548" w:rsidRPr="00032868">
        <w:rPr>
          <w:vertAlign w:val="superscript"/>
        </w:rPr>
        <w:fldChar w:fldCharType="begin" w:fldLock="1"/>
      </w:r>
      <w:r w:rsidR="00393368">
        <w:rPr>
          <w:vertAlign w:val="superscript"/>
        </w:rPr>
        <w:instrText>ADDIN CSL_CITATION {"citationItems":[{"id":"ITEM-1","itemData":{"DOI":"10.1016/j.yexcr.2007.01.018","ISSN":"00144827","PMID":"17350617","abstract":"Oxysterol-binding protein (OSBP) and OSBP-related protein 4 (ORP4; also designated OSBP2 and HLM) are implicated in sterol-transport and/or sensing via binding to protein partners. The aggregation of vimentin by an N-terminal-truncated variant of ORP4 (ORP4S), but not full-length ORP4L, suggested a functional interaction with this intermediate filament. Herein, we identify ORP4 domains that interact with vimentin, and determine how sterols and OSBP influence this activity. In CHO cells, ORP4L co-localized with filamentous vimentin but extensive remodeling of vimentin filaments required mutation of a leucine repeat motif (amino acids 361-382) adjacent to the oxysterol-binding domain. Similarly, the absence of the leucine repeat in ORP4S 418-878 resulted in co-localization with aggregated vimentin filaments, suggesting that both the sterol-binding domain and leucine repeat are involved. Transient expression of OSBP leucine repeat mutants also promoted vimentin aggregation by a mechanism involving heterodimerization with ORP4L. Glutathione S-transferase (GST)-ORP4 380-878 bound vimentin, cholesterol and 25-hydroxycholesterol in vitro. However, sterol-binding or a mutation that ablated sterol-binding did not influence the interaction of GST-ORP4 with vimentin. Thus the sterol-binding domain of ORP4 binds vimentin, cholesterol and oxysterols, and interacts with the filamentous vimentin network. © 2007 Elsevier Inc. All rights reserved.","author":[{"dropping-particle":"","family":"Wyles","given":"Jessica P.","non-dropping-particle":"","parse-names":false,"suffix":""},{"dropping-particle":"","family":"Perry","given":"Ryan J.","non-dropping-particle":"","parse-names":false,"suffix":""},{"dropping-particle":"","family":"Ridgway","given":"Neale D.","non-dropping-particle":"","parse-names":false,"suffix":""}],"container-title":"Experimental Cell Research","id":"ITEM-1","issue":"7","issued":{"date-parts":[["2007"]]},"page":"1426-1437","title":"Characterization of the sterol-binding domain of oxysterol-binding protein (OSBP)-related protein 4 reveals a novel role in vimentin organization","type":"article-journal","volume":"313"},"uris":["http://www.mendeley.com/documents/?uuid=6881a0a6-9811-49bc-83c1-71524edc7e79"]}],"mendeley":{"formattedCitation":"(47)","plainTextFormattedCitation":"(47)","previouslyFormattedCitation":"(47)"},"properties":{"noteIndex":0},"schema":"https://github.com/citation-style-language/schema/raw/master/csl-citation.json"}</w:instrText>
      </w:r>
      <w:r w:rsidR="00961548" w:rsidRPr="00032868">
        <w:rPr>
          <w:vertAlign w:val="superscript"/>
        </w:rPr>
        <w:fldChar w:fldCharType="separate"/>
      </w:r>
      <w:r w:rsidR="00393368" w:rsidRPr="00393368">
        <w:rPr>
          <w:noProof/>
        </w:rPr>
        <w:t>(47)</w:t>
      </w:r>
      <w:r w:rsidR="00961548" w:rsidRPr="00032868">
        <w:rPr>
          <w:vertAlign w:val="superscript"/>
        </w:rPr>
        <w:fldChar w:fldCharType="end"/>
      </w:r>
      <w:r w:rsidR="00961548">
        <w:t xml:space="preserve">. </w:t>
      </w:r>
      <w:r w:rsidR="0008190A">
        <w:t xml:space="preserve">Mutated </w:t>
      </w:r>
      <w:r w:rsidR="00961548">
        <w:t xml:space="preserve">OSBP </w:t>
      </w:r>
      <w:r w:rsidR="0008190A">
        <w:t>proteins</w:t>
      </w:r>
      <w:r w:rsidR="00961548">
        <w:t xml:space="preserve"> revealed that </w:t>
      </w:r>
      <w:r w:rsidR="0008190A">
        <w:t>loss of the leucine repeats caused</w:t>
      </w:r>
      <w:r w:rsidR="00961548">
        <w:t xml:space="preserve"> vimentin collapses like ORP4L, but the </w:t>
      </w:r>
      <w:r w:rsidR="0008190A">
        <w:t>localization</w:t>
      </w:r>
      <w:r w:rsidR="00961548">
        <w:t xml:space="preserve"> of OSBP was mostly cytosolic</w:t>
      </w:r>
      <w:r w:rsidR="00961548" w:rsidRPr="00032868">
        <w:rPr>
          <w:vertAlign w:val="superscript"/>
        </w:rPr>
        <w:fldChar w:fldCharType="begin" w:fldLock="1"/>
      </w:r>
      <w:r w:rsidR="00393368">
        <w:rPr>
          <w:vertAlign w:val="superscript"/>
        </w:rPr>
        <w:instrText>ADDIN CSL_CITATION {"citationItems":[{"id":"ITEM-1","itemData":{"DOI":"10.1016/j.yexcr.2007.01.018","ISSN":"00144827","PMID":"17350617","abstract":"Oxysterol-binding protein (OSBP) and OSBP-related protein 4 (ORP4; also designated OSBP2 and HLM) are implicated in sterol-transport and/or sensing via binding to protein partners. The aggregation of vimentin by an N-terminal-truncated variant of ORP4 (ORP4S), but not full-length ORP4L, suggested a functional interaction with this intermediate filament. Herein, we identify ORP4 domains that interact with vimentin, and determine how sterols and OSBP influence this activity. In CHO cells, ORP4L co-localized with filamentous vimentin but extensive remodeling of vimentin filaments required mutation of a leucine repeat motif (amino acids 361-382) adjacent to the oxysterol-binding domain. Similarly, the absence of the leucine repeat in ORP4S 418-878 resulted in co-localization with aggregated vimentin filaments, suggesting that both the sterol-binding domain and leucine repeat are involved. Transient expression of OSBP leucine repeat mutants also promoted vimentin aggregation by a mechanism involving heterodimerization with ORP4L. Glutathione S-transferase (GST)-ORP4 380-878 bound vimentin, cholesterol and 25-hydroxycholesterol in vitro. However, sterol-binding or a mutation that ablated sterol-binding did not influence the interaction of GST-ORP4 with vimentin. Thus the sterol-binding domain of ORP4 binds vimentin, cholesterol and oxysterols, and interacts with the filamentous vimentin network. © 2007 Elsevier Inc. All rights reserved.","author":[{"dropping-particle":"","family":"Wyles","given":"Jessica P.","non-dropping-particle":"","parse-names":false,"suffix":""},{"dropping-particle":"","family":"Perry","given":"Ryan J.","non-dropping-particle":"","parse-names":false,"suffix":""},{"dropping-particle":"","family":"Ridgway","given":"Neale D.","non-dropping-particle":"","parse-names":false,"suffix":""}],"container-title":"Experimental Cell Research","id":"ITEM-1","issue":"7","issued":{"date-parts":[["2007"]]},"page":"1426-1437","title":"Characterization of the sterol-binding domain of oxysterol-binding protein (OSBP)-related protein 4 reveals a novel role in vimentin organization","type":"article-journal","volume":"313"},"uris":["http://www.mendeley.com/documents/?uuid=6881a0a6-9811-49bc-83c1-71524edc7e79"]}],"mendeley":{"formattedCitation":"(47)","plainTextFormattedCitation":"(47)","previouslyFormattedCitation":"(47)"},"properties":{"noteIndex":0},"schema":"https://github.com/citation-style-language/schema/raw/master/csl-citation.json"}</w:instrText>
      </w:r>
      <w:r w:rsidR="00961548" w:rsidRPr="00032868">
        <w:rPr>
          <w:vertAlign w:val="superscript"/>
        </w:rPr>
        <w:fldChar w:fldCharType="separate"/>
      </w:r>
      <w:r w:rsidR="00393368" w:rsidRPr="00393368">
        <w:rPr>
          <w:noProof/>
        </w:rPr>
        <w:t>(47)</w:t>
      </w:r>
      <w:r w:rsidR="00961548" w:rsidRPr="00032868">
        <w:rPr>
          <w:vertAlign w:val="superscript"/>
        </w:rPr>
        <w:fldChar w:fldCharType="end"/>
      </w:r>
      <w:r w:rsidR="00961548">
        <w:t>. Due to this cytosolic staining of OSBP, it was thought that OSBP does not directly interact with the vimentin network, but with ORP4L through its similar dimerization domain. Yeast-two hybrid analysis revealed that mutations in the dimerization domain of OSBP lead to loss of interaction with ORP4L while mutations in the leucine repeat region did not have a loss of interaction while mutating both regions on OSBP lead to rescuing of the vimentin network</w:t>
      </w:r>
      <w:r w:rsidR="00961548" w:rsidRPr="00032868">
        <w:rPr>
          <w:vertAlign w:val="superscript"/>
        </w:rPr>
        <w:fldChar w:fldCharType="begin" w:fldLock="1"/>
      </w:r>
      <w:r w:rsidR="00393368">
        <w:rPr>
          <w:vertAlign w:val="superscript"/>
        </w:rPr>
        <w:instrText>ADDIN CSL_CITATION {"citationItems":[{"id":"ITEM-1","itemData":{"DOI":"10.1016/j.yexcr.2007.01.018","ISSN":"00144827","PMID":"17350617","abstract":"Oxysterol-binding protein (OSBP) and OSBP-related protein 4 (ORP4; also designated OSBP2 and HLM) are implicated in sterol-transport and/or sensing via binding to protein partners. The aggregation of vimentin by an N-terminal-truncated variant of ORP4 (ORP4S), but not full-length ORP4L, suggested a functional interaction with this intermediate filament. Herein, we identify ORP4 domains that interact with vimentin, and determine how sterols and OSBP influence this activity. In CHO cells, ORP4L co-localized with filamentous vimentin but extensive remodeling of vimentin filaments required mutation of a leucine repeat motif (amino acids 361-382) adjacent to the oxysterol-binding domain. Similarly, the absence of the leucine repeat in ORP4S 418-878 resulted in co-localization with aggregated vimentin filaments, suggesting that both the sterol-binding domain and leucine repeat are involved. Transient expression of OSBP leucine repeat mutants also promoted vimentin aggregation by a mechanism involving heterodimerization with ORP4L. Glutathione S-transferase (GST)-ORP4 380-878 bound vimentin, cholesterol and 25-hydroxycholesterol in vitro. However, sterol-binding or a mutation that ablated sterol-binding did not influence the interaction of GST-ORP4 with vimentin. Thus the sterol-binding domain of ORP4 binds vimentin, cholesterol and oxysterols, and interacts with the filamentous vimentin network. © 2007 Elsevier Inc. All rights reserved.","author":[{"dropping-particle":"","family":"Wyles","given":"Jessica P.","non-dropping-particle":"","parse-names":false,"suffix":""},{"dropping-particle":"","family":"Perry","given":"Ryan J.","non-dropping-particle":"","parse-names":false,"suffix":""},{"dropping-particle":"","family":"Ridgway","given":"Neale D.","non-dropping-particle":"","parse-names":false,"suffix":""}],"container-title":"Experimental Cell Research","id":"ITEM-1","issue":"7","issued":{"date-parts":[["2007"]]},"page":"1426-1437","title":"Characterization of the sterol-binding domain of oxysterol-binding protein (OSBP)-related protein 4 reveals a novel role in vimentin organization","type":"article-journal","volume":"313"},"uris":["http://www.mendeley.com/documents/?uuid=6881a0a6-9811-49bc-83c1-71524edc7e79"]}],"mendeley":{"formattedCitation":"(47)","plainTextFormattedCitation":"(47)","previouslyFormattedCitation":"(47)"},"properties":{"noteIndex":0},"schema":"https://github.com/citation-style-language/schema/raw/master/csl-citation.json"}</w:instrText>
      </w:r>
      <w:r w:rsidR="00961548" w:rsidRPr="00032868">
        <w:rPr>
          <w:vertAlign w:val="superscript"/>
        </w:rPr>
        <w:fldChar w:fldCharType="separate"/>
      </w:r>
      <w:r w:rsidR="00393368" w:rsidRPr="00393368">
        <w:rPr>
          <w:noProof/>
        </w:rPr>
        <w:t>(47)</w:t>
      </w:r>
      <w:r w:rsidR="00961548" w:rsidRPr="00032868">
        <w:rPr>
          <w:vertAlign w:val="superscript"/>
        </w:rPr>
        <w:fldChar w:fldCharType="end"/>
      </w:r>
      <w:r w:rsidR="00961548">
        <w:t>. These results suggest that ORP4L can interact with OSBP in a regulatory fashion.</w:t>
      </w:r>
    </w:p>
    <w:p w:rsidR="00961548" w:rsidRPr="00032868" w:rsidRDefault="00961548" w:rsidP="00FB099D">
      <w:pPr>
        <w:ind w:firstLine="720"/>
        <w:jc w:val="both"/>
      </w:pPr>
      <w:r>
        <w:t>Despite the ability to bind cholesterol, oxysterols, and PI4P, ORP4L was not originally thought to localize to the Golgi or change localization at all upon treatment with these compounds</w:t>
      </w:r>
      <w:r w:rsidRPr="00032868">
        <w:rPr>
          <w:vertAlign w:val="superscript"/>
        </w:rPr>
        <w:fldChar w:fldCharType="begin" w:fldLock="1"/>
      </w:r>
      <w:r w:rsidR="00393368">
        <w:rPr>
          <w:vertAlign w:val="superscript"/>
        </w:rPr>
        <w:instrText>ADDIN CSL_CITATION {"citationItems":[{"id":"ITEM-1","itemData":{"DOI":"10.1042/0264-6021:3610461","ISBN":"0264-6021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Journal","id":"ITEM-1","issue":"3","issued":{"date-parts":[["2002","2","1"]]},"page":"461","title":"Oxysterol-binding-protein (OSBP)-related protein 4 binds25-hydroxycholesterol and interacts with vimentin intermediate filaments","type":"article-journal","volume":"361"},"uris":["http://www.mendeley.com/documents/?uuid=cedfa320-07de-40ce-b2d3-c1f3abc9db40"]},{"id":"ITEM-2","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Chemistry","id":"ITEM-2","issue":"22","issued":{"date-parts":[["2014"]]},"page":"15705-15717","title":"Oxysterol-binding protein (OSBP)-related protein 4 (ORP4) is essential for cell proliferation and survival","type":"article-journal","volume":"289"},"uris":["http://www.mendeley.com/documents/?uuid=69e80f92-9587-4c32-b5d3-c1560da16ba1"]},{"id":"ITEM-3","itemData":{"DOI":"10.1161/CIRCRESAHA.116.309603","ISSN":"15244571","PMID":"27729467","abstract":"© 2016 American Heart Association, Inc. Rationale: Macrophage survival within the arterial wall is a central factor contributing to atherogenesis. Oxysterols, major components of oxidized low-density lipoprotein, exert cytotoxic effects on macrophages. Objective: To determine whether oxysterol-binding protein-related protein 4 L (ORP4L), an oxysterol-binding protein, affects macrophage survival and the pathogenesis of atherosclerosis. Methods and Results: By hiring cell biological approaches and ORP4L - /- mice, we show that ORP4L coexpresses with and forms a complex with Gα q/11 and phospholipase C (PLC)-β3 in macrophages. ORP4L facilitates G-protein-coupled ligand-induced PLCβ3 activation, IP 3 production, and Ca 2+ release from the endoplasmic reticulum. Through this mechanism, ORP4L sustains antiapoptotic Bcl-XL expression through Ca 2+ -mediated c-AMP responsive element binding protein transcriptional regulation and thus protects macrophages from apoptosis. Excessive stimulation with the oxysterol 25-hydroxycholesterol disassembles the ORP4L/Gα q/11 /PLCβ3 complexes, resulting in reduced PLCβ3 activity, IP 3 production, and Ca 2+ release, as well as decreased Bcl-XL expression and increased apoptosis. Overexpression of ORP4L counteracts these oxysterol-induced defects. Mice lacking ORP4L exhibit increased apoptosis of macrophages in atherosclerotic lesions and a reduced lesion size. Conclusions: ORP4L is crucial for macrophage survival. It counteracts the cytotoxicity of oxysterols/oxidized low-density lipoprotein to protect macrophage from apoptosis, thus playing an important role in the development of atherosclerosis.","author":[{"dropping-particle":"","family":"Zhong","given":"Wenbin","non-dropping-particle":"","parse-names":false,"suffix":""},{"dropping-particle":"","family":"Pan","given":"Guoping","non-dropping-particle":"","parse-names":false,"suffix":""},{"dropping-particle":"","family":"Wang","given":"Lin","non-dropping-particle":"","parse-names":false,"suffix":""},{"dropping-particle":"","family":"Li","given":"Shiqian","non-dropping-particle":"","parse-names":false,"suffix":""},{"dropping-particle":"","family":"Ou","given":"Jingsong","non-dropping-particle":"","parse-names":false,"suffix":""},{"dropping-particle":"","family":"Xu","given":"Mengyang","non-dropping-particle":"","parse-names":false,"suffix":""},{"dropping-particle":"","family":"Li","given":"Jiwei","non-dropping-particle":"","parse-names":false,"suffix":""},{"dropping-particle":"","family":"Zhu","given":"Biying","non-dropping-particle":"","parse-names":false,"suffix":""},{"dropping-particle":"","family":"Cao","given":"Xiuye","non-dropping-particle":"","parse-names":false,"suffix":""},{"dropping-particle":"","family":"Ma","given":"Hongling","non-dropping-particle":"","parse-names":false,"suffix":""},{"dropping-particle":"","family":"Li","given":"Chaowen","non-dropping-particle":"","parse-names":false,"suffix":""},{"dropping-particle":"","family":"Xu","given":"Jun","non-dropping-particle":"","parse-names":false,"suffix":""},{"dropping-particle":"","family":"Olkkonen","given":"Vesa M.","non-dropping-particle":"","parse-names":false,"suffix":""},{"dropping-particle":"","family":"Staels","given":"Bart","non-dropping-particle":"","parse-names":false,"suffix":""},{"dropping-particle":"","family":"Yan","given":"Daoguang","non-dropping-particle":"","parse-names":false,"suffix":""}],"container-title":"Circulation Research","id":"ITEM-3","issue":"12","issued":{"date-parts":[["2016"]]},"page":"1296-1312","title":"ORP4L Facilitates Macrophage Survival via G-Protein-Coupled Signaling","type":"article-journal","volume":"119"},"uris":["http://www.mendeley.com/documents/?uuid=8d33535c-3788-43ae-ad6b-32c909272c41"]}],"mendeley":{"formattedCitation":"(12, 17, 48)","plainTextFormattedCitation":"(12, 17, 48)","previouslyFormattedCitation":"(12, 17, 48)"},"properties":{"noteIndex":0},"schema":"https://github.com/citation-style-language/schema/raw/master/csl-citation.json"}</w:instrText>
      </w:r>
      <w:r w:rsidRPr="00032868">
        <w:rPr>
          <w:vertAlign w:val="superscript"/>
        </w:rPr>
        <w:fldChar w:fldCharType="separate"/>
      </w:r>
      <w:r w:rsidR="00393368" w:rsidRPr="00393368">
        <w:rPr>
          <w:noProof/>
        </w:rPr>
        <w:t>(12, 17, 48)</w:t>
      </w:r>
      <w:r w:rsidRPr="00032868">
        <w:rPr>
          <w:vertAlign w:val="superscript"/>
        </w:rPr>
        <w:fldChar w:fldCharType="end"/>
      </w:r>
      <w:r>
        <w:t>. A recent study has shown that using a C-terminal tagged protein, that ORP4L does in fact translocate to the Golgi upon 25-OHC treatment or cholesterol depletion</w:t>
      </w:r>
      <w:r w:rsidRPr="00032868">
        <w:rPr>
          <w:vertAlign w:val="superscript"/>
        </w:rPr>
        <w:fldChar w:fldCharType="begin" w:fldLock="1"/>
      </w:r>
      <w:r w:rsidR="00393368">
        <w:rPr>
          <w:vertAlign w:val="superscript"/>
        </w:rPr>
        <w:instrText>ADDIN CSL_CITATION {"citationItems":[{"id":"ITEM-1","itemData":{"DOI":"10.1242/jcs.215335","ISBN":"8604863303","ISSN":"0021-9533","PMID":"28576971","abstract":"The complex comprising serum response factor (SRF) and megakaryoblastic leukemia 1 protein (Mkl1) promotes myofibroblast differentiation during wound healing. SRF-Mkl1 is sensitive to the mechanical properties of the extracellular environment; but how cells sense and transduce mechanical cues to modulate SRF-Mkl1-dependent gene expression is not well understood. Here, we demonstrate that the nuclear lamina-associated inner nuclear membrane protein Emerin stimulates SRF-Mkl1-dependent gene activity in a substrate stiffness-dependent manner. Specifically, Emerin was required for Mkl1 nuclear accumulation and maximal SRF-Mkl1-dependent gene expression in response to serum stimulation of cells grown on stiff substrates but was dispensable on more compliant substrates. Focal adhesion area was also reduced in cells lacking Emerin, consistent with a role for Emerin in sensing substrate stiffness. Expression of a constitutively active form of Mkl1 bypassed the requirement for Emerin in SRF-Mkl1-dependent gene expression and reversed the focal adhesion defects evident in EmdKO fibroblasts. Together, these data indicate that Emerin, a conserved nuclear lamina protein, couples extracellular matrix mechanics and SRF-Mkl1-dependent transcription.","author":[{"dropping-particle":"","family":"Pietrangelo","given":"Antonietta","non-dropping-particle":"","parse-names":false,"suffix":""},{"dropping-particle":"","family":"Ridgway","given":"Neale D.","non-dropping-particle":"","parse-names":false,"suffix":""}],"container-title":"Journal of Cell Science","id":"ITEM-1","issue":"14","issued":{"date-parts":[["2018"]]},"page":"jcs215335","title":"Golgi localization of oxysterol binding protein-related protein 4L (ORP4L) is regulated by ligand binding","type":"article-journal","volume":"131"},"uris":["http://www.mendeley.com/documents/?uuid=0bdbb86e-f545-40c3-929a-90aa55aecffa"]}],"mendeley":{"formattedCitation":"(49)","plainTextFormattedCitation":"(49)","previouslyFormattedCitation":"(49)"},"properties":{"noteIndex":0},"schema":"https://github.com/citation-style-language/schema/raw/master/csl-citation.json"}</w:instrText>
      </w:r>
      <w:r w:rsidRPr="00032868">
        <w:rPr>
          <w:vertAlign w:val="superscript"/>
        </w:rPr>
        <w:fldChar w:fldCharType="separate"/>
      </w:r>
      <w:r w:rsidR="00393368" w:rsidRPr="00393368">
        <w:rPr>
          <w:noProof/>
        </w:rPr>
        <w:t>(49)</w:t>
      </w:r>
      <w:r w:rsidRPr="00032868">
        <w:rPr>
          <w:vertAlign w:val="superscript"/>
        </w:rPr>
        <w:fldChar w:fldCharType="end"/>
      </w:r>
      <w:r>
        <w:t xml:space="preserve">. ORP4L was shown to have perinuclear structures after 25-OHC treatment or cholesterol depletion </w:t>
      </w:r>
      <w:r>
        <w:lastRenderedPageBreak/>
        <w:t>that were ligand independent as tested through mutations of ORP4L</w:t>
      </w:r>
      <w:r w:rsidRPr="00032868">
        <w:rPr>
          <w:vertAlign w:val="superscript"/>
        </w:rPr>
        <w:fldChar w:fldCharType="begin" w:fldLock="1"/>
      </w:r>
      <w:r w:rsidR="00393368">
        <w:rPr>
          <w:vertAlign w:val="superscript"/>
        </w:rPr>
        <w:instrText>ADDIN CSL_CITATION {"citationItems":[{"id":"ITEM-1","itemData":{"DOI":"10.1242/jcs.215335","ISBN":"8604863303","ISSN":"0021-9533","PMID":"28576971","abstract":"The complex comprising serum response factor (SRF) and megakaryoblastic leukemia 1 protein (Mkl1) promotes myofibroblast differentiation during wound healing. SRF-Mkl1 is sensitive to the mechanical properties of the extracellular environment; but how cells sense and transduce mechanical cues to modulate SRF-Mkl1-dependent gene expression is not well understood. Here, we demonstrate that the nuclear lamina-associated inner nuclear membrane protein Emerin stimulates SRF-Mkl1-dependent gene activity in a substrate stiffness-dependent manner. Specifically, Emerin was required for Mkl1 nuclear accumulation and maximal SRF-Mkl1-dependent gene expression in response to serum stimulation of cells grown on stiff substrates but was dispensable on more compliant substrates. Focal adhesion area was also reduced in cells lacking Emerin, consistent with a role for Emerin in sensing substrate stiffness. Expression of a constitutively active form of Mkl1 bypassed the requirement for Emerin in SRF-Mkl1-dependent gene expression and reversed the focal adhesion defects evident in EmdKO fibroblasts. Together, these data indicate that Emerin, a conserved nuclear lamina protein, couples extracellular matrix mechanics and SRF-Mkl1-dependent transcription.","author":[{"dropping-particle":"","family":"Pietrangelo","given":"Antonietta","non-dropping-particle":"","parse-names":false,"suffix":""},{"dropping-particle":"","family":"Ridgway","given":"Neale D.","non-dropping-particle":"","parse-names":false,"suffix":""}],"container-title":"Journal of Cell Science","id":"ITEM-1","issue":"14","issued":{"date-parts":[["2018"]]},"page":"jcs215335","title":"Golgi localization of oxysterol binding protein-related protein 4L (ORP4L) is regulated by ligand binding","type":"article-journal","volume":"131"},"uris":["http://www.mendeley.com/documents/?uuid=0bdbb86e-f545-40c3-929a-90aa55aecffa"]}],"mendeley":{"formattedCitation":"(49)","plainTextFormattedCitation":"(49)","previouslyFormattedCitation":"(49)"},"properties":{"noteIndex":0},"schema":"https://github.com/citation-style-language/schema/raw/master/csl-citation.json"}</w:instrText>
      </w:r>
      <w:r w:rsidRPr="00032868">
        <w:rPr>
          <w:vertAlign w:val="superscript"/>
        </w:rPr>
        <w:fldChar w:fldCharType="separate"/>
      </w:r>
      <w:r w:rsidR="00393368" w:rsidRPr="00393368">
        <w:rPr>
          <w:noProof/>
        </w:rPr>
        <w:t>(49)</w:t>
      </w:r>
      <w:r w:rsidRPr="00032868">
        <w:rPr>
          <w:vertAlign w:val="superscript"/>
        </w:rPr>
        <w:fldChar w:fldCharType="end"/>
      </w:r>
      <w:r>
        <w:t>. This localization of ORP4L to the Golgi was OSBP and Golgi localized PI4P dependent and loss of ORP4L lead to loss of Golgi structure</w:t>
      </w:r>
      <w:r w:rsidRPr="00032868">
        <w:rPr>
          <w:vertAlign w:val="superscript"/>
        </w:rPr>
        <w:t xml:space="preserve"> </w:t>
      </w:r>
      <w:r w:rsidRPr="00032868">
        <w:rPr>
          <w:vertAlign w:val="superscript"/>
        </w:rPr>
        <w:fldChar w:fldCharType="begin" w:fldLock="1"/>
      </w:r>
      <w:r w:rsidR="00393368">
        <w:rPr>
          <w:vertAlign w:val="superscript"/>
        </w:rPr>
        <w:instrText>ADDIN CSL_CITATION {"citationItems":[{"id":"ITEM-1","itemData":{"DOI":"10.1242/jcs.215335","ISBN":"8604863303","ISSN":"0021-9533","PMID":"28576971","abstract":"The complex comprising serum response factor (SRF) and megakaryoblastic leukemia 1 protein (Mkl1) promotes myofibroblast differentiation during wound healing. SRF-Mkl1 is sensitive to the mechanical properties of the extracellular environment; but how cells sense and transduce mechanical cues to modulate SRF-Mkl1-dependent gene expression is not well understood. Here, we demonstrate that the nuclear lamina-associated inner nuclear membrane protein Emerin stimulates SRF-Mkl1-dependent gene activity in a substrate stiffness-dependent manner. Specifically, Emerin was required for Mkl1 nuclear accumulation and maximal SRF-Mkl1-dependent gene expression in response to serum stimulation of cells grown on stiff substrates but was dispensable on more compliant substrates. Focal adhesion area was also reduced in cells lacking Emerin, consistent with a role for Emerin in sensing substrate stiffness. Expression of a constitutively active form of Mkl1 bypassed the requirement for Emerin in SRF-Mkl1-dependent gene expression and reversed the focal adhesion defects evident in EmdKO fibroblasts. Together, these data indicate that Emerin, a conserved nuclear lamina protein, couples extracellular matrix mechanics and SRF-Mkl1-dependent transcription.","author":[{"dropping-particle":"","family":"Pietrangelo","given":"Antonietta","non-dropping-particle":"","parse-names":false,"suffix":""},{"dropping-particle":"","family":"Ridgway","given":"Neale D.","non-dropping-particle":"","parse-names":false,"suffix":""}],"container-title":"Journal of Cell Science","id":"ITEM-1","issue":"14","issued":{"date-parts":[["2018"]]},"page":"jcs215335","title":"Golgi localization of oxysterol binding protein-related protein 4L (ORP4L) is regulated by ligand binding","type":"article-journal","volume":"131"},"uris":["http://www.mendeley.com/documents/?uuid=0bdbb86e-f545-40c3-929a-90aa55aecffa"]}],"mendeley":{"formattedCitation":"(49)","plainTextFormattedCitation":"(49)","previouslyFormattedCitation":"(49)"},"properties":{"noteIndex":0},"schema":"https://github.com/citation-style-language/schema/raw/master/csl-citation.json"}</w:instrText>
      </w:r>
      <w:r w:rsidRPr="00032868">
        <w:rPr>
          <w:vertAlign w:val="superscript"/>
        </w:rPr>
        <w:fldChar w:fldCharType="separate"/>
      </w:r>
      <w:r w:rsidR="00393368" w:rsidRPr="00393368">
        <w:rPr>
          <w:noProof/>
        </w:rPr>
        <w:t>(49)</w:t>
      </w:r>
      <w:r w:rsidRPr="00032868">
        <w:rPr>
          <w:vertAlign w:val="superscript"/>
        </w:rPr>
        <w:fldChar w:fldCharType="end"/>
      </w:r>
      <w:r>
        <w:t>. These results suggest that OSBP localization to the MCS, which leads to increased PI4P production could lead to the recruitment of ORP4L either through direct interactions through the dimerization domain or through ORP4L’s PH domain targeting the increased PI4P pool.</w:t>
      </w:r>
    </w:p>
    <w:p w:rsidR="00961548" w:rsidRPr="00AE0583" w:rsidRDefault="00961548" w:rsidP="00FB099D">
      <w:pPr>
        <w:pStyle w:val="Heading4"/>
        <w:jc w:val="both"/>
        <w:rPr>
          <w:b w:val="0"/>
          <w:i/>
          <w:sz w:val="24"/>
        </w:rPr>
      </w:pPr>
      <w:r w:rsidRPr="00AE0583">
        <w:rPr>
          <w:b w:val="0"/>
          <w:i/>
          <w:sz w:val="24"/>
        </w:rPr>
        <w:t>Vimentin Binding</w:t>
      </w:r>
    </w:p>
    <w:p w:rsidR="00995672" w:rsidRDefault="00961548" w:rsidP="00FB099D">
      <w:pPr>
        <w:ind w:firstLine="720"/>
        <w:jc w:val="both"/>
      </w:pPr>
      <w:r>
        <w:t>Vimentin has been shown to be involved with the recycling of LDL-derived cholesterol and recycling of glycosphingolipids from endosomes to the Golgi</w:t>
      </w:r>
      <w:r w:rsidRPr="00032868">
        <w:rPr>
          <w:vertAlign w:val="superscript"/>
        </w:rPr>
        <w:fldChar w:fldCharType="begin" w:fldLock="1"/>
      </w:r>
      <w:r w:rsidR="00393368">
        <w:rPr>
          <w:vertAlign w:val="superscript"/>
        </w:rPr>
        <w:instrText>ADDIN CSL_CITATION {"citationItems":[{"id":"ITEM-1","itemData":{"ISBN":"3032705436","ISSN":"00219258","PMID":"1527066","abstract":"Numerous studies have indicated that cytoplasmic intermediate filaments (cIFs) can associate with cellular lipids. To determine if these interactions might have functional consequences, we have studied the lipid metabolism of human SW-13 adrenal tumor cell lines that either contain vimentin-type cIFs (vim+) or lack any detectable cIF network (vim-). Although there were no significant differences in phospholipid or glyceride synthesis, vim- cell lines had elevated levels of cholesterol synthesis and decreased cholesterol esterification, compared with vim+ cells. These differences in cholesterol synthesis and esterification were found to be due to an impaired ability of vim- cells to utilize low density lipoprotein (LDL)-derived cholesterol, although receptor-mediated endocytosis of LDL and the capacity of these cells to esterify endogenously produced cholesterol were not affected. Expression of a mouse vimentin cDNA in stably transfected cell lines, derived from vim- cells, restored the capacity of these cells to utilize LDL cholesterol. The uptake and metabolism of [3H]cholesterol linoleate-loaded LDL showed that the impaired ability of vim- cells to esterify LDL cholesterol was not associated with an accumulation of cellular free cholesterol but rather an increase in the appearance of [3H]cholesterol in the culture medium. These studies indicate that in SW-13 cells, the intracellular movement of LDL-derived cholesterol from the lysosome to the site of esterification is a vimentin-dependent process.","author":[{"dropping-particle":"","family":"Sarria","given":"A. J.","non-dropping-particle":"","parse-names":false,"suffix":""},{"dropping-particle":"","family":"Panini","given":"S. R.","non-dropping-particle":"","parse-names":false,"suffix":""},{"dropping-particle":"","family":"Evans","given":"R. M.","non-dropping-particle":"","parse-names":false,"suffix":""}],"container-title":"Journal of Biological Chemistry","id":"ITEM-1","issue":"27","issued":{"date-parts":[["1992"]]},"page":"19455-19463","title":"A functional role for vimentin intermediate filaments in the metabolism of lipoprotein-derived cholesterol in human SW-13 cells","type":"article-journal","volume":"267"},"uris":["http://www.mendeley.com/documents/?uuid=4efb0c20-db6d-4342-a901-fd421b5b7e6e"]},{"id":"ITEM-2","itemData":{"DOI":"10.1093/glycob/6.1.33","ISBN":"0959-6658 (Print)\r0959-6658","ISSN":"09596658","PMID":"8991507","abstract":"We reported previously that the incorporation of sugars into glycosphingolipids (GSL) is diminished in SW13 cells that lack a vimentin intermediate filament (IF) network (vim-) compared to vim+ cells. To further analyze the nature of this abnormality, we double-labeled cells with 3H-serine and 14C-sugars. There was no difference between vim+ and vim- cells in the incorporation of serine into GSL, although the usual difference in sugar incorporation was observed. This indicated that the defect in vim- cells was not in the incorporation of sugars into ceramide synthesized de novo by acylation of sphinganine (pathway 1). Sugars can also be incorporated into ceramide synthesized from sphingosine that is derived from catabolism of sphingolipids (pathway 2), and into GSL that recycle through the Golgi apparatus from endosomes (pathway 3). The amount of galactose and glucosamine incorporated into GSL in these three pathways was analyzed by the use of two inhibitors of sphingolipid biosynthesis. beta-Chloroalanine inhibits the de novo synthesis of sphinganine (pathway 1), and fumonisin B1 inhibits the acylation of sphinganine and sphingosine (pathways 1 and 2). We were surprised to observe that in both vim+ and vim- cells only 20-40% of sugar incorporation into GSL took place in pathway 1, and 60-80% of sugar incorporation took place in the recycling pathways. Moreover, in contrast to larger GSL, GlcCer was not synthesized in pathway 3. Our observations indicate that vimentin IF facilitate the recycling of GSL and sphingosine, and that the differences between vim+ and vim- cells are predominantly in pathways 2 and 3. Furthermore, although it is generally believed that virtually all GSL are synthesized in the de novo pathway, these data indicate that the recycling pathways predominate in the incorporation of sugars into GSL in SW13 cells.","author":[{"dropping-particle":"","family":"Gillard","given":"Baiba K.","non-dropping-particle":"","parse-names":false,"suffix":""},{"dropping-particle":"","family":"Harrell","given":"Rhonda G.","non-dropping-particle":"","parse-names":false,"suffix":""},{"dropping-particle":"","family":"Marcus","given":"Donald M.","non-dropping-particle":"","parse-names":false,"suffix":""}],"container-title":"Glycobiology","id":"ITEM-2","issue":"1","issued":{"date-parts":[["1996"]]},"page":"33-42","title":"Pathways of glycosphingolipid biosynthesis in SW13 cells in the presence and absence of vimentin intermediate filaments","type":"article-journal","volume":"6"},"uris":["http://www.mendeley.com/documents/?uuid=48a81a65-8fe7-4dc4-9f55-037688c5bdc7"]},{"id":"ITEM-3","itemData":{"DOI":"10.1006/bbrc.1999.1940","ISBN":"0006-291X (Print)\\r0006-291X (Linking)","ISSN":"0006291X","PMID":"10623572","abstract":"Membrane-associated proteins with specific binding properties to modified LDL were investigated in J774 macrophages and Mono Mac 6 sr cells. Ligand blotting of membrane proteins revealed a 54-kDa protein which bound oxidized and acetylated but not native LDL. The 54-kDa protein, isolated by 2D-PAGE, was identified as vimentin.125I-AcLDL bound to purified vimentin and desmin in a saturable manner, with an approximate K(d) of 1.7 x 10-7M (89 μg/ml) and 8.0 x 10-8M (41 μg/ml), respectively. Blots of vimentin mutant proteins with deletions in the positively charged N-terminal head domain showed that amino acids 26-39 are essential for the binding of AcLDL by vimentin. Taken together, our data indicate that vimentin binds modified LDL, but not native LDL, in a specific and saturable manner. Vimentin filaments extend throughout the cytoplasm as far as the inner surfaces of plasma and vesicular membranes. Vimentin may thus play a role in membrane-associated steps involved in the intracellular processing of oxidized LDL, contributing to its unregulated uptake and intracellular retention by cells of the atherogenic plaque. (C) 2000 Academic Press.","author":[{"dropping-particle":"","family":"Heidenthal","given":"Anne K.","non-dropping-particle":"","parse-names":false,"suffix":""},{"dropping-particle":"","family":"Weber","given":"Peter C.","non-dropping-particle":"","parse-names":false,"suffix":""},{"dropping-particle":"","family":"Lottspeich","given":"Friedrich","non-dropping-particle":"","parse-names":false,"suffix":""},{"dropping-particle":"","family":"Hrboticky","given":"Nina","non-dropping-particle":"","parse-names":false,"suffix":""}],"container-title":"Biochemical and Biophysical Research Communications","id":"ITEM-3","issue":"1","issued":{"date-parts":[["2000"]]},"page":"49-53","title":"The binding in vitro of modified LDL to the intermediate filament protein vimentin","type":"article-journal","volume":"267"},"uris":["http://www.mendeley.com/documents/?uuid=dca32306-5427-41be-87a4-32f89f85fc8d"]}],"mendeley":{"formattedCitation":"(50–52)","plainTextFormattedCitation":"(50–52)","previouslyFormattedCitation":"(50–52)"},"properties":{"noteIndex":0},"schema":"https://github.com/citation-style-language/schema/raw/master/csl-citation.json"}</w:instrText>
      </w:r>
      <w:r w:rsidRPr="00032868">
        <w:rPr>
          <w:vertAlign w:val="superscript"/>
        </w:rPr>
        <w:fldChar w:fldCharType="separate"/>
      </w:r>
      <w:r w:rsidR="00393368" w:rsidRPr="00393368">
        <w:rPr>
          <w:noProof/>
        </w:rPr>
        <w:t>(50–52)</w:t>
      </w:r>
      <w:r w:rsidRPr="00032868">
        <w:rPr>
          <w:vertAlign w:val="superscript"/>
        </w:rPr>
        <w:fldChar w:fldCharType="end"/>
      </w:r>
      <w:r>
        <w:t>. Studies have shown that cells lacking vimentin have increased cholesterol synthesis and decreased cholesterol esterification, suggesting that vimentin plays a role in the transport of LDL-derived cholesterol from the endosomes</w:t>
      </w:r>
      <w:r w:rsidRPr="00032868">
        <w:rPr>
          <w:vertAlign w:val="superscript"/>
        </w:rPr>
        <w:fldChar w:fldCharType="begin" w:fldLock="1"/>
      </w:r>
      <w:r w:rsidR="00393368">
        <w:rPr>
          <w:vertAlign w:val="superscript"/>
        </w:rPr>
        <w:instrText>ADDIN CSL_CITATION {"citationItems":[{"id":"ITEM-1","itemData":{"ISBN":"3032705436","ISSN":"00219258","PMID":"1527066","abstract":"Numerous studies have indicated that cytoplasmic intermediate filaments (cIFs) can associate with cellular lipids. To determine if these interactions might have functional consequences, we have studied the lipid metabolism of human SW-13 adrenal tumor cell lines that either contain vimentin-type cIFs (vim+) or lack any detectable cIF network (vim-). Although there were no significant differences in phospholipid or glyceride synthesis, vim- cell lines had elevated levels of cholesterol synthesis and decreased cholesterol esterification, compared with vim+ cells. These differences in cholesterol synthesis and esterification were found to be due to an impaired ability of vim- cells to utilize low density lipoprotein (LDL)-derived cholesterol, although receptor-mediated endocytosis of LDL and the capacity of these cells to esterify endogenously produced cholesterol were not affected. Expression of a mouse vimentin cDNA in stably transfected cell lines, derived from vim- cells, restored the capacity of these cells to utilize LDL cholesterol. The uptake and metabolism of [3H]cholesterol linoleate-loaded LDL showed that the impaired ability of vim- cells to esterify LDL cholesterol was not associated with an accumulation of cellular free cholesterol but rather an increase in the appearance of [3H]cholesterol in the culture medium. These studies indicate that in SW-13 cells, the intracellular movement of LDL-derived cholesterol from the lysosome to the site of esterification is a vimentin-dependent process.","author":[{"dropping-particle":"","family":"Sarria","given":"A. J.","non-dropping-particle":"","parse-names":false,"suffix":""},{"dropping-particle":"","family":"Panini","given":"S. R.","non-dropping-particle":"","parse-names":false,"suffix":""},{"dropping-particle":"","family":"Evans","given":"R. M.","non-dropping-particle":"","parse-names":false,"suffix":""}],"container-title":"Journal of Biological Chemistry","id":"ITEM-1","issue":"27","issued":{"date-parts":[["1992"]]},"page":"19455-19463","title":"A functional role for vimentin intermediate filaments in the metabolism of lipoprotein-derived cholesterol in human SW-13 cells","type":"article-journal","volume":"267"},"uris":["http://www.mendeley.com/documents/?uuid=4efb0c20-db6d-4342-a901-fd421b5b7e6e"]}],"mendeley":{"formattedCitation":"(50)","plainTextFormattedCitation":"(50)","previouslyFormattedCitation":"(50)"},"properties":{"noteIndex":0},"schema":"https://github.com/citation-style-language/schema/raw/master/csl-citation.json"}</w:instrText>
      </w:r>
      <w:r w:rsidRPr="00032868">
        <w:rPr>
          <w:vertAlign w:val="superscript"/>
        </w:rPr>
        <w:fldChar w:fldCharType="separate"/>
      </w:r>
      <w:r w:rsidR="00393368" w:rsidRPr="00393368">
        <w:rPr>
          <w:noProof/>
        </w:rPr>
        <w:t>(50)</w:t>
      </w:r>
      <w:r w:rsidRPr="00032868">
        <w:rPr>
          <w:vertAlign w:val="superscript"/>
        </w:rPr>
        <w:fldChar w:fldCharType="end"/>
      </w:r>
      <w:r>
        <w:t>. One of the ways that this might occur is through ORP4 binding to the vimentin network. Studies have shown that overexpression of ORP4S causes an aggregation of this network and results in a 40% reduction of LDL-derived cholesterol esterification</w:t>
      </w:r>
      <w:r w:rsidRPr="00032868">
        <w:rPr>
          <w:vertAlign w:val="superscript"/>
        </w:rPr>
        <w:fldChar w:fldCharType="begin" w:fldLock="1"/>
      </w:r>
      <w:r w:rsidR="00DE076B">
        <w:rPr>
          <w:vertAlign w:val="superscript"/>
        </w:rPr>
        <w:instrText>ADDIN CSL_CITATION {"citationItems":[{"id":"ITEM-1","itemData":{"DOI":"10.1042/0264-6021:3610461","ISBN":"0264-6021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Journal","id":"ITEM-1","issue":"3","issued":{"date-parts":[["2002","2","1"]]},"page":"461","title":"Oxysterol-binding-protein (OSBP)-related protein 4 binds25-hydroxycholesterol and interacts with vimentin intermediate filaments","type":"article-journal","volume":"361"},"uris":["http://www.mendeley.com/documents/?uuid=cedfa320-07de-40ce-b2d3-c1f3abc9db40"]}],"mendeley":{"formattedCitation":"(12)","plainTextFormattedCitation":"(12)","previouslyFormattedCitation":"(12)"},"properties":{"noteIndex":0},"schema":"https://github.com/citation-style-language/schema/raw/master/csl-citation.json"}</w:instrText>
      </w:r>
      <w:r w:rsidRPr="00032868">
        <w:rPr>
          <w:vertAlign w:val="superscript"/>
        </w:rPr>
        <w:fldChar w:fldCharType="separate"/>
      </w:r>
      <w:r w:rsidR="00423910" w:rsidRPr="00423910">
        <w:rPr>
          <w:noProof/>
        </w:rPr>
        <w:t>(12)</w:t>
      </w:r>
      <w:r w:rsidRPr="00032868">
        <w:rPr>
          <w:vertAlign w:val="superscript"/>
        </w:rPr>
        <w:fldChar w:fldCharType="end"/>
      </w:r>
      <w:r>
        <w:t>. ORP4M was also shown to cause vimentin aggregation due to the non-functional PH domain, implying that the PH domain of ORP4L plays a role in preventing vimentin collapse</w:t>
      </w:r>
      <w:r w:rsidRPr="00032868">
        <w:rPr>
          <w:vertAlign w:val="superscript"/>
        </w:rPr>
        <w:fldChar w:fldCharType="begin" w:fldLock="1"/>
      </w:r>
      <w:r w:rsidR="00DE076B">
        <w:rPr>
          <w:vertAlign w:val="superscript"/>
        </w:rPr>
        <w:instrText>ADDIN CSL_CITATION {"citationItems":[{"id":"ITEM-1","itemData":{"DOI":"10.1074/jbc.M114.571216","ISBN":"9024924324","ISSN":"1083351X","PMID":"24742681","abstract":"Oxysterol-binding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Chemistry","id":"ITEM-1","issue":"22","issued":{"date-parts":[["2014"]]},"page":"15705-15717","title":"Oxysterol-binding protein (OSBP)-related protein 4 (ORP4) is essential for cell proliferation and survival","type":"article-journal","volume":"289"},"uris":["http://www.mendeley.com/documents/?uuid=69e80f92-9587-4c32-b5d3-c1560da16ba1"]}],"mendeley":{"formattedCitation":"(17)","plainTextFormattedCitation":"(17)","previouslyFormattedCitation":"(17)"},"properties":{"noteIndex":0},"schema":"https://github.com/citation-style-language/schema/raw/master/csl-citation.json"}</w:instrText>
      </w:r>
      <w:r w:rsidRPr="00032868">
        <w:rPr>
          <w:vertAlign w:val="superscript"/>
        </w:rPr>
        <w:fldChar w:fldCharType="separate"/>
      </w:r>
      <w:r w:rsidR="00423910" w:rsidRPr="00423910">
        <w:rPr>
          <w:noProof/>
        </w:rPr>
        <w:t>(17)</w:t>
      </w:r>
      <w:r w:rsidRPr="00032868">
        <w:rPr>
          <w:vertAlign w:val="superscript"/>
        </w:rPr>
        <w:fldChar w:fldCharType="end"/>
      </w:r>
      <w:r>
        <w:t>.</w:t>
      </w:r>
    </w:p>
    <w:p w:rsidR="00961548" w:rsidRPr="000A3AC5" w:rsidRDefault="00961548" w:rsidP="00FB099D">
      <w:pPr>
        <w:ind w:firstLine="720"/>
        <w:jc w:val="both"/>
      </w:pPr>
      <w:r>
        <w:t xml:space="preserve">The sterol binding domain of ORP4L was shown to be capable of binding vimentin regardless of cholesterol or 25-OHC being bound to the protein. Cholesterol and 25-OHC binding was lost with the deletion of the </w:t>
      </w:r>
      <w:r w:rsidRPr="00032868">
        <w:rPr>
          <w:rFonts w:cstheme="minorHAnsi"/>
        </w:rPr>
        <w:t>α</w:t>
      </w:r>
      <w:r>
        <w:t xml:space="preserve">-helical lid and the first </w:t>
      </w:r>
      <w:r w:rsidRPr="00032868">
        <w:rPr>
          <w:rFonts w:cstheme="minorHAnsi"/>
        </w:rPr>
        <w:t>β</w:t>
      </w:r>
      <w:r>
        <w:t>-strand in the sterol binding region (residues 501-505), but vimentin binding was still retained</w:t>
      </w:r>
      <w:r w:rsidRPr="00032868">
        <w:rPr>
          <w:vertAlign w:val="superscript"/>
        </w:rPr>
        <w:fldChar w:fldCharType="begin" w:fldLock="1"/>
      </w:r>
      <w:r w:rsidR="00393368">
        <w:rPr>
          <w:vertAlign w:val="superscript"/>
        </w:rPr>
        <w:instrText>ADDIN CSL_CITATION {"citationItems":[{"id":"ITEM-1","itemData":{"DOI":"10.1016/j.yexcr.2007.01.018","ISSN":"00144827","PMID":"17350617","abstract":"Oxysterol-binding protein (OSBP) and OSBP-related protein 4 (ORP4; also designated OSBP2 and HLM) are implicated in sterol-transport and/or sensing via binding to protein partners. The aggregation of vimentin by an N-terminal-truncated variant of ORP4 (ORP4S), but not full-length ORP4L, suggested a functional interaction with this intermediate filament. Herein, we identify ORP4 domains that interact with vimentin, and determine how sterols and OSBP influence this activity. In CHO cells, ORP4L co-localized with filamentous vimentin but extensive remodeling of vimentin filaments required mutation of a leucine repeat motif (amino acids 361-382) adjacent to the oxysterol-binding domain. Similarly, the absence of the leucine repeat in ORP4S 418-878 resulted in co-localization with aggregated vimentin filaments, suggesting that both the sterol-binding domain and leucine repeat are involved. Transient expression of OSBP leucine repeat mutants also promoted vimentin aggregation by a mechanism involving heterodimerization with ORP4L. Glutathione S-transferase (GST)-ORP4 380-878 bound vimentin, cholesterol and 25-hydroxycholesterol in vitro. However, sterol-binding or a mutation that ablated sterol-binding did not influence the interaction of GST-ORP4 with vimentin. Thus the sterol-binding domain of ORP4 binds vimentin, cholesterol and oxysterols, and interacts with the filamentous vimentin network. © 2007 Elsevier Inc. All rights reserved.","author":[{"dropping-particle":"","family":"Wyles","given":"Jessica P.","non-dropping-particle":"","parse-names":false,"suffix":""},{"dropping-particle":"","family":"Perry","given":"Ryan J.","non-dropping-particle":"","parse-names":false,"suffix":""},{"dropping-particle":"","family":"Ridgway","given":"Neale D.","non-dropping-particle":"","parse-names":false,"suffix":""}],"container-title":"Experimental Cell Research","id":"ITEM-1","issue":"7","issued":{"date-parts":[["2007"]]},"page":"1426-1437","title":"Characterization of the sterol-binding domain of oxysterol-binding protein (OSBP)-related protein 4 reveals a novel role in vimentin organization","type":"article-journal","volume":"313"},"uris":["http://www.mendeley.com/documents/?uuid=6881a0a6-9811-49bc-83c1-71524edc7e79"]}],"mendeley":{"formattedCitation":"(47)","plainTextFormattedCitation":"(47)","previouslyFormattedCitation":"(47)"},"properties":{"noteIndex":0},"schema":"https://github.com/citation-style-language/schema/raw/master/csl-citation.json"}</w:instrText>
      </w:r>
      <w:r w:rsidRPr="00032868">
        <w:rPr>
          <w:vertAlign w:val="superscript"/>
        </w:rPr>
        <w:fldChar w:fldCharType="separate"/>
      </w:r>
      <w:r w:rsidR="00393368" w:rsidRPr="00393368">
        <w:rPr>
          <w:noProof/>
        </w:rPr>
        <w:t>(47)</w:t>
      </w:r>
      <w:r w:rsidRPr="00032868">
        <w:rPr>
          <w:vertAlign w:val="superscript"/>
        </w:rPr>
        <w:fldChar w:fldCharType="end"/>
      </w:r>
      <w:r>
        <w:t xml:space="preserve">. This suggests that ORP4L can interact with vimentin in either a ligand bound or free state. This provides evidence that ORP4 interaction can regulate the transport of LDL-derived cholesterol from the endosomal compartments to the ER via the vimentin network. Consistent with the idea that ORP4 interacts </w:t>
      </w:r>
      <w:r>
        <w:lastRenderedPageBreak/>
        <w:t>with vimentin to mod</w:t>
      </w:r>
      <w:r w:rsidR="00427050">
        <w:t xml:space="preserve">ulate cholesterol localization is that </w:t>
      </w:r>
      <w:r>
        <w:t>ORP4 knockdown in mice leads to male sterility</w:t>
      </w:r>
      <w:r w:rsidR="00427050">
        <w:fldChar w:fldCharType="begin" w:fldLock="1"/>
      </w:r>
      <w:r w:rsidR="000A3AC5">
        <w:instrText>ADDIN CSL_CITATION {"citationItems":[{"id":"ITEM-1","itemData":{"DOI":"10.1111/gtc.12105","ISSN":"13569597","PMID":"24245814","abstract":"Oligo-astheno-teratozoospermia (OAT), a condition that includes low sperm number, low sperm motility and abnormal sperm morphology, is the commonest cause of male infertility. Because genetic analysis is frequently impeded by the infertility phenotype, the genetic basis of many of OAT conditions has been hard to verify. Here, we show that deficiency of ORP4, a sterol-binding protein in the oxysterol-binding protein (OSBP)-related protein family, causes male infertility due to severe OAT in mice. In ORP4-deficient mice, spermatogonia proliferation and subsequent meiosis occurred normally, but the morphology of elongating and elongated spermatids was severely distorted, with round-shaped head, curled back head or symplast. Spermatozoa derived from ORP4-deficient mice had little or no motility and no fertilizing ability in vitro. In ORP4-deficient testis, postmeiotic spermatids underwent extensive apoptosis, leading to a severely reduced number of spermatozoa. At the ultrastructural level, nascent acrosomes appeared to normally develop in round spermatids, but acrosomes were detached from the nucleus in elongating spermatids. These results suggest that ORP4 is essential for the postmeiotic differentiation of germ cells.","author":[{"dropping-particle":"","family":"Udagawa","given":"Osamu","non-dropping-particle":"","parse-names":false,"suffix":""},{"dropping-particle":"","family":"Ito","given":"Chizuru","non-dropping-particle":"","parse-names":false,"suffix":""},{"dropping-particle":"","family":"Ogonuki","given":"Narumi","non-dropping-particle":"","parse-names":false,"suffix":""},{"dropping-particle":"","family":"Sato","given":"Hiroyasu","non-dropping-particle":"","parse-names":false,"suffix":""},{"dropping-particle":"","family":"Lee","given":"Shoken","non-dropping-particle":"","parse-names":false,"suffix":""},{"dropping-particle":"","family":"Tripvanuntakul","given":"Pearlta","non-dropping-particle":"","parse-names":false,"suffix":""},{"dropping-particle":"","family":"Ichi","given":"Ikuyo","non-dropping-particle":"","parse-names":false,"suffix":""},{"dropping-particle":"","family":"Uchida","given":"Yasunori","non-dropping-particle":"","parse-names":false,"suffix":""},{"dropping-particle":"","family":"Nishimura","given":"Taki","non-dropping-particle":"","parse-names":false,"suffix":""},{"dropping-particle":"","family":"Murakami","given":"Makoto","non-dropping-particle":"","parse-names":false,"suffix":""},{"dropping-particle":"","family":"Ogura","given":"Atsuo","non-dropping-particle":"","parse-names":false,"suffix":""},{"dropping-particle":"","family":"Inoue","given":"Takao","non-dropping-particle":"","parse-names":false,"suffix":""},{"dropping-particle":"","family":"Toshimori","given":"Kiyotaka","non-dropping-particle":"","parse-names":false,"suffix":""},{"dropping-particle":"","family":"Arai","given":"Hiroyuki","non-dropping-particle":"","parse-names":false,"suffix":""}],"container-title":"Genes to Cells","id":"ITEM-1","issue":"1","issued":{"date-parts":[["2014"]]},"page":"13-27","title":"Oligo-astheno-teratozoospermia in mice lacking ORP4, a sterol-binding protein in the OSBP-related protein family","type":"article-journal","volume":"19"},"uris":["http://www.mendeley.com/documents/?uuid=eec11408-2015-4472-a27c-5a608fd592cc"]}],"mendeley":{"formattedCitation":"(53)","plainTextFormattedCitation":"(53)","previouslyFormattedCitation":"(53)"},"properties":{"noteIndex":0},"schema":"https://github.com/citation-style-language/schema/raw/master/csl-citation.json"}</w:instrText>
      </w:r>
      <w:r w:rsidR="00427050">
        <w:fldChar w:fldCharType="separate"/>
      </w:r>
      <w:r w:rsidR="00427050" w:rsidRPr="00427050">
        <w:rPr>
          <w:noProof/>
        </w:rPr>
        <w:t>(53)</w:t>
      </w:r>
      <w:r w:rsidR="00427050">
        <w:fldChar w:fldCharType="end"/>
      </w:r>
      <w:r w:rsidR="00427050">
        <w:t>.</w:t>
      </w:r>
      <w:r w:rsidR="000A3AC5">
        <w:t xml:space="preserve"> Knockout of ORP4 causes a condition known as oligo-astheno-teratozoospermia, which leads to low sperm count, low motility and abnormal morphology</w:t>
      </w:r>
      <w:r w:rsidR="000A3AC5" w:rsidRPr="00032868">
        <w:rPr>
          <w:vertAlign w:val="superscript"/>
        </w:rPr>
        <w:fldChar w:fldCharType="begin" w:fldLock="1"/>
      </w:r>
      <w:r w:rsidR="000A3AC5">
        <w:rPr>
          <w:vertAlign w:val="superscript"/>
        </w:rPr>
        <w:instrText>ADDIN CSL_CITATION {"citationItems":[{"id":"ITEM-1","itemData":{"DOI":"10.1111/gtc.12105","ISSN":"13569597","PMID":"24245814","abstract":"Oligo-astheno-teratozoospermia (OAT), a condition that includes low sperm number, low sperm motility and abnormal sperm morphology, is the commonest cause of male infertility. Because genetic analysis is frequently impeded by the infertility phenotype, the genetic basis of many of OAT conditions has been hard to verify. Here, we show that deficiency of ORP4, a sterol-binding protein in the oxysterol-binding protein (OSBP)-related protein family, causes male infertility due to severe OAT in mice. In ORP4-deficient mice, spermatogonia proliferation and subsequent meiosis occurred normally, but the morphology of elongating and elongated spermatids was severely distorted, with round-shaped head, curled back head or symplast. Spermatozoa derived from ORP4-deficient mice had little or no motility and no fertilizing ability in vitro. In ORP4-deficient testis, postmeiotic spermatids underwent extensive apoptosis, leading to a severely reduced number of spermatozoa. At the ultrastructural level, nascent acrosomes appeared to normally develop in round spermatids, but acrosomes were detached from the nucleus in elongating spermatids. These results suggest that ORP4 is essential for the postmeiotic differentiation of germ cells.","author":[{"dropping-particle":"","family":"Udagawa","given":"Osamu","non-dropping-particle":"","parse-names":false,"suffix":""},{"dropping-particle":"","family":"Ito","given":"Chizuru","non-dropping-particle":"","parse-names":false,"suffix":""},{"dropping-particle":"","family":"Ogonuki","given":"Narumi","non-dropping-particle":"","parse-names":false,"suffix":""},{"dropping-particle":"","family":"Sato","given":"Hiroyasu","non-dropping-particle":"","parse-names":false,"suffix":""},{"dropping-particle":"","family":"Lee","given":"Shoken","non-dropping-particle":"","parse-names":false,"suffix":""},{"dropping-particle":"","family":"Tripvanuntakul","given":"Pearlta","non-dropping-particle":"","parse-names":false,"suffix":""},{"dropping-particle":"","family":"Ichi","given":"Ikuyo","non-dropping-particle":"","parse-names":false,"suffix":""},{"dropping-particle":"","family":"Uchida","given":"Yasunori","non-dropping-particle":"","parse-names":false,"suffix":""},{"dropping-particle":"","family":"Nishimura","given":"Taki","non-dropping-particle":"","parse-names":false,"suffix":""},{"dropping-particle":"","family":"Murakami","given":"Makoto","non-dropping-particle":"","parse-names":false,"suffix":""},{"dropping-particle":"","family":"Ogura","given":"Atsuo","non-dropping-particle":"","parse-names":false,"suffix":""},{"dropping-particle":"","family":"Inoue","given":"Takao","non-dropping-particle":"","parse-names":false,"suffix":""},{"dropping-particle":"","family":"Toshimori","given":"Kiyotaka","non-dropping-particle":"","parse-names":false,"suffix":""},{"dropping-particle":"","family":"Arai","given":"Hiroyuki","non-dropping-particle":"","parse-names":false,"suffix":""}],"container-title":"Genes to Cells","id":"ITEM-1","issue":"1","issued":{"date-parts":[["2014"]]},"page":"13-27","title":"Oligo-astheno-teratozoospermia in mice lacking ORP4, a sterol-binding protein in the OSBP-related protein family","type":"article-journal","volume":"19"},"uris":["http://www.mendeley.com/documents/?uuid=eec11408-2015-4472-a27c-5a608fd592cc"]}],"mendeley":{"formattedCitation":"(53)","plainTextFormattedCitation":"(53)","previouslyFormattedCitation":"(53)"},"properties":{"noteIndex":0},"schema":"https://github.com/citation-style-language/schema/raw/master/csl-citation.json"}</w:instrText>
      </w:r>
      <w:r w:rsidR="000A3AC5" w:rsidRPr="00032868">
        <w:rPr>
          <w:vertAlign w:val="superscript"/>
        </w:rPr>
        <w:fldChar w:fldCharType="separate"/>
      </w:r>
      <w:r w:rsidR="000A3AC5" w:rsidRPr="00393368">
        <w:rPr>
          <w:noProof/>
        </w:rPr>
        <w:t>(53)</w:t>
      </w:r>
      <w:r w:rsidR="000A3AC5" w:rsidRPr="00032868">
        <w:rPr>
          <w:vertAlign w:val="superscript"/>
        </w:rPr>
        <w:fldChar w:fldCharType="end"/>
      </w:r>
      <w:r w:rsidR="000A3AC5">
        <w:t>. Loss of ORP4 leads to mislocalization of the oocyte activation factor MN13, which needs to translocate from the sterol rich region of the sperm head to an almost sterol free location</w:t>
      </w:r>
      <w:r w:rsidR="000A3AC5">
        <w:fldChar w:fldCharType="begin" w:fldLock="1"/>
      </w:r>
      <w:r w:rsidR="002A0EC2">
        <w:instrText>ADDIN CSL_CITATION {"citationItems":[{"id":"ITEM-1","itemData":{"DOI":"10.1111/gtc.12105","ISSN":"13569597","PMID":"24245814","abstract":"Oligo-astheno-teratozoospermia (OAT), a condition that includes low sperm number, low sperm motility and abnormal sperm morphology, is the commonest cause of male infertility. Because genetic analysis is frequently impeded by the infertility phenotype, the genetic basis of many of OAT conditions has been hard to verify. Here, we show that deficiency of ORP4, a sterol-binding protein in the oxysterol-binding protein (OSBP)-related protein family, causes male infertility due to severe OAT in mice. In ORP4-deficient mice, spermatogonia proliferation and subsequent meiosis occurred normally, but the morphology of elongating and elongated spermatids was severely distorted, with round-shaped head, curled back head or symplast. Spermatozoa derived from ORP4-deficient mice had little or no motility and no fertilizing ability in vitro. In ORP4-deficient testis, postmeiotic spermatids underwent extensive apoptosis, leading to a severely reduced number of spermatozoa. At the ultrastructural level, nascent acrosomes appeared to normally develop in round spermatids, but acrosomes were detached from the nucleus in elongating spermatids. These results suggest that ORP4 is essential for the postmeiotic differentiation of germ cells.","author":[{"dropping-particle":"","family":"Udagawa","given":"Osamu","non-dropping-particle":"","parse-names":false,"suffix":""},{"dropping-particle":"","family":"Ito","given":"Chizuru","non-dropping-particle":"","parse-names":false,"suffix":""},{"dropping-particle":"","family":"Ogonuki","given":"Narumi","non-dropping-particle":"","parse-names":false,"suffix":""},{"dropping-particle":"","family":"Sato","given":"Hiroyasu","non-dropping-particle":"","parse-names":false,"suffix":""},{"dropping-particle":"","family":"Lee","given":"Shoken","non-dropping-particle":"","parse-names":false,"suffix":""},{"dropping-particle":"","family":"Tripvanuntakul","given":"Pearlta","non-dropping-particle":"","parse-names":false,"suffix":""},{"dropping-particle":"","family":"Ichi","given":"Ikuyo","non-dropping-particle":"","parse-names":false,"suffix":""},{"dropping-particle":"","family":"Uchida","given":"Yasunori","non-dropping-particle":"","parse-names":false,"suffix":""},{"dropping-particle":"","family":"Nishimura","given":"Taki","non-dropping-particle":"","parse-names":false,"suffix":""},{"dropping-particle":"","family":"Murakami","given":"Makoto","non-dropping-particle":"","parse-names":false,"suffix":""},{"dropping-particle":"","family":"Ogura","given":"Atsuo","non-dropping-particle":"","parse-names":false,"suffix":""},{"dropping-particle":"","family":"Inoue","given":"Takao","non-dropping-particle":"","parse-names":false,"suffix":""},{"dropping-particle":"","family":"Toshimori","given":"Kiyotaka","non-dropping-particle":"","parse-names":false,"suffix":""},{"dropping-particle":"","family":"Arai","given":"Hiroyuki","non-dropping-particle":"","parse-names":false,"suffix":""}],"container-title":"Genes to Cells","id":"ITEM-1","issue":"1","issued":{"date-parts":[["2014"]]},"page":"13-27","title":"Oligo-astheno-teratozoospermia in mice lacking ORP4, a sterol-binding protein in the OSBP-related protein family","type":"article-journal","volume":"19"},"uris":["http://www.mendeley.com/documents/?uuid=eec11408-2015-4472-a27c-5a608fd592cc"]}],"mendeley":{"formattedCitation":"(53)","plainTextFormattedCitation":"(53)","previouslyFormattedCitation":"(53)"},"properties":{"noteIndex":0},"schema":"https://github.com/citation-style-language/schema/raw/master/csl-citation.json"}</w:instrText>
      </w:r>
      <w:r w:rsidR="000A3AC5">
        <w:fldChar w:fldCharType="separate"/>
      </w:r>
      <w:r w:rsidR="000A3AC5" w:rsidRPr="000A3AC5">
        <w:rPr>
          <w:noProof/>
        </w:rPr>
        <w:t>(53)</w:t>
      </w:r>
      <w:r w:rsidR="000A3AC5">
        <w:fldChar w:fldCharType="end"/>
      </w:r>
      <w:r w:rsidR="000A3AC5">
        <w:t>. The formation of the sperm head under normal ORP4 conditions shows significant ORP4 localization in the equatorial region, which also contains rich vimentin intermediate filaments and is a sterol rich region</w:t>
      </w:r>
      <w:r w:rsidR="000A3AC5" w:rsidRPr="00032868">
        <w:rPr>
          <w:vertAlign w:val="superscript"/>
        </w:rPr>
        <w:fldChar w:fldCharType="begin" w:fldLock="1"/>
      </w:r>
      <w:r w:rsidR="000A3AC5">
        <w:rPr>
          <w:vertAlign w:val="superscript"/>
        </w:rPr>
        <w:instrText>ADDIN CSL_CITATION {"citationItems":[{"id":"ITEM-1","itemData":{"DOI":"10.1111/gtc.12105","ISSN":"13569597","PMID":"24245814","abstract":"Oligo-astheno-teratozoospermia (OAT), a condition that includes low sperm number, low sperm motility and abnormal sperm morphology, is the commonest cause of male infertility. Because genetic analysis is frequently impeded by the infertility phenotype, the genetic basis of many of OAT conditions has been hard to verify. Here, we show that deficiency of ORP4, a sterol-binding protein in the oxysterol-binding protein (OSBP)-related protein family, causes male infertility due to severe OAT in mice. In ORP4-deficient mice, spermatogonia proliferation and subsequent meiosis occurred normally, but the morphology of elongating and elongated spermatids was severely distorted, with round-shaped head, curled back head or symplast. Spermatozoa derived from ORP4-deficient mice had little or no motility and no fertilizing ability in vitro. In ORP4-deficient testis, postmeiotic spermatids underwent extensive apoptosis, leading to a severely reduced number of spermatozoa. At the ultrastructural level, nascent acrosomes appeared to normally develop in round spermatids, but acrosomes were detached from the nucleus in elongating spermatids. These results suggest that ORP4 is essential for the postmeiotic differentiation of germ cells.","author":[{"dropping-particle":"","family":"Udagawa","given":"Osamu","non-dropping-particle":"","parse-names":false,"suffix":""},{"dropping-particle":"","family":"Ito","given":"Chizuru","non-dropping-particle":"","parse-names":false,"suffix":""},{"dropping-particle":"","family":"Ogonuki","given":"Narumi","non-dropping-particle":"","parse-names":false,"suffix":""},{"dropping-particle":"","family":"Sato","given":"Hiroyasu","non-dropping-particle":"","parse-names":false,"suffix":""},{"dropping-particle":"","family":"Lee","given":"Shoken","non-dropping-particle":"","parse-names":false,"suffix":""},{"dropping-particle":"","family":"Tripvanuntakul","given":"Pearlta","non-dropping-particle":"","parse-names":false,"suffix":""},{"dropping-particle":"","family":"Ichi","given":"Ikuyo","non-dropping-particle":"","parse-names":false,"suffix":""},{"dropping-particle":"","family":"Uchida","given":"Yasunori","non-dropping-particle":"","parse-names":false,"suffix":""},{"dropping-particle":"","family":"Nishimura","given":"Taki","non-dropping-particle":"","parse-names":false,"suffix":""},{"dropping-particle":"","family":"Murakami","given":"Makoto","non-dropping-particle":"","parse-names":false,"suffix":""},{"dropping-particle":"","family":"Ogura","given":"Atsuo","non-dropping-particle":"","parse-names":false,"suffix":""},{"dropping-particle":"","family":"Inoue","given":"Takao","non-dropping-particle":"","parse-names":false,"suffix":""},{"dropping-particle":"","family":"Toshimori","given":"Kiyotaka","non-dropping-particle":"","parse-names":false,"suffix":""},{"dropping-particle":"","family":"Arai","given":"Hiroyuki","non-dropping-particle":"","parse-names":false,"suffix":""}],"container-title":"Genes to Cells","id":"ITEM-1","issue":"1","issued":{"date-parts":[["2014"]]},"page":"13-27","title":"Oligo-astheno-teratozoospermia in mice lacking ORP4, a sterol-binding protein in the OSBP-related protein family","type":"article-journal","volume":"19"},"uris":["http://www.mendeley.com/documents/?uuid=eec11408-2015-4472-a27c-5a608fd592cc"]}],"mendeley":{"formattedCitation":"(53)","plainTextFormattedCitation":"(53)","previouslyFormattedCitation":"(53)"},"properties":{"noteIndex":0},"schema":"https://github.com/citation-style-language/schema/raw/master/csl-citation.json"}</w:instrText>
      </w:r>
      <w:r w:rsidR="000A3AC5" w:rsidRPr="00032868">
        <w:rPr>
          <w:vertAlign w:val="superscript"/>
        </w:rPr>
        <w:fldChar w:fldCharType="separate"/>
      </w:r>
      <w:r w:rsidR="000A3AC5" w:rsidRPr="00393368">
        <w:rPr>
          <w:noProof/>
        </w:rPr>
        <w:t>(53)</w:t>
      </w:r>
      <w:r w:rsidR="000A3AC5" w:rsidRPr="00032868">
        <w:rPr>
          <w:vertAlign w:val="superscript"/>
        </w:rPr>
        <w:fldChar w:fldCharType="end"/>
      </w:r>
      <w:r w:rsidR="000A3AC5">
        <w:t xml:space="preserve">. These results suggest that functional ORP4 needs to interact with vimentin within the regions of the sperm head in order to translocate MN13 for efficient spermatogenesis.  </w:t>
      </w:r>
    </w:p>
    <w:p w:rsidR="00961548" w:rsidRPr="00AE0583" w:rsidRDefault="00961548" w:rsidP="00FB099D">
      <w:pPr>
        <w:pStyle w:val="Heading4"/>
        <w:jc w:val="both"/>
        <w:rPr>
          <w:b w:val="0"/>
          <w:i/>
          <w:sz w:val="24"/>
        </w:rPr>
      </w:pPr>
      <w:bookmarkStart w:id="40" w:name="_Ref530662629"/>
      <w:r w:rsidRPr="00AE0583">
        <w:rPr>
          <w:b w:val="0"/>
          <w:i/>
          <w:sz w:val="24"/>
        </w:rPr>
        <w:t>Role in Cellular Proliferation</w:t>
      </w:r>
      <w:bookmarkEnd w:id="40"/>
    </w:p>
    <w:p w:rsidR="00995672" w:rsidRDefault="00961548" w:rsidP="00FB099D">
      <w:pPr>
        <w:ind w:firstLine="720"/>
        <w:jc w:val="both"/>
      </w:pPr>
      <w:r>
        <w:t>ORP4 has also been shown to be linked to cell survival and proliferation</w:t>
      </w:r>
      <w:r w:rsidR="002A0EC2">
        <w:fldChar w:fldCharType="begin" w:fldLock="1"/>
      </w:r>
      <w:r w:rsidR="002A0EC2">
        <w:instrText>ADDIN CSL_CITATION {"citationItems":[{"id":"ITEM-1","itemData":{"DOI":"10.1074/jbc.M114.571216","ISBN":"9024924324","ISSN":"1083351X","PMID":"24742681","abstract":"Oxysterol-binding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Chemistry","id":"ITEM-1","issue":"22","issued":{"date-parts":[["2014"]]},"page":"15705-15717","title":"Oxysterol-binding protein (OSBP)-related protein 4 (ORP4) is essential for cell proliferation and survival","type":"article-journal","volume":"289"},"uris":["http://www.mendeley.com/documents/?uuid=69e80f92-9587-4c32-b5d3-c1560da16ba1"]}],"mendeley":{"formattedCitation":"(17)","plainTextFormattedCitation":"(17)","previouslyFormattedCitation":"(17)"},"properties":{"noteIndex":0},"schema":"https://github.com/citation-style-language/schema/raw/master/csl-citation.json"}</w:instrText>
      </w:r>
      <w:r w:rsidR="002A0EC2">
        <w:fldChar w:fldCharType="separate"/>
      </w:r>
      <w:r w:rsidR="002A0EC2" w:rsidRPr="002A0EC2">
        <w:rPr>
          <w:noProof/>
        </w:rPr>
        <w:t>(17)</w:t>
      </w:r>
      <w:r w:rsidR="002A0EC2">
        <w:fldChar w:fldCharType="end"/>
      </w:r>
      <w:r>
        <w:t xml:space="preserve">. Knockdown of all ORP4 variants, but not OSBP, was shown to cause growth arrest in </w:t>
      </w:r>
      <w:r w:rsidR="002A0EC2">
        <w:t xml:space="preserve">HEK293 and HeLa cells, while </w:t>
      </w:r>
      <w:r>
        <w:t xml:space="preserve">overexpression of </w:t>
      </w:r>
      <w:r w:rsidR="002A0EC2">
        <w:t>any one of the</w:t>
      </w:r>
      <w:r>
        <w:t xml:space="preserve"> knockdown resistant variant</w:t>
      </w:r>
      <w:r w:rsidR="002A0EC2">
        <w:t>s</w:t>
      </w:r>
      <w:r>
        <w:t xml:space="preserve"> partially prevented this arrest</w:t>
      </w:r>
      <w:r w:rsidRPr="00032868">
        <w:rPr>
          <w:vertAlign w:val="superscript"/>
        </w:rPr>
        <w:fldChar w:fldCharType="begin" w:fldLock="1"/>
      </w:r>
      <w:r w:rsidR="00DE076B">
        <w:rPr>
          <w:vertAlign w:val="superscript"/>
        </w:rPr>
        <w:instrText>ADDIN CSL_CITATION {"citationItems":[{"id":"ITEM-1","itemData":{"DOI":"10.1074/jbc.M114.571216","ISBN":"9024924324","ISSN":"1083351X","PMID":"24742681","abstract":"Oxysterol-binding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Chemistry","id":"ITEM-1","issue":"22","issued":{"date-parts":[["2014"]]},"page":"15705-15717","title":"Oxysterol-binding protein (OSBP)-related protein 4 (ORP4) is essential for cell proliferation and survival","type":"article-journal","volume":"289"},"uris":["http://www.mendeley.com/documents/?uuid=69e80f92-9587-4c32-b5d3-c1560da16ba1"]}],"mendeley":{"formattedCitation":"(17)","plainTextFormattedCitation":"(17)","previouslyFormattedCitation":"(17)"},"properties":{"noteIndex":0},"schema":"https://github.com/citation-style-language/schema/raw/master/csl-citation.json"}</w:instrText>
      </w:r>
      <w:r w:rsidRPr="00032868">
        <w:rPr>
          <w:vertAlign w:val="superscript"/>
        </w:rPr>
        <w:fldChar w:fldCharType="separate"/>
      </w:r>
      <w:r w:rsidR="00423910" w:rsidRPr="00423910">
        <w:rPr>
          <w:noProof/>
        </w:rPr>
        <w:t>(17)</w:t>
      </w:r>
      <w:r w:rsidRPr="00032868">
        <w:rPr>
          <w:vertAlign w:val="superscript"/>
        </w:rPr>
        <w:fldChar w:fldCharType="end"/>
      </w:r>
      <w:r w:rsidR="002A0EC2">
        <w:t>. Silencing ORP4L and not the ORP4M and  ORP4S variants, also</w:t>
      </w:r>
      <w:r>
        <w:t xml:space="preserve"> caused a partial growth </w:t>
      </w:r>
      <w:r w:rsidR="002A0EC2">
        <w:t>arrest</w:t>
      </w:r>
      <w:r>
        <w:t xml:space="preserve"> in HeLa cells</w:t>
      </w:r>
      <w:r w:rsidRPr="00032868">
        <w:rPr>
          <w:vertAlign w:val="superscript"/>
        </w:rPr>
        <w:fldChar w:fldCharType="begin" w:fldLock="1"/>
      </w:r>
      <w:r w:rsidR="00DE076B">
        <w:rPr>
          <w:vertAlign w:val="superscript"/>
        </w:rPr>
        <w:instrText>ADDIN CSL_CITATION {"citationItems":[{"id":"ITEM-1","itemData":{"DOI":"10.1074/jbc.M114.571216","ISBN":"9024924324","ISSN":"1083351X","PMID":"24742681","abstract":"Oxysterol-binding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Chemistry","id":"ITEM-1","issue":"22","issued":{"date-parts":[["2014"]]},"page":"15705-15717","title":"Oxysterol-binding protein (OSBP)-related protein 4 (ORP4) is essential for cell proliferation and survival","type":"article-journal","volume":"289"},"uris":["http://www.mendeley.com/documents/?uuid=69e80f92-9587-4c32-b5d3-c1560da16ba1"]}],"mendeley":{"formattedCitation":"(17)","plainTextFormattedCitation":"(17)","previouslyFormattedCitation":"(17)"},"properties":{"noteIndex":0},"schema":"https://github.com/citation-style-language/schema/raw/master/csl-citation.json"}</w:instrText>
      </w:r>
      <w:r w:rsidRPr="00032868">
        <w:rPr>
          <w:vertAlign w:val="superscript"/>
        </w:rPr>
        <w:fldChar w:fldCharType="separate"/>
      </w:r>
      <w:r w:rsidR="00423910" w:rsidRPr="00423910">
        <w:rPr>
          <w:noProof/>
        </w:rPr>
        <w:t>(17)</w:t>
      </w:r>
      <w:r w:rsidRPr="00032868">
        <w:rPr>
          <w:vertAlign w:val="superscript"/>
        </w:rPr>
        <w:fldChar w:fldCharType="end"/>
      </w:r>
      <w:r w:rsidR="002A0EC2">
        <w:t>. These results suggest</w:t>
      </w:r>
      <w:r>
        <w:t xml:space="preserve"> </w:t>
      </w:r>
      <w:r w:rsidR="002A0EC2">
        <w:t xml:space="preserve">that </w:t>
      </w:r>
      <w:r>
        <w:t>ORP4</w:t>
      </w:r>
      <w:r w:rsidR="002A0EC2">
        <w:t xml:space="preserve"> is required for cell line viability and proliferation</w:t>
      </w:r>
      <w:r>
        <w:t>. Knocking down of ORP4 in non-malignant IEC-18 cell lines lead to apoptosis through</w:t>
      </w:r>
      <w:r w:rsidR="002A0EC2">
        <w:t xml:space="preserve"> conventional pathways, and</w:t>
      </w:r>
      <w:r>
        <w:t xml:space="preserve"> RAS transformations of IEC-18 cells had more total ORP4 and did not go through cell death</w:t>
      </w:r>
      <w:r w:rsidRPr="00032868">
        <w:rPr>
          <w:vertAlign w:val="superscript"/>
        </w:rPr>
        <w:fldChar w:fldCharType="begin" w:fldLock="1"/>
      </w:r>
      <w:r w:rsidR="00DE076B">
        <w:rPr>
          <w:vertAlign w:val="superscript"/>
        </w:rPr>
        <w:instrText>ADDIN CSL_CITATION {"citationItems":[{"id":"ITEM-1","itemData":{"DOI":"10.1074/jbc.M114.571216","ISBN":"9024924324","ISSN":"1083351X","PMID":"24742681","abstract":"Oxysterol-binding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Chemistry","id":"ITEM-1","issue":"22","issued":{"date-parts":[["2014"]]},"page":"15705-15717","title":"Oxysterol-binding protein (OSBP)-related protein 4 (ORP4) is essential for cell proliferation and survival","type":"article-journal","volume":"289"},"uris":["http://www.mendeley.com/documents/?uuid=69e80f92-9587-4c32-b5d3-c1560da16ba1"]}],"mendeley":{"formattedCitation":"(17)","plainTextFormattedCitation":"(17)","previouslyFormattedCitation":"(17)"},"properties":{"noteIndex":0},"schema":"https://github.com/citation-style-language/schema/raw/master/csl-citation.json"}</w:instrText>
      </w:r>
      <w:r w:rsidRPr="00032868">
        <w:rPr>
          <w:vertAlign w:val="superscript"/>
        </w:rPr>
        <w:fldChar w:fldCharType="separate"/>
      </w:r>
      <w:r w:rsidR="00423910" w:rsidRPr="00423910">
        <w:rPr>
          <w:noProof/>
        </w:rPr>
        <w:t>(17)</w:t>
      </w:r>
      <w:r w:rsidRPr="00032868">
        <w:rPr>
          <w:vertAlign w:val="superscript"/>
        </w:rPr>
        <w:fldChar w:fldCharType="end"/>
      </w:r>
      <w:r>
        <w:t>. This suggests that ORP4 may be overexpressed during the transformation of cells in order to make them immortalized.</w:t>
      </w:r>
    </w:p>
    <w:p w:rsidR="00961548" w:rsidRDefault="00961548" w:rsidP="00FB099D">
      <w:pPr>
        <w:ind w:firstLine="720"/>
        <w:jc w:val="both"/>
      </w:pPr>
      <w:r>
        <w:t>Another line of evidence that ORP4 is used for proliferation is its ability to promote oxidative phosphorylation in the mitochondria, driving cellular metabolism</w:t>
      </w:r>
      <w:r w:rsidR="002A0EC2">
        <w:fldChar w:fldCharType="begin" w:fldLock="1"/>
      </w:r>
      <w:r w:rsidR="00791B24">
        <w:instrText>ADDIN CSL_CITATION {"citationItems":[{"id":"ITEM-1","itemData":{"DOI":"10.1038/ncomms12702","ISBN":"2041-1723 (Electronic) 2041-1723 (Linking)","ISSN":"20411723","PMID":"27581363","abstract":"Metabolic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CD3ɛ, Gαq/11 and PLCβ3 into a complex that activates PLCβ3. PLCβ3 catalyzes IP3 production in T-ALL as opposed to PLCγ1 in normal T-cells. Up-regulation of ORP4L thus results in a switch in the enzyme responsible for IP3-induced endoplasmic reticulum Ca(2+)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PLCβ3 activation, resulting in an increase of mitochondrial respiration for cell survival. Targeting ORP4L might represent a promising approach for T-ALL treatment.","author":[{"dropping-particle":"","family":"Zhong","given":"Wenbin","non-dropping-particle":"","parse-names":false,"suffix":""},{"dropping-particle":"","family":"Yi","given":"Qing","non-dropping-particle":"","parse-names":false,"suffix":""},{"dropping-particle":"","family":"Xu","given":"Bing","non-dropping-particle":"","parse-names":false,"suffix":""},{"dropping-particle":"","family":"Li","given":"Shiqian","non-dropping-particle":"","parse-names":false,"suffix":""},{"dropping-particle":"","family":"Wang","given":"Tong","non-dropping-particle":"","parse-names":false,"suffix":""},{"dropping-particle":"","family":"Liu","given":"Fupei","non-dropping-particle":"","parse-names":false,"suffix":""},{"dropping-particle":"","family":"Zhu","given":"Biying","non-dropping-particle":"","parse-names":false,"suffix":""},{"dropping-particle":"","family":"Hoffmann","given":"Peter R.","non-dropping-particle":"","parse-names":false,"suffix":""},{"dropping-particle":"","family":"Ji","given":"Guangju","non-dropping-particle":"","parse-names":false,"suffix":""},{"dropping-particle":"","family":"Lei","given":"Pingsheng","non-dropping-particle":"","parse-names":false,"suffix":""},{"dropping-particle":"","family":"Li","given":"Guoping","non-dropping-particle":"","parse-names":false,"suffix":""},{"dropping-particle":"","family":"Li","given":"Jiwei","non-dropping-particle":"","parse-names":false,"suffix":""},{"dropping-particle":"","family":"Li","given":"Jian","non-dropping-particle":"","parse-names":false,"suffix":""},{"dropping-particle":"","family":"Olkkonen","given":"Vesa M.","non-dropping-particle":"","parse-names":false,"suffix":""},{"dropping-particle":"","family":"Yan","given":"Daoguang","non-dropping-particle":"","parse-names":false,"suffix":""}],"container-title":"Nature Communications","id":"ITEM-1","issued":{"date-parts":[["2016"]]},"page":"1-14","publisher":"Nature Publishing Group","title":"ORP4L is essential for T-cell acute lymphoblastic leukemia cell survival","type":"article-journal","volume":"7"},"uris":["http://www.mendeley.com/documents/?uuid=4b829fa5-078a-4bb6-b33f-741001f11c41"]},{"id":"ITEM-2","itemData":{"DOI":"10.1161/CIRCRESAHA.116.309603","ISSN":"15244571","PMID":"27729467","abstract":"© 2016 American Heart Association, Inc. Rationale: Macrophage survival within the arterial wall is a central factor contributing to atherogenesis. Oxysterols, major components of oxidized low-density lipoprotein, exert cytotoxic effects on macrophages. Objective: To determine whether oxysterol-binding protein-related protein 4 L (ORP4L), an oxysterol-binding protein, affects macrophage survival and the pathogenesis of atherosclerosis. Methods and Results: By hiring cell biological approaches and ORP4L - /- mice, we show that ORP4L coexpresses with and forms a complex with Gα q/11 and phospholipase C (PLC)-β3 in macrophages. ORP4L facilitates G-protein-coupled ligand-induced PLCβ3 activation, IP 3 production, and Ca 2+ release from the endoplasmic reticulum. Through this mechanism, ORP4L sustains antiapoptotic Bcl-XL expression through Ca 2+ -mediated c-AMP responsive element binding protein transcriptional regulation and thus protects macrophages from apoptosis. Excessive stimulation with the oxysterol 25-hydroxycholesterol disassembles the ORP4L/Gα q/11 /PLCβ3 complexes, resulting in reduced PLCβ3 activity, IP 3 production, and Ca 2+ release, as well as decreased Bcl-XL expression and increased apoptosis. Overexpression of ORP4L counteracts these oxysterol-induced defects. Mice lacking ORP4L exhibit increased apoptosis of macrophages in atherosclerotic lesions and a reduced lesion size. Conclusions: ORP4L is crucial for macrophage survival. It counteracts the cytotoxicity of oxysterols/oxidized low-density lipoprotein to protect macrophage from apoptosis, thus playing an important role in the development of atherosclerosis.","author":[{"dropping-particle":"","family":"Zhong","given":"Wenbin","non-dropping-particle":"","parse-names":false,"suffix":""},{"dropping-particle":"","family":"Pan","given":"Guoping","non-dropping-particle":"","parse-names":false,"suffix":""},{"dropping-particle":"","family":"Wang","given":"Lin","non-dropping-particle":"","parse-names":false,"suffix":""},{"dropping-particle":"","family":"Li","given":"Shiqian","non-dropping-particle":"","parse-names":false,"suffix":""},{"dropping-particle":"","family":"Ou","given":"Jingsong","non-dropping-particle":"","parse-names":false,"suffix":""},{"dropping-particle":"","family":"Xu","given":"Mengyang","non-dropping-particle":"","parse-names":false,"suffix":""},{"dropping-particle":"","family":"Li","given":"Jiwei","non-dropping-particle":"","parse-names":false,"suffix":""},{"dropping-particle":"","family":"Zhu","given":"Biying","non-dropping-particle":"","parse-names":false,"suffix":""},{"dropping-particle":"","family":"Cao","given":"Xiuye","non-dropping-particle":"","parse-names":false,"suffix":""},{"dropping-particle":"","family":"Ma","given":"Hongling","non-dropping-particle":"","parse-names":false,"suffix":""},{"dropping-particle":"","family":"Li","given":"Chaowen","non-dropping-particle":"","parse-names":false,"suffix":""},{"dropping-particle":"","family":"Xu","given":"Jun","non-dropping-particle":"","parse-names":false,"suffix":""},{"dropping-particle":"","family":"Olkkonen","given":"Vesa M.","non-dropping-particle":"","parse-names":false,"suffix":""},{"dropping-particle":"","family":"Staels","given":"Bart","non-dropping-particle":"","parse-names":false,"suffix":""},{"dropping-particle":"","family":"Yan","given":"Daoguang","non-dropping-particle":"","parse-names":false,"suffix":""}],"container-title":"Circulation Research","id":"ITEM-2","issue":"12","issued":{"date-parts":[["2016"]]},"page":"1296-1312","title":"ORP4L Facilitates Macrophage Survival via G-Protein-Coupled Signaling","type":"article-journal","volume":"119"},"uris":["http://www.mendeley.com/documents/?uuid=8d33535c-3788-43ae-ad6b-32c909272c41"]}],"mendeley":{"formattedCitation":"(48, 54)","plainTextFormattedCitation":"(48, 54)","previouslyFormattedCitation":"(48, 54)"},"properties":{"noteIndex":0},"schema":"https://github.com/citation-style-language/schema/raw/master/csl-citation.json"}</w:instrText>
      </w:r>
      <w:r w:rsidR="002A0EC2">
        <w:fldChar w:fldCharType="separate"/>
      </w:r>
      <w:r w:rsidR="002A0EC2" w:rsidRPr="002A0EC2">
        <w:rPr>
          <w:noProof/>
        </w:rPr>
        <w:t>(48, 54)</w:t>
      </w:r>
      <w:r w:rsidR="002A0EC2">
        <w:fldChar w:fldCharType="end"/>
      </w:r>
      <w:r>
        <w:t>. A recent study in T-ALL has shown that ORP4L acts as a scaffold/adapto</w:t>
      </w:r>
      <w:r w:rsidR="002A0EC2">
        <w:t xml:space="preserve">r allowing for the assembly of </w:t>
      </w:r>
      <w:r>
        <w:t>CD3</w:t>
      </w:r>
      <w:r w:rsidRPr="00032868">
        <w:rPr>
          <w:rFonts w:cstheme="minorHAnsi"/>
        </w:rPr>
        <w:t>β</w:t>
      </w:r>
      <w:r>
        <w:t>, G</w:t>
      </w:r>
      <w:r w:rsidRPr="00032868">
        <w:rPr>
          <w:rFonts w:cstheme="minorHAnsi"/>
        </w:rPr>
        <w:t>α</w:t>
      </w:r>
      <w:r w:rsidRPr="00032868">
        <w:rPr>
          <w:vertAlign w:val="subscript"/>
        </w:rPr>
        <w:t>q/11</w:t>
      </w:r>
      <w:r>
        <w:t>, and PLC</w:t>
      </w:r>
      <w:r w:rsidRPr="00032868">
        <w:rPr>
          <w:rFonts w:cstheme="minorHAnsi"/>
        </w:rPr>
        <w:t>β</w:t>
      </w:r>
      <w:r w:rsidR="002A0EC2">
        <w:t>3</w:t>
      </w:r>
      <w:r w:rsidR="002A0EC2">
        <w:fldChar w:fldCharType="begin" w:fldLock="1"/>
      </w:r>
      <w:r w:rsidR="002A0EC2">
        <w:instrText>ADDIN CSL_CITATION {"citationItems":[{"id":"ITEM-1","itemData":{"DOI":"10.1038/ncomms12702","ISBN":"2041-1723 (Electronic) 2041-1723 (Linking)","ISSN":"20411723","PMID":"27581363","abstract":"Metabolic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CD3ɛ, Gαq/11 and PLCβ3 into a complex that activates PLCβ3. PLCβ3 catalyzes IP3 production in T-ALL as opposed to PLCγ1 in normal T-cells. Up-regulation of ORP4L thus results in a switch in the enzyme responsible for IP3-induced endoplasmic reticulum Ca(2+)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PLCβ3 activation, resulting in an increase of mitochondrial respiration for cell survival. Targeting ORP4L might represent a promising approach for T-ALL treatment.","author":[{"dropping-particle":"","family":"Zhong","given":"Wenbin","non-dropping-particle":"","parse-names":false,"suffix":""},{"dropping-particle":"","family":"Yi","given":"Qing","non-dropping-particle":"","parse-names":false,"suffix":""},{"dropping-particle":"","family":"Xu","given":"Bing","non-dropping-particle":"","parse-names":false,"suffix":""},{"dropping-particle":"","family":"Li","given":"Shiqian","non-dropping-particle":"","parse-names":false,"suffix":""},{"dropping-particle":"","family":"Wang","given":"Tong","non-dropping-particle":"","parse-names":false,"suffix":""},{"dropping-particle":"","family":"Liu","given":"Fupei","non-dropping-particle":"","parse-names":false,"suffix":""},{"dropping-particle":"","family":"Zhu","given":"Biying","non-dropping-particle":"","parse-names":false,"suffix":""},{"dropping-particle":"","family":"Hoffmann","given":"Peter R.","non-dropping-particle":"","parse-names":false,"suffix":""},{"dropping-particle":"","family":"Ji","given":"Guangju","non-dropping-particle":"","parse-names":false,"suffix":""},{"dropping-particle":"","family":"Lei","given":"Pingsheng","non-dropping-particle":"","parse-names":false,"suffix":""},{"dropping-particle":"","family":"Li","given":"Guoping","non-dropping-particle":"","parse-names":false,"suffix":""},{"dropping-particle":"","family":"Li","given":"Jiwei","non-dropping-particle":"","parse-names":false,"suffix":""},{"dropping-particle":"","family":"Li","given":"Jian","non-dropping-particle":"","parse-names":false,"suffix":""},{"dropping-particle":"","family":"Olkkonen","given":"Vesa M.","non-dropping-particle":"","parse-names":false,"suffix":""},{"dropping-particle":"","family":"Yan","given":"Daoguang","non-dropping-particle":"","parse-names":false,"suffix":""}],"container-title":"Nature Communications","id":"ITEM-1","issued":{"date-parts":[["2016"]]},"page":"1-14","publisher":"Nature Publishing Group","title":"ORP4L is essential for T-cell acute lymphoblastic leukemia cell survival","type":"article-journal","volume":"7"},"uris":["http://www.mendeley.com/documents/?uuid=4b829fa5-078a-4bb6-b33f-741001f11c41"]}],"mendeley":{"formattedCitation":"(54)","plainTextFormattedCitation":"(54)","previouslyFormattedCitation":"(54)"},"properties":{"noteIndex":0},"schema":"https://github.com/citation-style-language/schema/raw/master/csl-citation.json"}</w:instrText>
      </w:r>
      <w:r w:rsidR="002A0EC2">
        <w:fldChar w:fldCharType="separate"/>
      </w:r>
      <w:r w:rsidR="002A0EC2" w:rsidRPr="002A0EC2">
        <w:rPr>
          <w:noProof/>
        </w:rPr>
        <w:t>(54)</w:t>
      </w:r>
      <w:r w:rsidR="002A0EC2">
        <w:fldChar w:fldCharType="end"/>
      </w:r>
      <w:r w:rsidR="002A0EC2">
        <w:t>. T</w:t>
      </w:r>
      <w:r>
        <w:t>his</w:t>
      </w:r>
      <w:r w:rsidR="002A0EC2">
        <w:t xml:space="preserve"> ORP4L-mediated complex</w:t>
      </w:r>
      <w:r>
        <w:t xml:space="preserve"> activates PLC</w:t>
      </w:r>
      <w:r w:rsidRPr="00032868">
        <w:rPr>
          <w:rFonts w:cstheme="minorHAnsi"/>
        </w:rPr>
        <w:t>β</w:t>
      </w:r>
      <w:r>
        <w:t>3 to process IP</w:t>
      </w:r>
      <w:r w:rsidRPr="00032868">
        <w:rPr>
          <w:vertAlign w:val="subscript"/>
        </w:rPr>
        <w:t>3</w:t>
      </w:r>
      <w:r w:rsidR="002A0EC2">
        <w:t xml:space="preserve"> into </w:t>
      </w:r>
      <w:r w:rsidR="002A0EC2">
        <w:lastRenderedPageBreak/>
        <w:t xml:space="preserve">signaling molecules to induce the </w:t>
      </w:r>
      <w:r>
        <w:t>Ca</w:t>
      </w:r>
      <w:r w:rsidRPr="00032868">
        <w:rPr>
          <w:vertAlign w:val="superscript"/>
        </w:rPr>
        <w:t>2+</w:t>
      </w:r>
      <w:r>
        <w:t xml:space="preserve"> release</w:t>
      </w:r>
      <w:r w:rsidR="002A0EC2">
        <w:t xml:space="preserve"> from the ER</w:t>
      </w:r>
      <w:r>
        <w:t xml:space="preserve"> used in oxidative phosphorylation</w:t>
      </w:r>
      <w:r w:rsidRPr="00032868">
        <w:rPr>
          <w:vertAlign w:val="superscript"/>
        </w:rPr>
        <w:fldChar w:fldCharType="begin" w:fldLock="1"/>
      </w:r>
      <w:r w:rsidR="00393368">
        <w:rPr>
          <w:vertAlign w:val="superscript"/>
        </w:rPr>
        <w:instrText>ADDIN CSL_CITATION {"citationItems":[{"id":"ITEM-1","itemData":{"DOI":"10.1038/ncomms12702","ISBN":"2041-1723 (Electronic) 2041-1723 (Linking)","ISSN":"20411723","PMID":"27581363","abstract":"Metabolic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CD3ɛ, Gαq/11 and PLCβ3 into a complex that activates PLCβ3. PLCβ3 catalyzes IP3 production in T-ALL as opposed to PLCγ1 in normal T-cells. Up-regulation of ORP4L thus results in a switch in the enzyme responsible for IP3-induced endoplasmic reticulum Ca(2+)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PLCβ3 activation, resulting in an increase of mitochondrial respiration for cell survival. Targeting ORP4L might represent a promising approach for T-ALL treatment.","author":[{"dropping-particle":"","family":"Zhong","given":"Wenbin","non-dropping-particle":"","parse-names":false,"suffix":""},{"dropping-particle":"","family":"Yi","given":"Qing","non-dropping-particle":"","parse-names":false,"suffix":""},{"dropping-particle":"","family":"Xu","given":"Bing","non-dropping-particle":"","parse-names":false,"suffix":""},{"dropping-particle":"","family":"Li","given":"Shiqian","non-dropping-particle":"","parse-names":false,"suffix":""},{"dropping-particle":"","family":"Wang","given":"Tong","non-dropping-particle":"","parse-names":false,"suffix":""},{"dropping-particle":"","family":"Liu","given":"Fupei","non-dropping-particle":"","parse-names":false,"suffix":""},{"dropping-particle":"","family":"Zhu","given":"Biying","non-dropping-particle":"","parse-names":false,"suffix":""},{"dropping-particle":"","family":"Hoffmann","given":"Peter R.","non-dropping-particle":"","parse-names":false,"suffix":""},{"dropping-particle":"","family":"Ji","given":"Guangju","non-dropping-particle":"","parse-names":false,"suffix":""},{"dropping-particle":"","family":"Lei","given":"Pingsheng","non-dropping-particle":"","parse-names":false,"suffix":""},{"dropping-particle":"","family":"Li","given":"Guoping","non-dropping-particle":"","parse-names":false,"suffix":""},{"dropping-particle":"","family":"Li","given":"Jiwei","non-dropping-particle":"","parse-names":false,"suffix":""},{"dropping-particle":"","family":"Li","given":"Jian","non-dropping-particle":"","parse-names":false,"suffix":""},{"dropping-particle":"","family":"Olkkonen","given":"Vesa M.","non-dropping-particle":"","parse-names":false,"suffix":""},{"dropping-particle":"","family":"Yan","given":"Daoguang","non-dropping-particle":"","parse-names":false,"suffix":""}],"container-title":"Nature Communications","id":"ITEM-1","issued":{"date-parts":[["2016"]]},"page":"1-14","publisher":"Nature Publishing Group","title":"ORP4L is essential for T-cell acute lymphoblastic leukemia cell survival","type":"article-journal","volume":"7"},"uris":["http://www.mendeley.com/documents/?uuid=4b829fa5-078a-4bb6-b33f-741001f11c41"]}],"mendeley":{"formattedCitation":"(54)","plainTextFormattedCitation":"(54)","previouslyFormattedCitation":"(54)"},"properties":{"noteIndex":0},"schema":"https://github.com/citation-style-language/schema/raw/master/csl-citation.json"}</w:instrText>
      </w:r>
      <w:r w:rsidRPr="00032868">
        <w:rPr>
          <w:vertAlign w:val="superscript"/>
        </w:rPr>
        <w:fldChar w:fldCharType="separate"/>
      </w:r>
      <w:r w:rsidR="00393368" w:rsidRPr="00393368">
        <w:rPr>
          <w:noProof/>
        </w:rPr>
        <w:t>(54)</w:t>
      </w:r>
      <w:r w:rsidRPr="00032868">
        <w:rPr>
          <w:vertAlign w:val="superscript"/>
        </w:rPr>
        <w:fldChar w:fldCharType="end"/>
      </w:r>
      <w:r w:rsidR="001E2413">
        <w:t xml:space="preserve"> (</w:t>
      </w:r>
      <w:r w:rsidR="002A0EC2" w:rsidRPr="002A0EC2">
        <w:rPr>
          <w:b/>
        </w:rPr>
        <w:fldChar w:fldCharType="begin"/>
      </w:r>
      <w:r w:rsidR="002A0EC2" w:rsidRPr="002A0EC2">
        <w:rPr>
          <w:b/>
        </w:rPr>
        <w:instrText xml:space="preserve"> REF _Ref530511851 \h  \* MERGEFORMAT </w:instrText>
      </w:r>
      <w:r w:rsidR="002A0EC2" w:rsidRPr="002A0EC2">
        <w:rPr>
          <w:b/>
        </w:rPr>
      </w:r>
      <w:r w:rsidR="002A0EC2" w:rsidRPr="002A0EC2">
        <w:rPr>
          <w:b/>
        </w:rPr>
        <w:fldChar w:fldCharType="separate"/>
      </w:r>
      <w:r w:rsidR="00E2070A" w:rsidRPr="00E2070A">
        <w:rPr>
          <w:b/>
        </w:rPr>
        <w:t xml:space="preserve">Figure </w:t>
      </w:r>
      <w:r w:rsidR="00E2070A" w:rsidRPr="00E2070A">
        <w:rPr>
          <w:b/>
          <w:noProof/>
        </w:rPr>
        <w:t>8</w:t>
      </w:r>
      <w:r w:rsidR="002A0EC2" w:rsidRPr="002A0EC2">
        <w:rPr>
          <w:b/>
        </w:rPr>
        <w:fldChar w:fldCharType="end"/>
      </w:r>
      <w:r w:rsidR="001E2413">
        <w:t>)</w:t>
      </w:r>
      <w:r>
        <w:t>. This complex was also found to be active in macrophages</w:t>
      </w:r>
      <w:r w:rsidR="002A0EC2">
        <w:t>,</w:t>
      </w:r>
      <w:r>
        <w:t xml:space="preserve"> and </w:t>
      </w:r>
      <w:r w:rsidR="002A0EC2">
        <w:t xml:space="preserve">in macrophages, the complex </w:t>
      </w:r>
      <w:r>
        <w:t>sustain</w:t>
      </w:r>
      <w:r w:rsidR="002A0EC2">
        <w:t>s</w:t>
      </w:r>
      <w:r>
        <w:t xml:space="preserve"> cell viability through the ER Ca</w:t>
      </w:r>
      <w:r w:rsidRPr="00032868">
        <w:rPr>
          <w:vertAlign w:val="superscript"/>
        </w:rPr>
        <w:t>2+</w:t>
      </w:r>
      <w:r w:rsidR="002A0EC2">
        <w:t xml:space="preserve"> release leading</w:t>
      </w:r>
      <w:r>
        <w:t xml:space="preserve"> to c-AMP responsive element binding protein activation and upregulation </w:t>
      </w:r>
      <w:r w:rsidR="002A0EC2">
        <w:t xml:space="preserve">of </w:t>
      </w:r>
      <w:r>
        <w:t>transcription of the anti-apoptotic factor Bcl-XL</w:t>
      </w:r>
      <w:r w:rsidRPr="00032868">
        <w:rPr>
          <w:vertAlign w:val="superscript"/>
        </w:rPr>
        <w:fldChar w:fldCharType="begin" w:fldLock="1"/>
      </w:r>
      <w:r w:rsidR="00393368">
        <w:rPr>
          <w:vertAlign w:val="superscript"/>
        </w:rPr>
        <w:instrText>ADDIN CSL_CITATION {"citationItems":[{"id":"ITEM-1","itemData":{"DOI":"10.1161/CIRCRESAHA.116.309603","ISSN":"15244571","PMID":"27729467","abstract":"© 2016 American Heart Association, Inc. Rationale: Macrophage survival within the arterial wall is a central factor contributing to atherogenesis. Oxysterols, major components of oxidized low-density lipoprotein, exert cytotoxic effects on macrophages. Objective: To determine whether oxysterol-binding protein-related protein 4 L (ORP4L), an oxysterol-binding protein, affects macrophage survival and the pathogenesis of atherosclerosis. Methods and Results: By hiring cell biological approaches and ORP4L - /- mice, we show that ORP4L coexpresses with and forms a complex with Gα q/11 and phospholipase C (PLC)-β3 in macrophages. ORP4L facilitates G-protein-coupled ligand-induced PLCβ3 activation, IP 3 production, and Ca 2+ release from the endoplasmic reticulum. Through this mechanism, ORP4L sustains antiapoptotic Bcl-XL expression through Ca 2+ -mediated c-AMP responsive element binding protein transcriptional regulation and thus protects macrophages from apoptosis. Excessive stimulation with the oxysterol 25-hydroxycholesterol disassembles the ORP4L/Gα q/11 /PLCβ3 complexes, resulting in reduced PLCβ3 activity, IP 3 production, and Ca 2+ release, as well as decreased Bcl-XL expression and increased apoptosis. Overexpression of ORP4L counteracts these oxysterol-induced defects. Mice lacking ORP4L exhibit increased apoptosis of macrophages in atherosclerotic lesions and a reduced lesion size. Conclusions: ORP4L is crucial for macrophage survival. It counteracts the cytotoxicity of oxysterols/oxidized low-density lipoprotein to protect macrophage from apoptosis, thus playing an important role in the development of atherosclerosis.","author":[{"dropping-particle":"","family":"Zhong","given":"Wenbin","non-dropping-particle":"","parse-names":false,"suffix":""},{"dropping-particle":"","family":"Pan","given":"Guoping","non-dropping-particle":"","parse-names":false,"suffix":""},{"dropping-particle":"","family":"Wang","given":"Lin","non-dropping-particle":"","parse-names":false,"suffix":""},{"dropping-particle":"","family":"Li","given":"Shiqian","non-dropping-particle":"","parse-names":false,"suffix":""},{"dropping-particle":"","family":"Ou","given":"Jingsong","non-dropping-particle":"","parse-names":false,"suffix":""},{"dropping-particle":"","family":"Xu","given":"Mengyang","non-dropping-particle":"","parse-names":false,"suffix":""},{"dropping-particle":"","family":"Li","given":"Jiwei","non-dropping-particle":"","parse-names":false,"suffix":""},{"dropping-particle":"","family":"Zhu","given":"Biying","non-dropping-particle":"","parse-names":false,"suffix":""},{"dropping-particle":"","family":"Cao","given":"Xiuye","non-dropping-particle":"","parse-names":false,"suffix":""},{"dropping-particle":"","family":"Ma","given":"Hongling","non-dropping-particle":"","parse-names":false,"suffix":""},{"dropping-particle":"","family":"Li","given":"Chaowen","non-dropping-particle":"","parse-names":false,"suffix":""},{"dropping-particle":"","family":"Xu","given":"Jun","non-dropping-particle":"","parse-names":false,"suffix":""},{"dropping-particle":"","family":"Olkkonen","given":"Vesa M.","non-dropping-particle":"","parse-names":false,"suffix":""},{"dropping-particle":"","family":"Staels","given":"Bart","non-dropping-particle":"","parse-names":false,"suffix":""},{"dropping-particle":"","family":"Yan","given":"Daoguang","non-dropping-particle":"","parse-names":false,"suffix":""}],"container-title":"Circulation Research","id":"ITEM-1","issue":"12","issued":{"date-parts":[["2016"]]},"page":"1296-1312","title":"ORP4L Facilitates Macrophage Survival via G-Protein-Coupled Signaling","type":"article-journal","volume":"119"},"uris":["http://www.mendeley.com/documents/?uuid=8d33535c-3788-43ae-ad6b-32c909272c41"]}],"mendeley":{"formattedCitation":"(48)","plainTextFormattedCitation":"(48)","previouslyFormattedCitation":"(48)"},"properties":{"noteIndex":0},"schema":"https://github.com/citation-style-language/schema/raw/master/csl-citation.json"}</w:instrText>
      </w:r>
      <w:r w:rsidRPr="00032868">
        <w:rPr>
          <w:vertAlign w:val="superscript"/>
        </w:rPr>
        <w:fldChar w:fldCharType="separate"/>
      </w:r>
      <w:r w:rsidR="00393368" w:rsidRPr="00393368">
        <w:rPr>
          <w:noProof/>
        </w:rPr>
        <w:t>(48)</w:t>
      </w:r>
      <w:r w:rsidRPr="00032868">
        <w:rPr>
          <w:vertAlign w:val="superscript"/>
        </w:rPr>
        <w:fldChar w:fldCharType="end"/>
      </w:r>
      <w:r>
        <w:t xml:space="preserve">. Disruption of this complex </w:t>
      </w:r>
      <w:r w:rsidR="002A0EC2">
        <w:t>through</w:t>
      </w:r>
      <w:r>
        <w:t xml:space="preserve"> ORP4L</w:t>
      </w:r>
      <w:r w:rsidR="002A0EC2">
        <w:t xml:space="preserve"> binding to </w:t>
      </w:r>
      <w:r>
        <w:t xml:space="preserve">25-OHC leads to increased </w:t>
      </w:r>
      <w:r w:rsidR="0015171B" w:rsidRPr="00193131">
        <w:rPr>
          <w:noProof/>
          <w:szCs w:val="28"/>
          <w:lang w:bidi="ar-SA"/>
        </w:rPr>
        <w:drawing>
          <wp:anchor distT="0" distB="0" distL="114300" distR="114300" simplePos="0" relativeHeight="251664384" behindDoc="1" locked="0" layoutInCell="1" allowOverlap="1" wp14:anchorId="57BE90F9" wp14:editId="44CC804A">
            <wp:simplePos x="0" y="0"/>
            <wp:positionH relativeFrom="margin">
              <wp:posOffset>390525</wp:posOffset>
            </wp:positionH>
            <wp:positionV relativeFrom="paragraph">
              <wp:posOffset>2002155</wp:posOffset>
            </wp:positionV>
            <wp:extent cx="5352415" cy="3010535"/>
            <wp:effectExtent l="19050" t="19050" r="19685" b="18415"/>
            <wp:wrapTight wrapText="bothSides">
              <wp:wrapPolygon edited="0">
                <wp:start x="-77" y="-137"/>
                <wp:lineTo x="-77" y="21595"/>
                <wp:lineTo x="21603" y="21595"/>
                <wp:lineTo x="21603" y="-137"/>
                <wp:lineTo x="-77" y="-137"/>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352415" cy="30105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apoptosis due to the decrease in Bcl-XL transcription</w:t>
      </w:r>
      <w:r w:rsidRPr="00032868">
        <w:rPr>
          <w:vertAlign w:val="superscript"/>
        </w:rPr>
        <w:fldChar w:fldCharType="begin" w:fldLock="1"/>
      </w:r>
      <w:r w:rsidR="00393368">
        <w:rPr>
          <w:vertAlign w:val="superscript"/>
        </w:rPr>
        <w:instrText>ADDIN CSL_CITATION {"citationItems":[{"id":"ITEM-1","itemData":{"DOI":"10.1161/CIRCRESAHA.116.309603","ISSN":"15244571","PMID":"27729467","abstract":"© 2016 American Heart Association, Inc. Rationale: Macrophage survival within the arterial wall is a central factor contributing to atherogenesis. Oxysterols, major components of oxidized low-density lipoprotein, exert cytotoxic effects on macrophages. Objective: To determine whether oxysterol-binding protein-related protein 4 L (ORP4L), an oxysterol-binding protein, affects macrophage survival and the pathogenesis of atherosclerosis. Methods and Results: By hiring cell biological approaches and ORP4L - /- mice, we show that ORP4L coexpresses with and forms a complex with Gα q/11 and phospholipase C (PLC)-β3 in macrophages. ORP4L facilitates G-protein-coupled ligand-induced PLCβ3 activation, IP 3 production, and Ca 2+ release from the endoplasmic reticulum. Through this mechanism, ORP4L sustains antiapoptotic Bcl-XL expression through Ca 2+ -mediated c-AMP responsive element binding protein transcriptional regulation and thus protects macrophages from apoptosis. Excessive stimulation with the oxysterol 25-hydroxycholesterol disassembles the ORP4L/Gα q/11 /PLCβ3 complexes, resulting in reduced PLCβ3 activity, IP 3 production, and Ca 2+ release, as well as decreased Bcl-XL expression and increased apoptosis. Overexpression of ORP4L counteracts these oxysterol-induced defects. Mice lacking ORP4L exhibit increased apoptosis of macrophages in atherosclerotic lesions and a reduced lesion size. Conclusions: ORP4L is crucial for macrophage survival. It counteracts the cytotoxicity of oxysterols/oxidized low-density lipoprotein to protect macrophage from apoptosis, thus playing an important role in the development of atherosclerosis.","author":[{"dropping-particle":"","family":"Zhong","given":"Wenbin","non-dropping-particle":"","parse-names":false,"suffix":""},{"dropping-particle":"","family":"Pan","given":"Guoping","non-dropping-particle":"","parse-names":false,"suffix":""},{"dropping-particle":"","family":"Wang","given":"Lin","non-dropping-particle":"","parse-names":false,"suffix":""},{"dropping-particle":"","family":"Li","given":"Shiqian","non-dropping-particle":"","parse-names":false,"suffix":""},{"dropping-particle":"","family":"Ou","given":"Jingsong","non-dropping-particle":"","parse-names":false,"suffix":""},{"dropping-particle":"","family":"Xu","given":"Mengyang","non-dropping-particle":"","parse-names":false,"suffix":""},{"dropping-particle":"","family":"Li","given":"Jiwei","non-dropping-particle":"","parse-names":false,"suffix":""},{"dropping-particle":"","family":"Zhu","given":"Biying","non-dropping-particle":"","parse-names":false,"suffix":""},{"dropping-particle":"","family":"Cao","given":"Xiuye","non-dropping-particle":"","parse-names":false,"suffix":""},{"dropping-particle":"","family":"Ma","given":"Hongling","non-dropping-particle":"","parse-names":false,"suffix":""},{"dropping-particle":"","family":"Li","given":"Chaowen","non-dropping-particle":"","parse-names":false,"suffix":""},{"dropping-particle":"","family":"Xu","given":"Jun","non-dropping-particle":"","parse-names":false,"suffix":""},{"dropping-particle":"","family":"Olkkonen","given":"Vesa M.","non-dropping-particle":"","parse-names":false,"suffix":""},{"dropping-particle":"","family":"Staels","given":"Bart","non-dropping-particle":"","parse-names":false,"suffix":""},{"dropping-particle":"","family":"Yan","given":"Daoguang","non-dropping-particle":"","parse-names":false,"suffix":""}],"container-title":"Circulation Research","id":"ITEM-1","issue":"12","issued":{"date-parts":[["2016"]]},"page":"1296-1312","title":"ORP4L Facilitates Macrophage Survival via G-Protein-Coupled Signaling","type":"article-journal","volume":"119"},"uris":["http://www.mendeley.com/documents/?uuid=8d33535c-3788-43ae-ad6b-32c909272c41"]}],"mendeley":{"formattedCitation":"(48)","plainTextFormattedCitation":"(48)","previouslyFormattedCitation":"(48)"},"properties":{"noteIndex":0},"schema":"https://github.com/citation-style-language/schema/raw/master/csl-citation.json"}</w:instrText>
      </w:r>
      <w:r w:rsidRPr="00032868">
        <w:rPr>
          <w:vertAlign w:val="superscript"/>
        </w:rPr>
        <w:fldChar w:fldCharType="separate"/>
      </w:r>
      <w:r w:rsidR="00393368" w:rsidRPr="00393368">
        <w:rPr>
          <w:noProof/>
        </w:rPr>
        <w:t>(48)</w:t>
      </w:r>
      <w:r w:rsidRPr="00032868">
        <w:rPr>
          <w:vertAlign w:val="superscript"/>
        </w:rPr>
        <w:fldChar w:fldCharType="end"/>
      </w:r>
      <w:r>
        <w:t>.</w:t>
      </w:r>
    </w:p>
    <w:p w:rsidR="00193131" w:rsidRDefault="00193131" w:rsidP="00FB099D">
      <w:pPr>
        <w:pStyle w:val="Caption"/>
        <w:jc w:val="both"/>
      </w:pPr>
    </w:p>
    <w:p w:rsidR="00193131" w:rsidRDefault="00A841B4" w:rsidP="00FB099D">
      <w:pPr>
        <w:pStyle w:val="Caption"/>
        <w:jc w:val="both"/>
        <w:rPr>
          <w:b w:val="0"/>
        </w:rPr>
      </w:pPr>
      <w:bookmarkStart w:id="41" w:name="_Ref530511851"/>
      <w:bookmarkStart w:id="42" w:name="_Toc530673933"/>
      <w:r w:rsidRPr="00A841B4">
        <w:t>Figure</w:t>
      </w:r>
      <w:r w:rsidR="00193131">
        <w:t xml:space="preserve"> </w:t>
      </w:r>
      <w:fldSimple w:instr=" SEQ Figure \* ARABIC ">
        <w:r w:rsidR="00E2070A">
          <w:rPr>
            <w:noProof/>
          </w:rPr>
          <w:t>8</w:t>
        </w:r>
      </w:fldSimple>
      <w:bookmarkEnd w:id="41"/>
      <w:r w:rsidR="00193131">
        <w:t xml:space="preserve">: Schematic of ORP4’s role in oxidative phosphorylation. </w:t>
      </w:r>
      <w:r w:rsidR="00193131">
        <w:rPr>
          <w:b w:val="0"/>
        </w:rPr>
        <w:t>ORP4 complexed with CD3</w:t>
      </w:r>
      <w:r w:rsidR="00193131">
        <w:rPr>
          <w:rFonts w:cstheme="minorHAnsi"/>
          <w:b w:val="0"/>
        </w:rPr>
        <w:t>β</w:t>
      </w:r>
      <w:r w:rsidR="00193131">
        <w:rPr>
          <w:b w:val="0"/>
        </w:rPr>
        <w:t>, G</w:t>
      </w:r>
      <w:r w:rsidR="00193131">
        <w:rPr>
          <w:rFonts w:cstheme="minorHAnsi"/>
          <w:b w:val="0"/>
        </w:rPr>
        <w:t>α</w:t>
      </w:r>
      <w:r w:rsidR="00193131">
        <w:rPr>
          <w:b w:val="0"/>
        </w:rPr>
        <w:t>q/11, and PLC</w:t>
      </w:r>
      <w:r w:rsidR="00193131">
        <w:rPr>
          <w:rFonts w:cstheme="minorHAnsi"/>
          <w:b w:val="0"/>
        </w:rPr>
        <w:t>β</w:t>
      </w:r>
      <w:r w:rsidR="00193131">
        <w:rPr>
          <w:b w:val="0"/>
        </w:rPr>
        <w:t>3. This complex leads to the activation of PLC</w:t>
      </w:r>
      <w:r w:rsidR="00193131">
        <w:rPr>
          <w:rFonts w:cstheme="minorHAnsi"/>
          <w:b w:val="0"/>
        </w:rPr>
        <w:t>β</w:t>
      </w:r>
      <w:r w:rsidR="00193131">
        <w:rPr>
          <w:b w:val="0"/>
        </w:rPr>
        <w:t>3, which cleaves IP3 into signaling molecules. These signaling molecules are then able to release Ca</w:t>
      </w:r>
      <w:r w:rsidR="00193131" w:rsidRPr="00193131">
        <w:rPr>
          <w:b w:val="0"/>
          <w:vertAlign w:val="superscript"/>
        </w:rPr>
        <w:t>2+</w:t>
      </w:r>
      <w:r w:rsidR="00193131">
        <w:rPr>
          <w:b w:val="0"/>
        </w:rPr>
        <w:t xml:space="preserve"> from the ER into the mitochondria allowing for increased oxidative phosphorylation.</w:t>
      </w:r>
      <w:bookmarkEnd w:id="42"/>
    </w:p>
    <w:p w:rsidR="00193131" w:rsidRPr="00032868" w:rsidRDefault="00193131" w:rsidP="00FB099D">
      <w:pPr>
        <w:ind w:firstLine="360"/>
        <w:jc w:val="both"/>
        <w:rPr>
          <w:szCs w:val="28"/>
        </w:rPr>
      </w:pPr>
    </w:p>
    <w:p w:rsidR="00961548" w:rsidRDefault="00961548" w:rsidP="00042529">
      <w:pPr>
        <w:pStyle w:val="Heading3"/>
      </w:pPr>
      <w:bookmarkStart w:id="43" w:name="_Toc532553076"/>
      <w:r>
        <w:t>Subfamily II: ORP1 and ORP2</w:t>
      </w:r>
      <w:bookmarkEnd w:id="43"/>
    </w:p>
    <w:p w:rsidR="00267970" w:rsidRDefault="004A5D7B" w:rsidP="00FB099D">
      <w:pPr>
        <w:ind w:firstLine="720"/>
        <w:jc w:val="both"/>
        <w:rPr>
          <w:szCs w:val="28"/>
        </w:rPr>
      </w:pPr>
      <w:r w:rsidRPr="005F564E">
        <w:rPr>
          <w:szCs w:val="28"/>
        </w:rPr>
        <w:t xml:space="preserve">Unlike OSBP and ORP4, the subfamily II member ORP1 </w:t>
      </w:r>
      <w:r w:rsidR="005F564E" w:rsidRPr="005F564E">
        <w:rPr>
          <w:szCs w:val="28"/>
        </w:rPr>
        <w:t>has two variants (ORP1L &amp; ORP1S) which have very different expression patterns. The long form variant has been shown to found in brain, lung, and macrophages while the short form has highest expression in skeletal muscles and the heart</w:t>
      </w:r>
      <w:r w:rsidR="005F564E" w:rsidRPr="005F564E">
        <w:rPr>
          <w:szCs w:val="28"/>
        </w:rPr>
        <w:fldChar w:fldCharType="begin" w:fldLock="1"/>
      </w:r>
      <w:r w:rsidR="00393368">
        <w:rPr>
          <w:szCs w:val="28"/>
        </w:rPr>
        <w:instrText>ADDIN CSL_CITATION {"citationItems":[{"id":"ITEM-1","itemData":{"DOI":"10.1091/mbc.e02-08-0459","ISSN":"1059-1524","author":[{"dropping-particle":"","family":"Johansson","given":"Marie","non-dropping-particle":"","parse-names":false,"suffix":""},{"dropping-particle":"","family":"Bocher","given":"Virginie","non-dropping-particle":"","parse-names":false,"suffix":""},{"dropping-particle":"","family":"Lehto","given":"Markku","non-dropping-particle":"","parse-names":false,"suffix":""},{"dropping-particle":"","family":"Chinetti","given":"Giulia","non-dropping-particle":"","parse-names":false,"suffix":""},{"dropping-particle":"","family":"Kuismanen","given":"Esa","non-dropping-particle":"","parse-names":false,"suffix":""},{"dropping-particle":"","family":"Ehnholm","given":"Christian","non-dropping-particle":"","parse-names":false,"suffix":""},{"dropping-particle":"","family":"Staels","given":"Bart","non-dropping-particle":"","parse-names":false,"suffix":""},{"dropping-particle":"","family":"Olkkonen","given":"Vesa M.","non-dropping-particle":"","parse-names":false,"suffix":""}],"container-title":"Molecular Biology of the Cell","editor":[{"dropping-particle":"","family":"Yamamoto","given":"Keith R.","non-dropping-particle":"","parse-names":false,"suffix":""}],"id":"ITEM-1","issue":"3","issued":{"date-parts":[["2003","3"]]},"page":"903-915","title":"The Two Variants of Oxysterol Binding Protein-related Protein-1 Display Different Tissue Expression Patterns, Have Different Intracellular Localization, and Are Functionally Distinct","type":"article-journal","volume":"14"},"uris":["http://www.mendeley.com/documents/?uuid=1fd2be47-1d53-364b-aeed-f32f3a5e533f"]}],"mendeley":{"formattedCitation":"(55)","plainTextFormattedCitation":"(55)","previouslyFormattedCitation":"(55)"},"properties":{"noteIndex":0},"schema":"https://github.com/citation-style-language/schema/raw/master/csl-citation.json"}</w:instrText>
      </w:r>
      <w:r w:rsidR="005F564E" w:rsidRPr="005F564E">
        <w:rPr>
          <w:szCs w:val="28"/>
        </w:rPr>
        <w:fldChar w:fldCharType="separate"/>
      </w:r>
      <w:r w:rsidR="00393368" w:rsidRPr="00393368">
        <w:rPr>
          <w:noProof/>
          <w:szCs w:val="28"/>
        </w:rPr>
        <w:t>(55)</w:t>
      </w:r>
      <w:r w:rsidR="005F564E" w:rsidRPr="005F564E">
        <w:rPr>
          <w:szCs w:val="28"/>
        </w:rPr>
        <w:fldChar w:fldCharType="end"/>
      </w:r>
      <w:r w:rsidR="005F564E" w:rsidRPr="005F564E">
        <w:rPr>
          <w:szCs w:val="28"/>
        </w:rPr>
        <w:t>.</w:t>
      </w:r>
      <w:r w:rsidR="00126087">
        <w:rPr>
          <w:szCs w:val="28"/>
        </w:rPr>
        <w:t xml:space="preserve"> Similar to OSBP/ORP4, ORP1L has an FFAT domain that is able to bind to VAP proteins on the ER</w:t>
      </w:r>
      <w:r w:rsidR="00791B24">
        <w:rPr>
          <w:szCs w:val="28"/>
        </w:rPr>
        <w:fldChar w:fldCharType="begin" w:fldLock="1"/>
      </w:r>
      <w:r w:rsidR="00791B24">
        <w:rPr>
          <w:szCs w:val="28"/>
        </w:rPr>
        <w:instrText>ADDIN CSL_CITATION {"citationItems":[{"id":"ITEM-1","itemData":{"DOI":"10.1016/j.celrep.2017.05.028","ISBN":"1476-4687 (Electronic) 0028-0836 (Linking)","ISSN":"22111247","PMID":"28564600","abstract":"Lipoprotein cholesterol is delivered to the limiting membrane of late endosomes/lysosomes (LELs) by Niemann-Pick C1 (NPC1). However, the mechanism of cholesterol transport from LELs to the endoplasmic reticulum (ER) is poorly characterized. We report that oxysterol-binding protein-related protein 1L (ORP1L) is necessary for this stage of cholesterol export. CRISPR-mediated knockout of ORP1L in HeLa and HEK293 cells reduced esterification of cholesterol to the level in NPC1 knockout cells, and it increased the expression of sterol-regulated genes and de novo cholesterol synthesis, indicative of a block in cholesterol transport to the ER. In the absence of this transport pathway, cholesterol-enriched LELs accumulated in the Golgi/perinuclear region. Cholesterol delivery to the ER required the sterol-, phosphatidylinositol 4-phosphate-, and vesicle-associated membrane protein-associated protein (VAP)-binding activities of ORP1L, as well as NPC1 expression. These results suggest that ORP1L-dependent membrane contacts between LELs and the ER coordinate cholesterol transfer with the retrograde movement of endo-lysosomal vesicles.","author":[{"dropping-particle":"","family":"Zhao","given":"Kexin","non-dropping-particle":"","parse-names":false,"suffix":""},{"dropping-particle":"","family":"Ridgway","given":"Neale D.","non-dropping-particle":"","parse-names":false,"suffix":""}],"container-title":"Cell Reports","id":"ITEM-1","issue":"9","issued":{"date-parts":[["2017","5","30"]]},"page":"1807-1818","title":"Oxysterol-Binding Protein-Related Protein 1L Regulates Cholesterol Egress from the Endo-Lysosomal System","type":"article-journal","volume":"19"},"uris":["http://www.mendeley.com/documents/?uuid=41c8087f-da3c-338d-855a-7c1c8cbc8808"]}],"mendeley":{"formattedCitation":"(13)","plainTextFormattedCitation":"(13)","previouslyFormattedCitation":"(13)"},"properties":{"noteIndex":0},"schema":"https://github.com/citation-style-language/schema/raw/master/csl-citation.json"}</w:instrText>
      </w:r>
      <w:r w:rsidR="00791B24">
        <w:rPr>
          <w:szCs w:val="28"/>
        </w:rPr>
        <w:fldChar w:fldCharType="separate"/>
      </w:r>
      <w:r w:rsidR="00791B24" w:rsidRPr="00423910">
        <w:rPr>
          <w:noProof/>
          <w:szCs w:val="28"/>
        </w:rPr>
        <w:t>(13)</w:t>
      </w:r>
      <w:r w:rsidR="00791B24">
        <w:rPr>
          <w:szCs w:val="28"/>
        </w:rPr>
        <w:fldChar w:fldCharType="end"/>
      </w:r>
      <w:r w:rsidR="00791B24">
        <w:rPr>
          <w:szCs w:val="28"/>
        </w:rPr>
        <w:t>.</w:t>
      </w:r>
      <w:r w:rsidR="00126087">
        <w:rPr>
          <w:szCs w:val="28"/>
        </w:rPr>
        <w:t xml:space="preserve"> </w:t>
      </w:r>
      <w:r w:rsidR="00791B24">
        <w:rPr>
          <w:szCs w:val="28"/>
        </w:rPr>
        <w:t>ORP1L also has a</w:t>
      </w:r>
      <w:r w:rsidR="00126087">
        <w:rPr>
          <w:szCs w:val="28"/>
        </w:rPr>
        <w:t xml:space="preserve"> PH domain that can bind PI4P</w:t>
      </w:r>
      <w:r w:rsidR="00126087">
        <w:rPr>
          <w:szCs w:val="28"/>
        </w:rPr>
        <w:fldChar w:fldCharType="begin" w:fldLock="1"/>
      </w:r>
      <w:r w:rsidR="00DE076B">
        <w:rPr>
          <w:szCs w:val="28"/>
        </w:rPr>
        <w:instrText>ADDIN CSL_CITATION {"citationItems":[{"id":"ITEM-1","itemData":{"DOI":"10.1016/j.celrep.2017.05.028","ISBN":"1476-4687 (Electronic) 0028-0836 (Linking)","ISSN":"22111247","PMID":"28564600","abstract":"Lipoprotein cholesterol is delivered to the limiting membrane of late endosomes/lysosomes (LELs) by Niemann-Pick C1 (NPC1). However, the mechanism of cholesterol transport from LELs to the endoplasmic reticulum (ER) is poorly characterized. We report that oxysterol-binding protein-related protein 1L (ORP1L) is necessary for this stage of cholesterol export. CRISPR-mediated knockout of ORP1L in HeLa and HEK293 cells reduced esterification of cholesterol to the level in NPC1 knockout cells, and it increased the expression of sterol-regulated genes and de novo cholesterol synthesis, indicative of a block in cholesterol transport to the ER. In the absence of this transport pathway, cholesterol-enriched LELs accumulated in the Golgi/perinuclear region. Cholesterol delivery to the ER required the sterol-, phosphatidylinositol 4-phosphate-, and vesicle-associated membrane protein-associated protein (VAP)-binding activities of ORP1L, as well as NPC1 expression. These results suggest that ORP1L-dependent membrane contacts between LELs and the ER coordinate cholesterol transfer with the retrograde movement of endo-lysosomal vesicles.","author":[{"dropping-particle":"","family":"Zhao","given":"Kexin","non-dropping-particle":"","parse-names":false,"suffix":""},{"dropping-particle":"","family":"Ridgway","given":"Neale D.","non-dropping-particle":"","parse-names":false,"suffix":""}],"container-title":"Cell Reports","id":"ITEM-1","issue":"9","issued":{"date-parts":[["2017","5","30"]]},"page":"1807-1818","title":"Oxysterol-Binding Protein-Related Protein 1L Regulates Cholesterol Egress from the Endo-Lysosomal System","type":"article-journal","volume":"19"},"uris":["http://www.mendeley.com/documents/?uuid=41c8087f-da3c-338d-855a-7c1c8cbc8808"]}],"mendeley":{"formattedCitation":"(13)","plainTextFormattedCitation":"(13)","previouslyFormattedCitation":"(13)"},"properties":{"noteIndex":0},"schema":"https://github.com/citation-style-language/schema/raw/master/csl-citation.json"}</w:instrText>
      </w:r>
      <w:r w:rsidR="00126087">
        <w:rPr>
          <w:szCs w:val="28"/>
        </w:rPr>
        <w:fldChar w:fldCharType="separate"/>
      </w:r>
      <w:r w:rsidR="00423910" w:rsidRPr="00423910">
        <w:rPr>
          <w:noProof/>
          <w:szCs w:val="28"/>
        </w:rPr>
        <w:t>(13)</w:t>
      </w:r>
      <w:r w:rsidR="00126087">
        <w:rPr>
          <w:szCs w:val="28"/>
        </w:rPr>
        <w:fldChar w:fldCharType="end"/>
      </w:r>
      <w:r w:rsidR="00126087">
        <w:rPr>
          <w:szCs w:val="28"/>
        </w:rPr>
        <w:t xml:space="preserve">. These </w:t>
      </w:r>
      <w:r w:rsidR="00126087">
        <w:rPr>
          <w:szCs w:val="28"/>
        </w:rPr>
        <w:lastRenderedPageBreak/>
        <w:t>targeting domains allow it to carry out its function of removing cholesterol from late endosomes with the aid of Niemann-Pick C1</w:t>
      </w:r>
      <w:r w:rsidR="00791B24">
        <w:rPr>
          <w:szCs w:val="28"/>
        </w:rPr>
        <w:t xml:space="preserve"> protein</w:t>
      </w:r>
      <w:r w:rsidR="00126087">
        <w:rPr>
          <w:szCs w:val="28"/>
        </w:rPr>
        <w:t xml:space="preserve"> and PI4P and pla</w:t>
      </w:r>
      <w:r w:rsidR="00791B24">
        <w:rPr>
          <w:szCs w:val="28"/>
        </w:rPr>
        <w:t>cing</w:t>
      </w:r>
      <w:r w:rsidR="00126087">
        <w:rPr>
          <w:szCs w:val="28"/>
        </w:rPr>
        <w:t xml:space="preserve"> it into the ER membrane</w:t>
      </w:r>
      <w:r w:rsidR="00126087">
        <w:rPr>
          <w:szCs w:val="28"/>
        </w:rPr>
        <w:fldChar w:fldCharType="begin" w:fldLock="1"/>
      </w:r>
      <w:r w:rsidR="00DE076B">
        <w:rPr>
          <w:szCs w:val="28"/>
        </w:rPr>
        <w:instrText>ADDIN CSL_CITATION {"citationItems":[{"id":"ITEM-1","itemData":{"DOI":"10.1016/j.celrep.2017.05.028","ISBN":"1476-4687 (Electronic) 0028-0836 (Linking)","ISSN":"22111247","PMID":"28564600","abstract":"Lipoprotein cholesterol is delivered to the limiting membrane of late endosomes/lysosomes (LELs) by Niemann-Pick C1 (NPC1). However, the mechanism of cholesterol transport from LELs to the endoplasmic reticulum (ER) is poorly characterized. We report that oxysterol-binding protein-related protein 1L (ORP1L) is necessary for this stage of cholesterol export. CRISPR-mediated knockout of ORP1L in HeLa and HEK293 cells reduced esterification of cholesterol to the level in NPC1 knockout cells, and it increased the expression of sterol-regulated genes and de novo cholesterol synthesis, indicative of a block in cholesterol transport to the ER. In the absence of this transport pathway, cholesterol-enriched LELs accumulated in the Golgi/perinuclear region. Cholesterol delivery to the ER required the sterol-, phosphatidylinositol 4-phosphate-, and vesicle-associated membrane protein-associated protein (VAP)-binding activities of ORP1L, as well as NPC1 expression. These results suggest that ORP1L-dependent membrane contacts between LELs and the ER coordinate cholesterol transfer with the retrograde movement of endo-lysosomal vesicles.","author":[{"dropping-particle":"","family":"Zhao","given":"Kexin","non-dropping-particle":"","parse-names":false,"suffix":""},{"dropping-particle":"","family":"Ridgway","given":"Neale D.","non-dropping-particle":"","parse-names":false,"suffix":""}],"container-title":"Cell Reports","id":"ITEM-1","issue":"9","issued":{"date-parts":[["2017","5","30"]]},"page":"1807-1818","title":"Oxysterol-Binding Protein-Related Protein 1L Regulates Cholesterol Egress from the Endo-Lysosomal System","type":"article-journal","volume":"19"},"uris":["http://www.mendeley.com/documents/?uuid=41c8087f-da3c-338d-855a-7c1c8cbc8808"]}],"mendeley":{"formattedCitation":"(13)","plainTextFormattedCitation":"(13)","previouslyFormattedCitation":"(13)"},"properties":{"noteIndex":0},"schema":"https://github.com/citation-style-language/schema/raw/master/csl-citation.json"}</w:instrText>
      </w:r>
      <w:r w:rsidR="00126087">
        <w:rPr>
          <w:szCs w:val="28"/>
        </w:rPr>
        <w:fldChar w:fldCharType="separate"/>
      </w:r>
      <w:r w:rsidR="00423910" w:rsidRPr="00423910">
        <w:rPr>
          <w:noProof/>
          <w:szCs w:val="28"/>
        </w:rPr>
        <w:t>(13)</w:t>
      </w:r>
      <w:r w:rsidR="00126087">
        <w:rPr>
          <w:szCs w:val="28"/>
        </w:rPr>
        <w:fldChar w:fldCharType="end"/>
      </w:r>
      <w:r w:rsidR="00126087">
        <w:rPr>
          <w:szCs w:val="28"/>
        </w:rPr>
        <w:t xml:space="preserve">. </w:t>
      </w:r>
      <w:r w:rsidR="00791B24">
        <w:rPr>
          <w:szCs w:val="28"/>
        </w:rPr>
        <w:t>In contrast</w:t>
      </w:r>
      <w:r w:rsidR="00126087">
        <w:rPr>
          <w:szCs w:val="28"/>
        </w:rPr>
        <w:t>,</w:t>
      </w:r>
      <w:r w:rsidR="003031BA">
        <w:rPr>
          <w:szCs w:val="28"/>
        </w:rPr>
        <w:t xml:space="preserve"> ORP1S has the ability to translocate into the nucleus upon ligand stimulation and bind to LXR, which promotes binding to LXR-responsive elements and leads to production of LXR-dependent gene transcription, specifically the apoE gene</w:t>
      </w:r>
      <w:r w:rsidR="003031BA">
        <w:rPr>
          <w:szCs w:val="28"/>
        </w:rPr>
        <w:fldChar w:fldCharType="begin" w:fldLock="1"/>
      </w:r>
      <w:r w:rsidR="00393368">
        <w:rPr>
          <w:szCs w:val="28"/>
        </w:rPr>
        <w:instrText>ADDIN CSL_CITATION {"citationItems":[{"id":"ITEM-1","itemData":{"DOI":"10.1016/J.YEXCR.2012.06.012","ISSN":"0014-4827","abstract":"Oxysterol binding protein related protein 1S (ORP1S) is a member of a family of sterol transport proteins. Here we present evidence that ORP1S translocates from the cytoplasm to the nucleus in response to sterol binding. The sterols that best promote nuclear import of ORP1S also activate the liver X receptor (LXR) transcription factors and we show that ORP1S binds to LXRs, promotes binding of LXRs to LXR response elements (LXREs) and specifically enhances LXR-dependent transcription via the ME.1 and ME.2 enhancer elements of the apoE gene. We propose that ORP1S is a cytoplasmic sterol sensor, which transports sterols to the nucleus and promotes LXR-dependent gene transcription through select enhancer elements.","author":[{"dropping-particle":"","family":"Lee","given":"Sungsoo","non-dropping-particle":"","parse-names":false,"suffix":""},{"dropping-particle":"","family":"Wang","given":"Ping-Yuan","non-dropping-particle":"","parse-names":false,"suffix":""},{"dropping-particle":"","family":"Jeong","given":"Yangsik","non-dropping-particle":"","parse-names":false,"suffix":""},{"dropping-particle":"","family":"Mangelsdorf","given":"David J.","non-dropping-particle":"","parse-names":false,"suffix":""},{"dropping-particle":"","family":"Anderson","given":"Richard G.W.","non-dropping-particle":"","parse-names":false,"suffix":""},{"dropping-particle":"","family":"Michaely","given":"Peter","non-dropping-particle":"","parse-names":false,"suffix":""}],"container-title":"Experimental Cell Research","id":"ITEM-1","issue":"16","issued":{"date-parts":[["2012","10","1"]]},"page":"2128-2142","publisher":"Academic Press","title":"Sterol-dependent nuclear import of ORP1S promotes LXR regulated trans-activation of apoE","type":"article-journal","volume":"318"},"uris":["http://www.mendeley.com/documents/?uuid=9407578e-6996-3e76-af28-213062e16f56"]}],"mendeley":{"formattedCitation":"(56)","plainTextFormattedCitation":"(56)","previouslyFormattedCitation":"(56)"},"properties":{"noteIndex":0},"schema":"https://github.com/citation-style-language/schema/raw/master/csl-citation.json"}</w:instrText>
      </w:r>
      <w:r w:rsidR="003031BA">
        <w:rPr>
          <w:szCs w:val="28"/>
        </w:rPr>
        <w:fldChar w:fldCharType="separate"/>
      </w:r>
      <w:r w:rsidR="00393368" w:rsidRPr="00393368">
        <w:rPr>
          <w:noProof/>
          <w:szCs w:val="28"/>
        </w:rPr>
        <w:t>(56)</w:t>
      </w:r>
      <w:r w:rsidR="003031BA">
        <w:rPr>
          <w:szCs w:val="28"/>
        </w:rPr>
        <w:fldChar w:fldCharType="end"/>
      </w:r>
      <w:r w:rsidR="003031BA">
        <w:rPr>
          <w:szCs w:val="28"/>
        </w:rPr>
        <w:t>.</w:t>
      </w:r>
    </w:p>
    <w:p w:rsidR="004A5D7B" w:rsidRPr="005F564E" w:rsidRDefault="00267970" w:rsidP="00FB099D">
      <w:pPr>
        <w:ind w:firstLine="720"/>
        <w:jc w:val="both"/>
        <w:rPr>
          <w:szCs w:val="28"/>
        </w:rPr>
      </w:pPr>
      <w:r>
        <w:rPr>
          <w:szCs w:val="28"/>
        </w:rPr>
        <w:t>Like OSBP, ORP2 is ubiquitously expressed in all cell</w:t>
      </w:r>
      <w:r w:rsidR="00791B24">
        <w:rPr>
          <w:szCs w:val="28"/>
        </w:rPr>
        <w:t xml:space="preserve"> types</w:t>
      </w:r>
      <w:r>
        <w:rPr>
          <w:szCs w:val="28"/>
        </w:rPr>
        <w:t>s</w:t>
      </w:r>
      <w:r w:rsidR="002C535B">
        <w:rPr>
          <w:szCs w:val="28"/>
        </w:rPr>
        <w:fldChar w:fldCharType="begin" w:fldLock="1"/>
      </w:r>
      <w:r w:rsidR="00393368">
        <w:rPr>
          <w:szCs w:val="28"/>
        </w:rPr>
        <w:instrText>ADDIN CSL_CITATION {"citationItems":[{"id":"ITEM-1","itemData":{"ISBN":"0022-2275 (Print)","ISSN":"0022-2275","PMID":"11861666","abstract":"Oxysterol binding protein (OSBP) related proteins (ORPs) constitute a family that has at least 12 members in humans. In the present study we characterize one of the novel OSBP homologs, ORP2, which we show to be expressed ubiquitously in mammalian tissues. The ORP2 cDNA encodes a deduced 55 kDa protein that lacks a pleckstrin homology (PH) domain, a feature found in the other family members. Sucrose gradient centrifugation analysis of Chinese hamster ovary (CHO) cell post-nuclear supernatant demonstrated that ORP2 is distributed in soluble and membrane-bound fractions. Immunofluorescence microscopy of the endogenous and overexpressed ORP2 in CHO cells suggested that the membrane-bound fraction of the protein localizes to the Golgi apparatus. Stably transfected CHO cells that overexpress ORP2 showed an increase in [14C]cholesterol efflux to serum, apolipoprotein A-I (apoA-I), and phosphatidyl choline vesicles. The proportion of cellular [14C]cholesterol that is esterified and the ACAT activity measured as [14C]oleyl-CoA conversion into cholesteryl [14C]oleate by the cellular membranes, were markedly decreased in the ORP2 expressing cells. Transient high level overexpression of ORP2 interfered with the clearance of a secretory pathway protein marker from the Golgi complex. The results implicate ORP2 as a novel regulator of cellular sterol homeostasis and intracellular membrane trafficking.","author":[{"dropping-particle":"","family":"Laitinen","given":"S","non-dropping-particle":"","parse-names":false,"suffix":""},{"dropping-particle":"","family":"Lehto","given":"M","non-dropping-particle":"","parse-names":false,"suffix":""},{"dropping-particle":"","family":"Lehtonen","given":"S","non-dropping-particle":"","parse-names":false,"suffix":""},{"dropping-particle":"","family":"Hyvarinen","given":"K","non-dropping-particle":"","parse-names":false,"suffix":""},{"dropping-particle":"","family":"Heino","given":"S","non-dropping-particle":"","parse-names":false,"suffix":""},{"dropping-particle":"","family":"Lehtonen","given":"E","non-dropping-particle":"","parse-names":false,"suffix":""},{"dropping-particle":"","family":"Ehnholm","given":"C","non-dropping-particle":"","parse-names":false,"suffix":""},{"dropping-particle":"","family":"Ikonen","given":"E","non-dropping-particle":"","parse-names":false,"suffix":""},{"dropping-particle":"","family":"Olkkonen","given":"V M","non-dropping-particle":"","parse-names":false,"suffix":""}],"container-title":"Journal of lipid research","id":"ITEM-1","issue":"2","issued":{"date-parts":[["2002"]]},"page":"245-255","title":"ORP2, a homolog of oxysterol binding protein, regulates cellular cholesterol metabolism","type":"article-journal","volume":"43"},"uris":["http://www.mendeley.com/documents/?uuid=3462929f-0859-449b-a6f4-1449de738d9b"]}],"mendeley":{"formattedCitation":"(57)","plainTextFormattedCitation":"(57)","previouslyFormattedCitation":"(57)"},"properties":{"noteIndex":0},"schema":"https://github.com/citation-style-language/schema/raw/master/csl-citation.json"}</w:instrText>
      </w:r>
      <w:r w:rsidR="002C535B">
        <w:rPr>
          <w:szCs w:val="28"/>
        </w:rPr>
        <w:fldChar w:fldCharType="separate"/>
      </w:r>
      <w:r w:rsidR="00393368" w:rsidRPr="00393368">
        <w:rPr>
          <w:noProof/>
          <w:szCs w:val="28"/>
        </w:rPr>
        <w:t>(57)</w:t>
      </w:r>
      <w:r w:rsidR="002C535B">
        <w:rPr>
          <w:szCs w:val="28"/>
        </w:rPr>
        <w:fldChar w:fldCharType="end"/>
      </w:r>
      <w:r w:rsidR="00791B24">
        <w:rPr>
          <w:szCs w:val="28"/>
        </w:rPr>
        <w:t>,</w:t>
      </w:r>
      <w:r>
        <w:rPr>
          <w:szCs w:val="28"/>
        </w:rPr>
        <w:t xml:space="preserve"> but </w:t>
      </w:r>
      <w:r w:rsidR="00791B24">
        <w:rPr>
          <w:szCs w:val="28"/>
        </w:rPr>
        <w:t xml:space="preserve">ORP2 </w:t>
      </w:r>
      <w:r>
        <w:rPr>
          <w:szCs w:val="28"/>
        </w:rPr>
        <w:t xml:space="preserve">is unique in the </w:t>
      </w:r>
      <w:r w:rsidR="00791B24">
        <w:rPr>
          <w:szCs w:val="28"/>
        </w:rPr>
        <w:t xml:space="preserve">OSBP/ORP </w:t>
      </w:r>
      <w:r>
        <w:rPr>
          <w:szCs w:val="28"/>
        </w:rPr>
        <w:t>family</w:t>
      </w:r>
      <w:r w:rsidR="00791B24">
        <w:rPr>
          <w:szCs w:val="28"/>
        </w:rPr>
        <w:t xml:space="preserve"> in that</w:t>
      </w:r>
      <w:r>
        <w:rPr>
          <w:szCs w:val="28"/>
        </w:rPr>
        <w:t xml:space="preserve"> only a short version of the prot</w:t>
      </w:r>
      <w:r w:rsidR="002C535B">
        <w:rPr>
          <w:szCs w:val="28"/>
        </w:rPr>
        <w:t>ein is encoded</w:t>
      </w:r>
      <w:r>
        <w:rPr>
          <w:szCs w:val="28"/>
        </w:rPr>
        <w:fldChar w:fldCharType="begin" w:fldLock="1"/>
      </w:r>
      <w:r w:rsidR="004B0503">
        <w:rPr>
          <w:szCs w:val="28"/>
        </w:rPr>
        <w:instrText>ADDIN CSL_CITATION {"citationItems":[{"id":"ITEM-1","itemData":{"DOI":"10.1016/j.plipres.2013.06.004","ISBN":"0163-7827","ISSN":"01637827","PMID":"23830809","abstract":"Oxysterol-binding protein (OSBP) and OSBP-related proteins (ORPs) constitute a family of sterol and phosphoinositide binding proteins conserved in eukaryofile:///C:/Users/user/Downloads/ORP10 micro.pdftes. The mechanisms of ORP function have remained incompletely understood. However, several ORPs are present at membrane contact sites and control the activity of enzymatic effectors or assembly of protein complexes, with impacts on signaling, vesicle transport, and lipid metabolism. An increasing number of protein interaction partners of ORPs have been identified, providing clues of their involvement in multiple aspects of cell regulation. The functions assigned for mammalian ORPs include coordination of sterol and sphingolipid metabolism and mitogenic signaling (OSBP), control of ER-late endosome (LE) contacts and LE motility (ORP1L), neutral lipid metabolism (ORP2), cell adhesion (ORP3), cholesterol eggress from LE (ORP5), macrophage lipid homeostasis, migration and high-density lipoprotein metabolism (ORP8), apolipoprotein B-100 secretion (ORP10), and adipogenesis (ORP11). The anti-proliferative ORPphilin compounds target OSBP and ORP4, revealing a function of ORPs in cell proliferation and survival. The Saccharomyces cerevisiae OSBP homologue (Osh) proteins execute multifaceted functions in sterol and sphingolipid homeostasis, post-Golgi vesicle transport, as well as phosphatidylinositol-4-phosphate and target of rapamycin complex 1 (TORC1) signaling. These observations identify ORPs as coordinators of lipid signals with an unforeseen variety of cellular processes. © 2013 Elsevier Ltd. All rights reserved.","author":[{"dropping-particle":"","family":"Olkkonen","given":"Vesa M.","non-dropping-particle":"","parse-names":false,"suffix":""},{"dropping-particle":"","family":"Li","given":"Shiqian","non-dropping-particle":"","parse-names":false,"suffix":""}],"container-title":"Progress in Lipid Research","id":"ITEM-1","issue":"4","issued":{"date-parts":[["2013","10","2"]]},"page":"529-538","publisher":"Elsevier Ltd","title":"Oxysterol-binding proteins: Sterol and phosphoinositide sensors coordinating transport, signaling and metabolism","type":"article-journal","volume":"52"},"uris":["http://www.mendeley.com/documents/?uuid=857d10db-29d4-47b0-bf27-3ea7326f86e8"]}],"mendeley":{"formattedCitation":"(3)","plainTextFormattedCitation":"(3)","previouslyFormattedCitation":"(3)"},"properties":{"noteIndex":0},"schema":"https://github.com/citation-style-language/schema/raw/master/csl-citation.json"}</w:instrText>
      </w:r>
      <w:r>
        <w:rPr>
          <w:szCs w:val="28"/>
        </w:rPr>
        <w:fldChar w:fldCharType="separate"/>
      </w:r>
      <w:r w:rsidR="004B0503" w:rsidRPr="004B0503">
        <w:rPr>
          <w:noProof/>
          <w:szCs w:val="28"/>
        </w:rPr>
        <w:t>(3)</w:t>
      </w:r>
      <w:r>
        <w:rPr>
          <w:szCs w:val="28"/>
        </w:rPr>
        <w:fldChar w:fldCharType="end"/>
      </w:r>
      <w:r>
        <w:rPr>
          <w:szCs w:val="28"/>
        </w:rPr>
        <w:t>.</w:t>
      </w:r>
      <w:r w:rsidR="002C535B">
        <w:rPr>
          <w:szCs w:val="28"/>
        </w:rPr>
        <w:t xml:space="preserve"> </w:t>
      </w:r>
      <w:r w:rsidR="00BD7B52">
        <w:rPr>
          <w:szCs w:val="28"/>
        </w:rPr>
        <w:t>ORP2 binds neutral lipid membranes and has a possible cholesterol-mediated role in triglyceride metabolism</w:t>
      </w:r>
      <w:r w:rsidR="00BD7B52">
        <w:rPr>
          <w:szCs w:val="28"/>
        </w:rPr>
        <w:fldChar w:fldCharType="begin" w:fldLock="1"/>
      </w:r>
      <w:r w:rsidR="00393368">
        <w:rPr>
          <w:szCs w:val="28"/>
        </w:rPr>
        <w:instrText>ADDIN CSL_CITATION {"citationItems":[{"id":"ITEM-1","itemData":{"DOI":"10.1194/jlr.M800661-JLR200","ISBN":"0022-2275 (Print)\\n0022-2275 (Linking)","ISSN":"0022-2275","PMID":"19224871","abstract":"Oxysterol binding protein-related protein 2 (ORP2) is a member of the oxysterol binding protein family, previously shown to bind 25-hydroxycholesterol and implicated in cellular cholesterol metabolism. We show here that ORP2 also binds 22(R)-hydroxycholesterol [22(R)OHC], 7-ketocholesterol, and cholesterol, with 22(R)OHC being the highest affinity ligand of ORP2 (K(d) 1.4 x 10(-8) M). We report the localization of ORP2 on cytoplasmic lipid droplets (LDs) and its function in neutral lipid metabolism using the human A431 cell line as a model. The ORP2 LD association depends on sterol binding: Treatment with 5 microM 22(R)OHC inhibits the LD association, while a mutant defective in sterol binding is constitutively LD bound. Silencing of ORP2 using RNA interference slows down cellular triglyceride hydrolysis. Furthermore, ORP2 silencing increases the amount of [(14)C]cholesteryl esters but only under conditions in which lipogenesis and LD formation are enhanced by treatment with oleic acid. The results identify ORP2 as a sterol receptor present on LD and provide evidence for its role in the regulation of neutral lipid metabolism, possibly as a factor that integrates the cellular metabolism of triglycerides with that of cholesterol.","author":[{"dropping-particle":"","family":"Hynynen","given":"Riikka","non-dropping-particle":"","parse-names":false,"suffix":""},{"dropping-particle":"","family":"Suchanek","given":"Monika","non-dropping-particle":"","parse-names":false,"suffix":""},{"dropping-particle":"","family":"Spandl","given":"Johanna","non-dropping-particle":"","parse-names":false,"suffix":""},{"dropping-particle":"","family":"Bäck","given":"Nils","non-dropping-particle":"","parse-names":false,"suffix":""},{"dropping-particle":"","family":"Thiele","given":"Christoph","non-dropping-particle":"","parse-names":false,"suffix":""},{"dropping-particle":"","family":"Olkkonen","given":"Vesa M.","non-dropping-particle":"","parse-names":false,"suffix":""}],"container-title":"Journal of Lipid Research","id":"ITEM-1","issue":"7","issued":{"date-parts":[["2009"]]},"page":"1305-1315","title":"OSBP-related protein 2 is a sterol receptor on lipid droplets that regulates the metabolism of neutral lipids","type":"article-journal","volume":"50"},"uris":["http://www.mendeley.com/documents/?uuid=c8c3e3d4-5727-4b4a-bd36-deea4798fd73"]}],"mendeley":{"formattedCitation":"(58)","plainTextFormattedCitation":"(58)","previouslyFormattedCitation":"(58)"},"properties":{"noteIndex":0},"schema":"https://github.com/citation-style-language/schema/raw/master/csl-citation.json"}</w:instrText>
      </w:r>
      <w:r w:rsidR="00BD7B52">
        <w:rPr>
          <w:szCs w:val="28"/>
        </w:rPr>
        <w:fldChar w:fldCharType="separate"/>
      </w:r>
      <w:r w:rsidR="00393368" w:rsidRPr="00393368">
        <w:rPr>
          <w:noProof/>
          <w:szCs w:val="28"/>
        </w:rPr>
        <w:t>(58)</w:t>
      </w:r>
      <w:r w:rsidR="00BD7B52">
        <w:rPr>
          <w:szCs w:val="28"/>
        </w:rPr>
        <w:fldChar w:fldCharType="end"/>
      </w:r>
      <w:r w:rsidR="00BD7B52">
        <w:rPr>
          <w:szCs w:val="28"/>
        </w:rPr>
        <w:t xml:space="preserve">. </w:t>
      </w:r>
      <w:r w:rsidR="002C535B">
        <w:rPr>
          <w:szCs w:val="28"/>
        </w:rPr>
        <w:t>ORP2 has a FFAT domain that allows it to target the ER and was shown to be localize</w:t>
      </w:r>
      <w:r w:rsidR="00473C14">
        <w:rPr>
          <w:szCs w:val="28"/>
        </w:rPr>
        <w:t>d</w:t>
      </w:r>
      <w:r w:rsidR="002C535B">
        <w:rPr>
          <w:szCs w:val="28"/>
        </w:rPr>
        <w:t xml:space="preserve"> at lipid droplets (LD), suggesting it has a potential mediation effect in ER-LD association that allows for coordination of </w:t>
      </w:r>
      <w:r w:rsidR="00473C14">
        <w:rPr>
          <w:szCs w:val="28"/>
        </w:rPr>
        <w:t>neutral</w:t>
      </w:r>
      <w:r w:rsidR="002C535B">
        <w:rPr>
          <w:szCs w:val="28"/>
        </w:rPr>
        <w:t xml:space="preserve"> lipid metabolism</w:t>
      </w:r>
      <w:r w:rsidR="002C535B">
        <w:rPr>
          <w:szCs w:val="28"/>
        </w:rPr>
        <w:fldChar w:fldCharType="begin" w:fldLock="1"/>
      </w:r>
      <w:r w:rsidR="00393368">
        <w:rPr>
          <w:szCs w:val="28"/>
        </w:rPr>
        <w:instrText>ADDIN CSL_CITATION {"citationItems":[{"id":"ITEM-1","itemData":{"DOI":"10.1016/J.BBALIP.2008.07.004","ISSN":"1388-1981","abstract":"Lipid droplets (LDs) are key cellular organelles involved in lipid storage and mobilisation. While the major signalling cascades and many of the regulators of lipolysis have been identified, the cellular interactions involved in lipid mobilisation and release remain largely undefined. In non-adipocytes, LDs are small, mobile and interact with other cellular compartments. In contrast, adipocytes primarily contain very large, immotile LDs. The striking morphological differences between LDs in adipocytes and non-adipocytes suggest that key differences must exist in the manner in which LDs in different cell types interact with other organelles. Recent studies have highlighted the complexity of LD interactions, which can be both homotypic, with each other, and heterotypic, with other organelles. The molecules involved in these interactions are also now emerging, including Rab proteins, key regulators of membrane traffic, and caveolin, an integral membrane protein providing a functional link between the cell surface and LDs. Here we summarise recent insights into the cell biology of the LD particularly focussing on the homotypic and heterotypic interactions in both adipocytes and non-adipocytes. We speculate that these interactions may involve inter-organelle membrane contact sites or a hemi-fusion type mechanism to facilitate lipid transfer.","author":[{"dropping-particle":"","family":"Murphy","given":"Samantha","non-dropping-particle":"","parse-names":false,"suffix":""},{"dropping-particle":"","family":"Martin","given":"Sally","non-dropping-particle":"","parse-names":false,"suffix":""},{"dropping-particle":"","family":"Parton","given":"Robert G.","non-dropping-particle":"","parse-names":false,"suffix":""}],"container-title":"Biochimica et Biophysica Acta (BBA) - Molecular and Cell Biology of Lipids","id":"ITEM-1","issue":"6","issued":{"date-parts":[["2009","6","1"]]},"page":"441-447","publisher":"Elsevier","title":"Lipid droplet-organelle interactions; sharing the fats","type":"article-journal","volume":"1791"},"uris":["http://www.mendeley.com/documents/?uuid=f2f392b4-7be7-3921-9e83-e3968fe22aae"]}],"mendeley":{"formattedCitation":"(59)","plainTextFormattedCitation":"(59)","previouslyFormattedCitation":"(59)"},"properties":{"noteIndex":0},"schema":"https://github.com/citation-style-language/schema/raw/master/csl-citation.json"}</w:instrText>
      </w:r>
      <w:r w:rsidR="002C535B">
        <w:rPr>
          <w:szCs w:val="28"/>
        </w:rPr>
        <w:fldChar w:fldCharType="separate"/>
      </w:r>
      <w:r w:rsidR="00393368" w:rsidRPr="00393368">
        <w:rPr>
          <w:noProof/>
          <w:szCs w:val="28"/>
        </w:rPr>
        <w:t>(59)</w:t>
      </w:r>
      <w:r w:rsidR="002C535B">
        <w:rPr>
          <w:szCs w:val="28"/>
        </w:rPr>
        <w:fldChar w:fldCharType="end"/>
      </w:r>
      <w:r w:rsidR="002C535B">
        <w:rPr>
          <w:szCs w:val="28"/>
        </w:rPr>
        <w:t>.</w:t>
      </w:r>
      <w:r w:rsidR="00391047">
        <w:rPr>
          <w:szCs w:val="28"/>
        </w:rPr>
        <w:t xml:space="preserve"> ORP2 shares sequence similarity to ORP1S, and like-wise also binds LXR and promotes transcription of LXR target genes</w:t>
      </w:r>
      <w:r w:rsidR="00391047">
        <w:rPr>
          <w:szCs w:val="28"/>
        </w:rPr>
        <w:fldChar w:fldCharType="begin" w:fldLock="1"/>
      </w:r>
      <w:r w:rsidR="00393368">
        <w:rPr>
          <w:szCs w:val="28"/>
        </w:rPr>
        <w:instrText>ADDIN CSL_CITATION {"citationItems":[{"id":"ITEM-1","itemData":{"DOI":"10.1016/j.mce.2016.03.006","ISBN":"0000000000000","ISSN":"03037207","PMID":"25755918","author":[{"dropping-particle":"","family":"Escajadillo","given":"Tamara","non-dropping-particle":"","parse-names":false,"suffix":""},{"dropping-particle":"","family":"Wang","given":"Hongxia","non-dropping-particle":"","parse-names":false,"suffix":""},{"dropping-particle":"","family":"Li","given":"Linda","non-dropping-particle":"","parse-names":false,"suffix":""},{"dropping-particle":"","family":"Li","given":"Donghui","non-dropping-particle":"","parse-names":false,"suffix":""},{"dropping-particle":"","family":"Sewer","given":"Marion B.","non-dropping-particle":"","parse-names":false,"suffix":""}],"container-title":"Molecular and Cellular Endocrinology","id":"ITEM-1","issue":"5","issued":{"date-parts":[["2016","5"]]},"page":"73-85","title":"Oxysterol-related-binding-protein related Protein-2 (ORP2) regulates cortisol biosynthesis and cholesterol homeostasis","type":"article-journal","volume":"427"},"uris":["http://www.mendeley.com/documents/?uuid=8f781b4e-ebdb-4f37-91ff-323ff4a71eb1"]}],"mendeley":{"formattedCitation":"(60)","plainTextFormattedCitation":"(60)","previouslyFormattedCitation":"(60)"},"properties":{"noteIndex":0},"schema":"https://github.com/citation-style-language/schema/raw/master/csl-citation.json"}</w:instrText>
      </w:r>
      <w:r w:rsidR="00391047">
        <w:rPr>
          <w:szCs w:val="28"/>
        </w:rPr>
        <w:fldChar w:fldCharType="separate"/>
      </w:r>
      <w:r w:rsidR="00393368" w:rsidRPr="00393368">
        <w:rPr>
          <w:noProof/>
          <w:szCs w:val="28"/>
        </w:rPr>
        <w:t>(60)</w:t>
      </w:r>
      <w:r w:rsidR="00391047">
        <w:rPr>
          <w:szCs w:val="28"/>
        </w:rPr>
        <w:fldChar w:fldCharType="end"/>
      </w:r>
      <w:r w:rsidR="00391047">
        <w:rPr>
          <w:szCs w:val="28"/>
        </w:rPr>
        <w:t>.</w:t>
      </w:r>
    </w:p>
    <w:p w:rsidR="00961548" w:rsidRDefault="00961548" w:rsidP="00042529">
      <w:pPr>
        <w:pStyle w:val="Heading3"/>
      </w:pPr>
      <w:bookmarkStart w:id="44" w:name="_Toc532553077"/>
      <w:r>
        <w:t>Subfamily III: ORP3, ORP6, and ORP7</w:t>
      </w:r>
      <w:bookmarkEnd w:id="44"/>
    </w:p>
    <w:p w:rsidR="00995672" w:rsidRDefault="00791B24" w:rsidP="00FB099D">
      <w:pPr>
        <w:ind w:firstLine="720"/>
        <w:jc w:val="both"/>
        <w:rPr>
          <w:szCs w:val="28"/>
        </w:rPr>
      </w:pPr>
      <w:r>
        <w:rPr>
          <w:szCs w:val="28"/>
        </w:rPr>
        <w:t xml:space="preserve">ORP3, ORP6, andORP7 comprise subfamily III of the OSBP/ORPs. </w:t>
      </w:r>
      <w:r w:rsidR="00FD2924">
        <w:rPr>
          <w:szCs w:val="28"/>
        </w:rPr>
        <w:t>Similar to OSBP and ORP4, all of subfami</w:t>
      </w:r>
      <w:r>
        <w:rPr>
          <w:szCs w:val="28"/>
        </w:rPr>
        <w:t>ly III have PH and FFAT domains</w:t>
      </w:r>
      <w:r>
        <w:rPr>
          <w:szCs w:val="28"/>
        </w:rPr>
        <w:fldChar w:fldCharType="begin" w:fldLock="1"/>
      </w:r>
      <w:r w:rsidR="00B242B4">
        <w:rPr>
          <w:szCs w:val="28"/>
        </w:rPr>
        <w:instrText>ADDIN CSL_CITATION {"citationItems":[{"id":"ITEM-1","itemData":{"DOI":"10.1007/s00441-003-0817-y","ISBN":"0302-766X (Print)\\r0302-766X (Linking)","ISSN":"0302766X","PMID":"14593528","abstract":"The human OSBP related protein (ORP) family consists of 12 members, which can be divided into six subfamilies based on the genomic organization and amino acid homology. Here we performed basic characterization of subfamily III, which consists of three members: ORP3, ORP6, and ORP7. According to cDNA hybridization, the three genes are expressed in a tissue-specific manner. While ORP3 mRNA is most abundant in kidney, lymph nodes, and thymus, ORP6 shows highest expression in brain and skeletal muscle, and ORP7 in the gastrointestinal tract. Using monospecific peptide antibodies, we confirmed the presence of the three proteins in human and mouse tissues. ORP6 gene expression was induced upon differentiation of F9 embryonic carcinoma cells into parietal endoderm, while ORP3 and ORP7 mRNA levels were unchanged. In the F9 cells, endogenous ORP6 associated predominantly with the nuclear envelope. When expressed from the cDNA in cultured cells, the three proteins were distributed between the cytosol and endoplasmic reticulum (ER) membranes, with a minor portion found at the plasma membrane. Experiments with truncated constructs showed that the N-terminal portion of the proteins, containing a pleckstrin homology (PH) domain, has markedly strong plasma membrane targeting specificity, while the C-terminal half remains largely cytosolic. The expression data demonstrates that ORP3, -6, and -7 are not merely redundant gene products but show marked quantitative differences in tissue expression, suggesting tissue-specific aspects in their function. The dual targeting of the proteins indicates a putative role in communication between the ER and the plasma membrane.","author":[{"dropping-particle":"","family":"Lehto","given":"Markku","non-dropping-particle":"","parse-names":false,"suffix":""},{"dropping-particle":"","family":"Tienari","given":"Jukka","non-dropping-particle":"","parse-names":false,"suffix":""},{"dropping-particle":"","family":"Lehtonen","given":"Sanna","non-dropping-particle":"","parse-names":false,"suffix":""},{"dropping-particle":"","family":"Lehtonen","given":"Eero","non-dropping-particle":"","parse-names":false,"suffix":""},{"dropping-particle":"","family":"Olkkonen","given":"Vesa M.","non-dropping-particle":"","parse-names":false,"suffix":""}],"container-title":"Cell and Tissue Research","id":"ITEM-1","issue":"1","issued":{"date-parts":[["2004"]]},"page":"39-57","title":"Subfamily III of mammalian oxysterol-binding protein (OSBP) homologues: The and intracellular localization of ORP3, ORP6, and ORP7","type":"article-journal","volume":"315"},"uris":["http://www.mendeley.com/documents/?uuid=7ebdeebb-5f64-4dfe-9979-1a41aee5dafb"]}],"mendeley":{"formattedCitation":"(61)","plainTextFormattedCitation":"(61)","previouslyFormattedCitation":"(61)"},"properties":{"noteIndex":0},"schema":"https://github.com/citation-style-language/schema/raw/master/csl-citation.json"}</w:instrText>
      </w:r>
      <w:r>
        <w:rPr>
          <w:szCs w:val="28"/>
        </w:rPr>
        <w:fldChar w:fldCharType="separate"/>
      </w:r>
      <w:r w:rsidRPr="00791B24">
        <w:rPr>
          <w:noProof/>
          <w:szCs w:val="28"/>
        </w:rPr>
        <w:t>(61)</w:t>
      </w:r>
      <w:r>
        <w:rPr>
          <w:szCs w:val="28"/>
        </w:rPr>
        <w:fldChar w:fldCharType="end"/>
      </w:r>
      <w:r>
        <w:rPr>
          <w:szCs w:val="28"/>
        </w:rPr>
        <w:t xml:space="preserve">. </w:t>
      </w:r>
      <w:r w:rsidR="00213365">
        <w:rPr>
          <w:szCs w:val="28"/>
        </w:rPr>
        <w:t>All of subfamily III</w:t>
      </w:r>
      <w:r>
        <w:rPr>
          <w:szCs w:val="28"/>
        </w:rPr>
        <w:t xml:space="preserve"> have detectable expression in all cell types</w:t>
      </w:r>
      <w:r w:rsidR="00FD2924">
        <w:rPr>
          <w:szCs w:val="28"/>
        </w:rPr>
        <w:t xml:space="preserve"> but </w:t>
      </w:r>
      <w:r w:rsidR="00213365">
        <w:rPr>
          <w:szCs w:val="28"/>
        </w:rPr>
        <w:t xml:space="preserve">ORP3 is </w:t>
      </w:r>
      <w:r w:rsidR="00FD2924">
        <w:rPr>
          <w:szCs w:val="28"/>
        </w:rPr>
        <w:t>highly expressed in kidneys, lymph nodes, and thymus</w:t>
      </w:r>
      <w:r w:rsidR="00555A71">
        <w:rPr>
          <w:szCs w:val="28"/>
        </w:rPr>
        <w:fldChar w:fldCharType="begin" w:fldLock="1"/>
      </w:r>
      <w:r w:rsidR="00393368">
        <w:rPr>
          <w:szCs w:val="28"/>
        </w:rPr>
        <w:instrText>ADDIN CSL_CITATION {"citationItems":[{"id":"ITEM-1","itemData":{"DOI":"10.1007/s00441-003-0817-y","ISBN":"0302-766X (Print)\\r0302-766X (Linking)","ISSN":"0302766X","PMID":"14593528","abstract":"The human OSBP related protein (ORP) family consists of 12 members, which can be divided into six subfamilies based on the genomic organization and amino acid homology. Here we performed basic characterization of subfamily III, which consists of three members: ORP3, ORP6, and ORP7. According to cDNA hybridization, the three genes are expressed in a tissue-specific manner. While ORP3 mRNA is most abundant in kidney, lymph nodes, and thymus, ORP6 shows highest expression in brain and skeletal muscle, and ORP7 in the gastrointestinal tract. Using monospecific peptide antibodies, we confirmed the presence of the three proteins in human and mouse tissues. ORP6 gene expression was induced upon differentiation of F9 embryonic carcinoma cells into parietal endoderm, while ORP3 and ORP7 mRNA levels were unchanged. In the F9 cells, endogenous ORP6 associated predominantly with the nuclear envelope. When expressed from the cDNA in cultured cells, the three proteins were distributed between the cytosol and endoplasmic reticulum (ER) membranes, with a minor portion found at the plasma membrane. Experiments with truncated constructs showed that the N-terminal portion of the proteins, containing a pleckstrin homology (PH) domain, has markedly strong plasma membrane targeting specificity, while the C-terminal half remains largely cytosolic. The expression data demonstrates that ORP3, -6, and -7 are not merely redundant gene products but show marked quantitative differences in tissue expression, suggesting tissue-specific aspects in their function. The dual targeting of the proteins indicates a putative role in communication between the ER and the plasma membrane.","author":[{"dropping-particle":"","family":"Lehto","given":"Markku","non-dropping-particle":"","parse-names":false,"suffix":""},{"dropping-particle":"","family":"Tienari","given":"Jukka","non-dropping-particle":"","parse-names":false,"suffix":""},{"dropping-particle":"","family":"Lehtonen","given":"Sanna","non-dropping-particle":"","parse-names":false,"suffix":""},{"dropping-particle":"","family":"Lehtonen","given":"Eero","non-dropping-particle":"","parse-names":false,"suffix":""},{"dropping-particle":"","family":"Olkkonen","given":"Vesa M.","non-dropping-particle":"","parse-names":false,"suffix":""}],"container-title":"Cell and Tissue Research","id":"ITEM-1","issue":"1","issued":{"date-parts":[["2004"]]},"page":"39-57","title":"Subfamily III of mammalian oxysterol-binding protein (OSBP) homologues: The and intracellular localization of ORP3, ORP6, and ORP7","type":"article-journal","volume":"315"},"uris":["http://www.mendeley.com/documents/?uuid=7ebdeebb-5f64-4dfe-9979-1a41aee5dafb"]}],"mendeley":{"formattedCitation":"(61)","plainTextFormattedCitation":"(61)","previouslyFormattedCitation":"(61)"},"properties":{"noteIndex":0},"schema":"https://github.com/citation-style-language/schema/raw/master/csl-citation.json"}</w:instrText>
      </w:r>
      <w:r w:rsidR="00555A71">
        <w:rPr>
          <w:szCs w:val="28"/>
        </w:rPr>
        <w:fldChar w:fldCharType="separate"/>
      </w:r>
      <w:r w:rsidR="00393368" w:rsidRPr="00393368">
        <w:rPr>
          <w:noProof/>
          <w:szCs w:val="28"/>
        </w:rPr>
        <w:t>(61)</w:t>
      </w:r>
      <w:r w:rsidR="00555A71">
        <w:rPr>
          <w:szCs w:val="28"/>
        </w:rPr>
        <w:fldChar w:fldCharType="end"/>
      </w:r>
      <w:r w:rsidR="00FD2924">
        <w:rPr>
          <w:szCs w:val="28"/>
        </w:rPr>
        <w:t>.</w:t>
      </w:r>
      <w:r w:rsidR="00555A71">
        <w:rPr>
          <w:szCs w:val="28"/>
        </w:rPr>
        <w:t xml:space="preserve"> ORP3 interacts with R-Ras proteins to control cell adhesion and becomes phosphorylated when cells become un-adhered suggesting an outside-in feedback signals</w:t>
      </w:r>
      <w:r w:rsidR="00555A71">
        <w:rPr>
          <w:szCs w:val="28"/>
        </w:rPr>
        <w:fldChar w:fldCharType="begin" w:fldLock="1"/>
      </w:r>
      <w:r w:rsidR="00393368">
        <w:rPr>
          <w:szCs w:val="28"/>
        </w:rPr>
        <w:instrText>ADDIN CSL_CITATION {"citationItems":[{"id":"ITEM-1","itemData":{"DOI":"10.1242/jcs.016964","ISBN":"0021-9533 (Print)","ISSN":"0021-9533","PMID":"18270267","abstract":"Oxysterol-binding protein (OSBP)-related protein 3 (ORP3) is highly expressed in epithelial, neuronal and hematopoietic cells, as well as in certain forms of cancer. We assessed the function of ORP3 in HEK293 cells and in human macrophages. We show that ORP3 interacts with R-Ras, a small GTPase regulating cell adhesion, spreading and migration. Gene silencing of ORP3 in HEK293 cells results in altered organization of the actin cytoskeleton, impaired cell-cell adhesion, enhanced cell spreading and an increase of beta1 integrin activity--effects similar to those of constitutively active R-Ras(38V). Overexpression of ORP3 leads to formation of polarized cell-surface protrusions, impaired cell spreading and decreased beta1 integrin activity. In primary macrophages, overexpression of ORP3 leads to the disappearance of podosomal structures and decreased phagocytotic uptake of latex beads, consistent with a role in actin regulation. ORP3 is phosphorylated when cells lose adhesive contacts, suggesting that it is subject to regulation by outside-in signals mediated by adhesion receptors. The present findings demonstrate a new function of ORP3 as part of the machinery that controls the actin cytoskeleton, cell polarity and cell adhesion.","author":[{"dropping-particle":"","family":"Lehto","given":"M.","non-dropping-particle":"","parse-names":false,"suffix":""},{"dropping-particle":"","family":"Mayranpaa","given":"M. I.","non-dropping-particle":"","parse-names":false,"suffix":""},{"dropping-particle":"","family":"Pellinen","given":"T.","non-dropping-particle":"","parse-names":false,"suffix":""},{"dropping-particle":"","family":"Ihalmo","given":"P.","non-dropping-particle":"","parse-names":false,"suffix":""},{"dropping-particle":"","family":"Lehtonen","given":"S.","non-dropping-particle":"","parse-names":false,"suffix":""},{"dropping-particle":"","family":"Kovanen","given":"P. T.","non-dropping-particle":"","parse-names":false,"suffix":""},{"dropping-particle":"","family":"Groop","given":"P.-H.","non-dropping-particle":"","parse-names":false,"suffix":""},{"dropping-particle":"","family":"Ivaska","given":"J.","non-dropping-particle":"","parse-names":false,"suffix":""},{"dropping-particle":"","family":"Olkkonen","given":"V. M.","non-dropping-particle":"","parse-names":false,"suffix":""}],"container-title":"Journal of Cell Science","id":"ITEM-1","issue":"5","issued":{"date-parts":[["2008"]]},"page":"695-705","title":"The R-Ras interaction partner ORP3 regulates cell adhesion","type":"article-journal","volume":"121"},"uris":["http://www.mendeley.com/documents/?uuid=f1a7a9dd-bf57-4ddc-9b05-26e76fafc2e1"]},{"id":"ITEM-2","itemData":{"DOI":"10.1016/j.yexcr.2014.10.019","ISBN":"9780784409763","ISSN":"10902422","PMID":"25447204","abstract":"ORP3 is an R-Ras interacting oxysterol-binding protein homolog that regulates cell adhesion and is overexpressed in several cancers. We investigated here a novel function of ORP3 dependent on its targeting to both the endoplasmic reticulum (ER) and the plasma membrane (PM). Using biochemical and cell imaging techniques we demonstrate the mechanistic requirements for the subcellular targeting and function of ORP3 in control of R-Ras activity. We show that hyperphosphorylated ORP3 (ORP3-P) selectively interacts with the ER membrane protein VAPA, and ORP3-VAPA complexes are targeted to PM sites via the ORP3 pleckstrin homology (PH) domain. A novel FFAT (two phenylalanines in an acidic tract)-like motif was identified in ORP3; only disruption of both the FFAT-like and canonical FFAT motif abolished the phorbol-12-myristate-13-acetate (PMA) stimulated interaction of ORP3-P with VAPA. Co-expression of ORP3 and VAPA induced R-Ras activation, dependent on the interactions of ORP3 with VAPA and the PM. Consistently, downstream AktS473 phosphorylation and β1-integrin activity were enhanced by ORP3-VAPA. To conclude, phosphorylation of ORP3 controls its association with VAPA. Furthermore, we present evidence that ORP3-VAPA complexes stimulate R-Ras signaling.","author":[{"dropping-particle":"","family":"Weber-Boyvat","given":"Marion","non-dropping-particle":"","parse-names":false,"suffix":""},{"dropping-particle":"","family":"Kentala","given":"Henriikka","non-dropping-particle":"","parse-names":false,"suffix":""},{"dropping-particle":"","family":"Lilja","given":"Johanna","non-dropping-particle":"","parse-names":false,"suffix":""},{"dropping-particle":"","family":"Vihervaara","given":"Terhi","non-dropping-particle":"","parse-names":false,"suffix":""},{"dropping-particle":"","family":"Hanninen","given":"Raisa","non-dropping-particle":"","parse-names":false,"suffix":""},{"dropping-particle":"","family":"Zhou","given":"You","non-dropping-particle":"","parse-names":false,"suffix":""},{"dropping-particle":"","family":"Peränen","given":"Johan","non-dropping-particle":"","parse-names":false,"suffix":""},{"dropping-particle":"","family":"Nyman","given":"Tuula A.","non-dropping-particle":"","parse-names":false,"suffix":""},{"dropping-particle":"","family":"Ivaska","given":"Johanna","non-dropping-particle":"","parse-names":false,"suffix":""},{"dropping-particle":"","family":"Olkkonen","given":"Vesa M.","non-dropping-particle":"","parse-names":false,"suffix":""}],"container-title":"Experimental Cell Research","id":"ITEM-2","issue":"2","issued":{"date-parts":[["2015"]]},"page":"278-291","publisher":"Elsevier","title":"OSBP-related protein 3 (ORP3) coupling with VAMP-associated protein A regulates R-Ras activity","type":"article-journal","volume":"331"},"uris":["http://www.mendeley.com/documents/?uuid=ee18ca03-8047-4a4b-b4fc-a6a147afdb35"]}],"mendeley":{"formattedCitation":"(62, 63)","plainTextFormattedCitation":"(62, 63)","previouslyFormattedCitation":"(62, 63)"},"properties":{"noteIndex":0},"schema":"https://github.com/citation-style-language/schema/raw/master/csl-citation.json"}</w:instrText>
      </w:r>
      <w:r w:rsidR="00555A71">
        <w:rPr>
          <w:szCs w:val="28"/>
        </w:rPr>
        <w:fldChar w:fldCharType="separate"/>
      </w:r>
      <w:r w:rsidR="00393368" w:rsidRPr="00393368">
        <w:rPr>
          <w:noProof/>
          <w:szCs w:val="28"/>
        </w:rPr>
        <w:t>(62, 63)</w:t>
      </w:r>
      <w:r w:rsidR="00555A71">
        <w:rPr>
          <w:szCs w:val="28"/>
        </w:rPr>
        <w:fldChar w:fldCharType="end"/>
      </w:r>
      <w:r w:rsidR="00B242B4">
        <w:rPr>
          <w:szCs w:val="28"/>
        </w:rPr>
        <w:t xml:space="preserve">. Hyper-phosphorylation of </w:t>
      </w:r>
      <w:r w:rsidR="00555A71">
        <w:rPr>
          <w:szCs w:val="28"/>
        </w:rPr>
        <w:t xml:space="preserve">ORP3 </w:t>
      </w:r>
      <w:r w:rsidR="00B242B4">
        <w:rPr>
          <w:szCs w:val="28"/>
        </w:rPr>
        <w:t>leads</w:t>
      </w:r>
      <w:r w:rsidR="00555A71">
        <w:rPr>
          <w:szCs w:val="28"/>
        </w:rPr>
        <w:t xml:space="preserve"> </w:t>
      </w:r>
      <w:r w:rsidR="00B242B4">
        <w:rPr>
          <w:szCs w:val="28"/>
        </w:rPr>
        <w:t xml:space="preserve">to multiple </w:t>
      </w:r>
      <w:r w:rsidR="00555A71">
        <w:rPr>
          <w:szCs w:val="28"/>
        </w:rPr>
        <w:t>VAPA interactions</w:t>
      </w:r>
      <w:r w:rsidR="00B242B4">
        <w:rPr>
          <w:szCs w:val="28"/>
        </w:rPr>
        <w:t xml:space="preserve"> at the ER</w:t>
      </w:r>
      <w:r w:rsidR="00555A71">
        <w:rPr>
          <w:szCs w:val="28"/>
        </w:rPr>
        <w:t xml:space="preserve"> and </w:t>
      </w:r>
      <w:r w:rsidR="00B242B4">
        <w:rPr>
          <w:szCs w:val="28"/>
        </w:rPr>
        <w:t>it is then able to contact the</w:t>
      </w:r>
      <w:r w:rsidR="00555A71">
        <w:rPr>
          <w:szCs w:val="28"/>
        </w:rPr>
        <w:t xml:space="preserve"> plasma membrane</w:t>
      </w:r>
      <w:r w:rsidR="00213365">
        <w:rPr>
          <w:szCs w:val="28"/>
        </w:rPr>
        <w:t xml:space="preserve"> (PM)</w:t>
      </w:r>
      <w:r w:rsidR="00555A71">
        <w:rPr>
          <w:szCs w:val="28"/>
        </w:rPr>
        <w:t xml:space="preserve"> through </w:t>
      </w:r>
      <w:r w:rsidR="00B242B4">
        <w:rPr>
          <w:szCs w:val="28"/>
        </w:rPr>
        <w:t xml:space="preserve">its </w:t>
      </w:r>
      <w:r w:rsidR="00555A71">
        <w:rPr>
          <w:szCs w:val="28"/>
        </w:rPr>
        <w:t>PH domain</w:t>
      </w:r>
      <w:r w:rsidR="00B242B4">
        <w:rPr>
          <w:szCs w:val="28"/>
        </w:rPr>
        <w:fldChar w:fldCharType="begin" w:fldLock="1"/>
      </w:r>
      <w:r w:rsidR="00B242B4">
        <w:rPr>
          <w:szCs w:val="28"/>
        </w:rPr>
        <w:instrText>ADDIN CSL_CITATION {"citationItems":[{"id":"ITEM-1","itemData":{"DOI":"10.1016/j.yexcr.2014.10.019","ISBN":"9780784409763","ISSN":"10902422","PMID":"25447204","abstract":"ORP3 is an R-Ras interacting oxysterol-binding protein homolog that regulates cell adhesion and is overexpressed in several cancers. We investigated here a novel function of ORP3 dependent on its targeting to both the endoplasmic reticulum (ER) and the plasma membrane (PM). Using biochemical and cell imaging techniques we demonstrate the mechanistic requirements for the subcellular targeting and function of ORP3 in control of R-Ras activity. We show that hyperphosphorylated ORP3 (ORP3-P) selectively interacts with the ER membrane protein VAPA, and ORP3-VAPA complexes are targeted to PM sites via the ORP3 pleckstrin homology (PH) domain. A novel FFAT (two phenylalanines in an acidic tract)-like motif was identified in ORP3; only disruption of both the FFAT-like and canonical FFAT motif abolished the phorbol-12-myristate-13-acetate (PMA) stimulated interaction of ORP3-P with VAPA. Co-expression of ORP3 and VAPA induced R-Ras activation, dependent on the interactions of ORP3 with VAPA and the PM. Consistently, downstream AktS473 phosphorylation and β1-integrin activity were enhanced by ORP3-VAPA. To conclude, phosphorylation of ORP3 controls its association with VAPA. Furthermore, we present evidence that ORP3-VAPA complexes stimulate R-Ras signaling.","author":[{"dropping-particle":"","family":"Weber-Boyvat","given":"Marion","non-dropping-particle":"","parse-names":false,"suffix":""},{"dropping-particle":"","family":"Kentala","given":"Henriikka","non-dropping-particle":"","parse-names":false,"suffix":""},{"dropping-particle":"","family":"Lilja","given":"Johanna","non-dropping-particle":"","parse-names":false,"suffix":""},{"dropping-particle":"","family":"Vihervaara","given":"Terhi","non-dropping-particle":"","parse-names":false,"suffix":""},{"dropping-particle":"","family":"Hanninen","given":"Raisa","non-dropping-particle":"","parse-names":false,"suffix":""},{"dropping-particle":"","family":"Zhou","given":"You","non-dropping-particle":"","parse-names":false,"suffix":""},{"dropping-particle":"","family":"Peränen","given":"Johan","non-dropping-particle":"","parse-names":false,"suffix":""},{"dropping-particle":"","family":"Nyman","given":"Tuula A.","non-dropping-particle":"","parse-names":false,"suffix":""},{"dropping-particle":"","family":"Ivaska","given":"Johanna","non-dropping-particle":"","parse-names":false,"suffix":""},{"dropping-particle":"","family":"Olkkonen","given":"Vesa M.","non-dropping-particle":"","parse-names":false,"suffix":""}],"container-title":"Experimental Cell Research","id":"ITEM-1","issue":"2","issued":{"date-parts":[["2015"]]},"page":"278-291","publisher":"Elsevier","title":"OSBP-related protein 3 (ORP3) coupling with VAMP-associated protein A regulates R-Ras activity","type":"article-journal","volume":"331"},"uris":["http://www.mendeley.com/documents/?uuid=ee18ca03-8047-4a4b-b4fc-a6a147afdb35"]}],"mendeley":{"formattedCitation":"(63)","plainTextFormattedCitation":"(63)","previouslyFormattedCitation":"(63)"},"properties":{"noteIndex":0},"schema":"https://github.com/citation-style-language/schema/raw/master/csl-citation.json"}</w:instrText>
      </w:r>
      <w:r w:rsidR="00B242B4">
        <w:rPr>
          <w:szCs w:val="28"/>
        </w:rPr>
        <w:fldChar w:fldCharType="separate"/>
      </w:r>
      <w:r w:rsidR="00B242B4" w:rsidRPr="00B242B4">
        <w:rPr>
          <w:noProof/>
          <w:szCs w:val="28"/>
        </w:rPr>
        <w:t>(63)</w:t>
      </w:r>
      <w:r w:rsidR="00B242B4">
        <w:rPr>
          <w:szCs w:val="28"/>
        </w:rPr>
        <w:fldChar w:fldCharType="end"/>
      </w:r>
      <w:r w:rsidR="00B242B4">
        <w:rPr>
          <w:szCs w:val="28"/>
        </w:rPr>
        <w:t>. This allows ORP3 to activate</w:t>
      </w:r>
      <w:r w:rsidR="00213365">
        <w:rPr>
          <w:szCs w:val="28"/>
        </w:rPr>
        <w:t xml:space="preserve"> R-Ras proteins giving rise to the idea that ORP3 plays a role in ER-PM communication</w:t>
      </w:r>
      <w:r w:rsidR="00213365">
        <w:rPr>
          <w:szCs w:val="28"/>
        </w:rPr>
        <w:fldChar w:fldCharType="begin" w:fldLock="1"/>
      </w:r>
      <w:r w:rsidR="00393368">
        <w:rPr>
          <w:szCs w:val="28"/>
        </w:rPr>
        <w:instrText>ADDIN CSL_CITATION {"citationItems":[{"id":"ITEM-1","itemData":{"DOI":"10.1016/j.plipres.2013.06.004","ISBN":"0163-7827","ISSN":"01637827","PMID":"23830809","abstract":"Oxysterol-binding protein (OSBP) and OSBP-related proteins (ORPs) constitute a family of sterol and phosphoinositide binding proteins conserved in eukaryofile:///C:/Users/user/Downloads/ORP10 micro.pdftes. The mechanisms of ORP function have remained incompletely understood. However, several ORPs are present at membrane contact sites and control the activity of enzymatic effectors or assembly of protein complexes, with impacts on signaling, vesicle transport, and lipid metabolism. An increasing number of protein interaction partners of ORPs have been identified, providing clues of their involvement in multiple aspects of cell regulation. The functions assigned for mammalian ORPs include coordination of sterol and sphingolipid metabolism and mitogenic signaling (OSBP), control of ER-late endosome (LE) contacts and LE motility (ORP1L), neutral lipid metabolism (ORP2), cell adhesion (ORP3), cholesterol eggress from LE (ORP5), macrophage lipid homeostasis, migration and high-density lipoprotein metabolism (ORP8), apolipoprotein B-100 secretion (ORP10), and adipogenesis (ORP11). The anti-proliferative ORPphilin compounds target OSBP and ORP4, revealing a function of ORPs in cell proliferation and survival. The Saccharomyces cerevisiae OSBP homologue (Osh) proteins execute multifaceted functions in sterol and sphingolipid homeostasis, post-Golgi vesicle transport, as well as phosphatidylinositol-4-phosphate and target of rapamycin complex 1 (TORC1) signaling. These observations identify ORPs as coordinators of lipid signals with an unforeseen variety of cellular processes. © 2013 Elsevier Ltd. All rights reserved.","author":[{"dropping-particle":"","family":"Olkkonen","given":"Vesa M.","non-dropping-particle":"","parse-names":false,"suffix":""},{"dropping-particle":"","family":"Li","given":"Shiqian","non-dropping-particle":"","parse-names":false,"suffix":""}],"container-title":"Progress in Lipid Research","id":"ITEM-1","issue":"4","issued":{"date-parts":[["2013","10","2"]]},"page":"529-538","publisher":"Elsevier Ltd","title":"Oxysterol-binding proteins: Sterol and phosphoinositide sensors coordinating transport, signaling and metabolism","type":"article-journal","volume":"52"},"uris":["http://www.mendeley.com/documents/?uuid=857d10db-29d4-47b0-bf27-3ea7326f86e8"]},{"id":"ITEM-2","itemData":{"DOI":"10.1016/j.yexcr.2014.10.019","ISBN":"9780784409763","ISSN":"10902422","PMID":"25447204","abstract":"ORP3 is an R-Ras interacting oxysterol-binding protein homolog that regulates cell adhesion and is overexpressed in several cancers. We investigated here a novel function of ORP3 dependent on its targeting to both the endoplasmic reticulum (ER) and the plasma membrane (PM). Using biochemical and cell imaging techniques we demonstrate the mechanistic requirements for the subcellular targeting and function of ORP3 in control of R-Ras activity. We show that hyperphosphorylated ORP3 (ORP3-P) selectively interacts with the ER membrane protein VAPA, and ORP3-VAPA complexes are targeted to PM sites via the ORP3 pleckstrin homology (PH) domain. A novel FFAT (two phenylalanines in an acidic tract)-like motif was identified in ORP3; only disruption of both the FFAT-like and canonical FFAT motif abolished the phorbol-12-myristate-13-acetate (PMA) stimulated interaction of ORP3-P with VAPA. Co-expression of ORP3 and VAPA induced R-Ras activation, dependent on the interactions of ORP3 with VAPA and the PM. Consistently, downstream AktS473 phosphorylation and β1-integrin activity were enhanced by ORP3-VAPA. To conclude, phosphorylation of ORP3 controls its association with VAPA. Furthermore, we present evidence that ORP3-VAPA complexes stimulate R-Ras signaling.","author":[{"dropping-particle":"","family":"Weber-Boyvat","given":"Marion","non-dropping-particle":"","parse-names":false,"suffix":""},{"dropping-particle":"","family":"Kentala","given":"Henriikka","non-dropping-particle":"","parse-names":false,"suffix":""},{"dropping-particle":"","family":"Lilja","given":"Johanna","non-dropping-particle":"","parse-names":false,"suffix":""},{"dropping-particle":"","family":"Vihervaara","given":"Terhi","non-dropping-particle":"","parse-names":false,"suffix":""},{"dropping-particle":"","family":"Hanninen","given":"Raisa","non-dropping-particle":"","parse-names":false,"suffix":""},{"dropping-particle":"","family":"Zhou","given":"You","non-dropping-particle":"","parse-names":false,"suffix":""},{"dropping-particle":"","family":"Peränen","given":"Johan","non-dropping-particle":"","parse-names":false,"suffix":""},{"dropping-particle":"","family":"Nyman","given":"Tuula A.","non-dropping-particle":"","parse-names":false,"suffix":""},{"dropping-particle":"","family":"Ivaska","given":"Johanna","non-dropping-particle":"","parse-names":false,"suffix":""},{"dropping-particle":"","family":"Olkkonen","given":"Vesa M.","non-dropping-particle":"","parse-names":false,"suffix":""}],"container-title":"Experimental Cell Research","id":"ITEM-2","issue":"2","issued":{"date-parts":[["2015"]]},"page":"278-291","publisher":"Elsevier","title":"OSBP-related protein 3 (ORP3) coupling with VAMP-associated protein A regulates R-Ras activity","type":"article-journal","volume":"331"},"uris":["http://www.mendeley.com/documents/?uuid=ee18ca03-8047-4a4b-b4fc-a6a147afdb35"]}],"mendeley":{"formattedCitation":"(3, 63)","plainTextFormattedCitation":"(3, 63)","previouslyFormattedCitation":"(3, 63)"},"properties":{"noteIndex":0},"schema":"https://github.com/citation-style-language/schema/raw/master/csl-citation.json"}</w:instrText>
      </w:r>
      <w:r w:rsidR="00213365">
        <w:rPr>
          <w:szCs w:val="28"/>
        </w:rPr>
        <w:fldChar w:fldCharType="separate"/>
      </w:r>
      <w:r w:rsidR="00393368" w:rsidRPr="00393368">
        <w:rPr>
          <w:noProof/>
          <w:szCs w:val="28"/>
        </w:rPr>
        <w:t>(3, 63)</w:t>
      </w:r>
      <w:r w:rsidR="00213365">
        <w:rPr>
          <w:szCs w:val="28"/>
        </w:rPr>
        <w:fldChar w:fldCharType="end"/>
      </w:r>
      <w:r w:rsidR="00213365">
        <w:rPr>
          <w:szCs w:val="28"/>
        </w:rPr>
        <w:t>.</w:t>
      </w:r>
    </w:p>
    <w:p w:rsidR="00995672" w:rsidRDefault="00213365" w:rsidP="00FB099D">
      <w:pPr>
        <w:ind w:firstLine="720"/>
        <w:jc w:val="both"/>
        <w:rPr>
          <w:szCs w:val="28"/>
        </w:rPr>
      </w:pPr>
      <w:r>
        <w:rPr>
          <w:szCs w:val="28"/>
        </w:rPr>
        <w:t>ORP6 shows high expression in the brain and skeletal muscle tissue</w:t>
      </w:r>
      <w:r>
        <w:rPr>
          <w:szCs w:val="28"/>
        </w:rPr>
        <w:fldChar w:fldCharType="begin" w:fldLock="1"/>
      </w:r>
      <w:r w:rsidR="00393368">
        <w:rPr>
          <w:szCs w:val="28"/>
        </w:rPr>
        <w:instrText>ADDIN CSL_CITATION {"citationItems":[{"id":"ITEM-1","itemData":{"DOI":"10.1007/s00441-003-0817-y","ISBN":"0302-766X (Print)\\r0302-766X (Linking)","ISSN":"0302766X","PMID":"14593528","abstract":"The human OSBP related protein (ORP) family consists of 12 members, which can be divided into six subfamilies based on the genomic organization and amino acid homology. Here we performed basic characterization of subfamily III, which consists of three members: ORP3, ORP6, and ORP7. According to cDNA hybridization, the three genes are expressed in a tissue-specific manner. While ORP3 mRNA is most abundant in kidney, lymph nodes, and thymus, ORP6 shows highest expression in brain and skeletal muscle, and ORP7 in the gastrointestinal tract. Using monospecific peptide antibodies, we confirmed the presence of the three proteins in human and mouse tissues. ORP6 gene expression was induced upon differentiation of F9 embryonic carcinoma cells into parietal endoderm, while ORP3 and ORP7 mRNA levels were unchanged. In the F9 cells, endogenous ORP6 associated predominantly with the nuclear envelope. When expressed from the cDNA in cultured cells, the three proteins were distributed between the cytosol and endoplasmic reticulum (ER) membranes, with a minor portion found at the plasma membrane. Experiments with truncated constructs showed that the N-terminal portion of the proteins, containing a pleckstrin homology (PH) domain, has markedly strong plasma membrane targeting specificity, while the C-terminal half remains largely cytosolic. The expression data demonstrates that ORP3, -6, and -7 are not merely redundant gene products but show marked quantitative differences in tissue expression, suggesting tissue-specific aspects in their function. The dual targeting of the proteins indicates a putative role in communication between the ER and the plasma membrane.","author":[{"dropping-particle":"","family":"Lehto","given":"Markku","non-dropping-particle":"","parse-names":false,"suffix":""},{"dropping-particle":"","family":"Tienari","given":"Jukka","non-dropping-particle":"","parse-names":false,"suffix":""},{"dropping-particle":"","family":"Lehtonen","given":"Sanna","non-dropping-particle":"","parse-names":false,"suffix":""},{"dropping-particle":"","family":"Lehtonen","given":"Eero","non-dropping-particle":"","parse-names":false,"suffix":""},{"dropping-particle":"","family":"Olkkonen","given":"Vesa M.","non-dropping-particle":"","parse-names":false,"suffix":""}],"container-title":"Cell and Tissue Research","id":"ITEM-1","issue":"1","issued":{"date-parts":[["2004"]]},"page":"39-57","title":"Subfamily III of mammalian oxysterol-binding protein (OSBP) homologues: The and intracellular localization of ORP3, ORP6, and ORP7","type":"article-journal","volume":"315"},"uris":["http://www.mendeley.com/documents/?uuid=7ebdeebb-5f64-4dfe-9979-1a41aee5dafb"]}],"mendeley":{"formattedCitation":"(61)","plainTextFormattedCitation":"(61)","previouslyFormattedCitation":"(61)"},"properties":{"noteIndex":0},"schema":"https://github.com/citation-style-language/schema/raw/master/csl-citation.json"}</w:instrText>
      </w:r>
      <w:r>
        <w:rPr>
          <w:szCs w:val="28"/>
        </w:rPr>
        <w:fldChar w:fldCharType="separate"/>
      </w:r>
      <w:r w:rsidR="00393368" w:rsidRPr="00393368">
        <w:rPr>
          <w:noProof/>
          <w:szCs w:val="28"/>
        </w:rPr>
        <w:t>(61)</w:t>
      </w:r>
      <w:r>
        <w:rPr>
          <w:szCs w:val="28"/>
        </w:rPr>
        <w:fldChar w:fldCharType="end"/>
      </w:r>
      <w:r>
        <w:rPr>
          <w:szCs w:val="28"/>
        </w:rPr>
        <w:t xml:space="preserve"> and has been shown to be involved with regulation of cholesterol efflux and trafficking by affecting the early </w:t>
      </w:r>
      <w:r>
        <w:rPr>
          <w:szCs w:val="28"/>
        </w:rPr>
        <w:lastRenderedPageBreak/>
        <w:t>lysosomal network</w:t>
      </w:r>
      <w:r>
        <w:rPr>
          <w:szCs w:val="28"/>
        </w:rPr>
        <w:fldChar w:fldCharType="begin" w:fldLock="1"/>
      </w:r>
      <w:r w:rsidR="00393368">
        <w:rPr>
          <w:szCs w:val="28"/>
        </w:rPr>
        <w:instrText>ADDIN CSL_CITATION {"citationItems":[{"id":"ITEM-1","itemData":{"DOI":"10.1161/ATVBAHA.116.307282","ISBN":"6176323479","ISSN":"15244636","PMID":"26941018","abstract":"OBJECTIVE: Cholesterol homeostasis is fundamental to human health and is, thus, tightly regulated. MicroRNAs exert potent effects on biological pathways, including cholesterol metabolism, by repressing genes with related functions. We reasoned that this mode of pathway regulation could be exploited to identify novel genes involved in cholesterol homeostasis. APPROACH AND RESULTS: Here, we identify oxysterol-binding protein-like 6 (OSBPL6) as a novel target of 2 miRNA hubs regulating cholesterol homeostasis: miR-33 and miR-27b. Characterization of OSBPL6 revealed that it is transcriptionally regulated in macrophages and hepatocytes by liver X receptor and in response to cholesterol loading and in mice and nonhuman primates by Western diet feeding. OSBPL6 encodes the OSBPL-related protein 6 (ORP6), which contains dual membrane- and endoplasmic reticulum-targeting motifs. Subcellular localization studies showed that ORP6 is associated with the endolysosomal network and endoplasmic reticulum, suggesting a role for ORP6 in cholesterol trafficking between these compartments. Accordingly, knockdown of OSBPL6 results in aberrant clustering of endosomes and promotes the accumulation of free cholesterol in these structures, resulting in reduced cholesterol esterification at the endoplasmic reticulum. Conversely, ORP6 overexpression enhances cholesterol trafficking and efflux in macrophages and hepatocytes. Moreover, we show that hepatic expression of OSBPL6 is positively correlated with plasma levels of high-density lipoprotein cholesterol in a cohort of 200 healthy individuals, whereas its expression is reduced in human atherosclerotic plaques. CONCLUSIONS: These studies identify ORP6 as a novel regulator of cholesterol trafficking that is part of the miR-33 and miR-27b target gene networks that contribute to the maintenance of cholesterol homeostasis.","author":[{"dropping-particle":"","family":"Ouimet","given":"Mireille","non-dropping-particle":"","parse-names":false,"suffix":""},{"dropping-particle":"","family":"Hennessy","given":"Elizabeth J.","non-dropping-particle":"","parse-names":false,"suffix":""},{"dropping-particle":"","family":"Solingen","given":"Coen","non-dropping-particle":"Van","parse-names":false,"suffix":""},{"dropping-particle":"","family":"Koelwyn","given":"Graeme J.","non-dropping-particle":"","parse-names":false,"suffix":""},{"dropping-particle":"","family":"Hussein","given":"Maryem A.","non-dropping-particle":"","parse-names":false,"suffix":""},{"dropping-particle":"","family":"Ramkhelawon","given":"Bhama","non-dropping-particle":"","parse-names":false,"suffix":""},{"dropping-particle":"","family":"Rayner","given":"Katey J.","non-dropping-particle":"","parse-names":false,"suffix":""},{"dropping-particle":"","family":"Temel","given":"Ryan E.","non-dropping-particle":"","parse-names":false,"suffix":""},{"dropping-particle":"","family":"Perisic","given":"Ljubica","non-dropping-particle":"","parse-names":false,"suffix":""},{"dropping-particle":"","family":"Hedin","given":"Ulf","non-dropping-particle":"","parse-names":false,"suffix":""},{"dropping-particle":"","family":"Maegdefessel","given":"Lars","non-dropping-particle":"","parse-names":false,"suffix":""},{"dropping-particle":"","family":"Garabedian","given":"Michael J.","non-dropping-particle":"","parse-names":false,"suffix":""},{"dropping-particle":"","family":"Holdt","given":"Lesca M.","non-dropping-particle":"","parse-names":false,"suffix":""},{"dropping-particle":"","family":"Teupser","given":"Daniel","non-dropping-particle":"","parse-names":false,"suffix":""},{"dropping-particle":"","family":"Moore","given":"Kathryn J.","non-dropping-particle":"","parse-names":false,"suffix":""}],"container-title":"Arteriosclerosis, Thrombosis, and Vascular Biology","id":"ITEM-1","issue":"5","issued":{"date-parts":[["2016"]]},"page":"942-951","title":"MiRNA targeting of oxysterol-binding protein-like 6 regulates cholesterol trafficking and efflux","type":"article-journal","volume":"36"},"uris":["http://www.mendeley.com/documents/?uuid=bd181021-4e32-451c-95d1-8a1ad6649151"]}],"mendeley":{"formattedCitation":"(64)","plainTextFormattedCitation":"(64)","previouslyFormattedCitation":"(64)"},"properties":{"noteIndex":0},"schema":"https://github.com/citation-style-language/schema/raw/master/csl-citation.json"}</w:instrText>
      </w:r>
      <w:r>
        <w:rPr>
          <w:szCs w:val="28"/>
        </w:rPr>
        <w:fldChar w:fldCharType="separate"/>
      </w:r>
      <w:r w:rsidR="00393368" w:rsidRPr="00393368">
        <w:rPr>
          <w:noProof/>
          <w:szCs w:val="28"/>
        </w:rPr>
        <w:t>(64)</w:t>
      </w:r>
      <w:r>
        <w:rPr>
          <w:szCs w:val="28"/>
        </w:rPr>
        <w:fldChar w:fldCharType="end"/>
      </w:r>
      <w:r>
        <w:rPr>
          <w:szCs w:val="28"/>
        </w:rPr>
        <w:t>. Similar to ORP3, ORP6 was shown to localize to the ER and ER-PM contact sites in cerebellar granule neurons</w:t>
      </w:r>
      <w:r w:rsidR="00B37803">
        <w:rPr>
          <w:szCs w:val="28"/>
        </w:rPr>
        <w:fldChar w:fldCharType="begin" w:fldLock="1"/>
      </w:r>
      <w:r w:rsidR="00393368">
        <w:rPr>
          <w:szCs w:val="28"/>
        </w:rPr>
        <w:instrText>ADDIN CSL_CITATION {"citationItems":[{"id":"ITEM-1","itemData":{"DOI":"10.1016/j.yexcr.2018.07.025","ISSN":"10902422","PMID":"30028970","abstract":"Oxysterol-binding protein (OSBP)-related proteins (ORPs) are conserved lipid binding proteins found in organisms ranging from yeast to mammals. Recent findings have indicated that these proteins mainly localize to contact sites of 2 different membranous organelles. ORP6, a member of the ORP subfamily III, is one of the least studied ORPs. Using approaches in molecular cell biology, we attempted to study the characteristics of ORP6 and found that ORP6 is abundantly expressed in mouse cultured neurons. Deconvolution microscopy of cultured cerebellar granular cells revealed that ORP6 is localized to the endoplasmic reticulum (ER) and ER–plasma membrane (PM) contact sites, where it co-localized with extended synaptotagmin2 (E-Syt2), a well-known ER–PM contact site marker. E-Syt2 also co-localized with ORP3, another subfamily III member, and ORP5, a subfamily IV member. However, ORP5 does not distribute to the same ER-PM contact sites as subfamily III members. Also, the co-expression of ORP3 but not ORP5 altered the distribution of ORP6 into the processes of cerebellar neurons. Immunoprecipitation demonstrated binding between the intermediate region of ORP6 and ORP3 or ORP6 itself. Additionally, the localization of ORP6 in the PM decreased when co-expressed with the intermediate region of ORP6, in which the pleckstrin homology (PH) domain and OSBP-related ligand binding domain (ORD) are deleted. Over-expression of this intermediate region shifted the location of a phophtidylinositol-4-phosphate (PI4P) marker from the Golgi to the PM. Knockdown of ORP6 resulted in the same shift of the PI4P marker. Collectively, our data suggests that the recruitment of ORP6 to ER–PM contact sites is involved in the turnover of PI4P in cerebellar granular neurons.","author":[{"dropping-particle":"","family":"Mochizuki","given":"Shinya","non-dropping-particle":"","parse-names":false,"suffix":""},{"dropping-particle":"","family":"Miki","given":"Harukata","non-dropping-particle":"","parse-names":false,"suffix":""},{"dropping-particle":"","family":"Zhou","given":"Ruyun","non-dropping-particle":"","parse-names":false,"suffix":""},{"dropping-particle":"","family":"Kido","given":"Yukiharu","non-dropping-particle":"","parse-names":false,"suffix":""},{"dropping-particle":"","family":"Nishimura","given":"Wataru","non-dropping-particle":"","parse-names":false,"suffix":""},{"dropping-particle":"","family":"Kikuchi","given":"Motoshi","non-dropping-particle":"","parse-names":false,"suffix":""},{"dropping-particle":"","family":"Noda","given":"Yasuko","non-dropping-particle":"","parse-names":false,"suffix":""}],"container-title":"Experimental Cell Research","id":"ITEM-1","issue":"2","issued":{"date-parts":[["2018"]]},"page":"601-612","publisher":"Elsevier Inc.","title":"Oxysterol-binding protein-related protein (ORP) 6 localizes to the ER and ER-plasma membrane contact sites and is involved in the turnover of PI4P in cerebellar granule neurons","type":"article-journal","volume":"370"},"uris":["http://www.mendeley.com/documents/?uuid=a9933568-8baa-4c85-bf69-ced30feb317d"]}],"mendeley":{"formattedCitation":"(65)","plainTextFormattedCitation":"(65)","previouslyFormattedCitation":"(65)"},"properties":{"noteIndex":0},"schema":"https://github.com/citation-style-language/schema/raw/master/csl-citation.json"}</w:instrText>
      </w:r>
      <w:r w:rsidR="00B37803">
        <w:rPr>
          <w:szCs w:val="28"/>
        </w:rPr>
        <w:fldChar w:fldCharType="separate"/>
      </w:r>
      <w:r w:rsidR="00393368" w:rsidRPr="00393368">
        <w:rPr>
          <w:noProof/>
          <w:szCs w:val="28"/>
        </w:rPr>
        <w:t>(65)</w:t>
      </w:r>
      <w:r w:rsidR="00B37803">
        <w:rPr>
          <w:szCs w:val="28"/>
        </w:rPr>
        <w:fldChar w:fldCharType="end"/>
      </w:r>
      <w:r w:rsidR="00B37803">
        <w:rPr>
          <w:szCs w:val="28"/>
        </w:rPr>
        <w:t>. ORP6 is transcriptionally regulated by LXR</w:t>
      </w:r>
      <w:r>
        <w:rPr>
          <w:szCs w:val="28"/>
        </w:rPr>
        <w:t xml:space="preserve"> </w:t>
      </w:r>
      <w:r w:rsidR="00B37803">
        <w:rPr>
          <w:szCs w:val="28"/>
        </w:rPr>
        <w:t>in order to respond to intracellular cholesterol and is tightly controlled by cellular sterol levels</w:t>
      </w:r>
      <w:r w:rsidR="00B37803">
        <w:rPr>
          <w:szCs w:val="28"/>
        </w:rPr>
        <w:fldChar w:fldCharType="begin" w:fldLock="1"/>
      </w:r>
      <w:r w:rsidR="00393368">
        <w:rPr>
          <w:szCs w:val="28"/>
        </w:rPr>
        <w:instrText>ADDIN CSL_CITATION {"citationItems":[{"id":"ITEM-1","itemData":{"DOI":"10.1161/ATVBAHA.116.307282","ISBN":"6176323479","ISSN":"15244636","PMID":"26941018","abstract":"OBJECTIVE: Cholesterol homeostasis is fundamental to human health and is, thus, tightly regulated. MicroRNAs exert potent effects on biological pathways, including cholesterol metabolism, by repressing genes with related functions. We reasoned that this mode of pathway regulation could be exploited to identify novel genes involved in cholesterol homeostasis. APPROACH AND RESULTS: Here, we identify oxysterol-binding protein-like 6 (OSBPL6) as a novel target of 2 miRNA hubs regulating cholesterol homeostasis: miR-33 and miR-27b. Characterization of OSBPL6 revealed that it is transcriptionally regulated in macrophages and hepatocytes by liver X receptor and in response to cholesterol loading and in mice and nonhuman primates by Western diet feeding. OSBPL6 encodes the OSBPL-related protein 6 (ORP6), which contains dual membrane- and endoplasmic reticulum-targeting motifs. Subcellular localization studies showed that ORP6 is associated with the endolysosomal network and endoplasmic reticulum, suggesting a role for ORP6 in cholesterol trafficking between these compartments. Accordingly, knockdown of OSBPL6 results in aberrant clustering of endosomes and promotes the accumulation of free cholesterol in these structures, resulting in reduced cholesterol esterification at the endoplasmic reticulum. Conversely, ORP6 overexpression enhances cholesterol trafficking and efflux in macrophages and hepatocytes. Moreover, we show that hepatic expression of OSBPL6 is positively correlated with plasma levels of high-density lipoprotein cholesterol in a cohort of 200 healthy individuals, whereas its expression is reduced in human atherosclerotic plaques. CONCLUSIONS: These studies identify ORP6 as a novel regulator of cholesterol trafficking that is part of the miR-33 and miR-27b target gene networks that contribute to the maintenance of cholesterol homeostasis.","author":[{"dropping-particle":"","family":"Ouimet","given":"Mireille","non-dropping-particle":"","parse-names":false,"suffix":""},{"dropping-particle":"","family":"Hennessy","given":"Elizabeth J.","non-dropping-particle":"","parse-names":false,"suffix":""},{"dropping-particle":"","family":"Solingen","given":"Coen","non-dropping-particle":"Van","parse-names":false,"suffix":""},{"dropping-particle":"","family":"Koelwyn","given":"Graeme J.","non-dropping-particle":"","parse-names":false,"suffix":""},{"dropping-particle":"","family":"Hussein","given":"Maryem A.","non-dropping-particle":"","parse-names":false,"suffix":""},{"dropping-particle":"","family":"Ramkhelawon","given":"Bhama","non-dropping-particle":"","parse-names":false,"suffix":""},{"dropping-particle":"","family":"Rayner","given":"Katey J.","non-dropping-particle":"","parse-names":false,"suffix":""},{"dropping-particle":"","family":"Temel","given":"Ryan E.","non-dropping-particle":"","parse-names":false,"suffix":""},{"dropping-particle":"","family":"Perisic","given":"Ljubica","non-dropping-particle":"","parse-names":false,"suffix":""},{"dropping-particle":"","family":"Hedin","given":"Ulf","non-dropping-particle":"","parse-names":false,"suffix":""},{"dropping-particle":"","family":"Maegdefessel","given":"Lars","non-dropping-particle":"","parse-names":false,"suffix":""},{"dropping-particle":"","family":"Garabedian","given":"Michael J.","non-dropping-particle":"","parse-names":false,"suffix":""},{"dropping-particle":"","family":"Holdt","given":"Lesca M.","non-dropping-particle":"","parse-names":false,"suffix":""},{"dropping-particle":"","family":"Teupser","given":"Daniel","non-dropping-particle":"","parse-names":false,"suffix":""},{"dropping-particle":"","family":"Moore","given":"Kathryn J.","non-dropping-particle":"","parse-names":false,"suffix":""}],"container-title":"Arteriosclerosis, Thrombosis, and Vascular Biology","id":"ITEM-1","issue":"5","issued":{"date-parts":[["2016"]]},"page":"942-951","title":"MiRNA targeting of oxysterol-binding protein-like 6 regulates cholesterol trafficking and efflux","type":"article-journal","volume":"36"},"uris":["http://www.mendeley.com/documents/?uuid=bd181021-4e32-451c-95d1-8a1ad6649151"]}],"mendeley":{"formattedCitation":"(64)","plainTextFormattedCitation":"(64)","previouslyFormattedCitation":"(64)"},"properties":{"noteIndex":0},"schema":"https://github.com/citation-style-language/schema/raw/master/csl-citation.json"}</w:instrText>
      </w:r>
      <w:r w:rsidR="00B37803">
        <w:rPr>
          <w:szCs w:val="28"/>
        </w:rPr>
        <w:fldChar w:fldCharType="separate"/>
      </w:r>
      <w:r w:rsidR="00393368" w:rsidRPr="00393368">
        <w:rPr>
          <w:noProof/>
          <w:szCs w:val="28"/>
        </w:rPr>
        <w:t>(64)</w:t>
      </w:r>
      <w:r w:rsidR="00B37803">
        <w:rPr>
          <w:szCs w:val="28"/>
        </w:rPr>
        <w:fldChar w:fldCharType="end"/>
      </w:r>
      <w:r w:rsidR="00B37803">
        <w:rPr>
          <w:szCs w:val="28"/>
        </w:rPr>
        <w:t>.</w:t>
      </w:r>
    </w:p>
    <w:p w:rsidR="00FD2924" w:rsidRPr="00FD2924" w:rsidRDefault="00B37803" w:rsidP="00FB099D">
      <w:pPr>
        <w:ind w:firstLine="720"/>
        <w:jc w:val="both"/>
        <w:rPr>
          <w:szCs w:val="28"/>
        </w:rPr>
      </w:pPr>
      <w:r>
        <w:rPr>
          <w:szCs w:val="28"/>
        </w:rPr>
        <w:t>ORP7 expression is abundant in the gastrointestinal tract</w:t>
      </w:r>
      <w:r w:rsidR="00246CE4">
        <w:rPr>
          <w:szCs w:val="28"/>
        </w:rPr>
        <w:t xml:space="preserve"> and has also been shown to localize to ER/PM</w:t>
      </w:r>
      <w:r w:rsidR="00246CE4">
        <w:rPr>
          <w:szCs w:val="28"/>
        </w:rPr>
        <w:fldChar w:fldCharType="begin" w:fldLock="1"/>
      </w:r>
      <w:r w:rsidR="00393368">
        <w:rPr>
          <w:szCs w:val="28"/>
        </w:rPr>
        <w:instrText>ADDIN CSL_CITATION {"citationItems":[{"id":"ITEM-1","itemData":{"DOI":"10.1007/s00441-003-0817-y","ISBN":"0302-766X (Print)\\r0302-766X (Linking)","ISSN":"0302766X","PMID":"14593528","abstract":"The human OSBP related protein (ORP) family consists of 12 members, which can be divided into six subfamilies based on the genomic organization and amino acid homology. Here we performed basic characterization of subfamily III, which consists of three members: ORP3, ORP6, and ORP7. According to cDNA hybridization, the three genes are expressed in a tissue-specific manner. While ORP3 mRNA is most abundant in kidney, lymph nodes, and thymus, ORP6 shows highest expression in brain and skeletal muscle, and ORP7 in the gastrointestinal tract. Using monospecific peptide antibodies, we confirmed the presence of the three proteins in human and mouse tissues. ORP6 gene expression was induced upon differentiation of F9 embryonic carcinoma cells into parietal endoderm, while ORP3 and ORP7 mRNA levels were unchanged. In the F9 cells, endogenous ORP6 associated predominantly with the nuclear envelope. When expressed from the cDNA in cultured cells, the three proteins were distributed between the cytosol and endoplasmic reticulum (ER) membranes, with a minor portion found at the plasma membrane. Experiments with truncated constructs showed that the N-terminal portion of the proteins, containing a pleckstrin homology (PH) domain, has markedly strong plasma membrane targeting specificity, while the C-terminal half remains largely cytosolic. The expression data demonstrates that ORP3, -6, and -7 are not merely redundant gene products but show marked quantitative differences in tissue expression, suggesting tissue-specific aspects in their function. The dual targeting of the proteins indicates a putative role in communication between the ER and the plasma membrane.","author":[{"dropping-particle":"","family":"Lehto","given":"Markku","non-dropping-particle":"","parse-names":false,"suffix":""},{"dropping-particle":"","family":"Tienari","given":"Jukka","non-dropping-particle":"","parse-names":false,"suffix":""},{"dropping-particle":"","family":"Lehtonen","given":"Sanna","non-dropping-particle":"","parse-names":false,"suffix":""},{"dropping-particle":"","family":"Lehtonen","given":"Eero","non-dropping-particle":"","parse-names":false,"suffix":""},{"dropping-particle":"","family":"Olkkonen","given":"Vesa M.","non-dropping-particle":"","parse-names":false,"suffix":""}],"container-title":"Cell and Tissue Research","id":"ITEM-1","issue":"1","issued":{"date-parts":[["2004"]]},"page":"39-57","title":"Subfamily III of mammalian oxysterol-binding protein (OSBP) homologues: The and intracellular localization of ORP3, ORP6, and ORP7","type":"article-journal","volume":"315"},"uris":["http://www.mendeley.com/documents/?uuid=7ebdeebb-5f64-4dfe-9979-1a41aee5dafb"]}],"mendeley":{"formattedCitation":"(61)","plainTextFormattedCitation":"(61)","previouslyFormattedCitation":"(61)"},"properties":{"noteIndex":0},"schema":"https://github.com/citation-style-language/schema/raw/master/csl-citation.json"}</w:instrText>
      </w:r>
      <w:r w:rsidR="00246CE4">
        <w:rPr>
          <w:szCs w:val="28"/>
        </w:rPr>
        <w:fldChar w:fldCharType="separate"/>
      </w:r>
      <w:r w:rsidR="00393368" w:rsidRPr="00393368">
        <w:rPr>
          <w:noProof/>
          <w:szCs w:val="28"/>
        </w:rPr>
        <w:t>(61)</w:t>
      </w:r>
      <w:r w:rsidR="00246CE4">
        <w:rPr>
          <w:szCs w:val="28"/>
        </w:rPr>
        <w:fldChar w:fldCharType="end"/>
      </w:r>
      <w:r w:rsidR="00246CE4">
        <w:rPr>
          <w:szCs w:val="28"/>
        </w:rPr>
        <w:t xml:space="preserve"> to interact with R-Ras proteins</w:t>
      </w:r>
      <w:r w:rsidR="00246CE4">
        <w:rPr>
          <w:szCs w:val="28"/>
        </w:rPr>
        <w:fldChar w:fldCharType="begin" w:fldLock="1"/>
      </w:r>
      <w:r w:rsidR="004B0503">
        <w:rPr>
          <w:szCs w:val="28"/>
        </w:rPr>
        <w:instrText>ADDIN CSL_CITATION {"citationItems":[{"id":"ITEM-1","itemData":{"DOI":"10.1016/j.plipres.2013.06.004","ISBN":"0163-7827","ISSN":"01637827","PMID":"23830809","abstract":"Oxysterol-binding protein (OSBP) and OSBP-related proteins (ORPs) constitute a family of sterol and phosphoinositide binding proteins conserved in eukaryofile:///C:/Users/user/Downloads/ORP10 micro.pdftes. The mechanisms of ORP function have remained incompletely understood. However, several ORPs are present at membrane contact sites and control the activity of enzymatic effectors or assembly of protein complexes, with impacts on signaling, vesicle transport, and lipid metabolism. An increasing number of protein interaction partners of ORPs have been identified, providing clues of their involvement in multiple aspects of cell regulation. The functions assigned for mammalian ORPs include coordination of sterol and sphingolipid metabolism and mitogenic signaling (OSBP), control of ER-late endosome (LE) contacts and LE motility (ORP1L), neutral lipid metabolism (ORP2), cell adhesion (ORP3), cholesterol eggress from LE (ORP5), macrophage lipid homeostasis, migration and high-density lipoprotein metabolism (ORP8), apolipoprotein B-100 secretion (ORP10), and adipogenesis (ORP11). The anti-proliferative ORPphilin compounds target OSBP and ORP4, revealing a function of ORPs in cell proliferation and survival. The Saccharomyces cerevisiae OSBP homologue (Osh) proteins execute multifaceted functions in sterol and sphingolipid homeostasis, post-Golgi vesicle transport, as well as phosphatidylinositol-4-phosphate and target of rapamycin complex 1 (TORC1) signaling. These observations identify ORPs as coordinators of lipid signals with an unforeseen variety of cellular processes. © 2013 Elsevier Ltd. All rights reserved.","author":[{"dropping-particle":"","family":"Olkkonen","given":"Vesa M.","non-dropping-particle":"","parse-names":false,"suffix":""},{"dropping-particle":"","family":"Li","given":"Shiqian","non-dropping-particle":"","parse-names":false,"suffix":""}],"container-title":"Progress in Lipid Research","id":"ITEM-1","issue":"4","issued":{"date-parts":[["2013","10","2"]]},"page":"529-538","publisher":"Elsevier Ltd","title":"Oxysterol-binding proteins: Sterol and phosphoinositide sensors coordinating transport, signaling and metabolism","type":"article-journal","volume":"52"},"uris":["http://www.mendeley.com/documents/?uuid=857d10db-29d4-47b0-bf27-3ea7326f86e8"]}],"mendeley":{"formattedCitation":"(3)","plainTextFormattedCitation":"(3)","previouslyFormattedCitation":"(3)"},"properties":{"noteIndex":0},"schema":"https://github.com/citation-style-language/schema/raw/master/csl-citation.json"}</w:instrText>
      </w:r>
      <w:r w:rsidR="00246CE4">
        <w:rPr>
          <w:szCs w:val="28"/>
        </w:rPr>
        <w:fldChar w:fldCharType="separate"/>
      </w:r>
      <w:r w:rsidR="004B0503" w:rsidRPr="004B0503">
        <w:rPr>
          <w:noProof/>
          <w:szCs w:val="28"/>
        </w:rPr>
        <w:t>(3)</w:t>
      </w:r>
      <w:r w:rsidR="00246CE4">
        <w:rPr>
          <w:szCs w:val="28"/>
        </w:rPr>
        <w:fldChar w:fldCharType="end"/>
      </w:r>
      <w:r w:rsidR="00246CE4">
        <w:rPr>
          <w:szCs w:val="28"/>
        </w:rPr>
        <w:t>. ORP7 is involved in autophagy through sterol-ligand induced interactions with GATE-16, which induces degradation of the Golgi SNARE protein GS28 and subsequent addition of ORP7/GATE-16 complexes to autophagosomes</w:t>
      </w:r>
      <w:r w:rsidR="00B242B4">
        <w:rPr>
          <w:szCs w:val="28"/>
        </w:rPr>
        <w:fldChar w:fldCharType="begin" w:fldLock="1"/>
      </w:r>
      <w:r w:rsidR="00B75315">
        <w:rPr>
          <w:szCs w:val="28"/>
        </w:rPr>
        <w:instrText>ADDIN CSL_CITATION {"citationItems":[{"id":"ITEM-1","itemData":{"DOI":"10.1016/j.yexcr.2011.05.028","ISBN":"info:doi/10.1016/j.yexcr.2011.05.028","ISSN":"10902422","PMID":"21669198","abstract":"ORP7 is a member of oxysterol-binding protein (OSBP) family, the function of which has remained obscure. In this study, we identified by yeast two-hybrid screening an interaction partner of ORP7, GATE-16, which (i) regulates Golgi SNARE of 28. kDa (GS28) function and stability, and (ii) plays a role in autophagosome biogenesis. The interaction was confirmed by bimolecular fluorescence complementation (BiFC) assay in living cells. The interacting regions were delineated within aa 1-142 of ORP7 and aa 30-117 of GATE-16. ORP7 knock-down in 293A cells resulted in a 40% increase of GS28 protein while ORP7 overexpression had the opposite effect (25% decrease of GS28). We show evidence that the regulation of GS28 by ORP7 does not occur at the level of transcription, but involves degradation of GS28 on proteasomes. Truncated ORP7 that lacks the GATE-16 binding region failed to affect GS28 stability, evidencing for specificity of the observed effect. Similar to ORP7 overexpression, treatment of cells with 25-hydroxycholesterol (25-OH) resulted in GS28 destabilization, which was potentiated by excess ORP7 and inhibited by ORP7 silencing. Overexpression of ORP7 led in most cells to formation of vacuolar structures positive for RFP-LC3, thus representing autophagic elements. Also GATE-16 was found in the vacuolar ORP7-positive elements, suggesting that excess ORP7 increases entrapment of GATE-16 in autophagosomes. Taken together, our results suggest that ORP7 negatively regulates GS28 protein stability via sequestration of GATE-16, and may mediate the effect of 25-OH on GS28 and Golgi function. © 2011 Elsevier Inc.","author":[{"dropping-particle":"","family":"Zhong","given":"Wenbin","non-dropping-particle":"","parse-names":false,"suffix":""},{"dropping-particle":"","family":"Zhou","given":"You","non-dropping-particle":"","parse-names":false,"suffix":""},{"dropping-particle":"","family":"Li","given":"Shiqian","non-dropping-particle":"","parse-names":false,"suffix":""},{"dropping-particle":"","family":"Zhou","given":"Tianhong","non-dropping-particle":"","parse-names":false,"suffix":""},{"dropping-particle":"","family":"Ma","given":"Hongling","non-dropping-particle":"","parse-names":false,"suffix":""},{"dropping-particle":"","family":"Wei","given":"Kunde","non-dropping-particle":"","parse-names":false,"suffix":""},{"dropping-particle":"","family":"Li","given":"Hongye","non-dropping-particle":"","parse-names":false,"suffix":""},{"dropping-particle":"","family":"Olkkonen","given":"Vesa M.","non-dropping-particle":"","parse-names":false,"suffix":""},{"dropping-particle":"","family":"Yan","given":"Daoguang","non-dropping-particle":"","parse-names":false,"suffix":""}],"container-title":"Experimental Cell Research","id":"ITEM-1","issue":"16","issued":{"date-parts":[["2011"]]},"page":"2353-2363","publisher":"Elsevier Inc.","title":"OSBP-related protein 7 interacts with GATE-16 and negatively regulates GS28 protein stability","type":"article-journal","volume":"317"},"uris":["http://www.mendeley.com/documents/?uuid=e2c4256b-e8fc-41d5-b9da-addcf541a99a"]}],"mendeley":{"formattedCitation":"(66)","plainTextFormattedCitation":"(66)","previouslyFormattedCitation":"(66)"},"properties":{"noteIndex":0},"schema":"https://github.com/citation-style-language/schema/raw/master/csl-citation.json"}</w:instrText>
      </w:r>
      <w:r w:rsidR="00B242B4">
        <w:rPr>
          <w:szCs w:val="28"/>
        </w:rPr>
        <w:fldChar w:fldCharType="separate"/>
      </w:r>
      <w:r w:rsidR="00B242B4" w:rsidRPr="00B242B4">
        <w:rPr>
          <w:noProof/>
          <w:szCs w:val="28"/>
        </w:rPr>
        <w:t>(66)</w:t>
      </w:r>
      <w:r w:rsidR="00B242B4">
        <w:rPr>
          <w:szCs w:val="28"/>
        </w:rPr>
        <w:fldChar w:fldCharType="end"/>
      </w:r>
      <w:r w:rsidR="00246CE4">
        <w:rPr>
          <w:szCs w:val="28"/>
        </w:rPr>
        <w:t>. ORP7 was also identified as the only OSBP/ORP family protein that could associate with serum lipids and</w:t>
      </w:r>
      <w:r w:rsidR="00B242B4">
        <w:rPr>
          <w:szCs w:val="28"/>
        </w:rPr>
        <w:t xml:space="preserve"> therefore ORP7</w:t>
      </w:r>
      <w:r w:rsidR="00246CE4">
        <w:rPr>
          <w:szCs w:val="28"/>
        </w:rPr>
        <w:t xml:space="preserve"> could</w:t>
      </w:r>
      <w:r w:rsidR="00B242B4">
        <w:rPr>
          <w:szCs w:val="28"/>
        </w:rPr>
        <w:t xml:space="preserve"> have</w:t>
      </w:r>
      <w:r w:rsidR="00246CE4">
        <w:rPr>
          <w:szCs w:val="28"/>
        </w:rPr>
        <w:t xml:space="preserve"> a role </w:t>
      </w:r>
      <w:r w:rsidR="00B242B4">
        <w:rPr>
          <w:szCs w:val="28"/>
        </w:rPr>
        <w:t xml:space="preserve">in gastrointestinal </w:t>
      </w:r>
      <w:r w:rsidR="00246CE4">
        <w:rPr>
          <w:szCs w:val="28"/>
        </w:rPr>
        <w:t>lipid absorption</w:t>
      </w:r>
      <w:r w:rsidR="00246CE4">
        <w:rPr>
          <w:szCs w:val="28"/>
        </w:rPr>
        <w:fldChar w:fldCharType="begin" w:fldLock="1"/>
      </w:r>
      <w:r w:rsidR="00B75315">
        <w:rPr>
          <w:szCs w:val="28"/>
        </w:rPr>
        <w:instrText>ADDIN CSL_CITATION {"citationItems":[{"id":"ITEM-1","itemData":{"DOI":"10.1038/nature09270","ISBN":"1476-4687 (Electronic)\\n0028-0836 (Linking)","ISSN":"14764687","PMID":"20686565","abstract":"Plasma concentrations of total cholesterol, low-density lipoprotein cholesterol, high-density lipoprotein cholesterol and triglycerides are among the most important risk factors for coronary artery disease (CAD) and are targets for therapeutic intervention. We screened the genome for common variants associated with plasma lipids in &gt;100,000 individuals of European ancestry. Here we report 95 significantly associated loci (P &lt; 5 x 10(-8)), with 59 showing genome-wide significant association with lipid traits for the first time. The newly reported associations include single nucleotide polymorphisms (SNPs) near known lipid regulators (for example, CYP7A1, NPC1L1 and SCARB1) as well as in scores of loci not previously implicated in lipoprotein metabolism. The 95 loci contribute not only to normal variation in lipid traits but also to extreme lipid phenotypes and have an impact on lipid traits in three non-European populations (East Asians, South Asians and African Americans). Our results identify several novel loci associated with plasma lipids that are also associated with CAD. Finally, we validated three of the novel genes-GALNT2, PPP1R3B and TTC39B-with experiments in mouse models. Taken together, our findings provide the foundation to develop a broader biological understanding of lipoprotein metabolism and to identify new therapeutic opportunities for the prevention of CAD.","author":[{"dropping-particle":"","family":"Teslovich","given":"Tanya M.","non-dropping-particle":"","parse-names":false,"suffix":""},{"dropping-particle":"","family":"Musunuru","given":"Kiran","non-dropping-particle":"","parse-names":false,"suffix":""},{"dropping-particle":"V.","family":"Smith","given":"Albert","non-dropping-particle":"","parse-names":false,"suffix":""},{"dropping-particle":"","family":"Edmondson","given":"Andrew C.","non-dropping-particle":"","parse-names":false,"suffix":""},{"dropping-particle":"","family":"Stylianou","given":"Ioannis M.","non-dropping-particle":"","parse-names":false,"suffix":""},{"dropping-particle":"","family":"Koseki","given":"Masahiro","non-dropping-particle":"","parse-names":false,"suffix":""},{"dropping-particle":"","family":"Pirruccello","given":"James P.","non-dropping-particle":"","parse-names":false,"suffix":""},{"dropping-particle":"","family":"Ripatti","given":"Samuli","non-dropping-particle":"","parse-names":false,"suffix":""},{"dropping-particle":"","family":"Chasman","given":"Daniel I.","non-dropping-particle":"","parse-names":false,"suffix":""},{"dropping-particle":"","family":"Willer","given":"Cristen J.","non-dropping-particle":"","parse-names":false,"suffix":""},{"dropping-particle":"","family":"Johansen","given":"Christopher T.","non-dropping-particle":"","parse-names":false,"suffix":""},{"dropping-particle":"","family":"Fouchier","given":"Sigrid W.","non-dropping-particle":"","parse-names":false,"suffix":""},{"dropping-particle":"","family":"Isaacs","given":"Aaron","non-dropping-particle":"","parse-names":false,"suffix":""},{"dropping-particle":"","family":"Peloso","given":"Gina M.","non-dropping-particle":"","parse-names":false,"suffix":""},{"dropping-particle":"","family":"Barbalic","given":"Maja","non-dropping-particle":"","parse-names":false,"suffix":""},{"dropping-particle":"","family":"Ricketts","given":"Sally L.","non-dropping-particle":"","parse-names":false,"suffix":""},{"dropping-particle":"","family":"Bis","given":"Joshua C.","non-dropping-particle":"","parse-names":false,"suffix":""},{"dropping-particle":"","family":"Aulchenko","given":"Yurii S.","non-dropping-particle":"","parse-names":false,"suffix":""},{"dropping-particle":"","family":"Thorleifsson","given":"Gudmar","non-dropping-particle":"","parse-names":false,"suffix":""},{"dropping-particle":"","family":"Feitosa","given":"Mary F.","non-dropping-particle":"","parse-names":false,"suffix":""},{"dropping-particle":"","family":"Chambers","given":"John","non-dropping-particle":"","parse-names":false,"suffix":""},{"dropping-particle":"","family":"Orho-Melander","given":"Marju","non-dropping-particle":"","parse-names":false,"suffix":""},{"dropping-particle":"","family":"Melander","given":"Olle","non-dropping-particle":"","parse-names":false,"suffix":""},{"dropping-particle":"","family":"Johnson","given":"Toby","non-dropping-particle":"","parse-names":false,"suffix":""},{"dropping-particle":"","family":"Li","given":"Xiaohui","non-dropping-particle":"","parse-names":false,"suffix":""},{"dropping-particle":"","family":"Guo","given":"Xiuqing","non-dropping-particle":"","parse-names":false,"suffix":""},{"dropping-particle":"","family":"Li","given":"Mingyao","non-dropping-particle":"","parse-names":false,"suffix":""},{"dropping-particle":"","family":"Shin Cho","given":"Yoon","non-dropping-particle":"","parse-names":false,"suffix":""},{"dropping-particle":"","family":"Jin Go","given":"Min","non-dropping-particle":"","parse-names":false,"suffix":""},{"dropping-particle":"","family":"Jin Kim","given":"Young","non-dropping-particle":"","parse-names":false,"suffix":""},{"dropping-particle":"","family":"Lee","given":"Jong Young","non-dropping-particle":"","parse-names":false,"suffix":""},{"dropping-particle":"","family":"Park","given":"Taesung","non-dropping-particle":"","parse-names":false,"suffix":""},{"dropping-particle":"","family":"Kim","given":"Kyunga","non-dropping-particle":"","parse-names":false,"suffix":""},{"dropping-particle":"","family":"Sim","given":"Xueling","non-dropping-particle":"","parse-names":false,"suffix":""},{"dropping-particle":"","family":"Twee-Hee Ong","given":"Rick","non-dropping-particle":"","parse-names":false,"suffix":""},{"dropping-particle":"","family":"Croteau-Chonka","given":"Damien C.","non-dropping-particle":"","parse-names":false,"suffix":""},{"dropping-particle":"","family":"Lange","given":"Leslie A.","non-dropping-particle":"","parse-names":false,"suffix":""},{"dropping-particle":"","family":"Smith","given":"Joshua D.","non-dropping-particle":"","parse-names":false,"suffix":""},{"dropping-particle":"","family":"Song","given":"Kijoung","non-dropping-particle":"","parse-names":false,"suffix":""},{"dropping-particle":"","family":"Hua Zhao","given":"Jing","non-dropping-particle":"","parse-names":false,"suffix":""},{"dropping-particle":"","family":"Yuan","given":"Xin","non-dropping-particle":"","parse-names":false,"suffix":""},{"dropping-particle":"","family":"Luan","given":"Jian'an","non-dropping-particle":"","parse-names":false,"suffix":""},{"dropping-particle":"","family":"Lamina","given":"Claudia","non-dropping-particle":"","parse-names":false,"suffix":""},{"dropping-particle":"","family":"Ziegler","given":"Andreas","non-dropping-particle":"","parse-names":false,"suffix":""},{"dropping-particle":"","family":"Zhang","given":"Weihua","non-dropping-particle":"","parse-names":false,"suffix":""},{"dropping-particle":"","family":"Zee","given":"Robert Y.L.","non-dropping-particle":"","parse-names":false,"suffix":""},{"dropping-particle":"","family":"Wright","given":"Alan F.","non-dropping-particle":"","parse-names":false,"suffix":""},{"dropping-particle":"","family":"Witteman","given":"Jacqueline C.M.","non-dropping-particle":"","parse-names":false,"suffix":""},{"dropping-particle":"","family":"Wilson","given":"James F.","non-dropping-particle":"","parse-names":false,"suffix":""},{"dropping-particle":"","family":"Willemsen","given":"Gonneke","non-dropping-particle":"","parse-names":false,"suffix":""},{"dropping-particle":"","family":"Wichmann","given":"H. Erich","non-dropping-particle":"","parse-names":false,"suffix":""},{"dropping-particle":"","family":"Whitfield","given":"John B.","non-dropping-particle":"","parse-names":false,"suffix":""},{"dropping-particle":"","family":"Waterworth","given":"Dawn M.","non-dropping-particle":"","parse-names":false,"suffix":""},{"dropping-particle":"","family":"Wareham","given":"Nicholas J.","non-dropping-particle":"","parse-names":false,"suffix":""},{"dropping-particle":"","family":"Waeber","given":"Gãrard","non-dropping-particle":"","parse-names":false,"suffix":""},{"dropping-particle":"","family":"Vollenweider","given":"Peter","non-dropping-particle":"","parse-names":false,"suffix":""},{"dropping-particle":"","family":"Voight","given":"Benjamin F.","non-dropping-particle":"","parse-names":false,"suffix":""},{"dropping-particle":"","family":"Vitart","given":"Veronique","non-dropping-particle":"","parse-names":false,"suffix":""},{"dropping-particle":"","family":"Uitterlinden","given":"Andre G.","non-dropping-particle":"","parse-names":false,"suffix":""},{"dropping-particle":"","family":"Uda","given":"Manuela","non-dropping-particle":"","parse-names":false,"suffix":""},{"dropping-particle":"","family":"Tuomilehto","given":"Jaakko","non-dropping-particle":"","parse-names":false,"suffix":""},{"dropping-particle":"","family":"Thompson","given":"John R.","non-dropping-particle":"","parse-names":false,"suffix":""},{"dropping-particle":"","family":"Tanaka","given":"Toshiko","non-dropping-particle":"","parse-names":false,"suffix":""},{"dropping-particle":"","family":"Surakka","given":"Ida","non-dropping-particle":"","parse-names":false,"suffix":""},{"dropping-particle":"","family":"Stringham","given":"Heather M.","non-dropping-particle":"","parse-names":false,"suffix":""},{"dropping-particle":"","family":"Spector","given":"Tim D.","non-dropping-particle":"","parse-names":false,"suffix":""},{"dropping-particle":"","family":"Soranzo","given":"Nicole","non-dropping-particle":"","parse-names":false,"suffix":""},{"dropping-particle":"","family":"Smit","given":"Johannes H.","non-dropping-particle":"","parse-names":false,"suffix":""},{"dropping-particle":"","family":"Sinisalo","given":"Juha","non-dropping-particle":"","parse-names":false,"suffix":""},{"dropping-particle":"","family":"Silander","given":"Kaisa","non-dropping-particle":"","parse-names":false,"suffix":""},{"dropping-particle":"","family":"Sijbrands","given":"Eric J.G.","non-dropping-particle":"","parse-names":false,"suffix":""},{"dropping-particle":"","family":"Scuteri","given":"Angelo","non-dropping-particle":"","parse-names":false,"suffix":""},{"dropping-particle":"","family":"Scott","given":"James","non-dropping-particle":"","parse-names":false,"suffix":""},{"dropping-particle":"","family":"Schlessinger","given":"David","non-dropping-particle":"","parse-names":false,"suffix":""},{"dropping-particle":"","family":"Sanna","given":"Serena","non-dropping-particle":"","parse-names":false,"suffix":""},{"dropping-particle":"","family":"Salomaa","given":"Veikko","non-dropping-particle":"","parse-names":false,"suffix":""},{"dropping-particle":"","family":"Saharinen","given":"Juha","non-dropping-particle":"","parse-names":false,"suffix":""},{"dropping-particle":"","family":"Sabatti","given":"Chiara","non-dropping-particle":"","parse-names":false,"suffix":""},{"dropping-particle":"","family":"Ruokonen","given":"Aimo","non-dropping-particle":"","parse-names":false,"suffix":""},{"dropping-particle":"","family":"Rudan","given":"Igor","non-dropping-particle":"","parse-names":false,"suffix":""},{"dropping-particle":"","family":"Rose","given":"Lynda M.","non-dropping-particle":"","parse-names":false,"suffix":""},{"dropping-particle":"","family":"Roberts","given":"Robert","non-dropping-particle":"","parse-names":false,"suffix":""},{"dropping-particle":"","family":"Rieder","given":"Mark","non-dropping-particle":"","parse-names":false,"suffix":""},{"dropping-particle":"","family":"Psaty","given":"Bruce M.","non-dropping-particle":"","parse-names":false,"suffix":""},{"dropping-particle":"","family":"Pramstaller","given":"Peter P.","non-dropping-particle":"","parse-names":false,"suffix":""},{"dropping-particle":"","family":"Pichler","given":"Irene","non-dropping-particle":"","parse-names":false,"suffix":""},{"dropping-particle":"","family":"Perola","given":"Markus","non-dropping-particle":"","parse-names":false,"suffix":""},{"dropping-particle":"","family":"Penninx","given":"Brenda W.J.H.","non-dropping-particle":"","parse-names":false,"suffix":""},{"dropping-particle":"","family":"Pedersen","given":"Nancy L.","non-dropping-particle":"","parse-names":false,"suffix":""},{"dropping-particle":"","family":"Pattaro","given":"Cristian","non-dropping-particle":"","parse-names":false,"suffix":""},{"dropping-particle":"","family":"Parker","given":"Alex N.","non-dropping-particle":"","parse-names":false,"suffix":""},{"dropping-particle":"","family":"Pare","given":"Guillaume","non-dropping-particle":"","parse-names":false,"suffix":""},{"dropping-particle":"","family":"Oostra","given":"Ben A.","non-dropping-particle":"","parse-names":false,"suffix":""},{"dropping-particle":"","family":"O'donnell","given":"Christopher J.","non-dropping-particle":"","parse-names":false,"suffix":""},{"dropping-particle":"","family":"Nieminen","given":"Markku S.","non-dropping-particle":"","parse-names":false,"suffix":""},{"dropping-particle":"","family":"Nickerson","given":"Deborah A.","non-dropping-particle":"","parse-names":false,"suffix":""},{"dropping-particle":"","family":"Montgomery","given":"Grant W.","non-dropping-particle":"","parse-names":false,"suffix":""},{"dropping-particle":"","family":"Meitinger","given":"Thomas","non-dropping-particle":"","parse-names":false,"suffix":""},{"dropping-particle":"","family":"Mcpherson","given":"Ruth","non-dropping-particle":"","parse-names":false,"suffix":""},{"dropping-particle":"","family":"Mccarthy","given":"Mark I.","non-dropping-particle":"","parse-names":false,"suffix":""},{"dropping-particle":"","family":"Mcardle","given":"Wendy","non-dropping-particle":"","parse-names":false,"suffix":""},{"dropping-particle":"","family":"Masson","given":"David","non-dropping-particle":"","parse-names":false,"suffix":""},{"dropping-particle":"","family":"Martin","given":"Nicholas G.","non-dropping-particle":"","parse-names":false,"suffix":""},{"dropping-particle":"","family":"Marroni","given":"Fabio","non-dropping-particle":"","parse-names":false,"suffix":""},{"dropping-particle":"","family":"Mangino","given":"Massimo","non-dropping-particle":"","parse-names":false,"suffix":""},{"dropping-particle":"","family":"Magnusson","given":"Patrik K.E.","non-dropping-particle":"","parse-names":false,"suffix":""},{"dropping-particle":"","family":"Lucas","given":"Gavin","non-dropping-particle":"","parse-names":false,"suffix":""},{"dropping-particle":"","family":"Luben","given":"Robert","non-dropping-particle":"","parse-names":false,"suffix":""},{"dropping-particle":"","family":"Loos","given":"Ruth J.F.","non-dropping-particle":"","parse-names":false,"suffix":""},{"dropping-particle":"","family":"Lokki","given":"Marja Liisa","non-dropping-particle":"","parse-names":false,"suffix":""},{"dropping-particle":"","family":"Lettre","given":"Guillaume","non-dropping-particle":"","parse-names":false,"suffix":""},{"dropping-particle":"","family":"Langenberg","given":"Claudia","non-dropping-particle":"","parse-names":false,"suffix":""},{"dropping-particle":"","family":"Launer","given":"Lenore J.","non-dropping-particle":"","parse-names":false,"suffix":""},{"dropping-particle":"","family":"Lakatta","given":"Edward G.","non-dropping-particle":"","parse-names":false,"suffix":""},{"dropping-particle":"","family":"Laaksonen","given":"Reijo","non-dropping-particle":"","parse-names":false,"suffix":""},{"dropping-particle":"","family":"Kyvik","given":"Kirsten O.","non-dropping-particle":"","parse-names":false,"suffix":""},{"dropping-particle":"","family":"Kronenberg","given":"Florian","non-dropping-particle":"","parse-names":false,"suffix":""},{"dropping-particle":"","family":"König","given":"Inke R.","non-dropping-particle":"","parse-names":false,"suffix":""},{"dropping-particle":"","family":"Khaw","given":"Kay Tee","non-dropping-particle":"","parse-names":false,"suffix":""},{"dropping-particle":"","family":"Kaprio","given":"Jaakko","non-dropping-particle":"","parse-names":false,"suffix":""},{"dropping-particle":"","family":"Kaplan","given":"Lee M.","non-dropping-particle":"","parse-names":false,"suffix":""},{"dropping-particle":"","family":"Johansson","given":"Å","non-dropping-particle":"","parse-names":false,"suffix":""},{"dropping-particle":"","family":"Jarvelin","given":"Marjo Riitta","non-dropping-particle":"","parse-names":false,"suffix":""},{"dropping-particle":"","family":"Cecile","given":"A.","non-dropping-particle":"","parse-names":false,"suffix":""},{"dropping-particle":"","family":"Ingelsson","given":"Erik","non-dropping-particle":"","parse-names":false,"suffix":""},{"dropping-particle":"","family":"Igl","given":"Wilmar","non-dropping-particle":"","parse-names":false,"suffix":""},{"dropping-particle":"","family":"Kees Hovingh","given":"G.","non-dropping-particle":"","parse-names":false,"suffix":""},{"dropping-particle":"","family":"Hottenga","given":"Jouke Jan","non-dropping-particle":"","parse-names":false,"suffix":""},{"dropping-particle":"","family":"Hofman","given":"Albert","non-dropping-particle":"","parse-names":false,"suffix":""},{"dropping-particle":"","family":"Hicks","given":"Andrew A.","non-dropping-particle":"","parse-names":false,"suffix":""},{"dropping-particle":"","family":"Hengstenberg","given":"Christian","non-dropping-particle":"","parse-names":false,"suffix":""},{"dropping-particle":"","family":"Heid","given":"Iris M.","non-dropping-particle":"","parse-names":false,"suffix":""},{"dropping-particle":"","family":"Hayward","given":"Caroline","non-dropping-particle":"","parse-names":false,"suffix":""},{"dropping-particle":"","family":"Havulinna","given":"Aki S.","non-dropping-particle":"","parse-names":false,"suffix":""},{"dropping-particle":"","family":"Hastie","given":"Nicholas D.","non-dropping-particle":"","parse-names":false,"suffix":""},{"dropping-particle":"","family":"Harris","given":"Tamara B.","non-dropping-particle":"","parse-names":false,"suffix":""},{"dropping-particle":"","family":"Haritunians","given":"Talin","non-dropping-particle":"","parse-names":false,"suffix":""},{"dropping-particle":"","family":"Hall","given":"Alistair S.","non-dropping-particle":"","parse-names":false,"suffix":""},{"dropping-particle":"","family":"Gyllensten","given":"Ulf","non-dropping-particle":"","parse-names":false,"suffix":""},{"dropping-particle":"","family":"Guiducci","given":"Candace","non-dropping-particle":"","parse-names":false,"suffix":""},{"dropping-particle":"","family":"Groop","given":"Leif C.","non-dropping-particle":"","parse-names":false,"suffix":""},{"dropping-particle":"","family":"Gonzalez","given":"Elena","non-dropping-particle":"","parse-names":false,"suffix":""},{"dropping-particle":"","family":"Gieger","given":"Christian","non-dropping-particle":"","parse-names":false,"suffix":""},{"dropping-particle":"","family":"Freimer","given":"Nelson B.","non-dropping-particle":"","parse-names":false,"suffix":""},{"dropping-particle":"","family":"Ferrucci","given":"Luigi","non-dropping-particle":"","parse-names":false,"suffix":""},{"dropping-particle":"","family":"Erdmann","given":"Jeanette","non-dropping-particle":"","parse-names":false,"suffix":""},{"dropping-particle":"","family":"Elliott","given":"Paul","non-dropping-particle":"","parse-names":false,"suffix":""},{"dropping-particle":"","family":"Ejebe","given":"Kenechi G.","non-dropping-particle":"","parse-names":false,"suffix":""},{"dropping-particle":"","family":"Döring","given":"Angela","non-dropping-particle":"","parse-names":false,"suffix":""},{"dropping-particle":"","family":"Dominiczak","given":"Anna F.","non-dropping-particle":"","parse-names":false,"suffix":""},{"dropping-particle":"","family":"Demissie","given":"Serkalem","non-dropping-particle":"","parse-names":false,"suffix":""},{"dropping-particle":"","family":"Deloukas","given":"Panagiotis","non-dropping-particle":"","parse-names":false,"suffix":""},{"dropping-particle":"","family":"Geus","given":"Eco J.C.","non-dropping-particle":"De","parse-names":false,"suffix":""},{"dropping-particle":"","family":"Faire","given":"Ulf","non-dropping-particle":"De","parse-names":false,"suffix":""},{"dropping-particle":"","family":"Crawford","given":"Gabriel","non-dropping-particle":"","parse-names":false,"suffix":""},{"dropping-particle":"","family":"Collins","given":"Francis S.","non-dropping-particle":"","parse-names":false,"suffix":""},{"dropping-particle":"","family":"Chen","given":"Yii Der I.","non-dropping-particle":"","parse-names":false,"suffix":""},{"dropping-particle":"","family":"Caulfield","given":"Mark J.","non-dropping-particle":"","parse-names":false,"suffix":""},{"dropping-particle":"","family":"Campbell","given":"Harry","non-dropping-particle":"","parse-names":false,"suffix":""},{"dropping-particle":"","family":"Burtt","given":"Noel P.","non-dropping-particle":"","parse-names":false,"suffix":""},{"dropping-particle":"","family":"Bonnycastle","given":"Lori L.","non-dropping-particle":"","parse-names":false,"suffix":""},{"dropping-particle":"","family":"Boomsma","given":"Dorret I.","non-dropping-particle":"","parse-names":false,"suffix":""},{"dropping-particle":"","family":"Boekholdt","given":"S. Matthijs","non-dropping-particle":"","parse-names":false,"suffix":""},{"dropping-particle":"","family":"Bergman","given":"Richard N.","non-dropping-particle":"","parse-names":false,"suffix":""},{"dropping-particle":"","family":"Barroso","given":"Inês","non-dropping-particle":"","parse-names":false,"suffix":""},{"dropping-particle":"","family":"Bandinelli","given":"Stefania","non-dropping-particle":"","parse-names":false,"suffix":""},{"dropping-particle":"","family":"Ballantyne","given":"Christie M.","non-dropping-particle":"","parse-names":false,"suffix":""},{"dropping-particle":"","family":"Assimes","given":"Themistocles L.","non-dropping-particle":"","parse-names":false,"suffix":""},{"dropping-particle":"","family":"Quertermous","given":"Thomas","non-dropping-particle":"","parse-names":false,"suffix":""},{"dropping-particle":"","family":"Altshuler","given":"David","non-dropping-particle":"","parse-names":false,"suffix":""},{"dropping-particle":"","family":"Seielstad","given":"Mark","non-dropping-particle":"","parse-names":false,"suffix":""},{"dropping-particle":"","family":"Wong","given":"Tien Y.","non-dropping-particle":"","parse-names":false,"suffix":""},{"dropping-particle":"","family":"Tai","given":"E. Shyong","non-dropping-particle":"","parse-names":false,"suffix":""},{"dropping-particle":"","family":"Feranil","given":"Alan B.","non-dropping-particle":"","parse-names":false,"suffix":""},{"dropping-particle":"","family":"Kuzawa","given":"Christopher W.","non-dropping-particle":"","parse-names":false,"suffix":""},{"dropping-particle":"","family":"Adair","given":"Linda S.","non-dropping-particle":"","parse-names":false,"suffix":""},{"dropping-particle":"","family":"Taylor","given":"Herman A.","non-dropping-particle":"","parse-names":false,"suffix":""},{"dropping-particle":"","family":"Borecki","given":"Ingrid B.","non-dropping-particle":"","parse-names":false,"suffix":""},{"dropping-particle":"","family":"Gabriel","given":"Stacey B.","non-dropping-particle":"","parse-names":false,"suffix":""},{"dropping-particle":"","family":"Wilson","given":"James G.","non-dropping-particle":"","parse-names":false,"suffix":""},{"dropping-particle":"","family":"Holm","given":"Hilma","non-dropping-particle":"","parse-names":false,"suffix":""},{"dropping-particle":"","family":"Thorsteinsdottir","given":"Unnur","non-dropping-particle":"","parse-names":false,"suffix":""},{"dropping-particle":"","family":"Gudnason","given":"Vilmundur","non-dropping-particle":"","parse-names":false,"suffix":""},{"dropping-particle":"","family":"Krauss","given":"Ronald M.","non-dropping-particle":"","parse-names":false,"suffix":""},{"dropping-particle":"","family":"Mohlke","given":"Karen L.","non-dropping-particle":"","parse-names":false,"suffix":""},{"dropping-particle":"","family":"Ordovas","given":"Jose M.","non-dropping-particle":"","parse-names":false,"suffix":""},{"dropping-particle":"","family":"Munroe","given":"Patricia B.","non-dropping-particle":"","parse-names":false,"suffix":""},{"dropping-particle":"","family":"Kooner","given":"Jaspal S.","non-dropping-particle":"","parse-names":false,"suffix":""},{"dropping-particle":"","family":"Tall","given":"Alan R.","non-dropping-particle":"","parse-names":false,"suffix":""},{"dropping-particle":"","family":"Hegele","given":"Robert A.","non-dropping-particle":"","parse-names":false,"suffix":""},{"dropping-particle":"","family":"Kastelein","given":"John J.P.","non-dropping-particle":"","parse-names":false,"suffix":""},{"dropping-particle":"","family":"Schadt","given":"Eric E.","non-dropping-particle":"","parse-names":false,"suffix":""},{"dropping-particle":"","family":"Rotter","given":"Jerome I.","non-dropping-particle":"","parse-names":false,"suffix":""},{"dropping-particle":"","family":"Boerwinkle","given":"Eric","non-dropping-particle":"","parse-names":false,"suffix":""},{"dropping-particle":"","family":"Strachan","given":"David P.","non-dropping-particle":"","parse-names":false,"suffix":""},{"dropping-particle":"","family":"Mooser","given":"Vincent","non-dropping-particle":"","parse-names":false,"suffix":""},{"dropping-particle":"","family":"Stefansson","given":"Kari","non-dropping-particle":"","parse-names":false,"suffix":""},{"dropping-particle":"","family":"Reilly","given":"Muredach P.","non-dropping-particle":"","parse-names":false,"suffix":""},{"dropping-particle":"","family":"Samani","given":"Nilesh J.","non-dropping-particle":"","parse-names":false,"suffix":""},{"dropping-particle":"","family":"Schunkert","given":"Heribert","non-dropping-particle":"","parse-names":false,"suffix":""},{"dropping-particle":"","family":"Cupples","given":"L. Adrienne","non-dropping-particle":"","parse-names":false,"suffix":""},{"dropping-particle":"","family":"Sandhu","given":"Manjinder S.","non-dropping-particle":"","parse-names":false,"suffix":""},{"dropping-particle":"","family":"Ridker","given":"Paul M.","non-dropping-particle":"","parse-names":false,"suffix":""},{"dropping-particle":"","family":"Rader","given":"Daniel J.","non-dropping-particle":"","parse-names":false,"suffix":""},{"dropping-particle":"","family":"Duijn","given":"Cornelia M.","non-dropping-particle":"Van","parse-names":false,"suffix":""},{"dropping-particle":"","family":"Peltonen","given":"Leena","non-dropping-particle":"","parse-names":false,"suffix":""},{"dropping-particle":"","family":"Abecasis","given":"Gonãalo R.","non-dropping-particle":"","parse-names":false,"suffix":""},{"dropping-particle":"","family":"Boehnke","given":"Michael","non-dropping-particle":"","parse-names":false,"suffix":""},{"dropping-particle":"","family":"Kathiresan","given":"Sekar","non-dropping-particle":"","parse-names":false,"suffix":""}],"container-title":"Nature","id":"ITEM-1","issue":"7307","issued":{"date-parts":[["2010"]]},"page":"707-713","title":"Biological, clinical and population relevance of 95 loci for blood lipids","type":"article-journal","volume":"466"},"uris":["http://www.mendeley.com/documents/?uuid=12af3afc-5ffd-4c1d-914e-86b4f5429cf6"]}],"mendeley":{"formattedCitation":"(67)","plainTextFormattedCitation":"(67)","previouslyFormattedCitation":"(67)"},"properties":{"noteIndex":0},"schema":"https://github.com/citation-style-language/schema/raw/master/csl-citation.json"}</w:instrText>
      </w:r>
      <w:r w:rsidR="00246CE4">
        <w:rPr>
          <w:szCs w:val="28"/>
        </w:rPr>
        <w:fldChar w:fldCharType="separate"/>
      </w:r>
      <w:r w:rsidR="00B242B4" w:rsidRPr="00B242B4">
        <w:rPr>
          <w:noProof/>
          <w:szCs w:val="28"/>
        </w:rPr>
        <w:t>(67)</w:t>
      </w:r>
      <w:r w:rsidR="00246CE4">
        <w:rPr>
          <w:szCs w:val="28"/>
        </w:rPr>
        <w:fldChar w:fldCharType="end"/>
      </w:r>
      <w:r w:rsidR="00246CE4">
        <w:rPr>
          <w:szCs w:val="28"/>
        </w:rPr>
        <w:t>.</w:t>
      </w:r>
    </w:p>
    <w:p w:rsidR="00961548" w:rsidRDefault="00961548" w:rsidP="00042529">
      <w:pPr>
        <w:pStyle w:val="Heading3"/>
      </w:pPr>
      <w:bookmarkStart w:id="45" w:name="_Toc532553078"/>
      <w:r>
        <w:t>Subfamily IV: ORP5 and ORP8</w:t>
      </w:r>
      <w:bookmarkEnd w:id="45"/>
    </w:p>
    <w:p w:rsidR="00F510DD" w:rsidRDefault="00BF6668" w:rsidP="00FB099D">
      <w:pPr>
        <w:ind w:firstLine="720"/>
        <w:jc w:val="both"/>
      </w:pPr>
      <w:r>
        <w:t>Subfamily IV</w:t>
      </w:r>
      <w:r w:rsidR="00B242B4">
        <w:t>, consisting of ORP5 and ORP8,</w:t>
      </w:r>
      <w:r>
        <w:t xml:space="preserve"> is unique to the rest of the </w:t>
      </w:r>
      <w:r w:rsidR="00B242B4">
        <w:t xml:space="preserve">OSBP/ORP </w:t>
      </w:r>
      <w:r>
        <w:t>family</w:t>
      </w:r>
      <w:r w:rsidR="00B242B4">
        <w:t xml:space="preserve"> due to the presence of</w:t>
      </w:r>
      <w:r>
        <w:t xml:space="preserve"> transmembrane domain</w:t>
      </w:r>
      <w:r w:rsidR="00B242B4">
        <w:t>s.</w:t>
      </w:r>
      <w:r>
        <w:t xml:space="preserve"> </w:t>
      </w:r>
      <w:r w:rsidR="00B242B4">
        <w:t xml:space="preserve">The transmembrane domains </w:t>
      </w:r>
      <w:r w:rsidR="00FB099D">
        <w:t>anchor</w:t>
      </w:r>
      <w:r>
        <w:t xml:space="preserve"> </w:t>
      </w:r>
      <w:r w:rsidR="00B242B4">
        <w:t>the proteins</w:t>
      </w:r>
      <w:r>
        <w:t xml:space="preserve"> </w:t>
      </w:r>
      <w:r w:rsidR="00B242B4">
        <w:t xml:space="preserve">directly to </w:t>
      </w:r>
      <w:r>
        <w:t>the ER</w:t>
      </w:r>
      <w:r w:rsidR="003C49DE">
        <w:t xml:space="preserve"> </w:t>
      </w:r>
      <w:r w:rsidR="00B242B4">
        <w:t>without the need of</w:t>
      </w:r>
      <w:r w:rsidR="003C49DE">
        <w:t xml:space="preserve"> </w:t>
      </w:r>
      <w:r w:rsidR="00B242B4">
        <w:t>the</w:t>
      </w:r>
      <w:r w:rsidR="003C49DE">
        <w:t xml:space="preserve"> FFAT</w:t>
      </w:r>
      <w:r w:rsidR="00B242B4">
        <w:t xml:space="preserve"> domains interacting</w:t>
      </w:r>
      <w:r w:rsidR="00FB099D">
        <w:t xml:space="preserve"> with VAPA</w:t>
      </w:r>
      <w:r w:rsidR="00FB099D">
        <w:fldChar w:fldCharType="begin" w:fldLock="1"/>
      </w:r>
      <w:r w:rsidR="00FB099D">
        <w:instrText>ADDIN CSL_CITATION {"citationItems":[{"id":"ITEM-1","itemData":{"DOI":"10.1093/emboj/cdg201","ISBN":"0261-4189","ISSN":"02614189","PMID":"12727870","abstract":"Intracellular lipid traffic is mediated both by membrane vesicles and by a number of non-vesicular pathways facilitated by cytoplasmic lipid binding proteins. For these proteins to act effectively they must be targeted accurately to specific membranes. Here we identify a novel short conserved determinant called the FFAT motif that is shared by several seemingly unrelated lipid binding proteins and is also found in Opi1p, a transcriptional regulator of phospholipid synthesis in yeast. FFAT motifs act as membrane- targeting determinants by their direct interaction with homologues of VAMP-associated protein (VAP), a conserved endoplasmic reticulum (ER) protein. In budding yeast, all four proteins with FFAT motifs interact with Scs2p, a homologue of VAP, to target the ER to some extent. The precise intracellular distribution of each of these proteins depends on the integration of the FFAT-Scs2p interaction with other targeting determinants, and the interaction is functionally significant. We conclude that binding to a VAP homologue is a common mechanism by which proteins with FFAT motifs, most of which are involved in lipid metabolism, target ER membranes.","author":[{"dropping-particle":"","family":"Loewen","given":"Christopher J.R.","non-dropping-particle":"","parse-names":false,"suffix":""},{"dropping-particle":"","family":"Roy","given":"Anjana","non-dropping-particle":"","parse-names":false,"suffix":""},{"dropping-particle":"","family":"Levine","given":"Timothy P.","non-dropping-particle":"","parse-names":false,"suffix":""}],"container-title":"EMBO Journal","id":"ITEM-1","issue":"9","issued":{"date-parts":[["2003"]]},"page":"2025-2035","title":"A conserved ER targeting motif in three families of lipid binding proteins and in Opi1p binds VAP","type":"article-journal","volume":"22"},"uris":["http://www.mendeley.com/documents/?uuid=c6efa0ae-4e1b-40f6-9987-9816689602b7"]},{"id":"ITEM-2","itemData":{"DOI":"10.1083/jcb.201004142","ISBN":"1540-8140 (Electronic)\\n0021-9525 (Linking)","ISSN":"00219525","PMID":"21220512","abstract":"Oxysterol-binding protein (OSBP) and its related proteins (ORPs) constitute a large and evolutionarily conserved family of lipid-binding proteins that target organelle membranes to mediate sterol signaling and/or transport. Here we characterize ORP5, a tail-anchored ORP protein that localizes to the endoplasmic reticulum. Knocking down ORP5 causes cholesterol accumulation in late endosomes and lysosomes, which is reminiscent of the cholesterol trafficking defect in Niemann Pick C (NPC) fibroblasts. Cholesterol appears to accumulate in the limiting membranes of endosomal compartments in ORP5-depleted cells, whereas depletion of NPC1 or both ORP5 and NPC1 results in luminal accumulation of cholesterol. Moreover, trans-Golgi resident proteins mislocalize to endosomal compartments upon ORP5 depletion, which depends on a functional NPC1. Our results establish the first link between NPC1 and a cytoplasmic sterol carrier, and suggest that ORP5 may cooperate with NPC1 to mediate the exit of cholesterol from endosomes/lysosomes.","author":[{"dropping-particle":"","family":"Du","given":"Ximing","non-dropping-particle":"","parse-names":false,"suffix":""},{"dropping-particle":"","family":"Kumar","given":"Jaspal","non-dropping-particle":"","parse-names":false,"suffix":""},{"dropping-particle":"","family":"Ferguson","given":"Charles","non-dropping-particle":"","parse-names":false,"suffix":""},{"dropping-particle":"","family":"Schulz","given":"Timothy A.","non-dropping-particle":"","parse-names":false,"suffix":""},{"dropping-particle":"","family":"Ong","given":"Yan Shan","non-dropping-particle":"","parse-names":false,"suffix":""},{"dropping-particle":"","family":"Hong","given":"Wanjin","non-dropping-particle":"","parse-names":false,"suffix":""},{"dropping-particle":"","family":"Prinz","given":"William A.","non-dropping-particle":"","parse-names":false,"suffix":""},{"dropping-particle":"","family":"Parton","given":"Robert G.","non-dropping-particle":"","parse-names":false,"suffix":""},{"dropping-particle":"","family":"Brown","given":"Andrew J.","non-dropping-particle":"","parse-names":false,"suffix":""},{"dropping-particle":"","family":"Yang","given":"Hongyuan","non-dropping-particle":"","parse-names":false,"suffix":""}],"container-title":"Journal of Cell Biology","id":"ITEM-2","issue":"1","issued":{"date-parts":[["2011"]]},"page":"121-135","title":"A role for oxysterol-binding protein-related protein 5 in endosomal cholesterol trafficking","type":"article-journal","volume":"192"},"uris":["http://www.mendeley.com/documents/?uuid=9e35e3d4-7601-4c8d-a19c-2290fc4d093f"]}],"mendeley":{"formattedCitation":"(15, 22)","plainTextFormattedCitation":"(15, 22)","previouslyFormattedCitation":"(15, 22)"},"properties":{"noteIndex":0},"schema":"https://github.com/citation-style-language/schema/raw/master/csl-citation.json"}</w:instrText>
      </w:r>
      <w:r w:rsidR="00FB099D">
        <w:fldChar w:fldCharType="separate"/>
      </w:r>
      <w:r w:rsidR="00FB099D" w:rsidRPr="00423910">
        <w:rPr>
          <w:noProof/>
        </w:rPr>
        <w:t>(15, 22)</w:t>
      </w:r>
      <w:r w:rsidR="00FB099D">
        <w:fldChar w:fldCharType="end"/>
      </w:r>
      <w:r w:rsidR="00FB099D">
        <w:t xml:space="preserve">. ORP5 and ORP8 possess a PH domain and </w:t>
      </w:r>
      <w:r w:rsidR="00F95790">
        <w:t xml:space="preserve">were shown to </w:t>
      </w:r>
      <w:r w:rsidR="00FB099D">
        <w:t>bridge</w:t>
      </w:r>
      <w:r w:rsidR="00F95790">
        <w:t xml:space="preserve"> the ER and PM by binding PI4P with their PH domain</w:t>
      </w:r>
      <w:r w:rsidR="00F95790">
        <w:fldChar w:fldCharType="begin" w:fldLock="1"/>
      </w:r>
      <w:r w:rsidR="00B75315">
        <w:instrText>ADDIN CSL_CITATION {"citationItems":[{"id":"ITEM-1","itemData":{"DOI":"10.1126/science.aab1370","ISSN":"0036-8075","author":[{"dropping-particle":"","family":"Chung","given":"Jeeyun","non-dropping-particle":"","parse-names":false,"suffix":""},{"dropping-particle":"","family":"Torta","given":"Federico","non-dropping-particle":"","parse-names":false,"suffix":""},{"dropping-particle":"","family":"Masai","given":"Kaori","non-dropping-particle":"","parse-names":false,"suffix":""},{"dropping-particle":"","family":"Lucast","given":"Louise","non-dropping-particle":"","parse-names":false,"suffix":""},{"dropping-particle":"","family":"Czapla","given":"Heather","non-dropping-particle":"","parse-names":false,"suffix":""},{"dropping-particle":"","family":"Tanner","given":"Lukas B","non-dropping-particle":"","parse-names":false,"suffix":""},{"dropping-particle":"","family":"Narayanaswamy","given":"Pradeep","non-dropping-particle":"","parse-names":false,"suffix":""},{"dropping-particle":"","family":"Wenk","given":"Markus R","non-dropping-particle":"","parse-names":false,"suffix":""},{"dropping-particle":"","family":"Nakatsu","given":"Fubito","non-dropping-particle":"","parse-names":false,"suffix":""},{"dropping-particle":"","family":"Camilli","given":"P.","non-dropping-particle":"De","parse-names":false,"suffix":""}],"container-title":"Science","id":"ITEM-1","issue":"6246","issued":{"date-parts":[["2015","7","24"]]},"page":"428-432","title":"PI4P/phosphatidylserine countertransport at ORP5- and ORP8-mediated ER-plasma membrane contacts","type":"article-journal","volume":"349"},"uris":["http://www.mendeley.com/documents/?uuid=84c9648f-10e0-4c35-9cb4-c98074e679db"]}],"mendeley":{"formattedCitation":"(68)","plainTextFormattedCitation":"(68)","previouslyFormattedCitation":"(68)"},"properties":{"noteIndex":0},"schema":"https://github.com/citation-style-language/schema/raw/master/csl-citation.json"}</w:instrText>
      </w:r>
      <w:r w:rsidR="00F95790">
        <w:fldChar w:fldCharType="separate"/>
      </w:r>
      <w:r w:rsidR="00B242B4" w:rsidRPr="00B242B4">
        <w:rPr>
          <w:noProof/>
        </w:rPr>
        <w:t>(68)</w:t>
      </w:r>
      <w:r w:rsidR="00F95790">
        <w:fldChar w:fldCharType="end"/>
      </w:r>
      <w:r w:rsidR="00F95790">
        <w:t>. This allows for the transport of phosphatidylserine (PS) from the ER to the PM with PI4P being counter-transported and hydrolyzed by SAC1 at the ER</w:t>
      </w:r>
      <w:r w:rsidR="00FB099D">
        <w:fldChar w:fldCharType="begin" w:fldLock="1"/>
      </w:r>
      <w:r w:rsidR="00B75315">
        <w:instrText>ADDIN CSL_CITATION {"citationItems":[{"id":"ITEM-1","itemData":{"DOI":"10.1126/science.aab1370","ISSN":"0036-8075","author":[{"dropping-particle":"","family":"Chung","given":"Jeeyun","non-dropping-particle":"","parse-names":false,"suffix":""},{"dropping-particle":"","family":"Torta","given":"Federico","non-dropping-particle":"","parse-names":false,"suffix":""},{"dropping-particle":"","family":"Masai","given":"Kaori","non-dropping-particle":"","parse-names":false,"suffix":""},{"dropping-particle":"","family":"Lucast","given":"Louise","non-dropping-particle":"","parse-names":false,"suffix":""},{"dropping-particle":"","family":"Czapla","given":"Heather","non-dropping-particle":"","parse-names":false,"suffix":""},{"dropping-particle":"","family":"Tanner","given":"Lukas B","non-dropping-particle":"","parse-names":false,"suffix":""},{"dropping-particle":"","family":"Narayanaswamy","given":"Pradeep","non-dropping-particle":"","parse-names":false,"suffix":""},{"dropping-particle":"","family":"Wenk","given":"Markus R","non-dropping-particle":"","parse-names":false,"suffix":""},{"dropping-particle":"","family":"Nakatsu","given":"Fubito","non-dropping-particle":"","parse-names":false,"suffix":""},{"dropping-particle":"","family":"Camilli","given":"P.","non-dropping-particle":"De","parse-names":false,"suffix":""}],"container-title":"Science","id":"ITEM-1","issue":"6246","issued":{"date-parts":[["2015","7","24"]]},"page":"428-432","title":"PI4P/phosphatidylserine countertransport at ORP5- and ORP8-mediated ER-plasma membrane contacts","type":"article-journal","volume":"349"},"uris":["http://www.mendeley.com/documents/?uuid=84c9648f-10e0-4c35-9cb4-c98074e679db"]}],"mendeley":{"formattedCitation":"(68)","plainTextFormattedCitation":"(68)","previouslyFormattedCitation":"(68)"},"properties":{"noteIndex":0},"schema":"https://github.com/citation-style-language/schema/raw/master/csl-citation.json"}</w:instrText>
      </w:r>
      <w:r w:rsidR="00FB099D">
        <w:fldChar w:fldCharType="separate"/>
      </w:r>
      <w:r w:rsidR="00FB099D" w:rsidRPr="00B242B4">
        <w:rPr>
          <w:noProof/>
        </w:rPr>
        <w:t>(68)</w:t>
      </w:r>
      <w:r w:rsidR="00FB099D">
        <w:fldChar w:fldCharType="end"/>
      </w:r>
      <w:r w:rsidR="00FB099D">
        <w:t>.</w:t>
      </w:r>
      <w:r w:rsidR="00F95790">
        <w:t xml:space="preserve"> </w:t>
      </w:r>
      <w:r w:rsidR="00FB099D">
        <w:t xml:space="preserve">This lipid shuttling system is </w:t>
      </w:r>
      <w:r w:rsidR="00F95790">
        <w:t xml:space="preserve">similar to </w:t>
      </w:r>
      <w:r w:rsidR="00FB099D">
        <w:t xml:space="preserve">the </w:t>
      </w:r>
      <w:r w:rsidR="00F95790">
        <w:t>OSBP counter-transport of cholesterol and PI4P</w:t>
      </w:r>
      <w:r w:rsidR="00F95790">
        <w:fldChar w:fldCharType="begin" w:fldLock="1"/>
      </w:r>
      <w:r w:rsidR="00B75315">
        <w:instrText>ADDIN CSL_CITATION {"citationItems":[{"id":"ITEM-1","itemData":{"DOI":"10.1126/science.aab1370","ISSN":"0036-8075","author":[{"dropping-particle":"","family":"Chung","given":"Jeeyun","non-dropping-particle":"","parse-names":false,"suffix":""},{"dropping-particle":"","family":"Torta","given":"Federico","non-dropping-particle":"","parse-names":false,"suffix":""},{"dropping-particle":"","family":"Masai","given":"Kaori","non-dropping-particle":"","parse-names":false,"suffix":""},{"dropping-particle":"","family":"Lucast","given":"Louise","non-dropping-particle":"","parse-names":false,"suffix":""},{"dropping-particle":"","family":"Czapla","given":"Heather","non-dropping-particle":"","parse-names":false,"suffix":""},{"dropping-particle":"","family":"Tanner","given":"Lukas B","non-dropping-particle":"","parse-names":false,"suffix":""},{"dropping-particle":"","family":"Narayanaswamy","given":"Pradeep","non-dropping-particle":"","parse-names":false,"suffix":""},{"dropping-particle":"","family":"Wenk","given":"Markus R","non-dropping-particle":"","parse-names":false,"suffix":""},{"dropping-particle":"","family":"Nakatsu","given":"Fubito","non-dropping-particle":"","parse-names":false,"suffix":""},{"dropping-particle":"","family":"Camilli","given":"P.","non-dropping-particle":"De","parse-names":false,"suffix":""}],"container-title":"Science","id":"ITEM-1","issue":"6246","issued":{"date-parts":[["2015","7","24"]]},"page":"428-432","title":"PI4P/phosphatidylserine countertransport at ORP5- and ORP8-mediated ER-plasma membrane contacts","type":"article-journal","volume":"349"},"uris":["http://www.mendeley.com/documents/?uuid=84c9648f-10e0-4c35-9cb4-c98074e679db"]}],"mendeley":{"formattedCitation":"(68)","plainTextFormattedCitation":"(68)","previouslyFormattedCitation":"(68)"},"properties":{"noteIndex":0},"schema":"https://github.com/citation-style-language/schema/raw/master/csl-citation.json"}</w:instrText>
      </w:r>
      <w:r w:rsidR="00F95790">
        <w:fldChar w:fldCharType="separate"/>
      </w:r>
      <w:r w:rsidR="00B242B4" w:rsidRPr="00B242B4">
        <w:rPr>
          <w:noProof/>
        </w:rPr>
        <w:t>(68)</w:t>
      </w:r>
      <w:r w:rsidR="00F95790">
        <w:fldChar w:fldCharType="end"/>
      </w:r>
      <w:r w:rsidR="00F95790">
        <w:t>. ORP5 and ORP8 are also able to utilize phosphatidylinositol-4, 5-biphosphate (PI(4,5)P</w:t>
      </w:r>
      <w:r w:rsidR="00F95790" w:rsidRPr="00F95790">
        <w:rPr>
          <w:vertAlign w:val="subscript"/>
        </w:rPr>
        <w:t>2</w:t>
      </w:r>
      <w:r w:rsidR="00F95790">
        <w:t>)</w:t>
      </w:r>
      <w:r w:rsidR="00BA25CC">
        <w:t xml:space="preserve"> for counter-transport of PS at ER/PM</w:t>
      </w:r>
      <w:r w:rsidR="00BA25CC">
        <w:fldChar w:fldCharType="begin" w:fldLock="1"/>
      </w:r>
      <w:r w:rsidR="00DE076B">
        <w:instrText>ADDIN CSL_CITATION {"citationItems":[{"id":"ITEM-1","itemData":{"DOI":"10.1038/s41467-017-00861-5","ISBN":"2041-1723","ISSN":"20411723","PMID":"28970484","abstract":"ORP5 and ORP8, members of the oxysterol-binding protein (OSBP)-related proteins (ORP) family, are endoplasmic reticulum membrane proteins implicated in lipid trafficking. ORP5 and ORP8 are reported to localize to endoplasmic reticulum-plasma membrane junctions via binding to phosphatidylinositol-4-phosphate (PtdIns(4)P), and act as a PtdIns(4)P/phosphatidylserine counter exchanger between the endoplasmic reticulum and plasma membrane. Here we provide evidence that the pleckstrin homology domain of ORP5/8 via PtdIns(4,5)P 2, and not PtdIns(4)P binding mediates the recruitment of ORP5/8 to endoplasmic reticulum-plasma membrane contact sites. The OSBP-related domain of ORP8 can extract and transport multiple phosphoinositides in vitro, and knocking down both ORP5 and ORP8 in cells increases the plasma membrane level of PtdIns(4,5)P 2 with little effect on PtdIns(4)P. Overall, our data show, for the first time, that phosphoinositides other than PtdIns(4)P can also serve as co-exchangers for the transport of cargo lipids by ORPs.ORP5/8 are endoplasmic reticulum (ER) membrane proteins implicated in lipid trafficking that localize to ER-plasma membrane (PM) contacts and maintain membrane homeostasis. Here the authors show that PtdIns(4,5)P 2 plays a critical role in the targeting and function of ORP5/8 at the PM.","author":[{"dropping-particle":"","family":"Ghai","given":"Rajesh","non-dropping-particle":"","parse-names":false,"suffix":""},{"dropping-particle":"","family":"Du","given":"Ximing","non-dropping-particle":"","parse-names":false,"suffix":""},{"dropping-particle":"","family":"Wang","given":"Huan","non-dropping-particle":"","parse-names":false,"suffix":""},{"dropping-particle":"","family":"Dong","given":"Jiangqing","non-dropping-particle":"","parse-names":false,"suffix":""},{"dropping-particle":"","family":"Ferguson","given":"Charles","non-dropping-particle":"","parse-names":false,"suffix":""},{"dropping-particle":"","family":"Brown","given":"Andrew J.","non-dropping-particle":"","parse-names":false,"suffix":""},{"dropping-particle":"","family":"Parton","given":"Robert G.","non-dropping-particle":"","parse-names":false,"suffix":""},{"dropping-particle":"","family":"Wu","given":"Jia Wei","non-dropping-particle":"","parse-names":false,"suffix":""},{"dropping-particle":"","family":"Yang","given":"Hongyuan","non-dropping-particle":"","parse-names":false,"suffix":""}],"container-title":"Nature Communications","id":"ITEM-1","issue":"1","issued":{"date-parts":[["2017"]]},"publisher":"Springer US","title":"ORP5 and ORP8 bind phosphatidylinositol-4, 5-biphosphate (PtdIns(4,5)P2) and regulate its level at the plasma membrane","type":"article-journal","volume":"8"},"uris":["http://www.mendeley.com/documents/?uuid=a2c51a27-d4d9-4766-ac84-cba5dd24af26"]}],"mendeley":{"formattedCitation":"(18)","plainTextFormattedCitation":"(18)","previouslyFormattedCitation":"(18)"},"properties":{"noteIndex":0},"schema":"https://github.com/citation-style-language/schema/raw/master/csl-citation.json"}</w:instrText>
      </w:r>
      <w:r w:rsidR="00BA25CC">
        <w:fldChar w:fldCharType="separate"/>
      </w:r>
      <w:r w:rsidR="00423910" w:rsidRPr="00423910">
        <w:rPr>
          <w:noProof/>
        </w:rPr>
        <w:t>(18)</w:t>
      </w:r>
      <w:r w:rsidR="00BA25CC">
        <w:fldChar w:fldCharType="end"/>
      </w:r>
      <w:r w:rsidR="00BA25CC">
        <w:t>.</w:t>
      </w:r>
      <w:r w:rsidR="00917004">
        <w:t xml:space="preserve"> ORP5 and ORP8 have the ability to </w:t>
      </w:r>
      <w:r w:rsidR="00FB099D">
        <w:t xml:space="preserve">deliver PS from </w:t>
      </w:r>
      <w:r w:rsidR="00917004">
        <w:t xml:space="preserve">the ER </w:t>
      </w:r>
      <w:r w:rsidR="00FB099D">
        <w:t>to the mitochondria</w:t>
      </w:r>
      <w:r w:rsidR="00917004">
        <w:t xml:space="preserve">, which appears to be crucial </w:t>
      </w:r>
      <w:r w:rsidR="00FB099D">
        <w:t xml:space="preserve">to mitochondria </w:t>
      </w:r>
      <w:r w:rsidR="00917004">
        <w:t>function</w:t>
      </w:r>
      <w:r w:rsidR="00FB099D">
        <w:fldChar w:fldCharType="begin" w:fldLock="1"/>
      </w:r>
      <w:r w:rsidR="00B75315">
        <w:instrText>ADDIN CSL_CITATION {"citationItems":[{"id":"ITEM-1","itemData":{"DOI":"10.15252/embr.201541108","ISBN":"10.15252/embr.201541108","ISSN":"1469-221X","PMID":"27113756","abstract":"The oxysterol-binding protein (OSBP)-related proteins ORP5 and ORP8 have been shown recently to transport phosphatidylserine (PS) from the endoplasmic reticulum (ER) to the plasma membrane (PM) at ER-PM contact sites. PS is also transferred from the ER to mitochondria where it acts as precursor for mitochondrial PE synthesis. Here, we show that, in addition to ER-PM contact sites, ORP5 and ORP8 are also localized to ER-mitochondria contacts and interact with the outer mitochondrial membrane protein PTPIP51. A functional lipid transfer (ORD) domain was required for this localization. Interestingly, ORP5 and ORP8 depletion leads to defects in mitochondria morphology and respiratory function.","author":[{"dropping-particle":"","family":"Galmes","given":"Romain","non-dropping-particle":"","parse-names":false,"suffix":""},{"dropping-particle":"","family":"Houcine","given":"Audrey","non-dropping-particle":"","parse-names":false,"suffix":""},{"dropping-particle":"","family":"Vliet","given":"Alexander R","non-dropping-particle":"van","parse-names":false,"suffix":""},{"dropping-particle":"","family":"Agostinis","given":"Patrizia","non-dropping-particle":"","parse-names":false,"suffix":""},{"dropping-particle":"","family":"Jackson","given":"Catherine L","non-dropping-particle":"","parse-names":false,"suffix":""},{"dropping-particle":"","family":"Giordano","given":"Francesca","non-dropping-particle":"","parse-names":false,"suffix":""}],"container-title":"EMBO reports","id":"ITEM-1","issue":"6","issued":{"date-parts":[["2016"]]},"page":"800-810","title":"ORP5/ORP8 localize to endoplasmic reticulum–mitochondria contacts and are involved in mitochondrial function","type":"article-journal","volume":"17"},"uris":["http://www.mendeley.com/documents/?uuid=ee01bcd2-71b0-42e3-85c2-4a087e687290"]}],"mendeley":{"formattedCitation":"(69)","plainTextFormattedCitation":"(69)","previouslyFormattedCitation":"(69)"},"properties":{"noteIndex":0},"schema":"https://github.com/citation-style-language/schema/raw/master/csl-citation.json"}</w:instrText>
      </w:r>
      <w:r w:rsidR="00FB099D">
        <w:fldChar w:fldCharType="separate"/>
      </w:r>
      <w:r w:rsidR="00FB099D" w:rsidRPr="00B242B4">
        <w:rPr>
          <w:noProof/>
        </w:rPr>
        <w:t>(69)</w:t>
      </w:r>
      <w:r w:rsidR="00FB099D">
        <w:fldChar w:fldCharType="end"/>
      </w:r>
      <w:r w:rsidR="00FB099D">
        <w:t xml:space="preserve">. ORP5 and ORP8 RNAi </w:t>
      </w:r>
      <w:r w:rsidR="00917004">
        <w:t>silencing leads to mitochondria dysfunction</w:t>
      </w:r>
      <w:r w:rsidR="00917004">
        <w:fldChar w:fldCharType="begin" w:fldLock="1"/>
      </w:r>
      <w:r w:rsidR="00B75315">
        <w:instrText>ADDIN CSL_CITATION {"citationItems":[{"id":"ITEM-1","itemData":{"DOI":"10.15252/embr.201541108","ISBN":"10.15252/embr.201541108","ISSN":"1469-221X","PMID":"27113756","abstract":"The oxysterol-binding protein (OSBP)-related proteins ORP5 and ORP8 have been shown recently to transport phosphatidylserine (PS) from the endoplasmic reticulum (ER) to the plasma membrane (PM) at ER-PM contact sites. PS is also transferred from the ER to mitochondria where it acts as precursor for mitochondrial PE synthesis. Here, we show that, in addition to ER-PM contact sites, ORP5 and ORP8 are also localized to ER-mitochondria contacts and interact with the outer mitochondrial membrane protein PTPIP51. A functional lipid transfer (ORD) domain was required for this localization. Interestingly, ORP5 and ORP8 depletion leads to defects in mitochondria morphology and respiratory function.","author":[{"dropping-particle":"","family":"Galmes","given":"Romain","non-dropping-particle":"","parse-names":false,"suffix":""},{"dropping-particle":"","family":"Houcine","given":"Audrey","non-dropping-particle":"","parse-names":false,"suffix":""},{"dropping-particle":"","family":"Vliet","given":"Alexander R","non-dropping-particle":"van","parse-names":false,"suffix":""},{"dropping-particle":"","family":"Agostinis","given":"Patrizia","non-dropping-particle":"","parse-names":false,"suffix":""},{"dropping-particle":"","family":"Jackson","given":"Catherine L","non-dropping-particle":"","parse-names":false,"suffix":""},{"dropping-particle":"","family":"Giordano","given":"Francesca","non-dropping-particle":"","parse-names":false,"suffix":""}],"container-title":"EMBO reports","id":"ITEM-1","issue":"6","issued":{"date-parts":[["2016"]]},"page":"800-810","title":"ORP5/ORP8 localize to endoplasmic reticulum–mitochondria contacts and are involved in mitochondrial function","type":"article-journal","volume":"17"},"uris":["http://www.mendeley.com/documents/?uuid=ee01bcd2-71b0-42e3-85c2-4a087e687290"]}],"mendeley":{"formattedCitation":"(69)","plainTextFormattedCitation":"(69)","previouslyFormattedCitation":"(69)"},"properties":{"noteIndex":0},"schema":"https://github.com/citation-style-language/schema/raw/master/csl-citation.json"}</w:instrText>
      </w:r>
      <w:r w:rsidR="00917004">
        <w:fldChar w:fldCharType="separate"/>
      </w:r>
      <w:r w:rsidR="00B242B4" w:rsidRPr="00B242B4">
        <w:rPr>
          <w:noProof/>
        </w:rPr>
        <w:t>(69)</w:t>
      </w:r>
      <w:r w:rsidR="00917004">
        <w:fldChar w:fldCharType="end"/>
      </w:r>
      <w:r w:rsidR="00917004">
        <w:t>.</w:t>
      </w:r>
    </w:p>
    <w:p w:rsidR="00246CE4" w:rsidRPr="00246CE4" w:rsidRDefault="00F510DD" w:rsidP="00FB099D">
      <w:pPr>
        <w:ind w:firstLine="720"/>
        <w:jc w:val="both"/>
      </w:pPr>
      <w:r>
        <w:t xml:space="preserve">Besides the overlapping functions exhibited by both proteins, </w:t>
      </w:r>
      <w:r w:rsidR="00917004">
        <w:t>ORP5 can extract cholesterol from LE</w:t>
      </w:r>
      <w:r>
        <w:fldChar w:fldCharType="begin" w:fldLock="1"/>
      </w:r>
      <w:r w:rsidR="00DE076B">
        <w:instrText>ADDIN CSL_CITATION {"citationItems":[{"id":"ITEM-1","itemData":{"DOI":"10.1083/jcb.201004142","ISBN":"1540-8140 (Electronic)\\n0021-9525 (Linking)","ISSN":"00219525","PMID":"21220512","abstract":"Oxysterol-binding protein (OSBP) and its related proteins (ORPs) constitute a large and evolutionarily conserved family of lipid-binding proteins that target organelle membranes to mediate sterol signaling and/or transport. Here we characterize ORP5, a tail-anchored ORP protein that localizes to the endoplasmic reticulum. Knocking down ORP5 causes cholesterol accumulation in late endosomes and lysosomes, which is reminiscent of the cholesterol trafficking defect in Niemann Pick C (NPC) fibroblasts. Cholesterol appears to accumulate in the limiting membranes of endosomal compartments in ORP5-depleted cells, whereas depletion of NPC1 or both ORP5 and NPC1 results in luminal accumulation of cholesterol. Moreover, trans-Golgi resident proteins mislocalize to endosomal compartments upon ORP5 depletion, which depends on a functional NPC1. Our results establish the first link between NPC1 and a cytoplasmic sterol carrier, and suggest that ORP5 may cooperate with NPC1 to mediate the exit of cholesterol from endosomes/lysosomes.","author":[{"dropping-particle":"","family":"Du","given":"Ximing","non-dropping-particle":"","parse-names":false,"suffix":""},{"dropping-particle":"","family":"Kumar","given":"Jaspal","non-dropping-particle":"","parse-names":false,"suffix":""},{"dropping-particle":"","family":"Ferguson","given":"Charles","non-dropping-particle":"","parse-names":false,"suffix":""},{"dropping-particle":"","family":"Schulz","given":"Timothy A.","non-dropping-particle":"","parse-names":false,"suffix":""},{"dropping-particle":"","family":"Ong","given":"Yan Shan","non-dropping-particle":"","parse-names":false,"suffix":""},{"dropping-particle":"","family":"Hong","given":"Wanjin","non-dropping-particle":"","parse-names":false,"suffix":""},{"dropping-particle":"","family":"Prinz","given":"William A.","non-dropping-particle":"","parse-names":false,"suffix":""},{"dropping-particle":"","family":"Parton","given":"Robert G.","non-dropping-particle":"","parse-names":false,"suffix":""},{"dropping-particle":"","family":"Brown","given":"Andrew J.","non-dropping-particle":"","parse-names":false,"suffix":""},{"dropping-particle":"","family":"Yang","given":"Hongyuan","non-dropping-particle":"","parse-names":false,"suffix":""}],"container-title":"Journal of Cell Biology","id":"ITEM-1","issue":"1","issued":{"date-parts":[["2011"]]},"page":"121-135","title":"A role for oxysterol-binding protein-related protein 5 in endosomal cholesterol trafficking","type":"article-journal","volume":"192"},"uris":["http://www.mendeley.com/documents/?uuid=9e35e3d4-7601-4c8d-a19c-2290fc4d093f"]}],"mendeley":{"formattedCitation":"(15)","plainTextFormattedCitation":"(15)","previouslyFormattedCitation":"(15)"},"properties":{"noteIndex":0},"schema":"https://github.com/citation-style-language/schema/raw/master/csl-citation.json"}</w:instrText>
      </w:r>
      <w:r>
        <w:fldChar w:fldCharType="separate"/>
      </w:r>
      <w:r w:rsidR="00423910" w:rsidRPr="00423910">
        <w:rPr>
          <w:noProof/>
        </w:rPr>
        <w:t>(15)</w:t>
      </w:r>
      <w:r>
        <w:fldChar w:fldCharType="end"/>
      </w:r>
      <w:r w:rsidR="00917004">
        <w:t xml:space="preserve"> and also localize mTOR to lysosomes</w:t>
      </w:r>
      <w:r>
        <w:t xml:space="preserve"> which is associated with cell proliferation and </w:t>
      </w:r>
      <w:r>
        <w:lastRenderedPageBreak/>
        <w:t>migration</w:t>
      </w:r>
      <w:r>
        <w:fldChar w:fldCharType="begin" w:fldLock="1"/>
      </w:r>
      <w:r w:rsidR="00B75315">
        <w:instrText>ADDIN CSL_CITATION {"citationItems":[{"id":"ITEM-1","itemData":{"DOI":"10.1074/jbc.RA117.001558","ISBN":"6129385811","ISSN":"1083351X","PMID":"29358326","abstract":"Oxysterol-binding protein (OSBP) and OSBP-related proteins (ORPs) constitute a large family of proteins that mainly function in lipid transport and sensing. ORP5 is an endoplasmic reticulum (ER)-anchored protein implicated in lipid transfer at the contact sites between the ER and other membranes. Recent studies indicate that ORP5 is also involved in cancer cell invasion and tumor progression. However, the molecular mechanism underlying ORP5's involvement in cancer is unclear. Here, we report that ORP5 promotes cell proliferation and motility of HeLa cells, an effect that depends on its functional OSBP-related domain (ORD). We also found that ORP5 depletion or substitutions of key residues located within ORP5-ORD and responsible for interactions with lipids interfered with cell proliferation, migration and invasion. ORP5 interacted with the protein mechanistic target of rapamycin (mTOR), and this interaction also required ORP5-ORD. Of note, whereas ORP5 overexpression induced mTOR complex 1 (mTORC1) activity, ORP5 down-regulation had the opposite effect. Finally, ORP5-depleted cells exhibited impaired mTOR localization to lysosomes, which may have accounted for the blunted mTORC1 activation. Together, our results suggest that ORP5 expression is positively correlated with mTORC1 signaling and that ORP5 stimulates cell proliferation, at least in part, by activating mTORC1.","author":[{"dropping-particle":"","family":"Du","given":"Ximing","non-dropping-particle":"","parse-names":false,"suffix":""},{"dropping-particle":"","family":"Zadoorian","given":"Armella","non-dropping-particle":"","parse-names":false,"suffix":""},{"dropping-particle":"","family":"Lukmantara","given":"Ivan E.","non-dropping-particle":"","parse-names":false,"suffix":""},{"dropping-particle":"","family":"Qi","given":"Yanfei","non-dropping-particle":"","parse-names":false,"suffix":""},{"dropping-particle":"","family":"Brown","given":"Andrew J.","non-dropping-particle":"","parse-names":false,"suffix":""},{"dropping-particle":"","family":"Yang","given":"Hongyuan","non-dropping-particle":"","parse-names":false,"suffix":""}],"container-title":"Journal of Biological Chemistry","id":"ITEM-1","issue":"10","issued":{"date-parts":[["2018"]]},"page":"3806-3818","title":"Oxysterol-binding protein–related protein 5 (ORP5) promotes cell proliferation by activation of MTORC1 signaling","type":"article-journal","volume":"293"},"uris":["http://www.mendeley.com/documents/?uuid=e5b81609-3673-4ede-b52a-c5b5a6bd14b6"]}],"mendeley":{"formattedCitation":"(70)","plainTextFormattedCitation":"(70)","previouslyFormattedCitation":"(70)"},"properties":{"noteIndex":0},"schema":"https://github.com/citation-style-language/schema/raw/master/csl-citation.json"}</w:instrText>
      </w:r>
      <w:r>
        <w:fldChar w:fldCharType="separate"/>
      </w:r>
      <w:r w:rsidR="00B242B4" w:rsidRPr="00B242B4">
        <w:rPr>
          <w:noProof/>
        </w:rPr>
        <w:t>(70)</w:t>
      </w:r>
      <w:r>
        <w:fldChar w:fldCharType="end"/>
      </w:r>
      <w:r>
        <w:t>. ORP8</w:t>
      </w:r>
      <w:r w:rsidR="0099046F">
        <w:t xml:space="preserve"> on the other hand has implications in controlling lipid homeostasis and SREBP activity</w:t>
      </w:r>
      <w:r w:rsidR="0099046F">
        <w:fldChar w:fldCharType="begin" w:fldLock="1"/>
      </w:r>
      <w:r w:rsidR="00B75315">
        <w:instrText>ADDIN CSL_CITATION {"citationItems":[{"id":"ITEM-1","itemData":{"DOI":"10.1371/journal.pone.0021078","ISBN":"1932-6203 (Electronic)\\r1932-6203 (Linking)","ISSN":"19326203","PMID":"21698267","abstract":"We earlier identified OSBP-related protein 8 (ORP8) as an endoplasmic reticulum oxysterol-binding protein implicated in cellular lipid homeostasis. We now investigated its action in hepatic cells in vivo and in vitro. Adenoviral overexpression of ORP8 in mouse liver induced a decrease of cholesterol, phospholipids, and triglycerides in serum (-34%, -26%, -37%, respectively) and liver tissue (-40%, -12%, -24%), coinciding with reduction of nuclear (n)SREBP-1 and -2 and mRNA levels of their target genes. Consistently, excess ORP8 reduced nSREBPs in HuH7 cells, and ORP8 overexpression or silencing by RNA interference moderately suppressed or induced the expression of SREBP-1 and SREBP-2 target genes, respectively. In accordance, cholesterol biosynthesis was reduced by ORP8 overexpression and enhanced by ORP8 silencing in [(3)H]acetate pulse-labeling experiments. ORP8, previously shown to bind 25-hydroxycholesterol, was now shown to bind also cholesterol in vitro. Yeast two-hybrid, bimolecular fluorescence complementation (BiFC), and co-immunoprecipitation analyses revealed the nuclear pore component Nup62 as an interaction partner of ORP8. Co-localization of ORP8 and Nup62 at the nuclear envelope was demonstrated by BiFC and confocal immunofluorescence microscopy. Furthermore, the impact of overexpressed ORP8 on nSREBPs and their target mRNAs was inhibited in cells depleted of Nup62. Our results reveal that ORP8 has the capacity to modulate lipid homeostasis and SREBP activity, probably through an indirect mechanism, and provide clues of an entirely new mode of ORP action.","author":[{"dropping-particle":"","family":"Zhou","given":"Tianhong","non-dropping-particle":"","parse-names":false,"suffix":""},{"dropping-particle":"","family":"Li","given":"Shiqian","non-dropping-particle":"","parse-names":false,"suffix":""},{"dropping-particle":"","family":"Zhong","given":"Wenbin","non-dropping-particle":"","parse-names":false,"suffix":""},{"dropping-particle":"","family":"Vihervaara","given":"Terhi","non-dropping-particle":"","parse-names":false,"suffix":""},{"dropping-particle":"","family":"Béaslas","given":"Olivier","non-dropping-particle":"","parse-names":false,"suffix":""},{"dropping-particle":"","family":"Perttilä","given":"Julia","non-dropping-particle":"","parse-names":false,"suffix":""},{"dropping-particle":"","family":"Luo","given":"Wei","non-dropping-particle":"","parse-names":false,"suffix":""},{"dropping-particle":"","family":"Jiang","given":"Yingliang","non-dropping-particle":"","parse-names":false,"suffix":""},{"dropping-particle":"","family":"Lehto","given":"Markku","non-dropping-particle":"","parse-names":false,"suffix":""},{"dropping-particle":"","family":"Olkkonen","given":"Vesa M.","non-dropping-particle":"","parse-names":false,"suffix":""},{"dropping-particle":"","family":"Yan","given":"Daoguang","non-dropping-particle":"","parse-names":false,"suffix":""}],"container-title":"PLoS ONE","id":"ITEM-1","issue":"6","issued":{"date-parts":[["2011"]]},"title":"Osbp-related protein 8 (ORP8) regulates plasma and liver tissue lipid levels and interacts with the nucleoporin Nup62","type":"article-journal","volume":"6"},"uris":["http://www.mendeley.com/documents/?uuid=5b6b814c-fb65-4d7e-9815-dcb78c6c12c9"]}],"mendeley":{"formattedCitation":"(71)","plainTextFormattedCitation":"(71)","previouslyFormattedCitation":"(71)"},"properties":{"noteIndex":0},"schema":"https://github.com/citation-style-language/schema/raw/master/csl-citation.json"}</w:instrText>
      </w:r>
      <w:r w:rsidR="0099046F">
        <w:fldChar w:fldCharType="separate"/>
      </w:r>
      <w:r w:rsidR="00B242B4" w:rsidRPr="00B242B4">
        <w:rPr>
          <w:noProof/>
        </w:rPr>
        <w:t>(71)</w:t>
      </w:r>
      <w:r w:rsidR="0099046F">
        <w:fldChar w:fldCharType="end"/>
      </w:r>
      <w:r w:rsidR="0099046F">
        <w:t>. ORP8 was shown to interact and localize with the nuclear membrane by binding with nuclear pore protein Nup62 and is thought to possibly dismantle the pore preventing SREBP entry into the nucleus</w:t>
      </w:r>
      <w:r w:rsidR="0099046F">
        <w:fldChar w:fldCharType="begin" w:fldLock="1"/>
      </w:r>
      <w:r w:rsidR="00B75315">
        <w:instrText>ADDIN CSL_CITATION {"citationItems":[{"id":"ITEM-1","itemData":{"DOI":"10.1371/journal.pone.0021078","ISBN":"1932-6203 (Electronic)\\r1932-6203 (Linking)","ISSN":"19326203","PMID":"21698267","abstract":"We earlier identified OSBP-related protein 8 (ORP8) as an endoplasmic reticulum oxysterol-binding protein implicated in cellular lipid homeostasis. We now investigated its action in hepatic cells in vivo and in vitro. Adenoviral overexpression of ORP8 in mouse liver induced a decrease of cholesterol, phospholipids, and triglycerides in serum (-34%, -26%, -37%, respectively) and liver tissue (-40%, -12%, -24%), coinciding with reduction of nuclear (n)SREBP-1 and -2 and mRNA levels of their target genes. Consistently, excess ORP8 reduced nSREBPs in HuH7 cells, and ORP8 overexpression or silencing by RNA interference moderately suppressed or induced the expression of SREBP-1 and SREBP-2 target genes, respectively. In accordance, cholesterol biosynthesis was reduced by ORP8 overexpression and enhanced by ORP8 silencing in [(3)H]acetate pulse-labeling experiments. ORP8, previously shown to bind 25-hydroxycholesterol, was now shown to bind also cholesterol in vitro. Yeast two-hybrid, bimolecular fluorescence complementation (BiFC), and co-immunoprecipitation analyses revealed the nuclear pore component Nup62 as an interaction partner of ORP8. Co-localization of ORP8 and Nup62 at the nuclear envelope was demonstrated by BiFC and confocal immunofluorescence microscopy. Furthermore, the impact of overexpressed ORP8 on nSREBPs and their target mRNAs was inhibited in cells depleted of Nup62. Our results reveal that ORP8 has the capacity to modulate lipid homeostasis and SREBP activity, probably through an indirect mechanism, and provide clues of an entirely new mode of ORP action.","author":[{"dropping-particle":"","family":"Zhou","given":"Tianhong","non-dropping-particle":"","parse-names":false,"suffix":""},{"dropping-particle":"","family":"Li","given":"Shiqian","non-dropping-particle":"","parse-names":false,"suffix":""},{"dropping-particle":"","family":"Zhong","given":"Wenbin","non-dropping-particle":"","parse-names":false,"suffix":""},{"dropping-particle":"","family":"Vihervaara","given":"Terhi","non-dropping-particle":"","parse-names":false,"suffix":""},{"dropping-particle":"","family":"Béaslas","given":"Olivier","non-dropping-particle":"","parse-names":false,"suffix":""},{"dropping-particle":"","family":"Perttilä","given":"Julia","non-dropping-particle":"","parse-names":false,"suffix":""},{"dropping-particle":"","family":"Luo","given":"Wei","non-dropping-particle":"","parse-names":false,"suffix":""},{"dropping-particle":"","family":"Jiang","given":"Yingliang","non-dropping-particle":"","parse-names":false,"suffix":""},{"dropping-particle":"","family":"Lehto","given":"Markku","non-dropping-particle":"","parse-names":false,"suffix":""},{"dropping-particle":"","family":"Olkkonen","given":"Vesa M.","non-dropping-particle":"","parse-names":false,"suffix":""},{"dropping-particle":"","family":"Yan","given":"Daoguang","non-dropping-particle":"","parse-names":false,"suffix":""}],"container-title":"PLoS ONE","id":"ITEM-1","issue":"6","issued":{"date-parts":[["2011"]]},"title":"Osbp-related protein 8 (ORP8) regulates plasma and liver tissue lipid levels and interacts with the nucleoporin Nup62","type":"article-journal","volume":"6"},"uris":["http://www.mendeley.com/documents/?uuid=5b6b814c-fb65-4d7e-9815-dcb78c6c12c9"]}],"mendeley":{"formattedCitation":"(71)","plainTextFormattedCitation":"(71)","previouslyFormattedCitation":"(71)"},"properties":{"noteIndex":0},"schema":"https://github.com/citation-style-language/schema/raw/master/csl-citation.json"}</w:instrText>
      </w:r>
      <w:r w:rsidR="0099046F">
        <w:fldChar w:fldCharType="separate"/>
      </w:r>
      <w:r w:rsidR="00B242B4" w:rsidRPr="00B242B4">
        <w:rPr>
          <w:noProof/>
        </w:rPr>
        <w:t>(71)</w:t>
      </w:r>
      <w:r w:rsidR="0099046F">
        <w:fldChar w:fldCharType="end"/>
      </w:r>
      <w:r w:rsidR="0099046F">
        <w:t>.</w:t>
      </w:r>
    </w:p>
    <w:p w:rsidR="00961548" w:rsidRDefault="00961548" w:rsidP="00042529">
      <w:pPr>
        <w:pStyle w:val="Heading3"/>
      </w:pPr>
      <w:bookmarkStart w:id="46" w:name="_Toc532553079"/>
      <w:r>
        <w:t>Subfamily V: ORP9</w:t>
      </w:r>
      <w:bookmarkEnd w:id="46"/>
    </w:p>
    <w:p w:rsidR="00307446" w:rsidRPr="00A34EAF" w:rsidRDefault="00307446" w:rsidP="00FB099D">
      <w:pPr>
        <w:ind w:firstLine="720"/>
        <w:jc w:val="both"/>
      </w:pPr>
      <w:r>
        <w:t>ORP9 is express</w:t>
      </w:r>
      <w:r w:rsidR="00A34EAF">
        <w:t xml:space="preserve">ed </w:t>
      </w:r>
      <w:r w:rsidR="00B75315">
        <w:t>as both</w:t>
      </w:r>
      <w:r w:rsidR="00A34EAF">
        <w:t xml:space="preserve"> a long form</w:t>
      </w:r>
      <w:r w:rsidR="00B75315">
        <w:t xml:space="preserve"> (ORP9L) and short (ORP9S) form</w:t>
      </w:r>
      <w:r w:rsidR="00B75315">
        <w:fldChar w:fldCharType="begin" w:fldLock="1"/>
      </w:r>
      <w:r w:rsidR="00B75315">
        <w:instrText>ADDIN CSL_CITATION {"citationItems":[{"id":"ITEM-1","itemData":{"DOI":"10.1016/j.yexcr.2004.03.052","ISSN":"00144827","PMID":"15212954","abstract":"We recently showed that oxysterol-binding protein (OSBP), one of twelve related PH domain containing proteins with lipid and sterol binding activity, interacts with VAMP-associated protein (VAP)-A on the endoplasmic reticulum (ER). In addition to OSBP, seven OSBP-related proteins (ORPs) bind VAP-A via a conserved E-F/Y-F/Y-DA 'FFAT' motif. We focused on this interaction for ORP9, which is expressed as a full-length (ORP9L) or truncated version missing the PH domain (ORP9S). Mutation analysis showed that the interaction required the ORP9 FFAT motif and the N-terminal conserved domain of VAP. Endogenous ORP9L displayed Golgi localization, which was partially mediated by the PH domain based on limited localization of OPR9-PH-GFP with the Golgi apparatus. When inducibly overexpressed, ORP9S and ORP9L colocalized with VAP-A and caused vacuolation of the ER as well as retention of the ER-Golgi intermediate compartment marker ERGIC-53/p58 in the ER. ORP9L mutated in the VAP-A binding domain (ORP9L-FY--&gt;AA) did not localize to the ER but appeared with giantin and Sec31 on large vesicular structures, suggesting the presence of a hybrid Golgi-COPII compartment. Normal Golgi localization was also observed for ORP9L-FY--&gt;AA. Results show that VAP binding and PH domains target ORP9 to the ER and a Golgi-COPII compartment, respectively, and that ORP9L overexpression in these compartments severely perturbed their organization.","author":[{"dropping-particle":"","family":"Wyles","given":"Jessica P","non-dropping-particle":"","parse-names":false,"suffix":""},{"dropping-particle":"","family":"Ridgway","given":"Neale D","non-dropping-particle":"","parse-names":false,"suffix":""}],"container-title":"Experimental Cell Research","id":"ITEM-1","issue":"2","issued":{"date-parts":[["2004","7","15"]]},"page":"533-547","title":"VAMP-associated protein-A regulates partitioning of oxysterol-binding protein-related protein-9 between the endoplasmic reticulum and Golgi apparatus","type":"article-journal","volume":"297"},"uris":["http://www.mendeley.com/documents/?uuid=66566e68-77ae-39a6-92c8-1b19f8bfc3a1"]}],"mendeley":{"formattedCitation":"(72)","plainTextFormattedCitation":"(72)","previouslyFormattedCitation":"(72)"},"properties":{"noteIndex":0},"schema":"https://github.com/citation-style-language/schema/raw/master/csl-citation.json"}</w:instrText>
      </w:r>
      <w:r w:rsidR="00B75315">
        <w:fldChar w:fldCharType="separate"/>
      </w:r>
      <w:r w:rsidR="00B75315" w:rsidRPr="00B75315">
        <w:rPr>
          <w:noProof/>
        </w:rPr>
        <w:t>(72)</w:t>
      </w:r>
      <w:r w:rsidR="00B75315">
        <w:fldChar w:fldCharType="end"/>
      </w:r>
      <w:r w:rsidR="00B75315">
        <w:t>.</w:t>
      </w:r>
      <w:r w:rsidR="00A34EAF">
        <w:t xml:space="preserve"> </w:t>
      </w:r>
      <w:r w:rsidR="00B75315">
        <w:t xml:space="preserve">Both ORP9L and ORP9S contain the </w:t>
      </w:r>
      <w:r w:rsidR="00A34EAF">
        <w:t>FFAT domains that bind VAP proteins at the ER</w:t>
      </w:r>
      <w:r w:rsidR="00B75315">
        <w:t>, but only the ORP9L possess the PH domain</w:t>
      </w:r>
      <w:r w:rsidR="00A34EAF">
        <w:fldChar w:fldCharType="begin" w:fldLock="1"/>
      </w:r>
      <w:r w:rsidR="00B75315">
        <w:instrText>ADDIN CSL_CITATION {"citationItems":[{"id":"ITEM-1","itemData":{"DOI":"10.1016/j.yexcr.2004.03.052","ISSN":"00144827","PMID":"15212954","abstract":"We recently showed that oxysterol-binding protein (OSBP), one of twelve related PH domain containing proteins with lipid and sterol binding activity, interacts with VAMP-associated protein (VAP)-A on the endoplasmic reticulum (ER). In addition to OSBP, seven OSBP-related proteins (ORPs) bind VAP-A via a conserved E-F/Y-F/Y-DA 'FFAT' motif. We focused on this interaction for ORP9, which is expressed as a full-length (ORP9L) or truncated version missing the PH domain (ORP9S). Mutation analysis showed that the interaction required the ORP9 FFAT motif and the N-terminal conserved domain of VAP. Endogenous ORP9L displayed Golgi localization, which was partially mediated by the PH domain based on limited localization of OPR9-PH-GFP with the Golgi apparatus. When inducibly overexpressed, ORP9S and ORP9L colocalized with VAP-A and caused vacuolation of the ER as well as retention of the ER-Golgi intermediate compartment marker ERGIC-53/p58 in the ER. ORP9L mutated in the VAP-A binding domain (ORP9L-FY--&gt;AA) did not localize to the ER but appeared with giantin and Sec31 on large vesicular structures, suggesting the presence of a hybrid Golgi-COPII compartment. Normal Golgi localization was also observed for ORP9L-FY--&gt;AA. Results show that VAP binding and PH domains target ORP9 to the ER and a Golgi-COPII compartment, respectively, and that ORP9L overexpression in these compartments severely perturbed their organization.","author":[{"dropping-particle":"","family":"Wyles","given":"Jessica P","non-dropping-particle":"","parse-names":false,"suffix":""},{"dropping-particle":"","family":"Ridgway","given":"Neale D","non-dropping-particle":"","parse-names":false,"suffix":""}],"container-title":"Experimental Cell Research","id":"ITEM-1","issue":"2","issued":{"date-parts":[["2004","7","15"]]},"page":"533-547","title":"VAMP-associated protein-A regulates partitioning of oxysterol-binding protein-related protein-9 between the endoplasmic reticulum and Golgi apparatus","type":"article-journal","volume":"297"},"uris":["http://www.mendeley.com/documents/?uuid=66566e68-77ae-39a6-92c8-1b19f8bfc3a1"]}],"mendeley":{"formattedCitation":"(72)","plainTextFormattedCitation":"(72)","previouslyFormattedCitation":"(72)"},"properties":{"noteIndex":0},"schema":"https://github.com/citation-style-language/schema/raw/master/csl-citation.json"}</w:instrText>
      </w:r>
      <w:r w:rsidR="00A34EAF">
        <w:fldChar w:fldCharType="separate"/>
      </w:r>
      <w:r w:rsidR="00B242B4" w:rsidRPr="00B242B4">
        <w:rPr>
          <w:noProof/>
        </w:rPr>
        <w:t>(72)</w:t>
      </w:r>
      <w:r w:rsidR="00A34EAF">
        <w:fldChar w:fldCharType="end"/>
      </w:r>
      <w:r w:rsidR="00A34EAF">
        <w:t xml:space="preserve">. ORP9L, like OSBP, has the ability to </w:t>
      </w:r>
      <w:r w:rsidR="00B75315">
        <w:t xml:space="preserve">connect </w:t>
      </w:r>
      <w:r w:rsidR="00A34EAF">
        <w:t>the Golgi and ER</w:t>
      </w:r>
      <w:r w:rsidR="00B75315">
        <w:t xml:space="preserve"> at the MCS</w:t>
      </w:r>
      <w:r w:rsidR="00A34EAF">
        <w:t xml:space="preserve"> using PI4P</w:t>
      </w:r>
      <w:r w:rsidR="00B75315">
        <w:t>,</w:t>
      </w:r>
      <w:r w:rsidR="00A34EAF">
        <w:t xml:space="preserve"> and</w:t>
      </w:r>
      <w:r w:rsidR="00B75315">
        <w:t xml:space="preserve"> ORP9L</w:t>
      </w:r>
      <w:r w:rsidR="00A34EAF">
        <w:t xml:space="preserve"> </w:t>
      </w:r>
      <w:r w:rsidR="00B75315">
        <w:t>can</w:t>
      </w:r>
      <w:r w:rsidR="00A34EAF">
        <w:t xml:space="preserve"> counter-transport cholesterol</w:t>
      </w:r>
      <w:r w:rsidR="00B52783">
        <w:t xml:space="preserve"> in a PI4P dependent manner</w:t>
      </w:r>
      <w:r w:rsidR="00A34EAF">
        <w:fldChar w:fldCharType="begin" w:fldLock="1"/>
      </w:r>
      <w:r w:rsidR="00DE076B">
        <w:instrText>ADDIN CSL_CITATION {"citationItems":[{"id":"ITEM-1","itemData":{"DOI":"10.1091/mbc.e08-09-0905","ISSN":"1059-1524","abstract":"Eight years of experience in performing only bone-patellar tendon-bone autograft reconstructions of the anterior cruciate ligament (ACL) are presented, with an emphasis on an accelerated post-operative rehabilitation protocol. Past patient non-compliance to previously established protocols still yielded very acceptable results that demanded further investigation. Gradually we developed a three-phase rehabilitation plan that is implemented after surgical correction of ACL deficiencies. The first phase (zero to two weeks) focuses primarily on wound healing, full extension, control of swelling, and leg control. The second phase (two to five weeks) involves increasing flexion, developing a functional gait, and resuming activities of daily living. The third phase (greater than 5 weeks) identifies a safe return to competitive athletics. This protocol evolved with close observation of approximately 1,000 reconstructions and has been used on the last 650 patients since January 1987. A decreased postoperative morbidity was noted without a compromised clinical stability.","author":[{"dropping-particle":"","family":"Ngo","given":"Mike","non-dropping-particle":"","parse-names":false,"suffix":""},{"dropping-particle":"","family":"Ridgway","given":"Neale D.","non-dropping-particle":"","parse-names":false,"suffix":""}],"container-title":"Molecular Biology of the Cell","editor":[{"dropping-particle":"","family":"Riezman","given":"Howard","non-dropping-particle":"","parse-names":false,"suffix":""}],"id":"ITEM-1","issue":"5","issued":{"date-parts":[["2009","3"]]},"page":"1388-1399","title":"Oxysterol Binding Protein–related Protein 9 (ORP9) Is a Cholesterol Transfer Protein That Regulates Golgi Structure and Function","type":"article-journal","volume":"20"},"uris":["http://www.mendeley.com/documents/?uuid=f2634cef-7b48-4b51-a330-a3e4593747ef"]}],"mendeley":{"formattedCitation":"(16)","plainTextFormattedCitation":"(16)","previouslyFormattedCitation":"(16)"},"properties":{"noteIndex":0},"schema":"https://github.com/citation-style-language/schema/raw/master/csl-citation.json"}</w:instrText>
      </w:r>
      <w:r w:rsidR="00A34EAF">
        <w:fldChar w:fldCharType="separate"/>
      </w:r>
      <w:r w:rsidR="00423910" w:rsidRPr="00423910">
        <w:rPr>
          <w:noProof/>
        </w:rPr>
        <w:t>(16)</w:t>
      </w:r>
      <w:r w:rsidR="00A34EAF">
        <w:fldChar w:fldCharType="end"/>
      </w:r>
      <w:r w:rsidR="00A34EAF">
        <w:t>.</w:t>
      </w:r>
      <w:r w:rsidR="00B52783">
        <w:t xml:space="preserve"> Silencing of ORP9L or overexpression of ORP9S leads to Golgi fragmentation</w:t>
      </w:r>
      <w:r w:rsidR="00CA6D1D">
        <w:t xml:space="preserve">, which parallels </w:t>
      </w:r>
      <w:r w:rsidR="00B75315">
        <w:t>the destructive effect of expression of</w:t>
      </w:r>
      <w:r w:rsidR="00F81E52">
        <w:t xml:space="preserve"> the phospho</w:t>
      </w:r>
      <w:r w:rsidR="00B75315">
        <w:t>rylated</w:t>
      </w:r>
      <w:r w:rsidR="00F81E52">
        <w:t>-m</w:t>
      </w:r>
      <w:r w:rsidR="00B75315">
        <w:t>im</w:t>
      </w:r>
      <w:r w:rsidR="00F81E52">
        <w:t>etic version of OSBP</w:t>
      </w:r>
      <w:r w:rsidR="00F81E52">
        <w:fldChar w:fldCharType="begin" w:fldLock="1"/>
      </w:r>
      <w:r w:rsidR="00B75315">
        <w:instrText>ADDIN CSL_CITATION {"citationItems":[{"id":"ITEM-1","itemData":{"DOI":"10.1091/mbc.E10","ISBN":"1939-4586 (Electronic)\\r1059-1524 (Linking)","ISSN":"00219525","PMID":"20980618","abstract":"Protein kinase D (PKD) plays a critical role at the trans-Golgi network by regulating the fission of transport carriers destined for the plasma membrane. Two known Golgi-localized PKD substrates, PI4-kinase III ? and the ceramide transfer protein CERT, mediate PKD signaling to influence vesicle trafficking to the plasma membrane and sphingomy- elin synthesis, respectively. PKD is recruited and activated at the Golgi through interaction with diacylglycerol, a pool of which is generated as a by-product of sphingomyelin synthesis from ceramide. Here we identify a novel substrate of PKD at the Golgi, the oxysterol-binding protein OSBP. Using a substrate-directed phospho-specific antibody that recognizes the optimal PKD consensus motif, we show that PKD phosphorylates OSBP at Ser240 in vitro and in cells. We further show that OSBP phosphorylation occurs at the Golgi. Phosphorylation of OSBP by PKD does not modulate dimerization, sterol binding, or affinity for PI(4)P. Instead, phosphorylation attenuates OSBP Golgi localization in response to 25-hydroxycholesterol and cholesterol depletion, impairs CERT Golgi localization, and promotes Golgi fragmentation.","author":[{"dropping-particle":"","family":"Nhek S., Ngo M., Yang X., Ng M.M., Field J. S., Asara J.M., Ridgway N.D.","given":"and Toker A.","non-dropping-particle":"","parse-names":false,"suffix":""}],"container-title":"Molecular Biology of the Cell","id":"ITEM-1","issued":{"date-parts":[["2010"]]},"page":"2327-2337","title":"Regulation of Oxysterol-binding Protein Golgi Localization through Protein Kinase D-mediated Phosphorylation","type":"article-journal","volume":"21"},"uris":["http://www.mendeley.com/documents/?uuid=1db3d08c-a325-4699-8236-21a4ff0aa279"]},{"id":"ITEM-2","itemData":{"DOI":"10.1371/journal.pone.0108368","ISSN":"19326203","PMID":"25255026","abstract":"Oxysterol binding protein (OSBP) and OSBP-related proteins (ORPS) have a conserved lipid-binding fold that accommodates cholesterol, oxysterols and/or phospholipids. The diversity of OSBP/ORPs and their potential ligands has complicated the analysis of transfer and signalling properties of this mammalian gene family. In this study we explored the use of the fluorescent sterol cholestatrienol (CTL) to measure sterol binding by ORP9 and competition by other putative ligands. Relative to cholesterol, CTL and dehydroergosterol (DHE) were poor ligands for OSBP. In contrast, both long (ORP9L) and short (ORP9S) variants of ORP9 rapidly extracted CTL, and to a lesser extent DHE, from liposomes. ORP9L and ORP9S also extracted [32P]phosphatidylinositol 4-phosphate (PI-4P) from liposomes, which was inhibited by mutating two conserved histidine residues (HH488,489AA) at the entrance to the binding pocket but not by a mutation in the lid region that inhibited cholesterol binding. Results of direct binding and competition assays showed that phosphatidylserine was poorly extracted from liposomes by ORP9 compared to CTL and PI-4P. ORP9L and PI-4P did not co-localize in the trans-Golgi/TGN of HeLa cells, and siRNA silencing of ORP9L expression did not affect PI-4P distribution in the Golgi apparatus. However, transient overexpression of ORP9L or ORP9S in CHO cells, but not the corresponding PI-4P binding mutants, prevented immunostaining of Golgi-associated PI-4P. The apparent sequestration of Golgi PI-4P by ORP9S was identified as a possible mechanism for its growth inhibitory effects. These studies identify ORP9 as a dual sterol/PI-4P binding protein that could regulate PI-4P in the Golgi apparatus.","author":[{"dropping-particle":"","family":"Liu","given":"Xinwei","non-dropping-particle":"","parse-names":false,"suffix":""},{"dropping-particle":"","family":"Ridgway","given":"Neale D.","non-dropping-particle":"","parse-names":false,"suffix":""}],"container-title":"PLoS ONE","id":"ITEM-2","issue":"9","issued":{"date-parts":[["2014"]]},"page":"1-12","title":"Characterization of the sterol and phosphatidylinositol 4-Phosphate binding properties of golgi-associated OSBP-related protein 9 (ORP9)","type":"article-journal","volume":"9"},"uris":["http://www.mendeley.com/documents/?uuid=fbb20663-b278-4ba9-a128-495ff9f6e41d"]}],"mendeley":{"formattedCitation":"(73, 74)","plainTextFormattedCitation":"(73, 74)","previouslyFormattedCitation":"(73, 74)"},"properties":{"noteIndex":0},"schema":"https://github.com/citation-style-language/schema/raw/master/csl-citation.json"}</w:instrText>
      </w:r>
      <w:r w:rsidR="00F81E52">
        <w:fldChar w:fldCharType="separate"/>
      </w:r>
      <w:r w:rsidR="00B242B4" w:rsidRPr="00B242B4">
        <w:rPr>
          <w:noProof/>
        </w:rPr>
        <w:t>(73, 74)</w:t>
      </w:r>
      <w:r w:rsidR="00F81E52">
        <w:fldChar w:fldCharType="end"/>
      </w:r>
      <w:r w:rsidR="00F81E52">
        <w:t xml:space="preserve">. </w:t>
      </w:r>
      <w:r w:rsidR="00CA6D1D">
        <w:t>Similar to</w:t>
      </w:r>
      <w:r w:rsidR="00F81E52">
        <w:t xml:space="preserve"> OSBP, ORP9 is also a substrate for PKD phosphorylation and regulates activation of AKT</w:t>
      </w:r>
      <w:r w:rsidR="00B75315">
        <w:t>,</w:t>
      </w:r>
      <w:r w:rsidR="00F81E52">
        <w:t xml:space="preserve"> and</w:t>
      </w:r>
      <w:r w:rsidR="00B75315">
        <w:t xml:space="preserve"> through AKT,</w:t>
      </w:r>
      <w:r w:rsidR="00F81E52">
        <w:t xml:space="preserve"> mTOR activation</w:t>
      </w:r>
      <w:r w:rsidR="00F81E52">
        <w:fldChar w:fldCharType="begin" w:fldLock="1"/>
      </w:r>
      <w:r w:rsidR="00B75315">
        <w:instrText>ADDIN CSL_CITATION {"citationItems":[{"id":"ITEM-1","itemData":{"DOI":"10.1016/j.cellsig.2006.07.009","ISSN":"08986568","PMID":"16962287","abstract":"The oxysterol-binding protein and oxysterol-binding protein-related protein family has been implicated in lipid transport and metabolism, vesicle trafficking and cell signaling. While investigating the phosphorylation of Akt/protein kinase B in stimulated bone marrow-derived mast cells, we observed that a monoclonal antibody directed against phospho-S473 Akt cross-reacted with oxysterol-binding protein-related protein 9 (ORP9). Further analysis revealed that mast cells exclusively express ORP9S, an N-terminal truncated version of full-length ORP9L. A PDK-2 consensus phosphorylation site in ORP9L and OPR9S at S287 (VPEFS(287)Y) was confirmed by site-directed mutagenesis. In contrast to Akt, increased phosphorylation of ORP9S S287 in stimulated mast cells was independent of phosphatidylinositol 3-kinase but sensitive to inhibition of conventional PKC isotypes. PKC-beta dependence was confirmed by lack of ORP9S phosphorylation at S287 in PKC-beta-deficient, but not PKC-alpha-deficient, mast cells. Moreover, co-immunoprecipitation of PKC-beta and ORP9S, and in vitro phosphorylation of ORP9S in this complex, argued for direct phosphorylation of ORP9S by PKC-beta, introducing ORP9S as a novel PKC-beta substrate. Akt was also detected in a PKC-beta/ORP9S immune complex and phosphorylation of Akt on S473 was delayed in PKC-deficient mast cells. In HEK293 cells, RNAi experiments showed that depletion of ORP9L increased Akt S473 phosphorylation 3-fold without affecting T308 phosphorylation in the activation loop. Furthermore, mammalian target of rapamycin was implicated in ORP9L phosphorylation in HEK293 cells. These studies identify ORP9 as a PDK-2 substrate and negative regulator of Akt phosphorylation at the PDK-2 site.","author":[{"dropping-particle":"","family":"Lessmann","given":"Eva","non-dropping-particle":"","parse-names":false,"suffix":""},{"dropping-particle":"","family":"Ngo","given":"Mike","non-dropping-particle":"","parse-names":false,"suffix":""},{"dropping-particle":"","family":"Leitges","given":"Michael","non-dropping-particle":"","parse-names":false,"suffix":""},{"dropping-particle":"","family":"Minguet","given":"Susana","non-dropping-particle":"","parse-names":false,"suffix":""},{"dropping-particle":"","family":"Ridgway","given":"Neale D.","non-dropping-particle":"","parse-names":false,"suffix":""},{"dropping-particle":"","family":"Huber","given":"Michael","non-dropping-particle":"","parse-names":false,"suffix":""}],"container-title":"Cellular Signalling","id":"ITEM-1","issue":"2","issued":{"date-parts":[["2007","2"]]},"page":"384-392","title":"Oxysterol-binding protein-related protein (ORP) 9 is a PDK-2 substrate and regulates Akt phosphorylation","type":"article-journal","volume":"19"},"uris":["http://www.mendeley.com/documents/?uuid=b1554c4c-bd17-39b5-89a5-654aa5a8a8b6"]}],"mendeley":{"formattedCitation":"(75)","plainTextFormattedCitation":"(75)","previouslyFormattedCitation":"(75)"},"properties":{"noteIndex":0},"schema":"https://github.com/citation-style-language/schema/raw/master/csl-citation.json"}</w:instrText>
      </w:r>
      <w:r w:rsidR="00F81E52">
        <w:fldChar w:fldCharType="separate"/>
      </w:r>
      <w:r w:rsidR="00B242B4" w:rsidRPr="00B242B4">
        <w:rPr>
          <w:noProof/>
        </w:rPr>
        <w:t>(75)</w:t>
      </w:r>
      <w:r w:rsidR="00F81E52">
        <w:fldChar w:fldCharType="end"/>
      </w:r>
      <w:r w:rsidR="00F81E52">
        <w:t>.</w:t>
      </w:r>
      <w:r w:rsidR="00CA6D1D">
        <w:t xml:space="preserve"> Further support for the fact that ORP9 plays a role in</w:t>
      </w:r>
      <w:r w:rsidR="00F8338A">
        <w:t xml:space="preserve"> the</w:t>
      </w:r>
      <w:r w:rsidR="00CA6D1D">
        <w:t xml:space="preserve"> Golgi </w:t>
      </w:r>
      <w:r w:rsidR="00F8338A">
        <w:t xml:space="preserve">secretory pathway is the ability of ORP9S to phenocopy the OSBP yeast homolog </w:t>
      </w:r>
      <w:r w:rsidR="004109E3">
        <w:t>Osh4P and mediate Golgi-derived vesicular trafficking</w:t>
      </w:r>
      <w:r w:rsidR="004109E3">
        <w:fldChar w:fldCharType="begin" w:fldLock="1"/>
      </w:r>
      <w:r w:rsidR="00B75315">
        <w:instrText>ADDIN CSL_CITATION {"citationItems":[{"id":"ITEM-1","itemData":{"DOI":"10.1139/o05-064","ISBN":"0829-8211","ISSN":"0829-8211","PMID":"16234851","abstract":"Inactivation of the yeast oxysterol binding protein related protein (ORP) family member Kes1p allows yeast cells to survive in the absence of Sec14p, a phospholipid transfer protein required for cell viability because of the role it plays in transporting vesicles from the Golgi. We expressed human ORP9S and ORP10S in yeast lacking Sec14p and Kes1p function, and found that ORP9S completely complemented Kes1p function, whereas ORP10S possessed only a weak ability to replace Kes1p function. Purified ORP9S protein bound several phosphoinositides, whereas ORP10 bound specifically to phosphatidylinositol 3-phosphate. The combined evidence demonstrates that only a subset of human ORP proteins can function as negative regulators of Golgi-derived vesicular transport.","author":[{"dropping-particle":"","family":"Fairn","given":"Gregory D","non-dropping-particle":"","parse-names":false,"suffix":""},{"dropping-particle":"","family":"McMaster","given":"Christopher R","non-dropping-particle":"","parse-names":false,"suffix":""}],"container-title":"Biochemistry and Cell Biology","id":"ITEM-1","issue":"5","issued":{"date-parts":[["2005"]]},"page":"631-636","title":"The roles of the human lipid-binding proteins ORP9S and ORP10S in vesicular transport","type":"article-journal","volume":"83"},"uris":["http://www.mendeley.com/documents/?uuid=468cc4a0-fe8b-45f4-b516-2cbd961736e5"]}],"mendeley":{"formattedCitation":"(76)","plainTextFormattedCitation":"(76)","previouslyFormattedCitation":"(76)"},"properties":{"noteIndex":0},"schema":"https://github.com/citation-style-language/schema/raw/master/csl-citation.json"}</w:instrText>
      </w:r>
      <w:r w:rsidR="004109E3">
        <w:fldChar w:fldCharType="separate"/>
      </w:r>
      <w:r w:rsidR="00B242B4" w:rsidRPr="00B242B4">
        <w:rPr>
          <w:noProof/>
        </w:rPr>
        <w:t>(76)</w:t>
      </w:r>
      <w:r w:rsidR="004109E3">
        <w:fldChar w:fldCharType="end"/>
      </w:r>
      <w:r w:rsidR="004109E3">
        <w:t>.</w:t>
      </w:r>
    </w:p>
    <w:p w:rsidR="004109E3" w:rsidRDefault="00961548" w:rsidP="00042529">
      <w:pPr>
        <w:pStyle w:val="Heading3"/>
      </w:pPr>
      <w:bookmarkStart w:id="47" w:name="_Toc532553080"/>
      <w:r>
        <w:t>Subfamily VI</w:t>
      </w:r>
      <w:r w:rsidR="00246CE4">
        <w:t>: ORP10 and ORP11</w:t>
      </w:r>
      <w:bookmarkEnd w:id="47"/>
    </w:p>
    <w:p w:rsidR="00A36808" w:rsidRDefault="004109E3" w:rsidP="00FB099D">
      <w:pPr>
        <w:ind w:firstLine="720"/>
        <w:jc w:val="both"/>
      </w:pPr>
      <w:r>
        <w:t xml:space="preserve">Subfamily VI is unique among the family in the fact that they do not contain an ER targeting </w:t>
      </w:r>
      <w:r w:rsidR="00B75315">
        <w:t xml:space="preserve">FFAT </w:t>
      </w:r>
      <w:r>
        <w:t>sequence but do contain PH domains</w:t>
      </w:r>
      <w:r>
        <w:fldChar w:fldCharType="begin" w:fldLock="1"/>
      </w:r>
      <w:r w:rsidR="004B0503">
        <w:instrText>ADDIN CSL_CITATION {"citationItems":[{"id":"ITEM-1","itemData":{"DOI":"10.1016/j.plipres.2013.06.004","ISBN":"0163-7827","ISSN":"01637827","PMID":"23830809","abstract":"Oxysterol-binding protein (OSBP) and OSBP-related proteins (ORPs) constitute a family of sterol and phosphoinositide binding proteins conserved in eukaryofile:///C:/Users/user/Downloads/ORP10 micro.pdftes. The mechanisms of ORP function have remained incompletely understood. However, several ORPs are present at membrane contact sites and control the activity of enzymatic effectors or assembly of protein complexes, with impacts on signaling, vesicle transport, and lipid metabolism. An increasing number of protein interaction partners of ORPs have been identified, providing clues of their involvement in multiple aspects of cell regulation. The functions assigned for mammalian ORPs include coordination of sterol and sphingolipid metabolism and mitogenic signaling (OSBP), control of ER-late endosome (LE) contacts and LE motility (ORP1L), neutral lipid metabolism (ORP2), cell adhesion (ORP3), cholesterol eggress from LE (ORP5), macrophage lipid homeostasis, migration and high-density lipoprotein metabolism (ORP8), apolipoprotein B-100 secretion (ORP10), and adipogenesis (ORP11). The anti-proliferative ORPphilin compounds target OSBP and ORP4, revealing a function of ORPs in cell proliferation and survival. The Saccharomyces cerevisiae OSBP homologue (Osh) proteins execute multifaceted functions in sterol and sphingolipid homeostasis, post-Golgi vesicle transport, as well as phosphatidylinositol-4-phosphate and target of rapamycin complex 1 (TORC1) signaling. These observations identify ORPs as coordinators of lipid signals with an unforeseen variety of cellular processes. © 2013 Elsevier Ltd. All rights reserved.","author":[{"dropping-particle":"","family":"Olkkonen","given":"Vesa M.","non-dropping-particle":"","parse-names":false,"suffix":""},{"dropping-particle":"","family":"Li","given":"Shiqian","non-dropping-particle":"","parse-names":false,"suffix":""}],"container-title":"Progress in Lipid Research","id":"ITEM-1","issue":"4","issued":{"date-parts":[["2013","10","2"]]},"page":"529-538","publisher":"Elsevier Ltd","title":"Oxysterol-binding proteins: Sterol and phosphoinositide sensors coordinating transport, signaling and metabolism","type":"article-journal","volume":"52"},"uris":["http://www.mendeley.com/documents/?uuid=857d10db-29d4-47b0-bf27-3ea7326f86e8"]}],"mendeley":{"formattedCitation":"(3)","plainTextFormattedCitation":"(3)","previouslyFormattedCitation":"(3)"},"properties":{"noteIndex":0},"schema":"https://github.com/citation-style-language/schema/raw/master/csl-citation.json"}</w:instrText>
      </w:r>
      <w:r>
        <w:fldChar w:fldCharType="separate"/>
      </w:r>
      <w:r w:rsidR="004B0503" w:rsidRPr="004B0503">
        <w:rPr>
          <w:noProof/>
        </w:rPr>
        <w:t>(3)</w:t>
      </w:r>
      <w:r>
        <w:fldChar w:fldCharType="end"/>
      </w:r>
      <w:r>
        <w:t>. ORP10</w:t>
      </w:r>
      <w:r w:rsidR="00464818">
        <w:t xml:space="preserve"> has a</w:t>
      </w:r>
      <w:r>
        <w:t xml:space="preserve"> </w:t>
      </w:r>
      <w:r w:rsidR="00464818">
        <w:t>PH domain that interacts with PI4P and a LBD domain that binds cholesterol and several acid</w:t>
      </w:r>
      <w:r w:rsidR="00B75315">
        <w:t>ic</w:t>
      </w:r>
      <w:r w:rsidR="00464818">
        <w:t xml:space="preserve"> phospholipids</w:t>
      </w:r>
      <w:r w:rsidR="00B75315">
        <w:fldChar w:fldCharType="begin" w:fldLock="1"/>
      </w:r>
      <w:r w:rsidR="00B75315">
        <w:instrText>ADDIN CSL_CITATION {"citationItems":[{"id":"ITEM-1","itemData":{"DOI":"10.1016/j.bbalip.2012.08.004","ISBN":"0006-3002 (Print)\\n0006-3002 (Linking)","ISSN":"13881981","PMID":"22906437","abstract":"ORP10/OSBPL10 is a member of the oxysterol-binding protein family, and genetic variation in OSBPL10 is associated with dyslipidemias and peripheral artery disease. In this study we investigated the ligand binding properties of ORP10 in vitro as well as its localization and function in human HuH7 hepatocytes. The pleckstrin homology (PH) domain of ORP10 selectively interacts with phosphatidylinositol-4-phosphate, while the C-terminal ligand binding domain binds cholesterol and several acidic phospholipids. Full-length ORP10 decorates microtubules (MT), while the ORP10 N-terminal fragment (aa 1-318) localizes at Golgi membranes. Removal of the C-terminal aa 712-764 of ORP10 containing a predicted coiled-coil segment abolishes the MT association, but allows partial Golgi targeting. A PH domain-GFP fusion protein is distributed mainly in the cytosol and the plasma membrane, indicating that the Golgi affinity of ORP10 involves other determinants in addition to the PH domain. HuH7 cells expressing ORP10-specific shRNA display increased accumulation of apolipoprotein B-100 (apoB-100), but not of albumin, in culture medium, and contain reduced levels of intracellular apoB-100. Pulse-chase analysis of cellular [35S]apoB-100 demonstrates enhanced apoB-100 secretion by cells expressing ORP10-specific shRNA. The apoB-100 secretion phenotype is replicated in HepG2 cells transduced with the ORP10 shRNA lentiviruses. As a conclusion, the present study dissects the determinants of ORP10 association with MT and the Golgi complex and provides evidence for a specific role of this protein in β-lipoprotein secretion by human hepatocytes. © 2012 Elsevier B.V. All rights reserved.","author":[{"dropping-particle":"","family":"Nissilä","given":"Eija","non-dropping-particle":"","parse-names":false,"suffix":""},{"dropping-particle":"","family":"Ohsaki","given":"Yuki","non-dropping-particle":"","parse-names":false,"suffix":""},{"dropping-particle":"","family":"Weber-Boyvat","given":"Marion","non-dropping-particle":"","parse-names":false,"suffix":""},{"dropping-particle":"","family":"Perttilä","given":"Julia","non-dropping-particle":"","parse-names":false,"suffix":""},{"dropping-particle":"","family":"Ikonen","given":"Elina","non-dropping-particle":"","parse-names":false,"suffix":""},{"dropping-particle":"","family":"Olkkonen","given":"Vesa M.","non-dropping-particle":"","parse-names":false,"suffix":""}],"container-title":"Biochimica et Biophysica Acta - Molecular and Cell Biology of Lipids","id":"ITEM-1","issue":"12","issued":{"date-parts":[["2012","12"]]},"page":"1472-1484","title":"ORP10, a cholesterol binding protein associated with microtubules, regulates apolipoprotein B-100 secretion","type":"article-journal","volume":"1821"},"uris":["http://www.mendeley.com/documents/?uuid=3223d778-2134-4f93-8e02-b2b23f180cf1"]}],"mendeley":{"formattedCitation":"(23)","plainTextFormattedCitation":"(23)","previouslyFormattedCitation":"(23)"},"properties":{"noteIndex":0},"schema":"https://github.com/citation-style-language/schema/raw/master/csl-citation.json"}</w:instrText>
      </w:r>
      <w:r w:rsidR="00B75315">
        <w:fldChar w:fldCharType="separate"/>
      </w:r>
      <w:r w:rsidR="00B75315" w:rsidRPr="00423910">
        <w:rPr>
          <w:noProof/>
        </w:rPr>
        <w:t>(23)</w:t>
      </w:r>
      <w:r w:rsidR="00B75315">
        <w:fldChar w:fldCharType="end"/>
      </w:r>
      <w:r w:rsidR="00B75315">
        <w:t>. ORP10 is implicated in having</w:t>
      </w:r>
      <w:r w:rsidR="00464818">
        <w:t xml:space="preserve"> a role in lipid metabolism</w:t>
      </w:r>
      <w:r w:rsidR="00464818">
        <w:fldChar w:fldCharType="begin" w:fldLock="1"/>
      </w:r>
      <w:r w:rsidR="00DE076B">
        <w:instrText>ADDIN CSL_CITATION {"citationItems":[{"id":"ITEM-1","itemData":{"DOI":"10.1016/j.bbalip.2012.08.004","ISBN":"0006-3002 (Print)\\n0006-3002 (Linking)","ISSN":"13881981","PMID":"22906437","abstract":"ORP10/OSBPL10 is a member of the oxysterol-binding protein family, and genetic variation in OSBPL10 is associated with dyslipidemias and peripheral artery disease. In this study we investigated the ligand binding properties of ORP10 in vitro as well as its localization and function in human HuH7 hepatocytes. The pleckstrin homology (PH) domain of ORP10 selectively interacts with phosphatidylinositol-4-phosphate, while the C-terminal ligand binding domain binds cholesterol and several acidic phospholipids. Full-length ORP10 decorates microtubules (MT), while the ORP10 N-terminal fragment (aa 1-318) localizes at Golgi membranes. Removal of the C-terminal aa 712-764 of ORP10 containing a predicted coiled-coil segment abolishes the MT association, but allows partial Golgi targeting. A PH domain-GFP fusion protein is distributed mainly in the cytosol and the plasma membrane, indicating that the Golgi affinity of ORP10 involves other determinants in addition to the PH domain. HuH7 cells expressing ORP10-specific shRNA display increased accumulation of apolipoprotein B-100 (apoB-100), but not of albumin, in culture medium, and contain reduced levels of intracellular apoB-100. Pulse-chase analysis of cellular [35S]apoB-100 demonstrates enhanced apoB-100 secretion by cells expressing ORP10-specific shRNA. The apoB-100 secretion phenotype is replicated in HepG2 cells transduced with the ORP10 shRNA lentiviruses. As a conclusion, the present study dissects the determinants of ORP10 association with MT and the Golgi complex and provides evidence for a specific role of this protein in β-lipoprotein secretion by human hepatocytes. © 2012 Elsevier B.V. All rights reserved.","author":[{"dropping-particle":"","family":"Nissilä","given":"Eija","non-dropping-particle":"","parse-names":false,"suffix":""},{"dropping-particle":"","family":"Ohsaki","given":"Yuki","non-dropping-particle":"","parse-names":false,"suffix":""},{"dropping-particle":"","family":"Weber-Boyvat","given":"Marion","non-dropping-particle":"","parse-names":false,"suffix":""},{"dropping-particle":"","family":"Perttilä","given":"Julia","non-dropping-particle":"","parse-names":false,"suffix":""},{"dropping-particle":"","family":"Ikonen","given":"Elina","non-dropping-particle":"","parse-names":false,"suffix":""},{"dropping-particle":"","family":"Olkkonen","given":"Vesa M.","non-dropping-particle":"","parse-names":false,"suffix":""}],"container-title":"Biochimica et Biophysica Acta - Molecular and Cell Biology of Lipids","id":"ITEM-1","issue":"12","issued":{"date-parts":[["2012","12"]]},"page":"1472-1484","title":"ORP10, a cholesterol binding protein associated with microtubules, regulates apolipoprotein B-100 secretion","type":"article-journal","volume":"1821"},"uris":["http://www.mendeley.com/documents/?uuid=3223d778-2134-4f93-8e02-b2b23f180cf1"]}],"mendeley":{"formattedCitation":"(23)","plainTextFormattedCitation":"(23)","previouslyFormattedCitation":"(23)"},"properties":{"noteIndex":0},"schema":"https://github.com/citation-style-language/schema/raw/master/csl-citation.json"}</w:instrText>
      </w:r>
      <w:r w:rsidR="00464818">
        <w:fldChar w:fldCharType="separate"/>
      </w:r>
      <w:r w:rsidR="00423910" w:rsidRPr="00423910">
        <w:rPr>
          <w:noProof/>
        </w:rPr>
        <w:t>(23)</w:t>
      </w:r>
      <w:r w:rsidR="00464818">
        <w:fldChar w:fldCharType="end"/>
      </w:r>
      <w:r w:rsidR="00464818">
        <w:t>. ORP10 localizes to microtubules</w:t>
      </w:r>
      <w:r w:rsidR="00A36808">
        <w:t xml:space="preserve"> presumably through its interaction with microtubule effector protein DIAPH1</w:t>
      </w:r>
      <w:r w:rsidR="00A36808">
        <w:fldChar w:fldCharType="begin" w:fldLock="1"/>
      </w:r>
      <w:r w:rsidR="00B75315">
        <w:instrText>ADDIN CSL_CITATION {"citationItems":[{"id":"ITEM-1","itemData":{"DOI":"10.1091/mbc.E12-08-0597","ISSN":"1059-1524","PMID":"23325789","abstract":"Diaphanous homologue 1 (DIAPH1) is a Rho effector protein that coordinates cellular dynamics by regulating microfilament and microtubule function. We previously showed that DIAPH1 plays an integral role in regulating the production of cortisol by controlling the rate of mitochondrial movement, by which activation of the adrenocorticotropin (ACTH)/cAMP signaling pathway stimulates mitochondrial trafficking and promotes the interaction between RhoA and DIAPH1. In the present study we use mass spectrometry to identify DIAPH1 binding partners and find that DIAPH1 interacts with several proteins, including RhoA, dynamin-1, kinesin, β-tubulin, β-actin, oxysterol-binding protein (OSBP)-related protein 2 (ORP2), and ORP10. Moreover, DIAPH1 is phosphorylated in response to dibutyryl cAMP (Bt2cAMP) at Thr-759 via a pathway that requires extracellular signal-related kinase (ERK). Alanine substitution of Thr-759 renders DIAPH1 more stable and attenuates the interaction between DIAPH1 and kinesin, ORP2, and actin but has no effect on the ability of the protein to interact with RhoA or β-tubulin. Finally, overexpression of a DIAPH1 T759A mutant significantly decreases the rate of Bt2cAMP-stimulated mitochondrial movement. Taken together, our findings establish a key role for phosphorylation in regulating the stability and function of DIAPH1.","author":[{"dropping-particle":"","family":"Li","given":"D.","non-dropping-particle":"","parse-names":false,"suffix":""},{"dropping-particle":"","family":"Dammer","given":"E. B.","non-dropping-particle":"","parse-names":false,"suffix":""},{"dropping-particle":"","family":"Lucki","given":"N. C.","non-dropping-particle":"","parse-names":false,"suffix":""},{"dropping-particle":"","family":"Sewer","given":"M. B.","non-dropping-particle":"","parse-names":false,"suffix":""}],"container-title":"Molecular Biology of the Cell","id":"ITEM-1","issue":"6","issued":{"date-parts":[["2013"]]},"page":"848-857","title":"cAMP-stimulated phosphorylation of diaphanous 1 regulates protein stability and interaction with binding partners in adrenocortical cells","type":"article-journal","volume":"24"},"uris":["http://www.mendeley.com/documents/?uuid=d0b041c2-2d8c-48be-a735-747c92e0302b"]},{"id":"ITEM-2","itemData":{"DOI":"10.1016/j.bbalip.2012.08.004","ISBN":"0006-3002 (Print)\\n0006-3002 (Linking)","ISSN":"13881981","PMID":"22906437","abstract":"ORP10/OSBPL10 is a member of the oxysterol-binding protein family, and genetic variation in OSBPL10 is associated with dyslipidemias and peripheral artery disease. In this study we investigated the ligand binding properties of ORP10 in vitro as well as its localization and function in human HuH7 hepatocytes. The pleckstrin homology (PH) domain of ORP10 selectively interacts with phosphatidylinositol-4-phosphate, while the C-terminal ligand binding domain binds cholesterol and several acidic phospholipids. Full-length ORP10 decorates microtubules (MT), while the ORP10 N-terminal fragment (aa 1-318) localizes at Golgi membranes. Removal of the C-terminal aa 712-764 of ORP10 containing a predicted coiled-coil segment abolishes the MT association, but allows partial Golgi targeting. A PH domain-GFP fusion protein is distributed mainly in the cytosol and the plasma membrane, indicating that the Golgi affinity of ORP10 involves other determinants in addition to the PH domain. HuH7 cells expressing ORP10-specific shRNA display increased accumulation of apolipoprotein B-100 (apoB-100), but not of albumin, in culture medium, and contain reduced levels of intracellular apoB-100. Pulse-chase analysis of cellular [35S]apoB-100 demonstrates enhanced apoB-100 secretion by cells expressing ORP10-specific shRNA. The apoB-100 secretion phenotype is replicated in HepG2 cells transduced with the ORP10 shRNA lentiviruses. As a conclusion, the present study dissects the determinants of ORP10 association with MT and the Golgi complex and provides evidence for a specific role of this protein in β-lipoprotein secretion by human hepatocytes. © 2012 Elsevier B.V. All rights reserved.","author":[{"dropping-particle":"","family":"Nissilä","given":"Eija","non-dropping-particle":"","parse-names":false,"suffix":""},{"dropping-particle":"","family":"Ohsaki","given":"Yuki","non-dropping-particle":"","parse-names":false,"suffix":""},{"dropping-particle":"","family":"Weber-Boyvat","given":"Marion","non-dropping-particle":"","parse-names":false,"suffix":""},{"dropping-particle":"","family":"Perttilä","given":"Julia","non-dropping-particle":"","parse-names":false,"suffix":""},{"dropping-particle":"","family":"Ikonen","given":"Elina","non-dropping-particle":"","parse-names":false,"suffix":""},{"dropping-particle":"","family":"Olkkonen","given":"Vesa M.","non-dropping-particle":"","parse-names":false,"suffix":""}],"container-title":"Biochimica et Biophysica Acta - Molecular and Cell Biology of Lipids","id":"ITEM-2","issue":"12","issued":{"date-parts":[["2012","12"]]},"page":"1472-1484","title":"ORP10, a cholesterol binding protein associated with microtubules, regulates apolipoprotein B-100 secretion","type":"article-journal","volume":"1821"},"uris":["http://www.mendeley.com/documents/?uuid=3223d778-2134-4f93-8e02-b2b23f180cf1"]}],"mendeley":{"formattedCitation":"(23, 77)","plainTextFormattedCitation":"(23, 77)","previouslyFormattedCitation":"(23, 77)"},"properties":{"noteIndex":0},"schema":"https://github.com/citation-style-language/schema/raw/master/csl-citation.json"}</w:instrText>
      </w:r>
      <w:r w:rsidR="00A36808">
        <w:fldChar w:fldCharType="separate"/>
      </w:r>
      <w:r w:rsidR="00B242B4" w:rsidRPr="00B242B4">
        <w:rPr>
          <w:noProof/>
        </w:rPr>
        <w:t>(23, 77)</w:t>
      </w:r>
      <w:r w:rsidR="00A36808">
        <w:fldChar w:fldCharType="end"/>
      </w:r>
      <w:r w:rsidR="00A36808">
        <w:t>. The</w:t>
      </w:r>
      <w:r w:rsidR="00464818">
        <w:t xml:space="preserve"> PH domain</w:t>
      </w:r>
      <w:r w:rsidR="00A36808">
        <w:t xml:space="preserve"> of ORP10</w:t>
      </w:r>
      <w:r w:rsidR="00464818">
        <w:t xml:space="preserve"> has the ability to localize to th</w:t>
      </w:r>
      <w:r w:rsidR="00A36808">
        <w:t>e Golgi due to PI4P binding</w:t>
      </w:r>
      <w:r w:rsidR="00B75315">
        <w:t>,</w:t>
      </w:r>
      <w:r w:rsidR="00A36808">
        <w:t xml:space="preserve"> and the protein </w:t>
      </w:r>
      <w:r w:rsidR="00464818">
        <w:t>plays a role in the secretion of apolipoproteinB-100</w:t>
      </w:r>
      <w:r w:rsidR="00464818">
        <w:fldChar w:fldCharType="begin" w:fldLock="1"/>
      </w:r>
      <w:r w:rsidR="00DE076B">
        <w:instrText>ADDIN CSL_CITATION {"citationItems":[{"id":"ITEM-1","itemData":{"DOI":"10.1016/j.bbalip.2012.08.004","ISBN":"0006-3002 (Print)\\n0006-3002 (Linking)","ISSN":"13881981","PMID":"22906437","abstract":"ORP10/OSBPL10 is a member of the oxysterol-binding protein family, and genetic variation in OSBPL10 is associated with dyslipidemias and peripheral artery disease. In this study we investigated the ligand binding properties of ORP10 in vitro as well as its localization and function in human HuH7 hepatocytes. The pleckstrin homology (PH) domain of ORP10 selectively interacts with phosphatidylinositol-4-phosphate, while the C-terminal ligand binding domain binds cholesterol and several acidic phospholipids. Full-length ORP10 decorates microtubules (MT), while the ORP10 N-terminal fragment (aa 1-318) localizes at Golgi membranes. Removal of the C-terminal aa 712-764 of ORP10 containing a predicted coiled-coil segment abolishes the MT association, but allows partial Golgi targeting. A PH domain-GFP fusion protein is distributed mainly in the cytosol and the plasma membrane, indicating that the Golgi affinity of ORP10 involves other determinants in addition to the PH domain. HuH7 cells expressing ORP10-specific shRNA display increased accumulation of apolipoprotein B-100 (apoB-100), but not of albumin, in culture medium, and contain reduced levels of intracellular apoB-100. Pulse-chase analysis of cellular [35S]apoB-100 demonstrates enhanced apoB-100 secretion by cells expressing ORP10-specific shRNA. The apoB-100 secretion phenotype is replicated in HepG2 cells transduced with the ORP10 shRNA lentiviruses. As a conclusion, the present study dissects the determinants of ORP10 association with MT and the Golgi complex and provides evidence for a specific role of this protein in β-lipoprotein secretion by human hepatocytes. © 2012 Elsevier B.V. All rights reserved.","author":[{"dropping-particle":"","family":"Nissilä","given":"Eija","non-dropping-particle":"","parse-names":false,"suffix":""},{"dropping-particle":"","family":"Ohsaki","given":"Yuki","non-dropping-particle":"","parse-names":false,"suffix":""},{"dropping-particle":"","family":"Weber-Boyvat","given":"Marion","non-dropping-particle":"","parse-names":false,"suffix":""},{"dropping-particle":"","family":"Perttilä","given":"Julia","non-dropping-particle":"","parse-names":false,"suffix":""},{"dropping-particle":"","family":"Ikonen","given":"Elina","non-dropping-particle":"","parse-names":false,"suffix":""},{"dropping-particle":"","family":"Olkkonen","given":"Vesa M.","non-dropping-particle":"","parse-names":false,"suffix":""}],"container-title":"Biochimica et Biophysica Acta - Molecular and Cell Biology of Lipids","id":"ITEM-1","issue":"12","issued":{"date-parts":[["2012","12"]]},"page":"1472-1484","title":"ORP10, a cholesterol binding protein associated with microtubules, regulates apolipoprotein B-100 secretion","type":"article-journal","volume":"1821"},"uris":["http://www.mendeley.com/documents/?uuid=3223d778-2134-4f93-8e02-b2b23f180cf1"]}],"mendeley":{"formattedCitation":"(23)","plainTextFormattedCitation":"(23)","previouslyFormattedCitation":"(23)"},"properties":{"noteIndex":0},"schema":"https://github.com/citation-style-language/schema/raw/master/csl-citation.json"}</w:instrText>
      </w:r>
      <w:r w:rsidR="00464818">
        <w:fldChar w:fldCharType="separate"/>
      </w:r>
      <w:r w:rsidR="00423910" w:rsidRPr="00423910">
        <w:rPr>
          <w:noProof/>
        </w:rPr>
        <w:t>(23)</w:t>
      </w:r>
      <w:r w:rsidR="00464818">
        <w:fldChar w:fldCharType="end"/>
      </w:r>
      <w:r w:rsidR="00464818">
        <w:t>.</w:t>
      </w:r>
    </w:p>
    <w:p w:rsidR="004109E3" w:rsidRPr="004109E3" w:rsidRDefault="00A36808" w:rsidP="00FB099D">
      <w:pPr>
        <w:ind w:firstLine="720"/>
        <w:jc w:val="both"/>
      </w:pPr>
      <w:r>
        <w:lastRenderedPageBreak/>
        <w:t>ORP11 has been shown to reside at the Golgi complex and LE, which is presumably due to its ability to dimerize with ORP9</w:t>
      </w:r>
      <w:r>
        <w:fldChar w:fldCharType="begin" w:fldLock="1"/>
      </w:r>
      <w:r w:rsidR="00B75315">
        <w:instrText>ADDIN CSL_CITATION {"citationItems":[{"id":"ITEM-1","itemData":{"DOI":"10.1016/j.chemphyslip.2010.05.166","ISSN":"00093084","author":[{"dropping-particle":"","family":"Zhou","given":"You","non-dropping-particle":"","parse-names":false,"suffix":""},{"dropping-particle":"","family":"Li","given":"Shiqian","non-dropping-particle":"","parse-names":false,"suffix":""},{"dropping-particle":"","family":"Mäyränpää","given":"Mikko I.","non-dropping-particle":"","parse-names":false,"suffix":""},{"dropping-particle":"","family":"Wenbin","given":"Zhong","non-dropping-particle":"","parse-names":false,"suffix":""},{"dropping-particle":"","family":"Bäck","given":"Nils","non-dropping-particle":"","parse-names":false,"suffix":""},{"dropping-particle":"","family":"Yan","given":"Daoguang","non-dropping-particle":"","parse-names":false,"suffix":""},{"dropping-particle":"","family":"Olkkonen","given":"Vesa M.","non-dropping-particle":"","parse-names":false,"suffix":""}],"container-title":"Chemistry and Physics of Lipids","id":"ITEM-1","issued":{"date-parts":[["2010","8"]]},"page":"S55","title":"OSBP-related protein 11 (ORP11) dimerizes with ORP9 and localizes at the Golgi—late endosome interface","type":"article-journal","volume":"163"},"uris":["http://www.mendeley.com/documents/?uuid=4b9cac23-6480-4630-ab25-d95b0a37e47f"]}],"mendeley":{"formattedCitation":"(78)","plainTextFormattedCitation":"(78)","previouslyFormattedCitation":"(78)"},"properties":{"noteIndex":0},"schema":"https://github.com/citation-style-language/schema/raw/master/csl-citation.json"}</w:instrText>
      </w:r>
      <w:r>
        <w:fldChar w:fldCharType="separate"/>
      </w:r>
      <w:r w:rsidR="00B242B4" w:rsidRPr="00B242B4">
        <w:rPr>
          <w:noProof/>
        </w:rPr>
        <w:t>(78)</w:t>
      </w:r>
      <w:r>
        <w:fldChar w:fldCharType="end"/>
      </w:r>
      <w:r>
        <w:t>. Along with ORP11, ORP10 can also dimerize with ORP9, which with its FFAT domain, might compensate for the lack of an ER targeting domain in subfamily VI</w:t>
      </w:r>
      <w:r>
        <w:fldChar w:fldCharType="begin" w:fldLock="1"/>
      </w:r>
      <w:r w:rsidR="00DE076B">
        <w:instrText>ADDIN CSL_CITATION {"citationItems":[{"id":"ITEM-1","itemData":{"DOI":"10.1016/j.bbalip.2012.08.004","ISBN":"0006-3002 (Print)\\n0006-3002 (Linking)","ISSN":"13881981","PMID":"22906437","abstract":"ORP10/OSBPL10 is a member of the oxysterol-binding protein family, and genetic variation in OSBPL10 is associated with dyslipidemias and peripheral artery disease. In this study we investigated the ligand binding properties of ORP10 in vitro as well as its localization and function in human HuH7 hepatocytes. The pleckstrin homology (PH) domain of ORP10 selectively interacts with phosphatidylinositol-4-phosphate, while the C-terminal ligand binding domain binds cholesterol and several acidic phospholipids. Full-length ORP10 decorates microtubules (MT), while the ORP10 N-terminal fragment (aa 1-318) localizes at Golgi membranes. Removal of the C-terminal aa 712-764 of ORP10 containing a predicted coiled-coil segment abolishes the MT association, but allows partial Golgi targeting. A PH domain-GFP fusion protein is distributed mainly in the cytosol and the plasma membrane, indicating that the Golgi affinity of ORP10 involves other determinants in addition to the PH domain. HuH7 cells expressing ORP10-specific shRNA display increased accumulation of apolipoprotein B-100 (apoB-100), but not of albumin, in culture medium, and contain reduced levels of intracellular apoB-100. Pulse-chase analysis of cellular [35S]apoB-100 demonstrates enhanced apoB-100 secretion by cells expressing ORP10-specific shRNA. The apoB-100 secretion phenotype is replicated in HepG2 cells transduced with the ORP10 shRNA lentiviruses. As a conclusion, the present study dissects the determinants of ORP10 association with MT and the Golgi complex and provides evidence for a specific role of this protein in β-lipoprotein secretion by human hepatocytes. © 2012 Elsevier B.V. All rights reserved.","author":[{"dropping-particle":"","family":"Nissilä","given":"Eija","non-dropping-particle":"","parse-names":false,"suffix":""},{"dropping-particle":"","family":"Ohsaki","given":"Yuki","non-dropping-particle":"","parse-names":false,"suffix":""},{"dropping-particle":"","family":"Weber-Boyvat","given":"Marion","non-dropping-particle":"","parse-names":false,"suffix":""},{"dropping-particle":"","family":"Perttilä","given":"Julia","non-dropping-particle":"","parse-names":false,"suffix":""},{"dropping-particle":"","family":"Ikonen","given":"Elina","non-dropping-particle":"","parse-names":false,"suffix":""},{"dropping-particle":"","family":"Olkkonen","given":"Vesa M.","non-dropping-particle":"","parse-names":false,"suffix":""}],"container-title":"Biochimica et Biophysica Acta - Molecular and Cell Biology of Lipids","id":"ITEM-1","issue":"12","issued":{"date-parts":[["2012","12"]]},"page":"1472-1484","title":"ORP10, a cholesterol binding protein associated with microtubules, regulates apolipoprotein B-100 secretion","type":"article-journal","volume":"1821"},"uris":["http://www.mendeley.com/documents/?uuid=3223d778-2134-4f93-8e02-b2b23f180cf1"]}],"mendeley":{"formattedCitation":"(23)","plainTextFormattedCitation":"(23)","previouslyFormattedCitation":"(23)"},"properties":{"noteIndex":0},"schema":"https://github.com/citation-style-language/schema/raw/master/csl-citation.json"}</w:instrText>
      </w:r>
      <w:r>
        <w:fldChar w:fldCharType="separate"/>
      </w:r>
      <w:r w:rsidR="00423910" w:rsidRPr="00423910">
        <w:rPr>
          <w:noProof/>
        </w:rPr>
        <w:t>(23)</w:t>
      </w:r>
      <w:r>
        <w:fldChar w:fldCharType="end"/>
      </w:r>
      <w:r>
        <w:t>. This information suggests that there is a possible crosstalk between two or more ORPs that allows for communication between the ER, Golgi, LE, and microtubules</w:t>
      </w:r>
      <w:r w:rsidR="00B75315">
        <w:fldChar w:fldCharType="begin" w:fldLock="1"/>
      </w:r>
      <w:r w:rsidR="002175FA">
        <w:instrText>ADDIN CSL_CITATION {"citationItems":[{"id":"ITEM-1","itemData":{"DOI":"10.1016/j.chemphyslip.2010.05.166","ISSN":"00093084","author":[{"dropping-particle":"","family":"Zhou","given":"You","non-dropping-particle":"","parse-names":false,"suffix":""},{"dropping-particle":"","family":"Li","given":"Shiqian","non-dropping-particle":"","parse-names":false,"suffix":""},{"dropping-particle":"","family":"Mäyränpää","given":"Mikko I.","non-dropping-particle":"","parse-names":false,"suffix":""},{"dropping-particle":"","family":"Wenbin","given":"Zhong","non-dropping-particle":"","parse-names":false,"suffix":""},{"dropping-particle":"","family":"Bäck","given":"Nils","non-dropping-particle":"","parse-names":false,"suffix":""},{"dropping-particle":"","family":"Yan","given":"Daoguang","non-dropping-particle":"","parse-names":false,"suffix":""},{"dropping-particle":"","family":"Olkkonen","given":"Vesa M.","non-dropping-particle":"","parse-names":false,"suffix":""}],"container-title":"Chemistry and Physics of Lipids","id":"ITEM-1","issued":{"date-parts":[["2010","8"]]},"page":"S55","title":"OSBP-related protein 11 (ORP11) dimerizes with ORP9 and localizes at the Golgi—late endosome interface","type":"article-journal","volume":"163"},"uris":["http://www.mendeley.com/documents/?uuid=4b9cac23-6480-4630-ab25-d95b0a37e47f"]},{"id":"ITEM-2","itemData":{"DOI":"10.1139/o05-064","ISBN":"0829-8211","ISSN":"0829-8211","PMID":"16234851","abstract":"Inactivation of the yeast oxysterol binding protein related protein (ORP) family member Kes1p allows yeast cells to survive in the absence of Sec14p, a phospholipid transfer protein required for cell viability because of the role it plays in transporting vesicles from the Golgi. We expressed human ORP9S and ORP10S in yeast lacking Sec14p and Kes1p function, and found that ORP9S completely complemented Kes1p function, whereas ORP10S possessed only a weak ability to replace Kes1p function. Purified ORP9S protein bound several phosphoinositides, whereas ORP10 bound specifically to phosphatidylinositol 3-phosphate. The combined evidence demonstrates that only a subset of human ORP proteins can function as negative regulators of Golgi-derived vesicular transport.","author":[{"dropping-particle":"","family":"Fairn","given":"Gregory D","non-dropping-particle":"","parse-names":false,"suffix":""},{"dropping-particle":"","family":"McMaster","given":"Christopher R","non-dropping-particle":"","parse-names":false,"suffix":""}],"container-title":"Biochemistry and Cell Biology","id":"ITEM-2","issue":"5","issued":{"date-parts":[["2005"]]},"page":"631-636","title":"The roles of the human lipid-binding proteins ORP9S and ORP10S in vesicular transport","type":"article-journal","volume":"83"},"uris":["http://www.mendeley.com/documents/?uuid=468cc4a0-fe8b-45f4-b516-2cbd961736e5"]},{"id":"ITEM-3","itemData":{"DOI":"10.1016/j.bbalip.2012.08.004","ISBN":"0006-3002 (Print)\\n0006-3002 (Linking)","ISSN":"13881981","PMID":"22906437","abstract":"ORP10/OSBPL10 is a member of the oxysterol-binding protein family, and genetic variation in OSBPL10 is associated with dyslipidemias and peripheral artery disease. In this study we investigated the ligand binding properties of ORP10 in vitro as well as its localization and function in human HuH7 hepatocytes. The pleckstrin homology (PH) domain of ORP10 selectively interacts with phosphatidylinositol-4-phosphate, while the C-terminal ligand binding domain binds cholesterol and several acidic phospholipids. Full-length ORP10 decorates microtubules (MT), while the ORP10 N-terminal fragment (aa 1-318) localizes at Golgi membranes. Removal of the C-terminal aa 712-764 of ORP10 containing a predicted coiled-coil segment abolishes the MT association, but allows partial Golgi targeting. A PH domain-GFP fusion protein is distributed mainly in the cytosol and the plasma membrane, indicating that the Golgi affinity of ORP10 involves other determinants in addition to the PH domain. HuH7 cells expressing ORP10-specific shRNA display increased accumulation of apolipoprotein B-100 (apoB-100), but not of albumin, in culture medium, and contain reduced levels of intracellular apoB-100. Pulse-chase analysis of cellular [35S]apoB-100 demonstrates enhanced apoB-100 secretion by cells expressing ORP10-specific shRNA. The apoB-100 secretion phenotype is replicated in HepG2 cells transduced with the ORP10 shRNA lentiviruses. As a conclusion, the present study dissects the determinants of ORP10 association with MT and the Golgi complex and provides evidence for a specific role of this protein in β-lipoprotein secretion by human hepatocytes. © 2012 Elsevier B.V. All rights reserved.","author":[{"dropping-particle":"","family":"Nissilä","given":"Eija","non-dropping-particle":"","parse-names":false,"suffix":""},{"dropping-particle":"","family":"Ohsaki","given":"Yuki","non-dropping-particle":"","parse-names":false,"suffix":""},{"dropping-particle":"","family":"Weber-Boyvat","given":"Marion","non-dropping-particle":"","parse-names":false,"suffix":""},{"dropping-particle":"","family":"Perttilä","given":"Julia","non-dropping-particle":"","parse-names":false,"suffix":""},{"dropping-particle":"","family":"Ikonen","given":"Elina","non-dropping-particle":"","parse-names":false,"suffix":""},{"dropping-particle":"","family":"Olkkonen","given":"Vesa M.","non-dropping-particle":"","parse-names":false,"suffix":""}],"container-title":"Biochimica et Biophysica Acta - Molecular and Cell Biology of Lipids","id":"ITEM-3","issue":"12","issued":{"date-parts":[["2012","12"]]},"page":"1472-1484","title":"ORP10, a cholesterol binding protein associated with microtubules, regulates apolipoprotein B-100 secretion","type":"article-journal","volume":"1821"},"uris":["http://www.mendeley.com/documents/?uuid=3223d778-2134-4f93-8e02-b2b23f180cf1"]}],"mendeley":{"formattedCitation":"(23, 76, 78)","plainTextFormattedCitation":"(23, 76, 78)","previouslyFormattedCitation":"(23, 76, 78)"},"properties":{"noteIndex":0},"schema":"https://github.com/citation-style-language/schema/raw/master/csl-citation.json"}</w:instrText>
      </w:r>
      <w:r w:rsidR="00B75315">
        <w:fldChar w:fldCharType="separate"/>
      </w:r>
      <w:r w:rsidR="00B75315" w:rsidRPr="00B75315">
        <w:rPr>
          <w:noProof/>
        </w:rPr>
        <w:t>(23, 76, 78)</w:t>
      </w:r>
      <w:r w:rsidR="00B75315">
        <w:fldChar w:fldCharType="end"/>
      </w:r>
      <w:r>
        <w:t>.</w:t>
      </w:r>
    </w:p>
    <w:p w:rsidR="00961548" w:rsidRDefault="00961548" w:rsidP="00FB099D">
      <w:pPr>
        <w:pStyle w:val="Heading2"/>
      </w:pPr>
      <w:bookmarkStart w:id="48" w:name="_Toc532553081"/>
      <w:r>
        <w:t>OSBP/ORP</w:t>
      </w:r>
      <w:r w:rsidRPr="00B25249">
        <w:t xml:space="preserve"> </w:t>
      </w:r>
      <w:r>
        <w:t>Disease Relevance</w:t>
      </w:r>
      <w:bookmarkEnd w:id="48"/>
    </w:p>
    <w:p w:rsidR="00961548" w:rsidRDefault="00B75315" w:rsidP="00042529">
      <w:pPr>
        <w:pStyle w:val="Heading3"/>
      </w:pPr>
      <w:bookmarkStart w:id="49" w:name="_Ref530663965"/>
      <w:bookmarkStart w:id="50" w:name="_Ref530671192"/>
      <w:bookmarkStart w:id="51" w:name="_Ref530743108"/>
      <w:bookmarkStart w:id="52" w:name="_Toc532553082"/>
      <w:r>
        <w:t xml:space="preserve">OSBP Function in </w:t>
      </w:r>
      <w:r w:rsidR="00961548" w:rsidRPr="00737D20">
        <w:t>Virus Replication</w:t>
      </w:r>
      <w:bookmarkEnd w:id="49"/>
      <w:bookmarkEnd w:id="50"/>
      <w:bookmarkEnd w:id="51"/>
      <w:bookmarkEnd w:id="52"/>
    </w:p>
    <w:p w:rsidR="00B75315" w:rsidRPr="00B75315" w:rsidRDefault="00287BFE" w:rsidP="00B75315">
      <w:pPr>
        <w:ind w:firstLine="720"/>
      </w:pPr>
      <w:r>
        <w:t>OSBP has been implicated as an essential host protein in a wide variety of viral infections</w:t>
      </w:r>
      <w:r>
        <w:fldChar w:fldCharType="begin" w:fldLock="1"/>
      </w:r>
      <w:r w:rsidR="0078225D">
        <w:instrText>ADDIN CSL_CITATION {"citationItems":[{"id":"ITEM-1","itemData":{"DOI":"10.1128/JVI.00958-09","ISSN":"1098-5514","PMID":"19570870","abstract":"Hepatitis C virus (HCV) RNA genome replicates within the ribonucleoprotein (RNP) complex in the modified membranous structures extended from endoplasmic reticulum. A proteomic analysis of HCV RNP complexes revealed the association of oxysterol binding protein (OSBP) as one of the components of these complexes. OSBP interacted with the N-terminal domain I of the HCV NS5A protein and colocalized to the Golgi compartment with NS5A. An OSBP-specific short hairpin RNA that partially downregulated OSBP expression resulted in a decrease of the HCV particle release in culture supernatant with little effect on viral RNA replication. The pleckstrin homology (PH) domain located in the N-terminal region of OSBP targeted this protein to the Golgi apparatus. OSBP deletion mutation in the PH (DeltaPH) domain failed to localize to the Golgi apparatus and inhibited the HCV particle release. These studies suggest a possible functional role of OSBP in the HCV maturation process.","author":[{"dropping-particle":"","family":"Amako","given":"Yutaka","non-dropping-particle":"","parse-names":false,"suffix":""},{"dropping-particle":"","family":"Sarkeshik","given":"Ali","non-dropping-particle":"","parse-names":false,"suffix":""},{"dropping-particle":"","family":"Hotta","given":"Hak","non-dropping-particle":"","parse-names":false,"suffix":""},{"dropping-particle":"","family":"Yates","given":"John","non-dropping-particle":"","parse-names":false,"suffix":""},{"dropping-particle":"","family":"Siddiqui","given":"Aleem","non-dropping-particle":"","parse-names":false,"suffix":""}],"container-title":"Journal of virology","id":"ITEM-1","issue":"18","issued":{"date-parts":[["2009"]]},"page":"9237-46","title":"Role of oxysterol binding protein in hepatitis C virus infection.","type":"article-journal","volume":"83"},"uris":["http://www.mendeley.com/documents/?uuid=b42555ba-5653-4426-8131-965e75332162"]},{"id":"ITEM-2","itemData":{"DOI":"10.1128/JVI.03546-12","ISBN":"1098-5514 (Electronic)\\r0022-538X (Linking)","ISSN":"0022-538X","PMID":"23365445","abstract":"Enviroxime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ournal of Virology","id":"ITEM-2","issue":"8","issued":{"date-parts":[["2013"]]},"page":"4252-4260","title":"Oxysterol-Binding Protein Family I Is the Target of Minor Enviroxime-Like Compounds","type":"article-journal","volume":"87"},"uris":["http://www.mendeley.com/documents/?uuid=641d6d35-1865-4621-81e7-9210abc22b07"]},{"id":"ITEM-3","itemData":{"DOI":"10.1016/j.pmr.2014.05.001.Functional","ISBN":"0000287431","ISSN":"0000287431","PMID":"25792328","author":[{"dropping-particle":"","family":"Strating","given":"Jeroen R.P.M.","non-dropping-particle":"","parse-names":false,"suffix":""}],"id":"ITEM-3","issue":"3","issued":{"date-parts":[["2015"]]},"page":"1-30","title":"ITRACONAZOLE INHIBITS ENTEROVIRUS REPLICATION BY TARGETING THE OXYSTEROL-BINDING PROTEIN","type":"article-journal","volume":"25"},"uris":["http://www.mendeley.com/documents/?uuid=02c7ec4c-fc93-404c-a402-6abc8c747415"]},{"id":"ITEM-4","itemData":{"DOI":"10.1016/j.antiviral.2015.02.013","ISSN":"01663542","author":[{"dropping-particle":"","family":"Albulescu","given":"Lucian","non-dropping-particle":"","parse-names":false,"suffix":""},{"dropping-particle":"","family":"Strating","given":"Jeroen R.P.M.","non-dropping-particle":"","parse-names":false,"suffix":""},{"dropping-particle":"","family":"Thibaut","given":"Hendrik Jan","non-dropping-particle":"","parse-names":false,"suffix":""},{"dropping-particle":"Van Der","family":"Linden","given":"Lonneke","non-dropping-particle":"","parse-names":false,"suffix":""},{"dropping-particle":"","family":"Shair","given":"Matthew D.","non-dropping-particle":"","parse-names":false,"suffix":""},{"dropping-particle":"","family":"Neyts","given":"Johan","non-dropping-particle":"","parse-names":false,"suffix":""},{"dropping-particle":"","family":"Kuppeveld","given":"Frank J.M.","non-dropping-particle":"van","parse-names":false,"suffix":""}],"container-title":"Antiviral Research","id":"ITEM-4","issued":{"date-parts":[["2015"]]},"page":"110-114","publisher":"Elsevier B.V.","title":"Broad-range inhibition of enterovirus replication by OSW-1, a natural compound targeting OSBP","type":"article-journal","volume":"117"},"uris":["http://www.mendeley.com/documents/?uuid=a8e5b343-7cc9-4cc8-aca5-d1dc4c99b364"]},{"id":"ITEM-5","itemData":{"DOI":"10.1099/jmm.0.000518","ISSN":"00222615","PMID":"27303747","abstract":"&lt;p&gt; Positive-strand RNA [(+)RNA] viruses are true masters of reprogramming host lipid trafficking and synthesis to support virus genome replication. Via their membrane-associated 3A protein, picornaviruses of the genus &lt;italic&gt;Enterovirus&lt;/italic&gt; (e.g., poliovirus, coxsackievirus, and rhinovirus) subvert Golgi complex-localized phosphatidylinositol 4-kinase IIIβ (PI4KB) to generate “replication organelles” (ROs) enriched in phosphatidylinositol 4-phosphate (PI4P). PI4P lipids serve to accumulate oxysterol-binding protein (OSBP), which subsequently transfers cholesterol to the ROs in a PI4P-dependent manner. Single-point mutations in 3A render enteroviruses resistant to both PI4KB and OSBP inhibition, indicating coupled dependency on these host factors. Recently, we showed that encephalomyocarditis virus (EMCV), a picornavirus that belongs to the &lt;italic&gt;Cardiovirus&lt;/italic&gt; genus, also builds PI4P/cholesterol-enriched ROs. Like the hepatitis C virus (HCV) of the &lt;italic&gt;Flaviviridae&lt;/italic&gt; family, it does so by hijacking the endoplasmic reticulum (ER)-localized phosphatidylinositol 4-kinase IIIα (PI4KA). Here we provide genetic evidence for the critical involvement of EMCV protein 3A in this process &lt;italic&gt;.&lt;/italic&gt; Using a genetic screening approach, we selected EMCV mutants with single amino acid substitutions in 3A, which rescued RNA virus replication upon small interfering RNA (siRNA) knockdown or pharmacological inhibition of PI4KA. In the presence of PI4KA inhibitors, the mutants no longer induced PI4P, OSBP, or cholesterol accumulation at ROs, which aggregated into large cytoplasmic clusters &lt;italic&gt;.&lt;/italic&gt; In contrast to the enterovirus escape mutants, we observed little if any cross-resistance of EMCV mutants to OSBP inhibitors, indicating an uncoupled level of dependency of their RNA replication on PI4KA and OSBP activities. This report may contribute to a better understanding of the roles of PI4KA and OSBP in membrane modifications induced by (+)RNA viruses. &lt;/p&gt;","author":[{"dropping-particle":"","family":"Dorobantu","given":"Cristina M.","non-dropping-particle":"","parse-names":false,"suffix":""},{"dropping-particle":"","family":"Albulescu","given":"Lucian","non-dropping-particle":"","parse-names":false,"suffix":""},{"dropping-particle":"","family":"Lyoo","given":"Heyrhyoung","non-dropping-particle":"","parse-names":false,"suffix":""},{"dropping-particle":"","family":"Kampen","given":"Mirjam","non-dropping-particle":"van","parse-names":false,"suffix":""},{"dropping-particle":"","family":"Francesco","given":"Raffaele","non-dropping-particle":"De","parse-names":false,"suffix":""},{"dropping-particle":"","family":"Lohmann","given":"Volker","non-dropping-particle":"","parse-names":false,"suffix":""},{"dropping-particle":"","family":"Harak","given":"Christian","non-dropping-particle":"","parse-names":false,"suffix":""},{"dropping-particle":"","family":"Schaar","given":"Hilde M.","non-dropping-particle":"van der","parse-names":false,"suffix":""},{"dropping-particle":"","family":"Strating","given":"Jeroen R. P. M.","non-dropping-particle":"","parse-names":false,"suffix":""},{"dropping-particle":"","family":"Gorbalenya","given":"Alexander E.","non-dropping-particle":"","parse-names":false,"suffix":""},{"dropping-particle":"","family":"Kuppeveld","given":"Frank J. M.","non-dropping-particle":"van","parse-names":false,"suffix":""}],"container-title":"mSphere","id":"ITEM-5","issue":"3","issued":{"date-parts":[["2016"]]},"page":"e00068-16","title":"Mutations in Encephalomyocarditis Virus 3A Protein Uncouple the Dependency of Genome Replication on Host Factors Phosphatidylinositol 4-Kinase IIIα and Oxysterol-Binding Protein","type":"article-journal","volume":"1"},"uris":["http://www.mendeley.com/documents/?uuid=4353ecfe-2a5f-4fcd-969d-e5e04854ef39"]},{"id":"ITEM-6","itemData":{"DOI":"10.1016/j.antiviral.2018.06.017","ISSN":"18729096","PMID":"29981375","abstract":"Dengue virus (DENV) is associated with an estimated 390 million infections per year, occurring across approximately 100 countries in tropical and sub-tropical regions. To date, there are no antiviral drugs or specific therapies to treat DENV infection. Posaconazole and itraconazole are potent antifungal drugs that inhibit ergosterol biosynthesis in fungal cells, but also target a number of human proteins. Here, we show that itraconazole and posaconazole have antiviral activity against DENV. Posaconazole inhibited replication of multiple serotypes of DENV and the related flavivirus Zika virus, and reduced viral RNA replication, but not translation of the viral genome. We used a combination of knockdown and drug sensitization assays to define the molecular target of posaconazole that mediates its antiviral activity. We found that knockdown of oxysterol-binding protein (OSBP) inhibited DENV replication. Moreover, knockdown of OSBP, but not other known targets of posaconazole, enhanced the inhibitory effect of posaconazole. Our findings imply OSBP as a potential target for the development of antiviral compounds against DENV.","author":[{"dropping-particle":"","family":"Meutiawati","given":"Febrina","non-dropping-particle":"","parse-names":false,"suffix":""},{"dropping-particle":"","family":"Bezemer","given":"Bodine","non-dropping-particle":"","parse-names":false,"suffix":""},{"dropping-particle":"","family":"Strating","given":"Jeroen R.P.M.","non-dropping-particle":"","parse-names":false,"suffix":""},{"dropping-particle":"","family":"Overheul","given":"Gijs J.","non-dropping-particle":"","parse-names":false,"suffix":""},{"dropping-particle":"","family":"Žusinaite","given":"Eva","non-dropping-particle":"","parse-names":false,"suffix":""},{"dropping-particle":"","family":"Kuppeveld","given":"Frank J.M.","non-dropping-particle":"van","parse-names":false,"suffix":""},{"dropping-particle":"","family":"Cleef","given":"Koen W.R.","non-dropping-particle":"van","parse-names":false,"suffix":""},{"dropping-particle":"","family":"Rij","given":"Ronald P.","non-dropping-particle":"van","parse-names":false,"suffix":""}],"container-title":"Antiviral Research","id":"ITEM-6","issue":"July","issued":{"date-parts":[["2018"]]},"page":"68-79","title":"Posaconazole inhibits dengue virus replication by targeting oxysterol-binding protein","type":"article-journal","volume":"157"},"uris":["http://www.mendeley.com/documents/?uuid=5ba0eafa-a20d-44b1-b512-8af03bc16827"]}],"mendeley":{"formattedCitation":"(79–84)","plainTextFormattedCitation":"(79–84)","previouslyFormattedCitation":"(79–84)"},"properties":{"noteIndex":0},"schema":"https://github.com/citation-style-language/schema/raw/master/csl-citation.json"}</w:instrText>
      </w:r>
      <w:r>
        <w:fldChar w:fldCharType="separate"/>
      </w:r>
      <w:r w:rsidRPr="00287BFE">
        <w:rPr>
          <w:noProof/>
        </w:rPr>
        <w:t>(79–84)</w:t>
      </w:r>
      <w:r>
        <w:fldChar w:fldCharType="end"/>
      </w:r>
      <w:r>
        <w:t>.</w:t>
      </w:r>
      <w:r w:rsidR="0078225D">
        <w:t xml:space="preserve"> The cholesterol shuttling ability of OSBP is hijacked by these viruses in order to carry out efficient replication within the host cell</w:t>
      </w:r>
      <w:r w:rsidR="0078225D">
        <w:fldChar w:fldCharType="begin" w:fldLock="1"/>
      </w:r>
      <w:r w:rsidR="0078225D">
        <w:instrText>ADDIN CSL_CITATION {"citationItems":[{"id":"ITEM-1","itemData":{"DOI":"10.1128/JVI.00958-09","ISSN":"1098-5514","PMID":"19570870","abstract":"Hepatitis C virus (HCV) RNA genome replicates within the ribonucleoprotein (RNP) complex in the modified membranous structures extended from endoplasmic reticulum. A proteomic analysis of HCV RNP complexes revealed the association of oxysterol binding protein (OSBP) as one of the components of these complexes. OSBP interacted with the N-terminal domain I of the HCV NS5A protein and colocalized to the Golgi compartment with NS5A. An OSBP-specific short hairpin RNA that partially downregulated OSBP expression resulted in a decrease of the HCV particle release in culture supernatant with little effect on viral RNA replication. The pleckstrin homology (PH) domain located in the N-terminal region of OSBP targeted this protein to the Golgi apparatus. OSBP deletion mutation in the PH (DeltaPH) domain failed to localize to the Golgi apparatus and inhibited the HCV particle release. These studies suggest a possible functional role of OSBP in the HCV maturation process.","author":[{"dropping-particle":"","family":"Amako","given":"Yutaka","non-dropping-particle":"","parse-names":false,"suffix":""},{"dropping-particle":"","family":"Sarkeshik","given":"Ali","non-dropping-particle":"","parse-names":false,"suffix":""},{"dropping-particle":"","family":"Hotta","given":"Hak","non-dropping-particle":"","parse-names":false,"suffix":""},{"dropping-particle":"","family":"Yates","given":"John","non-dropping-particle":"","parse-names":false,"suffix":""},{"dropping-particle":"","family":"Siddiqui","given":"Aleem","non-dropping-particle":"","parse-names":false,"suffix":""}],"container-title":"Journal of virology","id":"ITEM-1","issue":"18","issued":{"date-parts":[["2009"]]},"page":"9237-46","title":"Role of oxysterol binding protein in hepatitis C virus infection.","type":"article-journal","volume":"83"},"uris":["http://www.mendeley.com/documents/?uuid=b42555ba-5653-4426-8131-965e75332162"]},{"id":"ITEM-2","itemData":{"DOI":"10.1128/JVI.03546-12","ISBN":"1098-5514 (Electronic)\\r0022-538X (Linking)","ISSN":"0022-538X","PMID":"23365445","abstract":"Enviroxime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ournal of Virology","id":"ITEM-2","issue":"8","issued":{"date-parts":[["2013"]]},"page":"4252-4260","title":"Oxysterol-Binding Protein Family I Is the Target of Minor Enviroxime-Like Compounds","type":"article-journal","volume":"87"},"uris":["http://www.mendeley.com/documents/?uuid=641d6d35-1865-4621-81e7-9210abc22b07"]},{"id":"ITEM-3","itemData":{"DOI":"10.1016/j.pmr.2014.05.001.Functional","ISBN":"0000287431","ISSN":"0000287431","PMID":"25792328","author":[{"dropping-particle":"","family":"Strating","given":"Jeroen R.P.M.","non-dropping-particle":"","parse-names":false,"suffix":""}],"id":"ITEM-3","issue":"3","issued":{"date-parts":[["2015"]]},"page":"1-30","title":"ITRACONAZOLE INHIBITS ENTEROVIRUS REPLICATION BY TARGETING THE OXYSTEROL-BINDING PROTEIN","type":"article-journal","volume":"25"},"uris":["http://www.mendeley.com/documents/?uuid=02c7ec4c-fc93-404c-a402-6abc8c747415"]},{"id":"ITEM-4","itemData":{"DOI":"10.1016/j.antiviral.2015.02.013","ISSN":"01663542","author":[{"dropping-particle":"","family":"Albulescu","given":"Lucian","non-dropping-particle":"","parse-names":false,"suffix":""},{"dropping-particle":"","family":"Strating","given":"Jeroen R.P.M.","non-dropping-particle":"","parse-names":false,"suffix":""},{"dropping-particle":"","family":"Thibaut","given":"Hendrik Jan","non-dropping-particle":"","parse-names":false,"suffix":""},{"dropping-particle":"Van Der","family":"Linden","given":"Lonneke","non-dropping-particle":"","parse-names":false,"suffix":""},{"dropping-particle":"","family":"Shair","given":"Matthew D.","non-dropping-particle":"","parse-names":false,"suffix":""},{"dropping-particle":"","family":"Neyts","given":"Johan","non-dropping-particle":"","parse-names":false,"suffix":""},{"dropping-particle":"","family":"Kuppeveld","given":"Frank J.M.","non-dropping-particle":"van","parse-names":false,"suffix":""}],"container-title":"Antiviral Research","id":"ITEM-4","issued":{"date-parts":[["2015"]]},"page":"110-114","publisher":"Elsevier B.V.","title":"Broad-range inhibition of enterovirus replication by OSW-1, a natural compound targeting OSBP","type":"article-journal","volume":"117"},"uris":["http://www.mendeley.com/documents/?uuid=a8e5b343-7cc9-4cc8-aca5-d1dc4c99b364"]},{"id":"ITEM-5","itemData":{"DOI":"10.1099/jmm.0.000518","ISSN":"00222615","PMID":"27303747","abstract":"&lt;p&gt; Positive-strand RNA [(+)RNA] viruses are true masters of reprogramming host lipid trafficking and synthesis to support virus genome replication. Via their membrane-associated 3A protein, picornaviruses of the genus &lt;italic&gt;Enterovirus&lt;/italic&gt; (e.g., poliovirus, coxsackievirus, and rhinovirus) subvert Golgi complex-localized phosphatidylinositol 4-kinase IIIβ (PI4KB) to generate “replication organelles” (ROs) enriched in phosphatidylinositol 4-phosphate (PI4P). PI4P lipids serve to accumulate oxysterol-binding protein (OSBP), which subsequently transfers cholesterol to the ROs in a PI4P-dependent manner. Single-point mutations in 3A render enteroviruses resistant to both PI4KB and OSBP inhibition, indicating coupled dependency on these host factors. Recently, we showed that encephalomyocarditis virus (EMCV), a picornavirus that belongs to the &lt;italic&gt;Cardiovirus&lt;/italic&gt; genus, also builds PI4P/cholesterol-enriched ROs. Like the hepatitis C virus (HCV) of the &lt;italic&gt;Flaviviridae&lt;/italic&gt; family, it does so by hijacking the endoplasmic reticulum (ER)-localized phosphatidylinositol 4-kinase IIIα (PI4KA). Here we provide genetic evidence for the critical involvement of EMCV protein 3A in this process &lt;italic&gt;.&lt;/italic&gt; Using a genetic screening approach, we selected EMCV mutants with single amino acid substitutions in 3A, which rescued RNA virus replication upon small interfering RNA (siRNA) knockdown or pharmacological inhibition of PI4KA. In the presence of PI4KA inhibitors, the mutants no longer induced PI4P, OSBP, or cholesterol accumulation at ROs, which aggregated into large cytoplasmic clusters &lt;italic&gt;.&lt;/italic&gt; In contrast to the enterovirus escape mutants, we observed little if any cross-resistance of EMCV mutants to OSBP inhibitors, indicating an uncoupled level of dependency of their RNA replication on PI4KA and OSBP activities. This report may contribute to a better understanding of the roles of PI4KA and OSBP in membrane modifications induced by (+)RNA viruses. &lt;/p&gt;","author":[{"dropping-particle":"","family":"Dorobantu","given":"Cristina M.","non-dropping-particle":"","parse-names":false,"suffix":""},{"dropping-particle":"","family":"Albulescu","given":"Lucian","non-dropping-particle":"","parse-names":false,"suffix":""},{"dropping-particle":"","family":"Lyoo","given":"Heyrhyoung","non-dropping-particle":"","parse-names":false,"suffix":""},{"dropping-particle":"","family":"Kampen","given":"Mirjam","non-dropping-particle":"van","parse-names":false,"suffix":""},{"dropping-particle":"","family":"Francesco","given":"Raffaele","non-dropping-particle":"De","parse-names":false,"suffix":""},{"dropping-particle":"","family":"Lohmann","given":"Volker","non-dropping-particle":"","parse-names":false,"suffix":""},{"dropping-particle":"","family":"Harak","given":"Christian","non-dropping-particle":"","parse-names":false,"suffix":""},{"dropping-particle":"","family":"Schaar","given":"Hilde M.","non-dropping-particle":"van der","parse-names":false,"suffix":""},{"dropping-particle":"","family":"Strating","given":"Jeroen R. P. M.","non-dropping-particle":"","parse-names":false,"suffix":""},{"dropping-particle":"","family":"Gorbalenya","given":"Alexander E.","non-dropping-particle":"","parse-names":false,"suffix":""},{"dropping-particle":"","family":"Kuppeveld","given":"Frank J. M.","non-dropping-particle":"van","parse-names":false,"suffix":""}],"container-title":"mSphere","id":"ITEM-5","issue":"3","issued":{"date-parts":[["2016"]]},"page":"e00068-16","title":"Mutations in Encephalomyocarditis Virus 3A Protein Uncouple the Dependency of Genome Replication on Host Factors Phosphatidylinositol 4-Kinase IIIα and Oxysterol-Binding Protein","type":"article-journal","volume":"1"},"uris":["http://www.mendeley.com/documents/?uuid=4353ecfe-2a5f-4fcd-969d-e5e04854ef39"]},{"id":"ITEM-6","itemData":{"DOI":"10.1016/j.antiviral.2018.06.017","ISSN":"18729096","PMID":"29981375","abstract":"Dengue virus (DENV) is associated with an estimated 390 million infections per year, occurring across approximately 100 countries in tropical and sub-tropical regions. To date, there are no antiviral drugs or specific therapies to treat DENV infection. Posaconazole and itraconazole are potent antifungal drugs that inhibit ergosterol biosynthesis in fungal cells, but also target a number of human proteins. Here, we show that itraconazole and posaconazole have antiviral activity against DENV. Posaconazole inhibited replication of multiple serotypes of DENV and the related flavivirus Zika virus, and reduced viral RNA replication, but not translation of the viral genome. We used a combination of knockdown and drug sensitization assays to define the molecular target of posaconazole that mediates its antiviral activity. We found that knockdown of oxysterol-binding protein (OSBP) inhibited DENV replication. Moreover, knockdown of OSBP, but not other known targets of posaconazole, enhanced the inhibitory effect of posaconazole. Our findings imply OSBP as a potential target for the development of antiviral compounds against DENV.","author":[{"dropping-particle":"","family":"Meutiawati","given":"Febrina","non-dropping-particle":"","parse-names":false,"suffix":""},{"dropping-particle":"","family":"Bezemer","given":"Bodine","non-dropping-particle":"","parse-names":false,"suffix":""},{"dropping-particle":"","family":"Strating","given":"Jeroen R.P.M.","non-dropping-particle":"","parse-names":false,"suffix":""},{"dropping-particle":"","family":"Overheul","given":"Gijs J.","non-dropping-particle":"","parse-names":false,"suffix":""},{"dropping-particle":"","family":"Žusinaite","given":"Eva","non-dropping-particle":"","parse-names":false,"suffix":""},{"dropping-particle":"","family":"Kuppeveld","given":"Frank J.M.","non-dropping-particle":"van","parse-names":false,"suffix":""},{"dropping-particle":"","family":"Cleef","given":"Koen W.R.","non-dropping-particle":"van","parse-names":false,"suffix":""},{"dropping-particle":"","family":"Rij","given":"Ronald P.","non-dropping-particle":"van","parse-names":false,"suffix":""}],"container-title":"Antiviral Research","id":"ITEM-6","issue":"July","issued":{"date-parts":[["2018"]]},"page":"68-79","title":"Posaconazole inhibits dengue virus replication by targeting oxysterol-binding protein","type":"article-journal","volume":"157"},"uris":["http://www.mendeley.com/documents/?uuid=5ba0eafa-a20d-44b1-b512-8af03bc16827"]}],"mendeley":{"formattedCitation":"(79–84)","plainTextFormattedCitation":"(79–84)","previouslyFormattedCitation":"(79–84)"},"properties":{"noteIndex":0},"schema":"https://github.com/citation-style-language/schema/raw/master/csl-citation.json"}</w:instrText>
      </w:r>
      <w:r w:rsidR="0078225D">
        <w:fldChar w:fldCharType="separate"/>
      </w:r>
      <w:r w:rsidR="0078225D" w:rsidRPr="00287BFE">
        <w:rPr>
          <w:noProof/>
        </w:rPr>
        <w:t>(79–84)</w:t>
      </w:r>
      <w:r w:rsidR="0078225D">
        <w:fldChar w:fldCharType="end"/>
      </w:r>
      <w:r w:rsidR="0078225D">
        <w:t xml:space="preserve">. To date OSBP function has been shown to be important in the replication of Hepatitis C, </w:t>
      </w:r>
      <w:r w:rsidR="0078225D">
        <w:rPr>
          <w:i/>
        </w:rPr>
        <w:t>Enterovirus</w:t>
      </w:r>
      <w:r w:rsidR="0078225D">
        <w:t xml:space="preserve"> genus, </w:t>
      </w:r>
      <w:r w:rsidR="0078225D" w:rsidRPr="00737D20">
        <w:rPr>
          <w:rFonts w:cstheme="minorHAnsi"/>
        </w:rPr>
        <w:t>Encephalomyocarditis</w:t>
      </w:r>
      <w:r w:rsidR="0078225D">
        <w:rPr>
          <w:rFonts w:cstheme="minorHAnsi"/>
        </w:rPr>
        <w:t>, and Dengue viruses</w:t>
      </w:r>
      <w:r w:rsidR="0078225D">
        <w:fldChar w:fldCharType="begin" w:fldLock="1"/>
      </w:r>
      <w:r w:rsidR="0078225D">
        <w:instrText>ADDIN CSL_CITATION {"citationItems":[{"id":"ITEM-1","itemData":{"DOI":"10.1128/JVI.00958-09","ISSN":"1098-5514","PMID":"19570870","abstract":"Hepatitis C virus (HCV) RNA genome replicates within the ribonucleoprotein (RNP) complex in the modified membranous structures extended from endoplasmic reticulum. A proteomic analysis of HCV RNP complexes revealed the association of oxysterol binding protein (OSBP) as one of the components of these complexes. OSBP interacted with the N-terminal domain I of the HCV NS5A protein and colocalized to the Golgi compartment with NS5A. An OSBP-specific short hairpin RNA that partially downregulated OSBP expression resulted in a decrease of the HCV particle release in culture supernatant with little effect on viral RNA replication. The pleckstrin homology (PH) domain located in the N-terminal region of OSBP targeted this protein to the Golgi apparatus. OSBP deletion mutation in the PH (DeltaPH) domain failed to localize to the Golgi apparatus and inhibited the HCV particle release. These studies suggest a possible functional role of OSBP in the HCV maturation process.","author":[{"dropping-particle":"","family":"Amako","given":"Yutaka","non-dropping-particle":"","parse-names":false,"suffix":""},{"dropping-particle":"","family":"Sarkeshik","given":"Ali","non-dropping-particle":"","parse-names":false,"suffix":""},{"dropping-particle":"","family":"Hotta","given":"Hak","non-dropping-particle":"","parse-names":false,"suffix":""},{"dropping-particle":"","family":"Yates","given":"John","non-dropping-particle":"","parse-names":false,"suffix":""},{"dropping-particle":"","family":"Siddiqui","given":"Aleem","non-dropping-particle":"","parse-names":false,"suffix":""}],"container-title":"Journal of virology","id":"ITEM-1","issue":"18","issued":{"date-parts":[["2009"]]},"page":"9237-46","title":"Role of oxysterol binding protein in hepatitis C virus infection.","type":"article-journal","volume":"83"},"uris":["http://www.mendeley.com/documents/?uuid=b42555ba-5653-4426-8131-965e75332162"]},{"id":"ITEM-2","itemData":{"DOI":"10.1128/JVI.03546-12","ISBN":"1098-5514 (Electronic)\\r0022-538X (Linking)","ISSN":"0022-538X","PMID":"23365445","abstract":"Enviroxime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ournal of Virology","id":"ITEM-2","issue":"8","issued":{"date-parts":[["2013"]]},"page":"4252-4260","title":"Oxysterol-Binding Protein Family I Is the Target of Minor Enviroxime-Like Compounds","type":"article-journal","volume":"87"},"uris":["http://www.mendeley.com/documents/?uuid=641d6d35-1865-4621-81e7-9210abc22b07"]},{"id":"ITEM-3","itemData":{"DOI":"10.1016/j.pmr.2014.05.001.Functional","ISBN":"0000287431","ISSN":"0000287431","PMID":"25792328","author":[{"dropping-particle":"","family":"Strating","given":"Jeroen R.P.M.","non-dropping-particle":"","parse-names":false,"suffix":""}],"id":"ITEM-3","issue":"3","issued":{"date-parts":[["2015"]]},"page":"1-30","title":"ITRACONAZOLE INHIBITS ENTEROVIRUS REPLICATION BY TARGETING THE OXYSTEROL-BINDING PROTEIN","type":"article-journal","volume":"25"},"uris":["http://www.mendeley.com/documents/?uuid=02c7ec4c-fc93-404c-a402-6abc8c747415"]},{"id":"ITEM-4","itemData":{"DOI":"10.1016/j.antiviral.2015.02.013","ISSN":"01663542","author":[{"dropping-particle":"","family":"Albulescu","given":"Lucian","non-dropping-particle":"","parse-names":false,"suffix":""},{"dropping-particle":"","family":"Strating","given":"Jeroen R.P.M.","non-dropping-particle":"","parse-names":false,"suffix":""},{"dropping-particle":"","family":"Thibaut","given":"Hendrik Jan","non-dropping-particle":"","parse-names":false,"suffix":""},{"dropping-particle":"Van Der","family":"Linden","given":"Lonneke","non-dropping-particle":"","parse-names":false,"suffix":""},{"dropping-particle":"","family":"Shair","given":"Matthew D.","non-dropping-particle":"","parse-names":false,"suffix":""},{"dropping-particle":"","family":"Neyts","given":"Johan","non-dropping-particle":"","parse-names":false,"suffix":""},{"dropping-particle":"","family":"Kuppeveld","given":"Frank J.M.","non-dropping-particle":"van","parse-names":false,"suffix":""}],"container-title":"Antiviral Research","id":"ITEM-4","issued":{"date-parts":[["2015"]]},"page":"110-114","publisher":"Elsevier B.V.","title":"Broad-range inhibition of enterovirus replication by OSW-1, a natural compound targeting OSBP","type":"article-journal","volume":"117"},"uris":["http://www.mendeley.com/documents/?uuid=a8e5b343-7cc9-4cc8-aca5-d1dc4c99b364"]},{"id":"ITEM-5","itemData":{"DOI":"10.1099/jmm.0.000518","ISSN":"00222615","PMID":"27303747","abstract":"&lt;p&gt; Positive-strand RNA [(+)RNA] viruses are true masters of reprogramming host lipid trafficking and synthesis to support virus genome replication. Via their membrane-associated 3A protein, picornaviruses of the genus &lt;italic&gt;Enterovirus&lt;/italic&gt; (e.g., poliovirus, coxsackievirus, and rhinovirus) subvert Golgi complex-localized phosphatidylinositol 4-kinase IIIβ (PI4KB) to generate “replication organelles” (ROs) enriched in phosphatidylinositol 4-phosphate (PI4P). PI4P lipids serve to accumulate oxysterol-binding protein (OSBP), which subsequently transfers cholesterol to the ROs in a PI4P-dependent manner. Single-point mutations in 3A render enteroviruses resistant to both PI4KB and OSBP inhibition, indicating coupled dependency on these host factors. Recently, we showed that encephalomyocarditis virus (EMCV), a picornavirus that belongs to the &lt;italic&gt;Cardiovirus&lt;/italic&gt; genus, also builds PI4P/cholesterol-enriched ROs. Like the hepatitis C virus (HCV) of the &lt;italic&gt;Flaviviridae&lt;/italic&gt; family, it does so by hijacking the endoplasmic reticulum (ER)-localized phosphatidylinositol 4-kinase IIIα (PI4KA). Here we provide genetic evidence for the critical involvement of EMCV protein 3A in this process &lt;italic&gt;.&lt;/italic&gt; Using a genetic screening approach, we selected EMCV mutants with single amino acid substitutions in 3A, which rescued RNA virus replication upon small interfering RNA (siRNA) knockdown or pharmacological inhibition of PI4KA. In the presence of PI4KA inhibitors, the mutants no longer induced PI4P, OSBP, or cholesterol accumulation at ROs, which aggregated into large cytoplasmic clusters &lt;italic&gt;.&lt;/italic&gt; In contrast to the enterovirus escape mutants, we observed little if any cross-resistance of EMCV mutants to OSBP inhibitors, indicating an uncoupled level of dependency of their RNA replication on PI4KA and OSBP activities. This report may contribute to a better understanding of the roles of PI4KA and OSBP in membrane modifications induced by (+)RNA viruses. &lt;/p&gt;","author":[{"dropping-particle":"","family":"Dorobantu","given":"Cristina M.","non-dropping-particle":"","parse-names":false,"suffix":""},{"dropping-particle":"","family":"Albulescu","given":"Lucian","non-dropping-particle":"","parse-names":false,"suffix":""},{"dropping-particle":"","family":"Lyoo","given":"Heyrhyoung","non-dropping-particle":"","parse-names":false,"suffix":""},{"dropping-particle":"","family":"Kampen","given":"Mirjam","non-dropping-particle":"van","parse-names":false,"suffix":""},{"dropping-particle":"","family":"Francesco","given":"Raffaele","non-dropping-particle":"De","parse-names":false,"suffix":""},{"dropping-particle":"","family":"Lohmann","given":"Volker","non-dropping-particle":"","parse-names":false,"suffix":""},{"dropping-particle":"","family":"Harak","given":"Christian","non-dropping-particle":"","parse-names":false,"suffix":""},{"dropping-particle":"","family":"Schaar","given":"Hilde M.","non-dropping-particle":"van der","parse-names":false,"suffix":""},{"dropping-particle":"","family":"Strating","given":"Jeroen R. P. M.","non-dropping-particle":"","parse-names":false,"suffix":""},{"dropping-particle":"","family":"Gorbalenya","given":"Alexander E.","non-dropping-particle":"","parse-names":false,"suffix":""},{"dropping-particle":"","family":"Kuppeveld","given":"Frank J. M.","non-dropping-particle":"van","parse-names":false,"suffix":""}],"container-title":"mSphere","id":"ITEM-5","issue":"3","issued":{"date-parts":[["2016"]]},"page":"e00068-16","title":"Mutations in Encephalomyocarditis Virus 3A Protein Uncouple the Dependency of Genome Replication on Host Factors Phosphatidylinositol 4-Kinase IIIα and Oxysterol-Binding Protein","type":"article-journal","volume":"1"},"uris":["http://www.mendeley.com/documents/?uuid=4353ecfe-2a5f-4fcd-969d-e5e04854ef39"]},{"id":"ITEM-6","itemData":{"DOI":"10.1016/j.antiviral.2018.06.017","ISSN":"18729096","PMID":"29981375","abstract":"Dengue virus (DENV) is associated with an estimated 390 million infections per year, occurring across approximately 100 countries in tropical and sub-tropical regions. To date, there are no antiviral drugs or specific therapies to treat DENV infection. Posaconazole and itraconazole are potent antifungal drugs that inhibit ergosterol biosynthesis in fungal cells, but also target a number of human proteins. Here, we show that itraconazole and posaconazole have antiviral activity against DENV. Posaconazole inhibited replication of multiple serotypes of DENV and the related flavivirus Zika virus, and reduced viral RNA replication, but not translation of the viral genome. We used a combination of knockdown and drug sensitization assays to define the molecular target of posaconazole that mediates its antiviral activity. We found that knockdown of oxysterol-binding protein (OSBP) inhibited DENV replication. Moreover, knockdown of OSBP, but not other known targets of posaconazole, enhanced the inhibitory effect of posaconazole. Our findings imply OSBP as a potential target for the development of antiviral compounds against DENV.","author":[{"dropping-particle":"","family":"Meutiawati","given":"Febrina","non-dropping-particle":"","parse-names":false,"suffix":""},{"dropping-particle":"","family":"Bezemer","given":"Bodine","non-dropping-particle":"","parse-names":false,"suffix":""},{"dropping-particle":"","family":"Strating","given":"Jeroen R.P.M.","non-dropping-particle":"","parse-names":false,"suffix":""},{"dropping-particle":"","family":"Overheul","given":"Gijs J.","non-dropping-particle":"","parse-names":false,"suffix":""},{"dropping-particle":"","family":"Žusinaite","given":"Eva","non-dropping-particle":"","parse-names":false,"suffix":""},{"dropping-particle":"","family":"Kuppeveld","given":"Frank J.M.","non-dropping-particle":"van","parse-names":false,"suffix":""},{"dropping-particle":"","family":"Cleef","given":"Koen W.R.","non-dropping-particle":"van","parse-names":false,"suffix":""},{"dropping-particle":"","family":"Rij","given":"Ronald P.","non-dropping-particle":"van","parse-names":false,"suffix":""}],"container-title":"Antiviral Research","id":"ITEM-6","issue":"July","issued":{"date-parts":[["2018"]]},"page":"68-79","title":"Posaconazole inhibits dengue virus replication by targeting oxysterol-binding protein","type":"article-journal","volume":"157"},"uris":["http://www.mendeley.com/documents/?uuid=5ba0eafa-a20d-44b1-b512-8af03bc16827"]}],"mendeley":{"formattedCitation":"(79–84)","plainTextFormattedCitation":"(79–84)","previouslyFormattedCitation":"(79–84)"},"properties":{"noteIndex":0},"schema":"https://github.com/citation-style-language/schema/raw/master/csl-citation.json"}</w:instrText>
      </w:r>
      <w:r w:rsidR="0078225D">
        <w:fldChar w:fldCharType="separate"/>
      </w:r>
      <w:r w:rsidR="0078225D" w:rsidRPr="00287BFE">
        <w:rPr>
          <w:noProof/>
        </w:rPr>
        <w:t>(79–84)</w:t>
      </w:r>
      <w:r w:rsidR="0078225D">
        <w:fldChar w:fldCharType="end"/>
      </w:r>
      <w:r w:rsidR="0078225D">
        <w:rPr>
          <w:rFonts w:cstheme="minorHAnsi"/>
        </w:rPr>
        <w:t xml:space="preserve">. </w:t>
      </w:r>
      <w:r w:rsidR="0078225D">
        <w:t xml:space="preserve">   </w:t>
      </w:r>
      <w:r>
        <w:t xml:space="preserve"> </w:t>
      </w:r>
    </w:p>
    <w:p w:rsidR="00961548" w:rsidRPr="00AE0583" w:rsidRDefault="00961548" w:rsidP="00FB099D">
      <w:pPr>
        <w:pStyle w:val="Heading4"/>
        <w:jc w:val="both"/>
        <w:rPr>
          <w:b w:val="0"/>
          <w:i/>
          <w:sz w:val="24"/>
        </w:rPr>
      </w:pPr>
      <w:r w:rsidRPr="00AE0583">
        <w:rPr>
          <w:b w:val="0"/>
          <w:i/>
          <w:sz w:val="24"/>
        </w:rPr>
        <w:t>Hepatitis C Virus</w:t>
      </w:r>
    </w:p>
    <w:p w:rsidR="00961548" w:rsidRPr="00737D20" w:rsidRDefault="00961548" w:rsidP="00FB099D">
      <w:pPr>
        <w:ind w:firstLine="720"/>
        <w:jc w:val="both"/>
        <w:rPr>
          <w:rFonts w:cstheme="minorHAnsi"/>
        </w:rPr>
      </w:pPr>
      <w:r>
        <w:t xml:space="preserve">Hepatitis C </w:t>
      </w:r>
      <w:r w:rsidR="005077E9">
        <w:t xml:space="preserve">(HCV) </w:t>
      </w:r>
      <w:r>
        <w:t xml:space="preserve">virus is a member of the </w:t>
      </w:r>
      <w:r w:rsidRPr="00995672">
        <w:t>Flaviviridae</w:t>
      </w:r>
      <w:r w:rsidRPr="00737D20">
        <w:rPr>
          <w:i/>
        </w:rPr>
        <w:t xml:space="preserve"> </w:t>
      </w:r>
      <w:r>
        <w:t>family that has no preventable treatment other than host behavior changes</w:t>
      </w:r>
      <w:r w:rsidR="005077E9">
        <w:t>.</w:t>
      </w:r>
      <w:r>
        <w:t xml:space="preserve"> </w:t>
      </w:r>
      <w:r w:rsidR="005077E9">
        <w:t>HCV</w:t>
      </w:r>
      <w:r>
        <w:t xml:space="preserve"> currently infects about 3% of the world population</w:t>
      </w:r>
      <w:r w:rsidRPr="00737D20">
        <w:rPr>
          <w:vertAlign w:val="superscript"/>
        </w:rPr>
        <w:fldChar w:fldCharType="begin" w:fldLock="1"/>
      </w:r>
      <w:r w:rsidR="0078225D">
        <w:rPr>
          <w:vertAlign w:val="superscript"/>
        </w:rPr>
        <w:instrText>ADDIN CSL_CITATION {"citationItems":[{"id":"ITEM-1","itemData":{"DOI":"10.1186/1743-422X-7-296","ISBN":"1743-422X","ISSN":"1743-422X","PMID":"21040548","abstract":"Hepatitis C virus (HCV) is a member of Flaviviridae family and one of the major causes of liver disease. There are about 175 million HCV infected patients worldwide that constitute 3% of world's population. The main route of HCV transmission is parental however 90% intravenous drug users are at highest risk. Standard interferon and ribavirin remained a gold standard of chronic HCV treatment having 38-43% sustained virological response rates. Currently the standard therapy for HCV is pegylated interferon (PEG-INF) with ribavirin. This therapy achieves 50% sustained virological response (SVR) for genotype 1 and 80% for genotype 2 &amp; 3. As pegylated interferon is expensive, standard interferon is still the main therapy for HCV treatment in under developed countries. On the other hand, studies showed that pegylated IFN and RBV therapy has severe side effects like hematological complications. Herbal medicines (laccase, proanthocyandin, Rhodiola kirilowii) are also being in use as a natural and alternative way for treatment of HCV but there is not a single significant report documented yet. Best SVR indicators are genotype 3 and 2, &lt; 0.2 million IU/mL pretreatment viral load, rapid virological response (RVR) rate and age &lt;40 years. New therapeutic approaches are under study like interferon related systems, modified forms of ribavirin, internal ribosome entry site (HCV IRES) inhibitors, NS3 and NS5a inhibitors, novel immunomodulators and specifically targeted anti-viral therapy for hepatitis C compounds. More remedial therapies include caspase inhibitors, anti-fibrotic agents, antibody treatment and vaccines. (copyright) 2010 Munir et al; licensee BioMed Central Ltd.","author":[{"dropping-particle":"","family":"Munir","given":"S","non-dropping-particle":"","parse-names":false,"suffix":""},{"dropping-particle":"","family":"Saleem","given":"S","non-dropping-particle":"","parse-names":false,"suffix":""},{"dropping-particle":"","family":"Idrees","given":"M","non-dropping-particle":"","parse-names":false,"suffix":""},{"dropping-particle":"","family":"Tariq","given":"A","non-dropping-particle":"","parse-names":false,"suffix":""},{"dropping-particle":"","family":"Butt","given":"S","non-dropping-particle":"","parse-names":false,"suffix":""},{"dropping-particle":"","family":"Rauff","given":"B","non-dropping-particle":"","parse-names":false,"suffix":""},{"dropping-particle":"","family":"Hussain","given":"A","non-dropping-particle":"","parse-names":false,"suffix":""},{"dropping-particle":"","family":"Badar","given":"S","non-dropping-particle":"","parse-names":false,"suffix":""},{"dropping-particle":"","family":"Naudhani","given":"M","non-dropping-particle":"","parse-names":false,"suffix":""},{"dropping-particle":"","family":"Fatima","given":"Z","non-dropping-particle":"","parse-names":false,"suffix":""},{"dropping-particle":"","family":"Ali","given":"M","non-dropping-particle":"","parse-names":false,"suffix":""},{"dropping-particle":"","family":"Ali","given":"L","non-dropping-particle":"","parse-names":false,"suffix":""},{"dropping-particle":"","family":"Akram","given":"M","non-dropping-particle":"","parse-names":false,"suffix":""},{"dropping-particle":"","family":"Aftab","given":"M","non-dropping-particle":"","parse-names":false,"suffix":""},{"dropping-particle":"","family":"Khubaib","given":"B","non-dropping-particle":"","parse-names":false,"suffix":""},{"dropping-particle":"","family":"Awan","given":"Z","non-dropping-particle":"","parse-names":false,"suffix":""}],"container-title":"Virology Journal","id":"ITEM-1","issue":"1","issued":{"date-parts":[["2010"]]},"page":"1-6","title":"Hepatitis C Treatment: Current and future perspectives","type":"article-journal","volume":"7"},"uris":["http://www.mendeley.com/documents/?uuid=fde11fd2-d92b-49bd-a681-21580c3efc94"]}],"mendeley":{"formattedCitation":"(85)","plainTextFormattedCitation":"(85)","previouslyFormattedCitation":"(85)"},"properties":{"noteIndex":0},"schema":"https://github.com/citation-style-language/schema/raw/master/csl-citation.json"}</w:instrText>
      </w:r>
      <w:r w:rsidRPr="00737D20">
        <w:rPr>
          <w:vertAlign w:val="superscript"/>
        </w:rPr>
        <w:fldChar w:fldCharType="separate"/>
      </w:r>
      <w:r w:rsidR="00287BFE" w:rsidRPr="00287BFE">
        <w:rPr>
          <w:noProof/>
        </w:rPr>
        <w:t>(85)</w:t>
      </w:r>
      <w:r w:rsidRPr="00737D20">
        <w:rPr>
          <w:vertAlign w:val="superscript"/>
        </w:rPr>
        <w:fldChar w:fldCharType="end"/>
      </w:r>
      <w:r>
        <w:t>. HCV was one of the first viruses that was linked to OSBP’s ability to shuttle cholesterol</w:t>
      </w:r>
      <w:r w:rsidRPr="00737D20">
        <w:rPr>
          <w:vertAlign w:val="superscript"/>
        </w:rPr>
        <w:fldChar w:fldCharType="begin" w:fldLock="1"/>
      </w:r>
      <w:r w:rsidR="0078225D">
        <w:rPr>
          <w:vertAlign w:val="superscript"/>
        </w:rPr>
        <w:instrText>ADDIN CSL_CITATION {"citationItems":[{"id":"ITEM-1","itemData":{"DOI":"10.1128/JVI.00958-09","ISSN":"1098-5514","PMID":"19570870","abstract":"Hepatitis C virus (HCV) RNA genome replicates within the ribonucleoprotein (RNP) complex in the modified membranous structures extended from endoplasmic reticulum. A proteomic analysis of HCV RNP complexes revealed the association of oxysterol binding protein (OSBP) as one of the components of these complexes. OSBP interacted with the N-terminal domain I of the HCV NS5A protein and colocalized to the Golgi compartment with NS5A. An OSBP-specific short hairpin RNA that partially downregulated OSBP expression resulted in a decrease of the HCV particle release in culture supernatant with little effect on viral RNA replication. The pleckstrin homology (PH) domain located in the N-terminal region of OSBP targeted this protein to the Golgi apparatus. OSBP deletion mutation in the PH (DeltaPH) domain failed to localize to the Golgi apparatus and inhibited the HCV particle release. These studies suggest a possible functional role of OSBP in the HCV maturation process.","author":[{"dropping-particle":"","family":"Amako","given":"Yutaka","non-dropping-particle":"","parse-names":false,"suffix":""},{"dropping-particle":"","family":"Sarkeshik","given":"Ali","non-dropping-particle":"","parse-names":false,"suffix":""},{"dropping-particle":"","family":"Hotta","given":"Hak","non-dropping-particle":"","parse-names":false,"suffix":""},{"dropping-particle":"","family":"Yates","given":"John","non-dropping-particle":"","parse-names":false,"suffix":""},{"dropping-particle":"","family":"Siddiqui","given":"Aleem","non-dropping-particle":"","parse-names":false,"suffix":""}],"container-title":"Journal of virology","id":"ITEM-1","issue":"18","issued":{"date-parts":[["2009"]]},"page":"9237-46","title":"Role of oxysterol binding protein in hepatitis C virus infection.","type":"article-journal","volume":"83"},"uris":["http://www.mendeley.com/documents/?uuid=b42555ba-5653-4426-8131-965e75332162"]}],"mendeley":{"formattedCitation":"(79)","plainTextFormattedCitation":"(79)","previouslyFormattedCitation":"(79)"},"properties":{"noteIndex":0},"schema":"https://github.com/citation-style-language/schema/raw/master/csl-citation.json"}</w:instrText>
      </w:r>
      <w:r w:rsidRPr="00737D20">
        <w:rPr>
          <w:vertAlign w:val="superscript"/>
        </w:rPr>
        <w:fldChar w:fldCharType="separate"/>
      </w:r>
      <w:r w:rsidR="00287BFE" w:rsidRPr="00287BFE">
        <w:rPr>
          <w:noProof/>
        </w:rPr>
        <w:t>(79)</w:t>
      </w:r>
      <w:r w:rsidRPr="00737D20">
        <w:rPr>
          <w:vertAlign w:val="superscript"/>
        </w:rPr>
        <w:fldChar w:fldCharType="end"/>
      </w:r>
      <w:r>
        <w:t>. HCV is a positive-sense strand RNA virus that forms a protrusion replication organelle (RO), where the donor membrane is bent into the cytoplasm</w:t>
      </w:r>
      <w:r w:rsidRPr="00737D20">
        <w:rPr>
          <w:vertAlign w:val="superscript"/>
        </w:rPr>
        <w:fldChar w:fldCharType="begin" w:fldLock="1"/>
      </w:r>
      <w:r w:rsidR="0078225D">
        <w:rPr>
          <w:vertAlign w:val="superscript"/>
        </w:rPr>
        <w:instrText>ADDIN CSL_CITATION {"citationItems":[{"id":"ITEM-1","itemData":{"DOI":"10.1016/j.ceb.2017.02.005","ISBN":"1879-0410 (Electronic)\r0955-0674 (Linking)","ISSN":"18790410","PMID":"28242560","abstract":"Positive-strand RNA (+RNA) viruses (e.g. poliovirus, hepatitis C virus, dengue virus, SARS-coronavirus) remodel cellular membranes to form so-called viral replication compartments (VRCs), which are the sites where viral RNA genome replication takes place. To induce VRC formation, these viruses extensively rewire lipid metabolism. Disparate viruses have many commonalities as well as disparities in their interactions with the host lipidome and accumulate specific sets of lipids (sterols, glycerophospholipids, sphingolipids) at their VRCs. Recent years have seen an upsurge in studies investigating the role of lipids in +RNA virus replication, in particular of sterols, and uncovered that membrane contact sites and lipid transfer proteins are hijacked by viruses and play pivotal roles in VRC formation.","author":[{"dropping-particle":"","family":"Strating","given":"Jeroen RPM","non-dropping-particle":"","parse-names":false,"suffix":""},{"dropping-particle":"","family":"Kuppeveld","given":"Frank JM","non-dropping-particle":"van","parse-names":false,"suffix":""}],"container-title":"Current Opinion in Cell Biology","id":"ITEM-1","issued":{"date-parts":[["2017"]]},"page":"24-33","publisher":"Elsevier Ltd","title":"Viral rewiring of cellular lipid metabolism to create membranous replication compartments","type":"article-journal","volume":"47"},"uris":["http://www.mendeley.com/documents/?uuid=abe6984f-49e0-489b-8ae5-64a2883681d2"]}],"mendeley":{"formattedCitation":"(86)","plainTextFormattedCitation":"(86)","previouslyFormattedCitation":"(86)"},"properties":{"noteIndex":0},"schema":"https://github.com/citation-style-language/schema/raw/master/csl-citation.json"}</w:instrText>
      </w:r>
      <w:r w:rsidRPr="00737D20">
        <w:rPr>
          <w:vertAlign w:val="superscript"/>
        </w:rPr>
        <w:fldChar w:fldCharType="separate"/>
      </w:r>
      <w:r w:rsidR="00287BFE" w:rsidRPr="00287BFE">
        <w:rPr>
          <w:noProof/>
        </w:rPr>
        <w:t>(86)</w:t>
      </w:r>
      <w:r w:rsidRPr="00737D20">
        <w:rPr>
          <w:vertAlign w:val="superscript"/>
        </w:rPr>
        <w:fldChar w:fldCharType="end"/>
      </w:r>
      <w:r>
        <w:t>. These ROs can be single or double membraned structures that are dynamic and form membranous webs with their integrity based on cholesterol and PI4P</w:t>
      </w:r>
      <w:r w:rsidRPr="00737D20">
        <w:rPr>
          <w:vertAlign w:val="superscript"/>
        </w:rPr>
        <w:fldChar w:fldCharType="begin" w:fldLock="1"/>
      </w:r>
      <w:r w:rsidR="0078225D">
        <w:rPr>
          <w:vertAlign w:val="superscript"/>
        </w:rPr>
        <w:instrText>ADDIN CSL_CITATION {"citationItems":[{"id":"ITEM-1","itemData":{"DOI":"10.1016/j.tim.2016.02.017","ISBN":"1878-4380 (Electronic)\\r0966-842X (Linking)","ISSN":"18784380","PMID":"27020598","abstract":"All viruses that carry a positive-sense RNA genome (+RNA), such as picornaviruses, hepatitis C virus, dengue virus, and SARS- and MERS-coronavirus, confiscate intracellular membranes of the host cell to generate new compartments (i.e., replication organelles) for amplification of their genome. Replication organelles (ROs) are membranous structures that not only harbor viral proteins but also contain a specific array of hijacked host factors that create a unique lipid microenvironment optimal for genome replication. While some lipids may be locally synthesized de novo, other lipids are shuttled towards ROs. In picornavirus-infected cells, lipids are exchanged at membrane contact sites between ROs and other organelles. In this paper, we review recent advances in our understanding of how picornaviruses exploit host membrane contact site machinery to generate ROs, a mechanism that is used by some other +RNA viruses as well.","author":[{"dropping-particle":"","family":"Schaar","given":"Hilde M.","non-dropping-particle":"van der","parse-names":false,"suffix":""},{"dropping-particle":"","family":"Dorobantu","given":"Cristina M.","non-dropping-particle":"","parse-names":false,"suffix":""},{"dropping-particle":"","family":"Albulescu","given":"Lucian","non-dropping-particle":"","parse-names":false,"suffix":""},{"dropping-particle":"","family":"Strating","given":"Jeroen R.P.M.","non-dropping-particle":"","parse-names":false,"suffix":""},{"dropping-particle":"","family":"Kuppeveld","given":"Frank J.M.","non-dropping-particle":"van","parse-names":false,"suffix":""}],"container-title":"Trends in Microbiology","id":"ITEM-1","issue":"7","issued":{"date-parts":[["2016"]]},"page":"535-546","publisher":"Elsevier Ltd","title":"Fat(al) attraction: Picornaviruses Usurp Lipid Transfer at Membrane Contact Sites to Create Replication Organelles","type":"article-journal","volume":"24"},"uris":["http://www.mendeley.com/documents/?uuid=ac0130d0-3e6c-47e6-911c-3ade142c8d5c"]},{"id":"ITEM-2","itemData":{"DOI":"10.1371/journal.ppat.1005912","ISSN":"15537374","PMID":"27788266","abstract":"Positive-strand (+)RNA viruses are important and emerging pathogens of humans, animals, and plants. Upon infection, they induce the formation of specialized membranous replication organelles with unique lipid composition to facilitate robust virusreplication. In this article, the authors discuss the proviral role of virus-induced membrane contact sites (vMCSs). The emerging picture is that vMCSs channel lipids to viral membranes and tune the lipid composition for optimal generation and functioning of replication organelles","author":[{"dropping-particle":"","family":"Nagy","given":"Peter D.","non-dropping-particle":"","parse-names":false,"suffix":""},{"dropping-particle":"","family":"Strating","given":"Jeroen R.P.M.","non-dropping-particle":"","parse-names":false,"suffix":""},{"dropping-particle":"","family":"Kuppeveld","given":"Frank J.M.","non-dropping-particle":"van","parse-names":false,"suffix":""}],"container-title":"PLoS Pathogens","id":"ITEM-2","issue":"10","issued":{"date-parts":[["2016"]]},"page":"6-11","title":"Building Viral Replication Organelles: Close Encounters of the Membrane Types","type":"article-journal","volume":"12"},"uris":["http://www.mendeley.com/documents/?uuid=f0c329fd-94d7-47d8-85c2-36d1a13fe877"]}],"mendeley":{"formattedCitation":"(87, 88)","plainTextFormattedCitation":"(87, 88)","previouslyFormattedCitation":"(87, 88)"},"properties":{"noteIndex":0},"schema":"https://github.com/citation-style-language/schema/raw/master/csl-citation.json"}</w:instrText>
      </w:r>
      <w:r w:rsidRPr="00737D20">
        <w:rPr>
          <w:vertAlign w:val="superscript"/>
        </w:rPr>
        <w:fldChar w:fldCharType="separate"/>
      </w:r>
      <w:r w:rsidR="00287BFE" w:rsidRPr="00287BFE">
        <w:rPr>
          <w:noProof/>
        </w:rPr>
        <w:t>(87, 88)</w:t>
      </w:r>
      <w:r w:rsidRPr="00737D20">
        <w:rPr>
          <w:vertAlign w:val="superscript"/>
        </w:rPr>
        <w:fldChar w:fldCharType="end"/>
      </w:r>
      <w:r>
        <w:t>. Viral protein NS5A recruits and activates PI4KIII</w:t>
      </w:r>
      <w:r w:rsidRPr="00737D20">
        <w:rPr>
          <w:rFonts w:cstheme="minorHAnsi"/>
        </w:rPr>
        <w:t>α</w:t>
      </w:r>
      <w:r>
        <w:t xml:space="preserve"> at the RO membrane, which leads to the upregulation of PI4P production</w:t>
      </w:r>
      <w:r w:rsidRPr="00737D20">
        <w:rPr>
          <w:vertAlign w:val="superscript"/>
        </w:rPr>
        <w:fldChar w:fldCharType="begin" w:fldLock="1"/>
      </w:r>
      <w:r w:rsidR="0078225D">
        <w:rPr>
          <w:vertAlign w:val="superscript"/>
        </w:rPr>
        <w:instrText>ADDIN CSL_CITATION {"citationItems":[{"id":"ITEM-1","itemData":{"DOI":"10.1074/jbc.M110.194472","ISBN":"0021-9258","ISSN":"00219258","PMID":"21297162","abstract":"Hepatitis C Virus (HCV) nonstructural 5A (NS5A) is a pleiotropic protein involved in viral RNA replication and modulation of the cellular physiology in HCV-infected cells. To elucidate the mechanisms of the HCV life cycle, we identified cellular factors interacting with the NS5A protein in HCV-infected cells. Huh7.5 cells were electroporated with HCV Jc1 RNA. Cellular factors associated with HCV NS5A were identified by immunoprecipitation with Dynabead-conjugated NS5A antibody and LC-MS/MS. Phosphatidylinositol 4-kinase type IIIalpha (PI4KIIIalpha) was identified as a binding partner for the NS5A protein. NS5A derived from both genotypes 1b and 2a interacted with PI4KIIIalpha. NS5A interacted with PI4KIIIalpha through amino acids 401-600 of PI4KIIIalpha and domain I of NS5A. Interference of the protein interaction between NS5A and PI4KIIIalpha decreased HCV propagation. Knockdown of PI4KIIIalpha significantly reduced HCV replication in Huh7 cells harboring the subgenomic replicon and in Huh7.5 cells infected with cell culture grown virus (HCVcc). Silencing of PI4KIIIalpha further inhibited HCV release into the tissue culture medium. NS5A may recruit PI4KIIIalpha to the HCV RNA replication complex. These data suggest that PI4KIIIalpha is an essential host factor that supports HCV proliferation and therefore PI4KIIIalpha may be a legitimate target for anti-HCV therapy.","author":[{"dropping-particle":"","family":"Lim","given":"Yun Sook","non-dropping-particle":"","parse-names":false,"suffix":""},{"dropping-particle":"","family":"Hwang","given":"Soon B.","non-dropping-particle":"","parse-names":false,"suffix":""}],"container-title":"Journal of Biological Chemistry","id":"ITEM-1","issue":"13","issued":{"date-parts":[["2011"]]},"page":"11290-11298","title":"Hepatitis C virus NS5A protein interacts with phosphatidylinositol 4-kinase type III?? and regulates viral propagation","type":"article-journal","volume":"286"},"uris":["http://www.mendeley.com/documents/?uuid=8180d2ee-f71f-4f6c-bb78-27f5a835ffad"]},{"id":"ITEM-2","itemData":{"DOI":"10.1371/journal.pone.0026300","ISBN":"1932-6203 (Electronic)\\r1932-6203 (Linking)","ISSN":"19326203","PMID":"22022594","abstract":"BACKGROUND: Hepatitis C virus (HCV), like other positive-sense RNA viruses, replicates on an altered host membrane compartment that has been called the \"membranous web.\" The mechanisms by which the membranous web are formed from cellular membranes are poorly understood. Several recent RNA interference screens have demonstrated a critical role for the host phosphatidylinositol 4-kinase PI4KA in HCV replication. We have sought to define the function of PI4KA in viral replication.\\n\\nMETHODOLOGY/PRINCIPAL FINDINGS: Using a nonreplicative model of membranous web formation, we show that PI4KA silencing leads to aberrant web morphology. Furthermore, we find that PI4KA and its product, phosphatidylinositol 4-phosphate, are enriched on membranous webs and that PI4KA is found in association with NS5A in HCV-infected cells. While the related lipid kinase PI4KB also appears to support HCV replication, it does not interact with NS5A. Silencing of PI4KB does not overtly impair membranous web morphology or phosphatidylinositol 4-phosphate enrichment at webs, suggesting that it acts at a different point in viral replication. Finally, we demonstrate that the aberrant webs induced by PI4KA silencing require the activity of the viral NS3-4A serine protease but not integrity of the host secretory pathway.\\n\\nCONCLUSIONS/SIGNIFICANCE: PI4KA is necessary for the local enrichment of PI 4-phosphate at the HCV membranous web and for the generation of morphologically normal webs. We also show that nonreplicative systems of web formation can be used to order molecular events that drive web assembly.","author":[{"dropping-particle":"","family":"Tai","given":"Andrew W.","non-dropping-particle":"","parse-names":false,"suffix":""},{"dropping-particle":"","family":"Salloum","given":"Shadi","non-dropping-particle":"","parse-names":false,"suffix":""}],"container-title":"PLoS ONE","id":"ITEM-2","issue":"10","issued":{"date-parts":[["2011"]]},"page":"1-12","title":"The role of the phosphatidylinositol 4-kinase PI4KA in hepatitis C virus-induced host membrane rearrangement","type":"article-journal","volume":"6"},"uris":["http://www.mendeley.com/documents/?uuid=5bc98720-d82a-4cea-b619-3c5b5eddb416"]}],"mendeley":{"formattedCitation":"(89, 90)","plainTextFormattedCitation":"(89, 90)","previouslyFormattedCitation":"(89, 90)"},"properties":{"noteIndex":0},"schema":"https://github.com/citation-style-language/schema/raw/master/csl-citation.json"}</w:instrText>
      </w:r>
      <w:r w:rsidRPr="00737D20">
        <w:rPr>
          <w:vertAlign w:val="superscript"/>
        </w:rPr>
        <w:fldChar w:fldCharType="separate"/>
      </w:r>
      <w:r w:rsidR="00287BFE" w:rsidRPr="00287BFE">
        <w:rPr>
          <w:noProof/>
        </w:rPr>
        <w:t>(89, 90)</w:t>
      </w:r>
      <w:r w:rsidRPr="00737D20">
        <w:rPr>
          <w:vertAlign w:val="superscript"/>
        </w:rPr>
        <w:fldChar w:fldCharType="end"/>
      </w:r>
      <w:r>
        <w:t>. This increase in PI4P then leads to recruitment of OSBP and CERT to the membrane for cholesterol and sphingomyelin efflux to the RO membrane</w:t>
      </w:r>
      <w:r w:rsidRPr="00737D20">
        <w:rPr>
          <w:vertAlign w:val="superscript"/>
        </w:rPr>
        <w:fldChar w:fldCharType="begin" w:fldLock="1"/>
      </w:r>
      <w:r w:rsidR="0078225D">
        <w:rPr>
          <w:vertAlign w:val="superscript"/>
        </w:rPr>
        <w:instrText>ADDIN CSL_CITATION {"citationItems":[{"id":"ITEM-1","itemData":{"DOI":"10.1074/jbc.M110.182097","ISSN":"1083-351X","PMID":"21285358","abstract":"Hepatitis C virus (HCV) RNA replicates its genome on specialized endoplasmic reticulum modified membranes termed membranous web and utilizes lipid droplets for initiating the viral nucleocapsid assembly. HCV maturation and/or the egress pathway requires host sphingolipid synthesis, which occur in the Golgi. Ceramide transfer protein (CERT) and oxysterol-binding protein (OSBP) play a crucial role in sphingolipid biosynthesis. Protein kinase D (PKD), a serine/threonine kinase, is recruited to the trans-Golgi network where it influences vesicular trafficking to the plasma membrane by regulation of several important mediators via phosphorylation. PKD attenuates the function of both CERT and OSBP by phosphorylation at their respective Ser(132) and Ser(240) residues (phosphorylation inhibition). Here, we investigated the functional role of PKD in HCV secretion. Our studies show that HCV gene expression down-regulated PKD activation. PKD depletion by shRNA or inhibition by pharmacological inhibitor Gö6976 enhanced HCV secretion. Overexpression of a constitutively active form of PKD suppressed HCV secretion. The suppression by PKD was subverted by the ectopic expression of nonphosphorylatable serine mutant CERT S132A or OSBP S240A. These observations imply that PKD negatively regulates HCV secretion/release by attenuating OSBP and CERT functions by phosphorylation inhibition. This study identifies the key role of the Golgi components in the HCV maturation process.","author":[{"dropping-particle":"","family":"Amako","given":"Yutaka","non-dropping-particle":"","parse-names":false,"suffix":""},{"dropping-particle":"","family":"Syed","given":"Gulam H","non-dropping-particle":"","parse-names":false,"suffix":""},{"dropping-particle":"","family":"Siddiqui","given":"Aleem","non-dropping-particle":"","parse-names":false,"suffix":""}],"container-title":"The Journal of biological chemistry","id":"ITEM-1","issue":"13","issued":{"date-parts":[["2011","4","1"]]},"page":"11265-74","title":"Protein kinase D negatively regulates hepatitis C virus secretion through phosphorylation of oxysterol-binding protein and ceramide transfer protein.","type":"article-journal","volume":"286"},"uris":["http://www.mendeley.com/documents/?uuid=d2263d47-2791-4b5c-b2a9-37e9ffd7b23f"]},{"id":"ITEM-2","itemData":{"DOI":"10.1053/j.gastro.2014.02.002","ISBN":"2122633255","ISSN":"15280012","PMID":"24512803","abstract":"Background &amp; Aims Positive-sense RNA viruses remodel intracellular membranes to generate specialized membrane compartments for viral replication. Several RNA viruses, including poliovirus and hepatitis C virus (HCV), require phosphatidylinositol (PI) 4-kinases for their replication. However, it is not known how PI 4-kinases and their product, PI(4)P, facilitate host membrane reorganization and viral replication. In addition, although the HCV replication compartment, known as the membranous web, is believed to be cholesterol enriched, the mechanisms by which this occurs have not been elucidated. We aimed to identify and characterize a PI 4-kinase effector in HCV replication. Methods We used a combination of microscopic and biochemical methods to study HCV replication, web morphology, the distribution of intracellular protein and PI(4)P, along with cholesterol trafficking in HCV-infected cells. PI 4-kinase and oxysterol-binding protein (OSBP) were inhibited using RNA interference or small molecules in cells expressing a full-length genotype 1b replicon or infected with the JFH-1 strain of HCV. Results OSBP was required for HCV replication and membranous web integrity. OSBP was recruited to membranous webs in a PI 4-kinase-dependent manner, and both these factors were found to regulate cholesterol trafficking to the web. We also found OSBP to be required for poliovirus infection but dispensable for dengue virus. Conclusions OSBP is a PI 4-kinase effector in HCV infection, and contributes to the integrity and cholesterol enrichment of the membranous web. OSBP might also be a PI 4-kinase effector in poliovirus infection and could be involved in replication of other viruses that require PI 4-kinases.","author":[{"dropping-particle":"","family":"Wang","given":"Hongliang","non-dropping-particle":"","parse-names":false,"suffix":""},{"dropping-particle":"","family":"Perry","given":"Jeffrey W.","non-dropping-particle":"","parse-names":false,"suffix":""},{"dropping-particle":"","family":"Lauring","given":"Adam S.","non-dropping-particle":"","parse-names":false,"suffix":""},{"dropping-particle":"","family":"Neddermann","given":"Petra","non-dropping-particle":"","parse-names":false,"suffix":""},{"dropping-particle":"","family":"Francesco","given":"Raffaele","non-dropping-particle":"De","parse-names":false,"suffix":""},{"dropping-particle":"","family":"Tai","given":"Andrew W.","non-dropping-particle":"","parse-names":false,"suffix":""}],"container-title":"Gastroenterology","id":"ITEM-2","issue":"5","issued":{"date-parts":[["2014"]]},"page":"1373-1385.e11","publisher":"Elsevier, Inc","title":"Oxysterol-binding protein is a phosphatidylinositol 4-kinase effector required for HCV replication membrane integrity and cholesterol trafficking","type":"article-journal","volume":"146"},"uris":["http://www.mendeley.com/documents/?uuid=c4965c5f-4035-445e-b032-522e4220235b"]},{"id":"ITEM-3","itemData":{"DOI":"10.1128/JVI.00958-09","ISSN":"1098-5514","PMID":"19570870","abstract":"Hepatitis C virus (HCV) RNA genome replicates within the ribonucleoprotein (RNP) complex in the modified membranous structures extended from endoplasmic reticulum. A proteomic analysis of HCV RNP complexes revealed the association of oxysterol binding protein (OSBP) as one of the components of these complexes. OSBP interacted with the N-terminal domain I of the HCV NS5A protein and colocalized to the Golgi compartment with NS5A. An OSBP-specific short hairpin RNA that partially downregulated OSBP expression resulted in a decrease of the HCV particle release in culture supernatant with little effect on viral RNA replication. The pleckstrin homology (PH) domain located in the N-terminal region of OSBP targeted this protein to the Golgi apparatus. OSBP deletion mutation in the PH (DeltaPH) domain failed to localize to the Golgi apparatus and inhibited the HCV particle release. These studies suggest a possible functional role of OSBP in the HCV maturation process.","author":[{"dropping-particle":"","family":"Amako","given":"Yutaka","non-dropping-particle":"","parse-names":false,"suffix":""},{"dropping-particle":"","family":"Sarkeshik","given":"Ali","non-dropping-particle":"","parse-names":false,"suffix":""},{"dropping-particle":"","family":"Hotta","given":"Hak","non-dropping-particle":"","parse-names":false,"suffix":""},{"dropping-particle":"","family":"Yates","given":"John","non-dropping-particle":"","parse-names":false,"suffix":""},{"dropping-particle":"","family":"Siddiqui","given":"Aleem","non-dropping-particle":"","parse-names":false,"suffix":""}],"container-title":"Journal of virology","id":"ITEM-3","issue":"18","issued":{"date-parts":[["2009"]]},"page":"9237-46","title":"Role of oxysterol binding protein in hepatitis C virus infection.","type":"article-journal","volume":"83"},"uris":["http://www.mendeley.com/documents/?uuid=b42555ba-5653-4426-8131-965e75332162"]}],"mendeley":{"formattedCitation":"(79, 91, 92)","plainTextFormattedCitation":"(79, 91, 92)","previouslyFormattedCitation":"(79, 91, 92)"},"properties":{"noteIndex":0},"schema":"https://github.com/citation-style-language/schema/raw/master/csl-citation.json"}</w:instrText>
      </w:r>
      <w:r w:rsidRPr="00737D20">
        <w:rPr>
          <w:vertAlign w:val="superscript"/>
        </w:rPr>
        <w:fldChar w:fldCharType="separate"/>
      </w:r>
      <w:r w:rsidR="00287BFE" w:rsidRPr="00287BFE">
        <w:rPr>
          <w:noProof/>
        </w:rPr>
        <w:t>(79, 91, 92)</w:t>
      </w:r>
      <w:r w:rsidRPr="00737D20">
        <w:rPr>
          <w:vertAlign w:val="superscript"/>
        </w:rPr>
        <w:fldChar w:fldCharType="end"/>
      </w:r>
      <w:r>
        <w:t xml:space="preserve">. </w:t>
      </w:r>
      <w:r w:rsidRPr="00737D20">
        <w:rPr>
          <w:rFonts w:cstheme="minorHAnsi"/>
        </w:rPr>
        <w:t xml:space="preserve">Disruption of the PI4K/PI4P/OSBP </w:t>
      </w:r>
      <w:r w:rsidRPr="00737D20">
        <w:rPr>
          <w:rFonts w:cstheme="minorHAnsi"/>
        </w:rPr>
        <w:lastRenderedPageBreak/>
        <w:t>pathway through means of chemical or translational inhibition leads to reduction of viral replication.</w:t>
      </w:r>
    </w:p>
    <w:p w:rsidR="00961548" w:rsidRPr="00737D20" w:rsidRDefault="00961548" w:rsidP="00FB099D">
      <w:pPr>
        <w:ind w:firstLine="720"/>
        <w:jc w:val="both"/>
        <w:rPr>
          <w:rFonts w:cstheme="minorHAnsi"/>
        </w:rPr>
      </w:pPr>
      <w:r>
        <w:t>PI4KIII</w:t>
      </w:r>
      <w:r w:rsidRPr="00737D20">
        <w:rPr>
          <w:rFonts w:cstheme="minorHAnsi"/>
        </w:rPr>
        <w:t>β has also been shown to be involved with OSBP recruitment to ROs in other variants of HCV, but it is suggested that its role is more essential for secretion of viral partials</w:t>
      </w:r>
      <w:r w:rsidRPr="00737D20">
        <w:rPr>
          <w:rFonts w:cstheme="minorHAnsi"/>
          <w:vertAlign w:val="superscript"/>
        </w:rPr>
        <w:fldChar w:fldCharType="begin" w:fldLock="1"/>
      </w:r>
      <w:r w:rsidR="0078225D">
        <w:rPr>
          <w:rFonts w:cstheme="minorHAnsi"/>
          <w:vertAlign w:val="superscript"/>
        </w:rPr>
        <w:instrText>ADDIN CSL_CITATION {"citationItems":[{"id":"ITEM-1","itemData":{"DOI":"10.3390/v4102340","ISBN":"1999-4915","ISSN":"19994915","PMID":"23202467","abstract":"Eukaryotes possess seven different phosphoinositides (PIPs) that help form the unique signatures of various intracellular membranes. PIPs serve as docking sites for the recruitment of specific proteins to mediate membrane alterations and integrate various signaling cascades. The spatio-temporal regulation of PI kinases and phosphatases generates distinct intracellular hubs of PIP signaling. Hepatitis C virus (HCV), like other plus-strand RNA viruses, promotes the rearrangement of intracellular membranes to assemble viral replication complexes. HCV stimulates enrichment of phosphatidylinositol 4-phosphate (PI4P) pools near endoplasmic reticulum (ER) sites by activating PI4KIIIα, the kinase responsible for generation of ER-specific PI4P pools. Inhibition of PI4KIIIα abrogates HCV replication. PI4P, the most abundant phosphoinositide, predominantly localizes to the Golgi and plays central roles in Golgi secretory functions by recruiting effector proteins involved in transport vesicle generation. The PI4P effector proteins also include the lipid-transfer and structural proteins such as ceramide transfer protein (CERT), oxysterol binding protein (OSBP) and Golgi phosphoprotein 3 (GOLPH3) that help maintain Golgi-membrane composition and structure. Depletion of Golgi-specific PI4P pools by silencing PI4KIIIβ, expression of dominant negative CERT and OSBP mutants, or silencing GOLPH3 perturb HCV secretion. In this review we highlight the role of PIPs and specifically PI4P in the HCV life cycle.","author":[{"dropping-particle":"","family":"Bishé","given":"Bryan","non-dropping-particle":"","parse-names":false,"suffix":""},{"dropping-particle":"","family":"Syed","given":"Gulam","non-dropping-particle":"","parse-names":false,"suffix":""},{"dropping-particle":"","family":"Siddiqui","given":"Aleem","non-dropping-particle":"","parse-names":false,"suffix":""}],"container-title":"Viruses","id":"ITEM-1","issue":"10","issued":{"date-parts":[["2012"]]},"page":"2340-2358","title":"Phosphoinositides in the hepatitis C virus life cycle","type":"article-journal","volume":"4"},"uris":["http://www.mendeley.com/documents/?uuid=34f7a0ba-7288-4276-94e4-4ace47b0394a"]}],"mendeley":{"formattedCitation":"(93)","plainTextFormattedCitation":"(93)","previouslyFormattedCitation":"(93)"},"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(93)</w:t>
      </w:r>
      <w:r w:rsidRPr="00737D20">
        <w:rPr>
          <w:rFonts w:cstheme="minorHAnsi"/>
          <w:vertAlign w:val="superscript"/>
        </w:rPr>
        <w:fldChar w:fldCharType="end"/>
      </w:r>
      <w:r w:rsidRPr="00737D20">
        <w:rPr>
          <w:rFonts w:cstheme="minorHAnsi"/>
        </w:rPr>
        <w:t>. Inhibition of PI4KIIIβ has been shown to inhibit egress of virion particles without affecting virion replication</w:t>
      </w:r>
      <w:r w:rsidRPr="00737D20">
        <w:rPr>
          <w:rFonts w:cstheme="minorHAnsi"/>
          <w:vertAlign w:val="superscript"/>
        </w:rPr>
        <w:fldChar w:fldCharType="begin" w:fldLock="1"/>
      </w:r>
      <w:r w:rsidR="0078225D">
        <w:rPr>
          <w:rFonts w:cstheme="minorHAnsi"/>
          <w:vertAlign w:val="superscript"/>
        </w:rPr>
        <w:instrText>ADDIN CSL_CITATION {"citationItems":[{"id":"ITEM-1","itemData":{"DOI":"10.1074/jbc.M112.346569","ISBN":"1083-351X (Electronic)\\r0021-9258 (Linking)","ISSN":"00219258","PMID":"22745132","abstract":"Hepatitis C virus (HCV) RNA replicates within the ribonucleoprotein complex, assembled on the endoplasmic reticulum (ER)-derived membranous structures closely juxtaposed to the lipid droplets that facilitate the post-replicative events of virion assembly and maturation. It is widely believed that the assembled virions piggy-back onto the very low density lipoprotein particles for secretion. Lipid phosphoinositides are important modulators of intracellular trafficking. Golgi-localized phosphatidylinositol 4-phosphate (PI4P) recruits proteins involved in Golgi trafficking to the Golgi membrane and promotes anterograde transport of secretory proteins. Here, we sought to investigate the role of Golgi-localized PI4P in the HCV secretion process. Depletion of the Golgi-specific PI4P pool by Golgi-targeted PI4P phosphatase hSac1 K2A led to significant reduction in HCV secretion without any effect on replication. We then examined the functional role of a newly identified PI4P binding protein GOLPH3 in the viral secretion process. GOLPH3 is shown to maintain a tensile force on the Golgi, required for vesicle budding via its interaction with an unconventional myosin, MYO18A. Silencing GOLPH3 led to a dramatic reduction in HCV virion secretion, as did the silencing of MYO18A. The reduction in virion secretion was accompanied by a concomitant accumulation of intracellular virions, suggesting a stall in virion egress. HCV-infected cells displayed a fragmented and dispersed Golgi pattern, implicating involvement in virion morphogenesis. These studies establish the role of PI4P and its interacting protein GOLPH3 in HCV secretion and strengthen the significance of the Golgi secretory pathway in this process.","author":[{"dropping-particle":"","family":"Bishé","given":"Bryan","non-dropping-particle":"","parse-names":false,"suffix":""},{"dropping-particle":"","family":"Syed","given":"Gulam H.","non-dropping-particle":"","parse-names":false,"suffix":""},{"dropping-particle":"","family":"Field","given":"Seth J.","non-dropping-particle":"","parse-names":false,"suffix":""},{"dropping-particle":"","family":"Siddiqui","given":"Aleem","non-dropping-particle":"","parse-names":false,"suffix":""}],"container-title":"Journal of Biological Chemistry","id":"ITEM-1","issue":"33","issued":{"date-parts":[["2012"]]},"page":"27637-27647","title":"Role of phosphatidylinositol 4-phosphate (PI4P) and its binding protein GOLPH3 in hepatitis C virus secretion","type":"article-journal","volume":"287"},"uris":["http://www.mendeley.com/documents/?uuid=2892cf4f-a81c-4d26-bd50-69d0f38c9b45"]}],"mendeley":{"formattedCitation":"(94)","plainTextFormattedCitation":"(94)","previouslyFormattedCitation":"(94)"},"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(94)</w:t>
      </w:r>
      <w:r w:rsidRPr="00737D20">
        <w:rPr>
          <w:rFonts w:cstheme="minorHAnsi"/>
          <w:vertAlign w:val="superscript"/>
        </w:rPr>
        <w:fldChar w:fldCharType="end"/>
      </w:r>
      <w:r w:rsidRPr="00737D20">
        <w:rPr>
          <w:rFonts w:cstheme="minorHAnsi"/>
        </w:rPr>
        <w:t xml:space="preserve">. Depletion of cholesterol or sphingomyelin from HCV virions has been shown to decrease infectivity of the </w:t>
      </w:r>
      <w:r w:rsidR="005077E9">
        <w:rPr>
          <w:rFonts w:cstheme="minorHAnsi"/>
        </w:rPr>
        <w:t xml:space="preserve">viral </w:t>
      </w:r>
      <w:r w:rsidRPr="00737D20">
        <w:rPr>
          <w:rFonts w:cstheme="minorHAnsi"/>
        </w:rPr>
        <w:t>particles, suggesting these two molecules may play a role in efficient entry of the virus into cells</w:t>
      </w:r>
      <w:r w:rsidRPr="00737D20">
        <w:rPr>
          <w:rFonts w:cstheme="minorHAnsi"/>
          <w:vertAlign w:val="superscript"/>
        </w:rPr>
        <w:fldChar w:fldCharType="begin" w:fldLock="1"/>
      </w:r>
      <w:r w:rsidR="0078225D">
        <w:rPr>
          <w:rFonts w:cstheme="minorHAnsi"/>
          <w:vertAlign w:val="superscript"/>
        </w:rPr>
        <w:instrText>ADDIN CSL_CITATION {"citationItems":[{"id":"ITEM-1","itemData":{"DOI":"10.1128/JVI.02530-07","ISBN":"1098-5514 (Electronic)","ISSN":"0022-538X","PMID":"18367533","abstract":"In this study, we establish that cholesterol and sphingolipid associated with hepatitis C virus (HCV) particles are important for virion maturation and infectivity. In a recently developed culture system enabling study of the complete life cycle of HCV, mature virions were enriched with cholesterol as assessed by the molar ratio of cholesterol to phospholipid in virion and cell membranes. Depletion of cholesterol from the virus or hydrolysis of virion-associated sphingomyelin almost completely abolished HCV infectivity. Supplementation of cholesterol-depleted virus with exogenous cholesterol enhanced infectivity to a level equivalent to that of the untreated control. Cholesterol-depleted or sphingomyelin-hydrolyzed virus had markedly defective internal-ization, but no influence on cell attachment was observed. Significant portions of HCV structural proteins partitioned into cellular detergent-resistant, lipid-raft-like membranes. Combined with the observation that inhibitors of the sphingolipid biosynthetic pathway block virion production, but not RNA accumulation, in a JFH-1 isolate, our findings suggest that alteration of the lipid composition of HCV particles might be a useful approach in the design of anti-HCV therapy.","author":[{"dropping-particle":"","family":"Aizaki","given":"H.","non-dropping-particle":"","parse-names":false,"suffix":""},{"dropping-particle":"","family":"Morikawa","given":"K.","non-dropping-particle":"","parse-names":false,"suffix":""},{"dropping-particle":"","family":"Fukasawa","given":"M.","non-dropping-particle":"","parse-names":false,"suffix":""},{"dropping-particle":"","family":"Hara","given":"H.","non-dropping-particle":"","parse-names":false,"suffix":""},{"dropping-particle":"","family":"Inoue","given":"Y.","non-dropping-particle":"","parse-names":false,"suffix":""},{"dropping-particle":"","family":"Tani","given":"H.","non-dropping-particle":"","parse-names":false,"suffix":""},{"dropping-particle":"","family":"Saito","given":"K.","non-dropping-particle":"","parse-names":false,"suffix":""},{"dropping-particle":"","family":"Nishijima","given":"M.","non-dropping-particle":"","parse-names":false,"suffix":""},{"dropping-particle":"","family":"Hanada","given":"K.","non-dropping-particle":"","parse-names":false,"suffix":""},{"dropping-particle":"","family":"Matsuura","given":"Y.","non-dropping-particle":"","parse-names":false,"suffix":""},{"dropping-particle":"","family":"Lai","given":"M. M. C.","non-dropping-particle":"","parse-names":false,"suffix":""},{"dropping-particle":"","family":"Miyamura","given":"T.","non-dropping-particle":"","parse-names":false,"suffix":""},{"dropping-particle":"","family":"Wakita","given":"T.","non-dropping-particle":"","parse-names":false,"suffix":""},{"dropping-particle":"","family":"Suzuki","given":"T.","non-dropping-particle":"","parse-names":false,"suffix":""}],"container-title":"Journal of Virology","id":"ITEM-1","issue":"12","issued":{"date-parts":[["2008"]]},"page":"5715-5724","title":"Critical Role of Virion-Associated Cholesterol and Sphingolipid in Hepatitis C Virus Infection","type":"article-journal","volume":"82"},"uris":["http://www.mendeley.com/documents/?uuid=f717316e-46bc-4cc3-a6ad-77af711058cb"]}],"mendeley":{"formattedCitation":"(95)","plainTextFormattedCitation":"(95)","previouslyFormattedCitation":"(95)"},"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(95)</w:t>
      </w:r>
      <w:r w:rsidRPr="00737D20">
        <w:rPr>
          <w:rFonts w:cstheme="minorHAnsi"/>
          <w:vertAlign w:val="superscript"/>
        </w:rPr>
        <w:fldChar w:fldCharType="end"/>
      </w:r>
      <w:r w:rsidRPr="00737D20">
        <w:rPr>
          <w:rFonts w:cstheme="minorHAnsi"/>
        </w:rPr>
        <w:t>. OSBP’s ability to inter</w:t>
      </w:r>
      <w:r w:rsidR="005077E9">
        <w:rPr>
          <w:rFonts w:cstheme="minorHAnsi"/>
        </w:rPr>
        <w:t>act with PI4KIIIβ and stimulate</w:t>
      </w:r>
      <w:r w:rsidRPr="00737D20">
        <w:rPr>
          <w:rFonts w:cstheme="minorHAnsi"/>
        </w:rPr>
        <w:t xml:space="preserve"> sphingomyelin synthesis via CERT, provides evidence </w:t>
      </w:r>
      <w:r w:rsidR="005077E9">
        <w:rPr>
          <w:rFonts w:cstheme="minorHAnsi"/>
        </w:rPr>
        <w:t>of OSBP having multiple roles in</w:t>
      </w:r>
      <w:r w:rsidRPr="00737D20">
        <w:rPr>
          <w:rFonts w:cstheme="minorHAnsi"/>
        </w:rPr>
        <w:t xml:space="preserve"> virus life cycle.</w:t>
      </w:r>
    </w:p>
    <w:p w:rsidR="00961548" w:rsidRPr="00737D20" w:rsidRDefault="00961548" w:rsidP="00FB099D">
      <w:pPr>
        <w:ind w:firstLine="720"/>
        <w:jc w:val="both"/>
        <w:rPr>
          <w:rFonts w:cstheme="minorHAnsi"/>
        </w:rPr>
      </w:pPr>
      <w:r w:rsidRPr="00737D20">
        <w:rPr>
          <w:rFonts w:cstheme="minorHAnsi"/>
        </w:rPr>
        <w:t>HCV egress from the cell has been linked to the host secretory pathway, specifically the utilization of very low density lipoprotein (VLDL) to form lipoviroparticles (LVPs)</w:t>
      </w:r>
      <w:r w:rsidRPr="00737D20">
        <w:rPr>
          <w:rFonts w:cstheme="minorHAnsi"/>
          <w:vertAlign w:val="superscript"/>
        </w:rPr>
        <w:fldChar w:fldCharType="begin" w:fldLock="1"/>
      </w:r>
      <w:r w:rsidR="0078225D">
        <w:rPr>
          <w:rFonts w:cstheme="minorHAnsi"/>
          <w:vertAlign w:val="superscript"/>
        </w:rPr>
        <w:instrText>ADDIN CSL_CITATION {"citationItems":[{"id":"ITEM-1","itemData":{"DOI":"10.1128/JVI.80.5.2418","author":[{"dropping-particle":"","family":"Nielsen","given":"Søren U","non-dropping-particle":"","parse-names":false,"suffix":""},{"dropping-particle":"","family":"Bassendine","given":"Margaret F","non-dropping-particle":"","parse-names":false,"suffix":""},{"dropping-particle":"","family":"Burt","given":"Alastair D","non-dropping-particle":"","parse-names":false,"suffix":""},{"dropping-particle":"","family":"Martin","given":"Caroline","non-dropping-particle":"","parse-names":false,"suffix":""},{"dropping-particle":"","family":"Pumeechockchai","given":"Wanna","non-dropping-particle":"","parse-names":false,"suffix":""},{"dropping-particle":"","family":"Geoffrey","given":"L","non-dropping-particle":"","parse-names":false,"suffix":""},{"dropping-particle":"","family":"Toms","given":"Geoffrey L","non-dropping-particle":"","parse-names":false,"suffix":""}],"container-title":"Journal of virology","id":"ITEM-1","issue":"Vldl","issued":{"date-parts":[["2006"]]},"page":"2418–2428","title":"Association between Hepatitis C Virus and Very-Low-Density Lipoprotein ( VLDL )/ LDL Analyzed in Iodixanol Density Gradients Association between Hepatitis C Virus and Very-Low-Density Lipoprotein ( VLDL )/ LDL Analyzed in Iodixanol Density Gradients","type":"article-journal","volume":"80"},"uris":["http://www.mendeley.com/documents/?uuid=81365103-3396-4905-9bf3-fed9e571667e"]}],"mendeley":{"formattedCitation":"(96)","plainTextFormattedCitation":"(96)","previouslyFormattedCitation":"(96)"},"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(96)</w:t>
      </w:r>
      <w:r w:rsidRPr="00737D20">
        <w:rPr>
          <w:rFonts w:cstheme="minorHAnsi"/>
          <w:vertAlign w:val="superscript"/>
        </w:rPr>
        <w:fldChar w:fldCharType="end"/>
      </w:r>
      <w:r w:rsidR="005077E9">
        <w:rPr>
          <w:rFonts w:cstheme="minorHAnsi"/>
        </w:rPr>
        <w:t>.</w:t>
      </w:r>
      <w:r w:rsidRPr="00737D20">
        <w:rPr>
          <w:rFonts w:cstheme="minorHAnsi"/>
        </w:rPr>
        <w:t xml:space="preserve"> </w:t>
      </w:r>
      <w:r w:rsidR="005077E9">
        <w:rPr>
          <w:rFonts w:cstheme="minorHAnsi"/>
        </w:rPr>
        <w:t xml:space="preserve">The LVPs </w:t>
      </w:r>
      <w:r w:rsidRPr="00737D20">
        <w:rPr>
          <w:rFonts w:cstheme="minorHAnsi"/>
        </w:rPr>
        <w:t>have been shown to bind to low density lipoprotein receptors (LDLRs) on the cell surface</w:t>
      </w:r>
      <w:r w:rsidR="005077E9">
        <w:rPr>
          <w:rFonts w:cstheme="minorHAnsi"/>
        </w:rPr>
        <w:t>,</w:t>
      </w:r>
      <w:r w:rsidRPr="00737D20">
        <w:rPr>
          <w:rFonts w:cstheme="minorHAnsi"/>
        </w:rPr>
        <w:t xml:space="preserve"> </w:t>
      </w:r>
      <w:r w:rsidR="005077E9">
        <w:rPr>
          <w:rFonts w:cstheme="minorHAnsi"/>
        </w:rPr>
        <w:t>facilitating</w:t>
      </w:r>
      <w:r w:rsidRPr="00737D20">
        <w:rPr>
          <w:rFonts w:cstheme="minorHAnsi"/>
        </w:rPr>
        <w:t xml:space="preserve"> </w:t>
      </w:r>
      <w:r w:rsidR="005077E9">
        <w:rPr>
          <w:rFonts w:cstheme="minorHAnsi"/>
        </w:rPr>
        <w:t>viral</w:t>
      </w:r>
      <w:r w:rsidRPr="00737D20">
        <w:rPr>
          <w:rFonts w:cstheme="minorHAnsi"/>
        </w:rPr>
        <w:t xml:space="preserve"> entry into the host</w:t>
      </w:r>
      <w:r w:rsidRPr="00737D20">
        <w:rPr>
          <w:rFonts w:cstheme="minorHAnsi"/>
          <w:vertAlign w:val="superscript"/>
        </w:rPr>
        <w:fldChar w:fldCharType="begin" w:fldLock="1"/>
      </w:r>
      <w:r w:rsidR="0078225D">
        <w:rPr>
          <w:rFonts w:cstheme="minorHAnsi"/>
          <w:vertAlign w:val="superscript"/>
        </w:rPr>
        <w:instrText>ADDIN CSL_CITATION {"citationItems":[{"id":"ITEM-1","itemData":{"DOI":"10.1002/hep.25501","ISBN":"02709139","ISSN":"02709139","PMID":"22121002","abstract":"Hepatitis C virus (HCV) particles are known to be in complex with lipoproteins. As a result of this interaction, the low-density lipoprotein (LDL) receptor (LDLR) has been proposed as a potential entry factor for HCV; however, its implication in virus entry remains unclear. Here, we reinvestigated the role of the LDLR in the HCV life cycle by comparing virus entry to the mechanism of lipoprotein uptake. A small interfering RNA targeting the LDLR in Huh-7 cells reduced HCV infectivity, confirming that this receptor plays a role in the life cycle of HCV generated in cell culture. However, kinetics of internalization were much faster for lipoproteins than for infectious HCV particles. Furthermore, a decrease in HCV RNA replication was observed by blocking the LDLR with a specific antibody, and this was associated with an increase in the ratio of phosphatidylethanolamine to phosphatidylcholine in host cells. Nevertheless, a soluble form of the LDLR inhibited both HCV entry into the hepatocytes and its binding to the LDLR expressed on Chinese hamster ovary cells, suggesting a direct interaction between the HCV particle and the LDLR. Finally, we showed that modification of HCV particles by lipoprotein lipase (LPL) reduces HCV infectivity and increases HCV binding to LDLR. Importantly, LPL treatment also induced an increase in RNA internalization, suggesting that LDLR, at least in some conditions, leads to nonproductive internalization of HCV. CONCLUSION The LDLR is not essential for infectious HCV particle entry, whereas the physiological function of this receptor is important for optimal replication of the HCV genome.","author":[{"dropping-particle":"","family":"Albecka","given":"Anna","non-dropping-particle":"","parse-names":false,"suffix":""},{"dropping-particle":"","family":"Belouzard","given":"Sandrine","non-dropping-particle":"","parse-names":false,"suffix":""},{"dropping-particle":"","family":"Beeck","given":"Anne Op","non-dropping-particle":"de","parse-names":false,"suffix":""},{"dropping-particle":"","family":"Descamps","given":"Véronique","non-dropping-particle":"","parse-names":false,"suffix":""},{"dropping-particle":"","family":"Goueslain","given":"Lucie","non-dropping-particle":"","parse-names":false,"suffix":""},{"dropping-particle":"","family":"Bertrand-Michel","given":"Justine","non-dropping-particle":"","parse-names":false,"suffix":""},{"dropping-particle":"","family":"Tercé","given":"François","non-dropping-particle":"","parse-names":false,"suffix":""},{"dropping-particle":"","family":"Duverlie","given":"Gilles","non-dropping-particle":"","parse-names":false,"suffix":""},{"dropping-particle":"","family":"Rouillé","given":"Yves","non-dropping-particle":"","parse-names":false,"suffix":""},{"dropping-particle":"","family":"Dubuisson","given":"Jean","non-dropping-particle":"","parse-names":false,"suffix":""}],"container-title":"Hepatology","id":"ITEM-1","issue":"4","issued":{"date-parts":[["2012"]]},"page":"998-1007","title":"Role of low-density lipoprotein receptor in the hepatitis C virus life cycle","type":"article-journal","volume":"55"},"uris":["http://www.mendeley.com/documents/?uuid=cc4a635d-b217-4111-886f-75b5f409a80f"]}],"mendeley":{"formattedCitation":"(97)","plainTextFormattedCitation":"(97)","previouslyFormattedCitation":"(97)"},"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(97)</w:t>
      </w:r>
      <w:r w:rsidRPr="00737D20">
        <w:rPr>
          <w:rFonts w:cstheme="minorHAnsi"/>
          <w:vertAlign w:val="superscript"/>
        </w:rPr>
        <w:fldChar w:fldCharType="end"/>
      </w:r>
      <w:r w:rsidRPr="00737D20">
        <w:rPr>
          <w:rFonts w:cstheme="minorHAnsi"/>
        </w:rPr>
        <w:t xml:space="preserve">. HCV’s usage of the LDLRs </w:t>
      </w:r>
      <w:r w:rsidR="005077E9">
        <w:rPr>
          <w:rFonts w:cstheme="minorHAnsi"/>
        </w:rPr>
        <w:t xml:space="preserve">provides </w:t>
      </w:r>
      <w:r w:rsidRPr="00737D20">
        <w:rPr>
          <w:rFonts w:cstheme="minorHAnsi"/>
        </w:rPr>
        <w:t xml:space="preserve">not only </w:t>
      </w:r>
      <w:r w:rsidR="005077E9">
        <w:rPr>
          <w:rFonts w:cstheme="minorHAnsi"/>
        </w:rPr>
        <w:t>e</w:t>
      </w:r>
      <w:r w:rsidRPr="00737D20">
        <w:rPr>
          <w:rFonts w:cstheme="minorHAnsi"/>
        </w:rPr>
        <w:t>fficient entry, but also sustained viral replication</w:t>
      </w:r>
      <w:r w:rsidR="005077E9" w:rsidRPr="00737D20">
        <w:rPr>
          <w:rFonts w:cstheme="minorHAnsi"/>
          <w:vertAlign w:val="superscript"/>
        </w:rPr>
        <w:fldChar w:fldCharType="begin" w:fldLock="1"/>
      </w:r>
      <w:r w:rsidR="0078225D">
        <w:rPr>
          <w:rFonts w:cstheme="minorHAnsi"/>
          <w:vertAlign w:val="superscript"/>
        </w:rPr>
        <w:instrText>ADDIN CSL_CITATION {"citationItems":[{"id":"ITEM-1","itemData":{"DOI":"10.1128/JVI.02727-13","ISBN":"1098-5514 (Electronic)\\r0022-538X (Linking)","ISSN":"0022-538X","PMID":"24352472","abstract":"Lipids play a crucial role in multiple aspects of hepatitis C virus (HCV) life cycle. HCV modulates host lipid metabolism to enrich the intracellular milieu with lipids to facilitate its proliferation. However, very little is known about the influence of HCV on lipid uptake from bloodstream. Low-density lipoprotein receptor (LDLR) is involved in uptake of cholesterol rich low-density lipoprotein (LDL) particles from bloodstream. Association of HCV particles with lipoproteins implicates their role in HCV entry, however the precise role of LDLR in HCV entry still remains controversial. Here, we investigate the effect of HCV infection on LDLR expression and the underlying mechanism(s) involved. We demonstrate that HCV stimulates LDLR expression in both HCV-infected Huh7 cells and in liver tissue from chronic hepatitis C patients. Fluorescence activated cell sorting (FACS) and immunofluorescence analysis revealed enhanced cell surface and total expression of LDLR in HCV-infected cells. Increased LDLR expression resulted in the enhanced uptake of lipoprotein particles by HCV-infected cells. Analysis of LDLR gene promoter identified a pivotal role of sterol-regulatory element binding proteins (SREBPs), in the HCV-mediated stimulation of LDLR transcription. In addition HCV negatively modulated the expression of proprotein convertase subtilisin/kexin type 9 (PCSK9), a protein that facilitates LDLR degradation. Ectopic expression of wild type PCSK9 or gain of function PCSK9 mutant negatively affected HCV replication. Overall our results demonstrate that HCV regulates LDLR expression at transcriptional and post-translational level via SREBPs and PCSK9 to promote lipid uptake and facilitate viral proliferation.","author":[{"dropping-particle":"","family":"Syed","given":"G. H.","non-dropping-particle":"","parse-names":false,"suffix":""},{"dropping-particle":"","family":"Tang","given":"H.","non-dropping-particle":"","parse-names":false,"suffix":""},{"dropping-particle":"","family":"Khan","given":"M.","non-dropping-particle":"","parse-names":false,"suffix":""},{"dropping-particle":"","family":"Hassanein","given":"T.","non-dropping-particle":"","parse-names":false,"suffix":""},{"dropping-particle":"","family":"Liu","given":"J.","non-dropping-particle":"","parse-names":false,"suffix":""},{"dropping-particle":"","family":"Siddiqui","given":"A.","non-dropping-particle":"","parse-names":false,"suffix":""},{"dropping-particle":"","family":"Diamond","given":"M. S.","non-dropping-particle":"","parse-names":false,"suffix":""}],"container-title":"Journal of Virology","id":"ITEM-1","issue":"5","issued":{"date-parts":[["2014"]]},"page":"2519-2529","title":"Hepatitis C Virus Stimulates Low-Density Lipoprotein Receptor Expression To Facilitate Viral Propagation","type":"article-journal","volume":"88"},"uris":["http://www.mendeley.com/documents/?uuid=0076d046-8688-4477-931b-5f3c31d2c564"]}],"mendeley":{"formattedCitation":"(98)","plainTextFormattedCitation":"(98)","previouslyFormattedCitation":"(98)"},"properties":{"noteIndex":0},"schema":"https://github.com/citation-style-language/schema/raw/master/csl-citation.json"}</w:instrText>
      </w:r>
      <w:r w:rsidR="005077E9" w:rsidRPr="00737D20">
        <w:rPr>
          <w:rFonts w:cstheme="minorHAnsi"/>
          <w:vertAlign w:val="superscript"/>
        </w:rPr>
        <w:fldChar w:fldCharType="separate"/>
      </w:r>
      <w:r w:rsidR="00287BFE" w:rsidRPr="00287BFE">
        <w:rPr>
          <w:rFonts w:cstheme="minorHAnsi"/>
          <w:noProof/>
        </w:rPr>
        <w:t>(98)</w:t>
      </w:r>
      <w:r w:rsidR="005077E9" w:rsidRPr="00737D20">
        <w:rPr>
          <w:rFonts w:cstheme="minorHAnsi"/>
          <w:vertAlign w:val="superscript"/>
        </w:rPr>
        <w:fldChar w:fldCharType="end"/>
      </w:r>
      <w:r w:rsidR="005077E9">
        <w:rPr>
          <w:rFonts w:cstheme="minorHAnsi"/>
        </w:rPr>
        <w:t>.</w:t>
      </w:r>
      <w:r w:rsidR="00DF109A">
        <w:rPr>
          <w:rFonts w:cstheme="minorHAnsi"/>
        </w:rPr>
        <w:t xml:space="preserve"> </w:t>
      </w:r>
      <w:r w:rsidR="005077E9">
        <w:rPr>
          <w:rFonts w:cstheme="minorHAnsi"/>
        </w:rPr>
        <w:t xml:space="preserve">HCV </w:t>
      </w:r>
      <w:r w:rsidR="00DF109A">
        <w:rPr>
          <w:rFonts w:cstheme="minorHAnsi"/>
        </w:rPr>
        <w:t>increases LDLR expression through stimulation of sterol-regulatory binding proteins (SREBPs), which results in increased LDL particle uptake</w:t>
      </w:r>
      <w:r w:rsidRPr="00737D20">
        <w:rPr>
          <w:rFonts w:cstheme="minorHAnsi"/>
        </w:rPr>
        <w:t xml:space="preserve"> from the bloodstream</w:t>
      </w:r>
      <w:r w:rsidRPr="00737D20">
        <w:rPr>
          <w:rFonts w:cstheme="minorHAnsi"/>
          <w:vertAlign w:val="superscript"/>
        </w:rPr>
        <w:fldChar w:fldCharType="begin" w:fldLock="1"/>
      </w:r>
      <w:r w:rsidR="0078225D">
        <w:rPr>
          <w:rFonts w:cstheme="minorHAnsi"/>
          <w:vertAlign w:val="superscript"/>
        </w:rPr>
        <w:instrText>ADDIN CSL_CITATION {"citationItems":[{"id":"ITEM-1","itemData":{"DOI":"10.1128/JVI.02727-13","ISBN":"1098-5514 (Electronic)\\r0022-538X (Linking)","ISSN":"0022-538X","PMID":"24352472","abstract":"Lipids play a crucial role in multiple aspects of hepatitis C virus (HCV) life cycle. HCV modulates host lipid metabolism to enrich the intracellular milieu with lipids to facilitate its proliferation. However, very little is known about the influence of HCV on lipid uptake from bloodstream. Low-density lipoprotein receptor (LDLR) is involved in uptake of cholesterol rich low-density lipoprotein (LDL) particles from bloodstream. Association of HCV particles with lipoproteins implicates their role in HCV entry, however the precise role of LDLR in HCV entry still remains controversial. Here, we investigate the effect of HCV infection on LDLR expression and the underlying mechanism(s) involved. We demonstrate that HCV stimulates LDLR expression in both HCV-infected Huh7 cells and in liver tissue from chronic hepatitis C patients. Fluorescence activated cell sorting (FACS) and immunofluorescence analysis revealed enhanced cell surface and total expression of LDLR in HCV-infected cells. Increased LDLR expression resulted in the enhanced uptake of lipoprotein particles by HCV-infected cells. Analysis of LDLR gene promoter identified a pivotal role of sterol-regulatory element binding proteins (SREBPs), in the HCV-mediated stimulation of LDLR transcription. In addition HCV negatively modulated the expression of proprotein convertase subtilisin/kexin type 9 (PCSK9), a protein that facilitates LDLR degradation. Ectopic expression of wild type PCSK9 or gain of function PCSK9 mutant negatively affected HCV replication. Overall our results demonstrate that HCV regulates LDLR expression at transcriptional and post-translational level via SREBPs and PCSK9 to promote lipid uptake and facilitate viral proliferation.","author":[{"dropping-particle":"","family":"Syed","given":"G. H.","non-dropping-particle":"","parse-names":false,"suffix":""},{"dropping-particle":"","family":"Tang","given":"H.","non-dropping-particle":"","parse-names":false,"suffix":""},{"dropping-particle":"","family":"Khan","given":"M.","non-dropping-particle":"","parse-names":false,"suffix":""},{"dropping-particle":"","family":"Hassanein","given":"T.","non-dropping-particle":"","parse-names":false,"suffix":""},{"dropping-particle":"","family":"Liu","given":"J.","non-dropping-particle":"","parse-names":false,"suffix":""},{"dropping-particle":"","family":"Siddiqui","given":"A.","non-dropping-particle":"","parse-names":false,"suffix":""},{"dropping-particle":"","family":"Diamond","given":"M. S.","non-dropping-particle":"","parse-names":false,"suffix":""}],"container-title":"Journal of Virology","id":"ITEM-1","issue":"5","issued":{"date-parts":[["2014"]]},"page":"2519-2529","title":"Hepatitis C Virus Stimulates Low-Density Lipoprotein Receptor Expression To Facilitate Viral Propagation","type":"article-journal","volume":"88"},"uris":["http://www.mendeley.com/documents/?uuid=0076d046-8688-4477-931b-5f3c31d2c564"]}],"mendeley":{"formattedCitation":"(98)","plainTextFormattedCitation":"(98)","previouslyFormattedCitation":"(98)"},"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(98)</w:t>
      </w:r>
      <w:r w:rsidRPr="00737D20">
        <w:rPr>
          <w:rFonts w:cstheme="minorHAnsi"/>
          <w:vertAlign w:val="superscript"/>
        </w:rPr>
        <w:fldChar w:fldCharType="end"/>
      </w:r>
      <w:r w:rsidRPr="00737D20">
        <w:rPr>
          <w:rFonts w:cstheme="minorHAnsi"/>
        </w:rPr>
        <w:t>. Overexpression of OSBP in hepatocytes has been shown to increase SREBP-1c expression, which in turn increased VLDL production</w:t>
      </w:r>
      <w:r w:rsidRPr="00737D20">
        <w:rPr>
          <w:rFonts w:cstheme="minorHAnsi"/>
          <w:vertAlign w:val="superscript"/>
        </w:rPr>
        <w:fldChar w:fldCharType="begin" w:fldLock="1"/>
      </w:r>
      <w:r w:rsidR="0078225D">
        <w:rPr>
          <w:rFonts w:cstheme="minorHAnsi"/>
          <w:vertAlign w:val="superscript"/>
        </w:rPr>
        <w:instrText>ADDIN CSL_CITATION {"citationItems":[{"id":"ITEM-1","itemData":{"DOI":"10.1161/ATVBAHA.106.138545","ISBN":"1524-4636 (Electronic)\\r1079-5642 (Linking)","ISSN":"10795642","PMID":"17303778","abstract":"BACKGROUND: Oxysterol binding protein (OSBP) has previously been implicated as a sterol sensor that regulates sphingomyelin synthesis and the activity of extracellular signal-regulated kinases (ERK).\\n\\nMETHODS AND RESULTS: We determined the effects of adenovirus-mediated hepatic overexpression of OSBP and its homologues ORP1L and ORP3 on mouse serum lipids. Whereas ORP1L and ORP3 had no effect on serum lipids, OSBP induced a marked increase of VLDL triglycerides (TG). Also, the liver tissue TG were elevated in the AdOSBP-injected mice, and their TG secretion rate was increased by 70%. The messenger RNAs for enzymes of fatty acid synthesis and their transcriptional regulator, SREBP-1c, as well as the Insig-1 mRNA, were upregulated two-fold in the OSBP-expressing livers. No change occurred in the messages of liver X receptor target genes ABCA1, ABCG5, and CYP7A1, and the Insig-2a mRNA was reduced. The phosphorylation of ERK was decreased in AdOSBP-infected liver and cultured hepatocytes. Importantly, silencing of OSBP in hepatocytes suppressed the induction of SREBP1-c by insulin and resulted in a reduction of TG synthesis.\\n\\nCONCLUSION: Our results demonstrate that OSBP regulates hepatic TG metabolism and suggest the involvement of OSBP in the insulin signaling pathways that control hepatic lipogenesis.","author":[{"dropping-particle":"","family":"Yan","given":"Daoguang","non-dropping-particle":"","parse-names":false,"suffix":""},{"dropping-particle":"","family":"Lehto","given":"Markku","non-dropping-particle":"","parse-names":false,"suffix":""},{"dropping-particle":"","family":"Rasilainen","given":"Laura","non-dropping-particle":"","parse-names":false,"suffix":""},{"dropping-particle":"","family":"Metso","given":"Jari","non-dropping-particle":"","parse-names":false,"suffix":""},{"dropping-particle":"","family":"Ehnholm","given":"Christian","non-dropping-particle":"","parse-names":false,"suffix":""},{"dropping-particle":"","family":"Ylä-Herttuala","given":"Seppo","non-dropping-particle":"","parse-names":false,"suffix":""},{"dropping-particle":"","family":"Jauhiainen","given":"Matti","non-dropping-particle":"","parse-names":false,"suffix":""},{"dropping-particle":"","family":"Olkkonen","given":"Vesa M.","non-dropping-particle":"","parse-names":false,"suffix":""}],"container-title":"Arteriosclerosis, Thrombosis, and Vascular Biology","id":"ITEM-1","issue":"5","issued":{"date-parts":[["2007"]]},"page":"1108-1114","title":"Oxysterol binding protein induces upregulation of SREBP-1c and enhances hepatic lipogenesis","type":"article-journal","volume":"27"},"uris":["http://www.mendeley.com/documents/?uuid=424a0d89-486a-4420-9a73-79242412a78e"]}],"mendeley":{"formattedCitation":"(99)","plainTextFormattedCitation":"(99)","previouslyFormattedCitation":"(99)"},"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(99)</w:t>
      </w:r>
      <w:r w:rsidRPr="00737D20">
        <w:rPr>
          <w:rFonts w:cstheme="minorHAnsi"/>
          <w:vertAlign w:val="superscript"/>
        </w:rPr>
        <w:fldChar w:fldCharType="end"/>
      </w:r>
      <w:r w:rsidRPr="00737D20">
        <w:rPr>
          <w:rFonts w:cstheme="minorHAnsi"/>
        </w:rPr>
        <w:t>. This information provides further evidence that OSBP may have a broader effect in the HCV life cycle beyond just viral replication.</w:t>
      </w:r>
    </w:p>
    <w:p w:rsidR="00961548" w:rsidRPr="00AE0583" w:rsidRDefault="00961548" w:rsidP="00FB099D">
      <w:pPr>
        <w:pStyle w:val="Heading4"/>
        <w:jc w:val="both"/>
        <w:rPr>
          <w:b w:val="0"/>
          <w:i/>
          <w:sz w:val="24"/>
        </w:rPr>
      </w:pPr>
      <w:bookmarkStart w:id="53" w:name="_Ref530664176"/>
      <w:bookmarkStart w:id="54" w:name="_Ref530664219"/>
      <w:r w:rsidRPr="00AE0583">
        <w:rPr>
          <w:b w:val="0"/>
          <w:i/>
          <w:sz w:val="24"/>
        </w:rPr>
        <w:t>Enterovirus</w:t>
      </w:r>
      <w:bookmarkEnd w:id="53"/>
      <w:r w:rsidR="00235164">
        <w:rPr>
          <w:b w:val="0"/>
          <w:i/>
          <w:sz w:val="24"/>
        </w:rPr>
        <w:t>es</w:t>
      </w:r>
      <w:bookmarkEnd w:id="54"/>
    </w:p>
    <w:p w:rsidR="00DF109A" w:rsidRDefault="00961548" w:rsidP="00FB099D">
      <w:pPr>
        <w:ind w:firstLine="720"/>
        <w:jc w:val="both"/>
        <w:rPr>
          <w:rFonts w:cstheme="minorHAnsi"/>
        </w:rPr>
      </w:pPr>
      <w:r w:rsidRPr="00737D20">
        <w:rPr>
          <w:rFonts w:cstheme="minorHAnsi"/>
        </w:rPr>
        <w:t xml:space="preserve">The genus </w:t>
      </w:r>
      <w:r w:rsidRPr="00737D20">
        <w:rPr>
          <w:rFonts w:cstheme="minorHAnsi"/>
          <w:i/>
        </w:rPr>
        <w:t xml:space="preserve">Enterovirus </w:t>
      </w:r>
      <w:r w:rsidRPr="00737D20">
        <w:rPr>
          <w:rFonts w:cstheme="minorHAnsi"/>
        </w:rPr>
        <w:t xml:space="preserve">are positive-sense strand RNA viruses in the family </w:t>
      </w:r>
      <w:r w:rsidRPr="00995672">
        <w:rPr>
          <w:rFonts w:cstheme="minorHAnsi"/>
        </w:rPr>
        <w:t>Picornaviridae</w:t>
      </w:r>
      <w:r w:rsidRPr="00737D20">
        <w:rPr>
          <w:rFonts w:cstheme="minorHAnsi"/>
        </w:rPr>
        <w:t xml:space="preserve"> and encompasses a variety of important human pathogens. The most famous </w:t>
      </w:r>
      <w:r w:rsidR="00DF109A">
        <w:rPr>
          <w:rFonts w:cstheme="minorHAnsi"/>
        </w:rPr>
        <w:t xml:space="preserve">member </w:t>
      </w:r>
      <w:r w:rsidRPr="00737D20">
        <w:rPr>
          <w:rFonts w:cstheme="minorHAnsi"/>
        </w:rPr>
        <w:t xml:space="preserve">of the genus </w:t>
      </w:r>
      <w:r w:rsidRPr="00737D20">
        <w:rPr>
          <w:rFonts w:cstheme="minorHAnsi"/>
        </w:rPr>
        <w:lastRenderedPageBreak/>
        <w:t>is poliovirus (PV) due to its historical notoriety as the causative agent of poliomyelitis. In 1988 the World Hea</w:t>
      </w:r>
      <w:r w:rsidR="00DF109A">
        <w:rPr>
          <w:rFonts w:cstheme="minorHAnsi"/>
        </w:rPr>
        <w:t>l</w:t>
      </w:r>
      <w:r w:rsidRPr="00737D20">
        <w:rPr>
          <w:rFonts w:cstheme="minorHAnsi"/>
        </w:rPr>
        <w:t>th Organization (WHO) started the Global Polio Eradication Initiative and in 2017 there were only 22 cases reported worldwide compared to ~350,000 cases when the initiative started</w:t>
      </w:r>
      <w:r w:rsidRPr="00737D20">
        <w:rPr>
          <w:rFonts w:cstheme="minorHAnsi"/>
          <w:vertAlign w:val="superscript"/>
        </w:rPr>
        <w:fldChar w:fldCharType="begin" w:fldLock="1"/>
      </w:r>
      <w:r w:rsidR="0078225D">
        <w:rPr>
          <w:rFonts w:cstheme="minorHAnsi"/>
          <w:vertAlign w:val="superscript"/>
        </w:rPr>
        <w:instrText>ADDIN CSL_CITATION {"citationItems":[{"id":"ITEM-1","itemData":{"URL":"http://polioeradication.org/polio-today/polio-now/","abstract":"This interactive map shows polio cases and disease surveillance indicators worldwide within the desired timeframe and available data, as well as environmental samples in endemic countries.","accessed":{"date-parts":[["2018","10","17"]]},"author":[{"dropping-particle":"","family":"Polio Global Eradication Initiative","given":"","non-dropping-particle":"","parse-names":false,"suffix":""}],"id":"ITEM-1","issued":{"date-parts":[["0"]]},"title":"Polio Now – GPEI","type":"webpage"},"uris":["http://www.mendeley.com/documents/?uuid=ec9b2ce4-f692-3b7e-8b10-b3f728e7d20d"]}],"mendeley":{"formattedCitation":"(100)","plainTextFormattedCitation":"(100)","previouslyFormattedCitation":"(100)"},"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(100)</w:t>
      </w:r>
      <w:r w:rsidRPr="00737D20">
        <w:rPr>
          <w:rFonts w:cstheme="minorHAnsi"/>
          <w:vertAlign w:val="superscript"/>
        </w:rPr>
        <w:fldChar w:fldCharType="end"/>
      </w:r>
      <w:r w:rsidRPr="00737D20">
        <w:rPr>
          <w:rFonts w:cstheme="minorHAnsi"/>
        </w:rPr>
        <w:t>. The eradication of polio is due to the development of an oral PV vaccine (OPV) that is feasible to administer but has drawbacks due to the ability of the OPV to revert back to vaccine derived PV (VDPV)</w:t>
      </w:r>
      <w:r w:rsidRPr="00737D20">
        <w:rPr>
          <w:rFonts w:cstheme="minorHAnsi"/>
          <w:vertAlign w:val="superscript"/>
        </w:rPr>
        <w:fldChar w:fldCharType="begin" w:fldLock="1"/>
      </w:r>
      <w:r w:rsidR="0078225D">
        <w:rPr>
          <w:rFonts w:cstheme="minorHAnsi"/>
          <w:vertAlign w:val="superscript"/>
        </w:rPr>
        <w:instrText>ADDIN CSL_CITATION {"citationItems":[{"id":"ITEM-1","itemData":{"DOI":"10.1016/j.vaccine.2012.09.059","ISBN":"0264-410X","ISSN":"0264410X","PMID":"23041122","abstract":"Poliomyelitis is nearing universal eradication; in 2011, there were 650 cases reported globally. When wild polio is eradicated, global oral polio vaccine (OPV) cessation followed by use of universal inactivated polio vaccine (IPV) is believed to be the safest vaccination strategy as IPV does not mutate or run the risk of vaccine derived outbreaks that OPV does. However, IPV is significantly more expensive than OPV. One strategy to make IPV more affordable is to reduce the dose by adding adjuvants, compounds that augment the immune response to the vaccine. No adjuvants are currently utilized in stand-alone IPV; however, several have been explored over the past six decades. From aluminum, used in many licensed vaccines, to newer and more experimental adjuvants such as synthetic DNA, a diverse group of compounds has been assessed with varying strengths and weaknesses. This review summarizes the studies to date evaluating the efficacy and safety of adjuvants used with IPV. © 2012 Elsevier Ltd.","author":[{"dropping-particle":"","family":"Hawken","given":"Jennifer","non-dropping-particle":"","parse-names":false,"suffix":""},{"dropping-particle":"","family":"Troy","given":"Stephanie B","non-dropping-particle":"","parse-names":false,"suffix":""}],"container-title":"Vaccine","id":"ITEM-1","issue":"49","issued":{"date-parts":[["2012"]]},"page":"6971-6979","title":"Adjuvants and inactivated polio vaccine: A systematic review","type":"article","volume":"30"},"uris":["http://www.mendeley.com/documents/?uuid=3bd68598-f658-3b1f-b40f-68b428586e6a"]}],"mendeley":{"formattedCitation":"(101)","plainTextFormattedCitation":"(101)","previouslyFormattedCitation":"(101)"},"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(101)</w:t>
      </w:r>
      <w:r w:rsidRPr="00737D20">
        <w:rPr>
          <w:rFonts w:cstheme="minorHAnsi"/>
          <w:vertAlign w:val="superscript"/>
        </w:rPr>
        <w:fldChar w:fldCharType="end"/>
      </w:r>
      <w:r w:rsidRPr="00737D20">
        <w:rPr>
          <w:rFonts w:cstheme="minorHAnsi"/>
        </w:rPr>
        <w:t>. In areas where the community is under vaccinated, this VDPV can spread from person to person and is then considered chronic VDVP (cVDVP) and is as severe as wild PV</w:t>
      </w:r>
      <w:r w:rsidRPr="00737D20">
        <w:rPr>
          <w:rFonts w:cstheme="minorHAnsi"/>
          <w:vertAlign w:val="superscript"/>
        </w:rPr>
        <w:fldChar w:fldCharType="begin" w:fldLock="1"/>
      </w:r>
      <w:r w:rsidR="0078225D">
        <w:rPr>
          <w:rFonts w:cstheme="minorHAnsi"/>
          <w:vertAlign w:val="superscript"/>
        </w:rPr>
        <w:instrText>ADDIN CSL_CITATION {"citationItems":[{"id":"ITEM-1","itemData":{"DOI":"10.1016/j.vaccine.2012.09.059","ISBN":"0264-410X","ISSN":"0264410X","PMID":"23041122","abstract":"Poliomyelitis is nearing universal eradication; in 2011, there were 650 cases reported globally. When wild polio is eradicated, global oral polio vaccine (OPV) cessation followed by use of universal inactivated polio vaccine (IPV) is believed to be the safest vaccination strategy as IPV does not mutate or run the risk of vaccine derived outbreaks that OPV does. However, IPV is significantly more expensive than OPV. One strategy to make IPV more affordable is to reduce the dose by adding adjuvants, compounds that augment the immune response to the vaccine. No adjuvants are currently utilized in stand-alone IPV; however, several have been explored over the past six decades. From aluminum, used in many licensed vaccines, to newer and more experimental adjuvants such as synthetic DNA, a diverse group of compounds has been assessed with varying strengths and weaknesses. This review summarizes the studies to date evaluating the efficacy and safety of adjuvants used with IPV. © 2012 Elsevier Ltd.","author":[{"dropping-particle":"","family":"Hawken","given":"Jennifer","non-dropping-particle":"","parse-names":false,"suffix":""},{"dropping-particle":"","family":"Troy","given":"Stephanie B","non-dropping-particle":"","parse-names":false,"suffix":""}],"container-title":"Vaccine","id":"ITEM-1","issue":"49","issued":{"date-parts":[["2012"]]},"page":"6971-6979","title":"Adjuvants and inactivated polio vaccine: A systematic review","type":"article","volume":"30"},"uris":["http://www.mendeley.com/documents/?uuid=3bd68598-f658-3b1f-b40f-68b428586e6a"]}],"mendeley":{"formattedCitation":"(101)","plainTextFormattedCitation":"(101)","previouslyFormattedCitation":"(101)"},"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(101)</w:t>
      </w:r>
      <w:r w:rsidRPr="00737D20">
        <w:rPr>
          <w:rFonts w:cstheme="minorHAnsi"/>
          <w:vertAlign w:val="superscript"/>
        </w:rPr>
        <w:fldChar w:fldCharType="end"/>
      </w:r>
      <w:r w:rsidRPr="00737D20">
        <w:rPr>
          <w:rFonts w:cstheme="minorHAnsi"/>
        </w:rPr>
        <w:t>. While there were only 22 cases of wild PV reported in 2017, there were 96 cases of cVDPV</w:t>
      </w:r>
      <w:r w:rsidRPr="00737D20">
        <w:rPr>
          <w:rFonts w:cstheme="minorHAnsi"/>
          <w:vertAlign w:val="superscript"/>
        </w:rPr>
        <w:fldChar w:fldCharType="begin" w:fldLock="1"/>
      </w:r>
      <w:r w:rsidR="0078225D">
        <w:rPr>
          <w:rFonts w:cstheme="minorHAnsi"/>
          <w:vertAlign w:val="superscript"/>
        </w:rPr>
        <w:instrText>ADDIN CSL_CITATION {"citationItems":[{"id":"ITEM-1","itemData":{"URL":"http://polioeradication.org/polio-today/polio-now/","abstract":"This interactive map shows polio cases and disease surveillance indicators worldwide within the desired timeframe and available data, as well as environmental samples in endemic countries.","accessed":{"date-parts":[["2018","10","17"]]},"author":[{"dropping-particle":"","family":"Polio Global Eradication Initiative","given":"","non-dropping-particle":"","parse-names":false,"suffix":""}],"id":"ITEM-1","issued":{"date-parts":[["0"]]},"title":"Polio Now – GPEI","type":"webpage"},"uris":["http://www.mendeley.com/documents/?uuid=ec9b2ce4-f692-3b7e-8b10-b3f728e7d20d"]}],"mendeley":{"formattedCitation":"(100)","plainTextFormattedCitation":"(100)","previouslyFormattedCitation":"(100)"},"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(100)</w:t>
      </w:r>
      <w:r w:rsidRPr="00737D20">
        <w:rPr>
          <w:rFonts w:cstheme="minorHAnsi"/>
          <w:vertAlign w:val="superscript"/>
        </w:rPr>
        <w:fldChar w:fldCharType="end"/>
      </w:r>
      <w:r w:rsidRPr="00737D20">
        <w:rPr>
          <w:rFonts w:cstheme="minorHAnsi"/>
        </w:rPr>
        <w:t>. This suggests the need for antiviral therapies to help control cVDPV to help in the eradication of PV.</w:t>
      </w:r>
      <w:r w:rsidR="005D2ADA">
        <w:rPr>
          <w:rFonts w:cstheme="minorHAnsi"/>
        </w:rPr>
        <w:t xml:space="preserve"> Recently, OSBP was shown to have a role in the replication cycle of PV and disruption of OSBP function through protein knockdown or small molecule inhibitors lead to a decrease in PV replication</w:t>
      </w:r>
      <w:r w:rsidR="005D2ADA">
        <w:rPr>
          <w:rFonts w:cstheme="minorHAnsi"/>
        </w:rPr>
        <w:fldChar w:fldCharType="begin" w:fldLock="1"/>
      </w:r>
      <w:r w:rsidR="00F81397">
        <w:rPr>
          <w:rFonts w:cstheme="minorHAnsi"/>
        </w:rPr>
        <w:instrText>ADDIN CSL_CITATION {"citationItems":[{"id":"ITEM-1","itemData":{"DOI":"10.1128/JVI.03546-12","ISBN":"1098-5514 (Electronic)\\r0022-538X (Linking)","ISSN":"0022-538X","PMID":"23365445","abstract":"Enviroxime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ournal of Virology","id":"ITEM-1","issue":"8","issued":{"date-parts":[["2013"]]},"page":"4252-4260","title":"Oxysterol-Binding Protein Family I Is the Target of Minor Enviroxime-Like Compounds","type":"article-journal","volume":"87"},"uris":["http://www.mendeley.com/documents/?uuid=641d6d35-1865-4621-81e7-9210abc22b07"]}],"mendeley":{"formattedCitation":"(80)","plainTextFormattedCitation":"(80)","previouslyFormattedCitation":"(80)"},"properties":{"noteIndex":0},"schema":"https://github.com/citation-style-language/schema/raw/master/csl-citation.json"}</w:instrText>
      </w:r>
      <w:r w:rsidR="005D2ADA">
        <w:rPr>
          <w:rFonts w:cstheme="minorHAnsi"/>
        </w:rPr>
        <w:fldChar w:fldCharType="separate"/>
      </w:r>
      <w:r w:rsidR="005D2ADA" w:rsidRPr="005D2ADA">
        <w:rPr>
          <w:rFonts w:cstheme="minorHAnsi"/>
          <w:noProof/>
        </w:rPr>
        <w:t>(80)</w:t>
      </w:r>
      <w:r w:rsidR="005D2ADA">
        <w:rPr>
          <w:rFonts w:cstheme="minorHAnsi"/>
        </w:rPr>
        <w:fldChar w:fldCharType="end"/>
      </w:r>
      <w:r w:rsidR="005D2ADA">
        <w:rPr>
          <w:rFonts w:cstheme="minorHAnsi"/>
        </w:rPr>
        <w:t>.</w:t>
      </w:r>
      <w:r w:rsidRPr="00737D20">
        <w:rPr>
          <w:rFonts w:cstheme="minorHAnsi"/>
        </w:rPr>
        <w:t xml:space="preserve"> </w:t>
      </w:r>
      <w:r w:rsidR="005D2ADA">
        <w:rPr>
          <w:rFonts w:cstheme="minorHAnsi"/>
        </w:rPr>
        <w:t xml:space="preserve">Targeting OSBP could be a potential strategy to control cVDPV. </w:t>
      </w:r>
    </w:p>
    <w:p w:rsidR="00961548" w:rsidRPr="00737D20" w:rsidRDefault="00961548" w:rsidP="00FB099D">
      <w:pPr>
        <w:ind w:firstLine="720"/>
        <w:jc w:val="both"/>
        <w:rPr>
          <w:rFonts w:cstheme="minorHAnsi"/>
        </w:rPr>
      </w:pPr>
      <w:r w:rsidRPr="00737D20">
        <w:rPr>
          <w:rFonts w:cstheme="minorHAnsi"/>
        </w:rPr>
        <w:t xml:space="preserve">Other </w:t>
      </w:r>
      <w:r w:rsidRPr="00737D20">
        <w:rPr>
          <w:rFonts w:cstheme="minorHAnsi"/>
          <w:i/>
        </w:rPr>
        <w:t>Enterovirus</w:t>
      </w:r>
      <w:r w:rsidRPr="00737D20">
        <w:rPr>
          <w:rFonts w:cstheme="minorHAnsi"/>
        </w:rPr>
        <w:t xml:space="preserve"> species include Human Rhino Virus (HRV), numbered enteroviruses (eg. EV71, EV68), Coxsackievirus (CV), and Echovirus. These viruses affect millions of individuals each year and include illnesses that range in severity such as the common cold and viral conjunctivitis to more serious diseases such as viral meningitis/encephalitis and acute flaccid paralysis</w:t>
      </w:r>
      <w:r w:rsidRPr="00737D20">
        <w:rPr>
          <w:rFonts w:cstheme="minorHAnsi"/>
          <w:vertAlign w:val="superscript"/>
        </w:rPr>
        <w:fldChar w:fldCharType="begin" w:fldLock="1"/>
      </w:r>
      <w:r w:rsidR="00F81397">
        <w:rPr>
          <w:rFonts w:cstheme="minorHAnsi"/>
          <w:vertAlign w:val="superscript"/>
        </w:rPr>
        <w:instrText>ADDIN CSL_CITATION {"citationItems":[{"id":"ITEM-1","itemData":{"URL":"https://www.cdc.gov/non-polio-enterovirus/about/symptoms.html","accessed":{"date-parts":[["2018","10","17"]]},"id":"ITEM-1","issued":{"date-parts":[["0"]]},"title":"Non-Polio Enterovirus | Symptoms Non-Polio Enterovirus Infection | Picornavirus | CDC","type":"webpage"},"uris":["http://www.mendeley.com/documents/?uuid=a6687030-7b34-34c1-8ba7-92b7127009bc"]}],"mendeley":{"formattedCitation":"(102)","plainTextFormattedCitation":"(102)","previouslyFormattedCitation":"(102)"},"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(102)</w:t>
      </w:r>
      <w:r w:rsidRPr="00737D20">
        <w:rPr>
          <w:rFonts w:cstheme="minorHAnsi"/>
          <w:vertAlign w:val="superscript"/>
        </w:rPr>
        <w:fldChar w:fldCharType="end"/>
      </w:r>
      <w:r w:rsidRPr="00737D20">
        <w:rPr>
          <w:rFonts w:cstheme="minorHAnsi"/>
        </w:rPr>
        <w:t xml:space="preserve">. </w:t>
      </w:r>
      <w:r w:rsidR="004F6E3B">
        <w:rPr>
          <w:rFonts w:cstheme="minorHAnsi"/>
        </w:rPr>
        <w:t>HRV</w:t>
      </w:r>
      <w:r w:rsidR="000B1045">
        <w:rPr>
          <w:rFonts w:cstheme="minorHAnsi"/>
        </w:rPr>
        <w:t xml:space="preserve"> infections </w:t>
      </w:r>
      <w:r w:rsidR="004F6E3B">
        <w:rPr>
          <w:rFonts w:cstheme="minorHAnsi"/>
        </w:rPr>
        <w:t>cause</w:t>
      </w:r>
      <w:r w:rsidR="000B1045">
        <w:rPr>
          <w:rFonts w:cstheme="minorHAnsi"/>
        </w:rPr>
        <w:t xml:space="preserve"> over 50% of cold-like and flu-like illnesses, and are an enormous economic burden</w:t>
      </w:r>
      <w:r w:rsidR="000E0498">
        <w:rPr>
          <w:rFonts w:cstheme="minorHAnsi"/>
        </w:rPr>
        <w:t>,</w:t>
      </w:r>
      <w:r w:rsidR="000B1045">
        <w:rPr>
          <w:rFonts w:cstheme="minorHAnsi"/>
        </w:rPr>
        <w:t xml:space="preserve"> costing billions of dollars annually</w:t>
      </w:r>
      <w:r w:rsidR="000B1045">
        <w:rPr>
          <w:rFonts w:cstheme="minorHAnsi"/>
        </w:rPr>
        <w:fldChar w:fldCharType="begin" w:fldLock="1"/>
      </w:r>
      <w:r w:rsidR="00F81397">
        <w:rPr>
          <w:rFonts w:cstheme="minorHAnsi"/>
        </w:rPr>
        <w:instrText>ADDIN CSL_CITATION {"citationItems":[{"id":"ITEM-1","itemData":{"DOI":"10.1186/gm44","ISSN":"1756994X","PMID":"19439028","abstract":"Rhinovirus infections cause at least 70% of virus-related wheezing exacerbations and cold and flu-like illnesses. Infections are also associated with otitis media, sinusitis and pneumonia. The annual impact of human rhinovirus (HRV) infections costs billions of healthcare dollars. To date, 100 serotyped HRV or 'classical' strains have been divided between two genetically distinct species based on subgenomic sequences, but many more, apparently novel strains remain un-characterized, circulating in unknown patterns and causing undefined illnesses. Until recently, the genomes of less than half the classical strains had been sequenced. In April 2009, the remaining classical HRV genome sequences were reported. These data will inform therapeutic development and phylogenetic analysis for this subset of HRV strains but should be viewed as one step in a long road leading to comprehensive HRV characterization.","author":[{"dropping-particle":"","family":"Arden","given":"Katherine E.","non-dropping-particle":"","parse-names":false,"suffix":""},{"dropping-particle":"","family":"Mackay","given":"Ian M.","non-dropping-particle":"","parse-names":false,"suffix":""}],"container-title":"Genome Medicine","id":"ITEM-1","issue":"4","issued":{"date-parts":[["2009"]]},"page":"1-5","title":"Human rhinoviruses: Coming in from the cold","type":"article-journal","volume":"1"},"uris":["http://www.mendeley.com/documents/?uuid=4d0e4dae-41de-4d4b-af38-98acc0683405"]},{"id":"ITEM-2","itemData":{"DOI":"10.1007/978-90-481-9039-3_47","ISBN":"9789048190386","ISSN":"08938512","PMID":"23297263","abstract":"Human rhinoviruses are the most important causative agents of upper respiratory infections and are also implicated in more severe clinical entities. Although often present, very little is known about human rhinoviruses. Molecular methods have been used in the classification of this large group of viruses into two separate clades. In addition, one known serotype was found to be a member of enterovirus group D. Laboratory diagnosis of human rhinovirus infection is based on reverse transcription polymerase chain reaction methods or the more tedious virus culture but a rapid \"bedside\" method is unavailable. Anti-rhinoviral therapy has been under extensive study over the past few decades but symptomatic treatment of the common cold is still the only useful approach in clinical use. More data on circulating human rhinovirus strains would facilitate both detection and treatment of these common pathogens. © 2003 Elsevier Science Ltd. All rights reserved.","author":[{"dropping-particle":"","family":"Mackay","given":"Ian M.","non-dropping-particle":"","parse-names":false,"suffix":""}],"container-title":"PCR for Clinical Microbiology: An Australian and International Perspective","id":"ITEM-2","issue":"1","issued":{"date-parts":[["2010"]]},"page":"299-301","title":"Human rhinoviruses","type":"article-journal","volume":"26"},"uris":["http://www.mendeley.com/documents/?uuid=f763ae6a-9a99-417f-aacf-bb59093cdc58"]}],"mendeley":{"formattedCitation":"(103, 104)","plainTextFormattedCitation":"(103, 104)","previouslyFormattedCitation":"(103, 104)"},"properties":{"noteIndex":0},"schema":"https://github.com/citation-style-language/schema/raw/master/csl-citation.json"}</w:instrText>
      </w:r>
      <w:r w:rsidR="000B1045">
        <w:rPr>
          <w:rFonts w:cstheme="minorHAnsi"/>
        </w:rPr>
        <w:fldChar w:fldCharType="separate"/>
      </w:r>
      <w:r w:rsidR="005D2ADA" w:rsidRPr="005D2ADA">
        <w:rPr>
          <w:rFonts w:cstheme="minorHAnsi"/>
          <w:noProof/>
        </w:rPr>
        <w:t>(103, 104)</w:t>
      </w:r>
      <w:r w:rsidR="000B1045">
        <w:rPr>
          <w:rFonts w:cstheme="minorHAnsi"/>
        </w:rPr>
        <w:fldChar w:fldCharType="end"/>
      </w:r>
      <w:r w:rsidR="000E0498">
        <w:rPr>
          <w:rFonts w:cstheme="minorHAnsi"/>
        </w:rPr>
        <w:t>. Infections can be linked to asthma in children and is a significant cause of acute respiratory illness in immune compromised patients</w:t>
      </w:r>
      <w:r w:rsidR="000E0498">
        <w:rPr>
          <w:rFonts w:cstheme="minorHAnsi"/>
        </w:rPr>
        <w:fldChar w:fldCharType="begin" w:fldLock="1"/>
      </w:r>
      <w:r w:rsidR="00F81397">
        <w:rPr>
          <w:rFonts w:cstheme="minorHAnsi"/>
        </w:rPr>
        <w:instrText>ADDIN CSL_CITATION {"citationItems":[{"id":"ITEM-1","itemData":{"DOI":"10.1186/gm44","ISSN":"1756994X","PMID":"19439028","abstract":"Rhinovirus infections cause at least 70% of virus-related wheezing exacerbations and cold and flu-like illnesses. Infections are also associated with otitis media, sinusitis and pneumonia. The annual impact of human rhinovirus (HRV) infections costs billions of healthcare dollars. To date, 100 serotyped HRV or 'classical' strains have been divided between two genetically distinct species based on subgenomic sequences, but many more, apparently novel strains remain un-characterized, circulating in unknown patterns and causing undefined illnesses. Until recently, the genomes of less than half the classical strains had been sequenced. In April 2009, the remaining classical HRV genome sequences were reported. These data will inform therapeutic development and phylogenetic analysis for this subset of HRV strains but should be viewed as one step in a long road leading to comprehensive HRV characterization.","author":[{"dropping-particle":"","family":"Arden","given":"Katherine E.","non-dropping-particle":"","parse-names":false,"suffix":""},{"dropping-particle":"","family":"Mackay","given":"Ian M.","non-dropping-particle":"","parse-names":false,"suffix":""}],"container-title":"Genome Medicine","id":"ITEM-1","issue":"4","issued":{"date-parts":[["2009"]]},"page":"1-5","title":"Human rhinoviruses: Coming in from the cold","type":"article-journal","volume":"1"},"uris":["http://www.mendeley.com/documents/?uuid=4d0e4dae-41de-4d4b-af38-98acc0683405"]},{"id":"ITEM-2","itemData":{"DOI":"10.1007/978-90-481-9039-3_47","ISBN":"9789048190386","ISSN":"08938512","PMID":"23297263","abstract":"Human rhinoviruses are the most important causative agents of upper respiratory infections and are also implicated in more severe clinical entities. Although often present, very little is known about human rhinoviruses. Molecular methods have been used in the classification of this large group of viruses into two separate clades. In addition, one known serotype was found to be a member of enterovirus group D. Laboratory diagnosis of human rhinovirus infection is based on reverse transcription polymerase chain reaction methods or the more tedious virus culture but a rapid \"bedside\" method is unavailable. Anti-rhinoviral therapy has been under extensive study over the past few decades but symptomatic treatment of the common cold is still the only useful approach in clinical use. More data on circulating human rhinovirus strains would facilitate both detection and treatment of these common pathogens. © 2003 Elsevier Science Ltd. All rights reserved.","author":[{"dropping-particle":"","family":"Mackay","given":"Ian M.","non-dropping-particle":"","parse-names":false,"suffix":""}],"container-title":"PCR for Clinical Microbiology: An Australian and International Perspective","id":"ITEM-2","issue":"1","issued":{"date-parts":[["2010"]]},"page":"299-301","title":"Human rhinoviruses","type":"article-journal","volume":"26"},"uris":["http://www.mendeley.com/documents/?uuid=f763ae6a-9a99-417f-aacf-bb59093cdc58"]}],"mendeley":{"formattedCitation":"(103, 104)","plainTextFormattedCitation":"(103, 104)","previouslyFormattedCitation":"(103, 104)"},"properties":{"noteIndex":0},"schema":"https://github.com/citation-style-language/schema/raw/master/csl-citation.json"}</w:instrText>
      </w:r>
      <w:r w:rsidR="000E0498">
        <w:rPr>
          <w:rFonts w:cstheme="minorHAnsi"/>
        </w:rPr>
        <w:fldChar w:fldCharType="separate"/>
      </w:r>
      <w:r w:rsidR="005D2ADA" w:rsidRPr="005D2ADA">
        <w:rPr>
          <w:rFonts w:cstheme="minorHAnsi"/>
          <w:noProof/>
        </w:rPr>
        <w:t>(103, 104)</w:t>
      </w:r>
      <w:r w:rsidR="000E0498">
        <w:rPr>
          <w:rFonts w:cstheme="minorHAnsi"/>
        </w:rPr>
        <w:fldChar w:fldCharType="end"/>
      </w:r>
      <w:r w:rsidR="000E0498">
        <w:rPr>
          <w:rFonts w:cstheme="minorHAnsi"/>
        </w:rPr>
        <w:t>.</w:t>
      </w:r>
      <w:r w:rsidR="00EC27CD">
        <w:rPr>
          <w:rFonts w:cstheme="minorHAnsi"/>
        </w:rPr>
        <w:t xml:space="preserve"> Within the past two decades, outbreaks of EV71 and EV68 have become public health concerns, especially for infants and young children</w:t>
      </w:r>
      <w:r w:rsidR="00EC27CD">
        <w:rPr>
          <w:rFonts w:cstheme="minorHAnsi"/>
        </w:rPr>
        <w:fldChar w:fldCharType="begin" w:fldLock="1"/>
      </w:r>
      <w:r w:rsidR="00F81397">
        <w:rPr>
          <w:rFonts w:cstheme="minorHAnsi"/>
        </w:rPr>
        <w:instrText>ADDIN CSL_CITATION {"citationItems":[{"id":"ITEM-1","itemData":{"DOI":"10.1097/MOP.0000000000000303","ISBN":"0000000000000","ISSN":"1040-8703","author":[{"dropping-particle":"","family":"Lugo","given":"Debra","non-dropping-particle":"","parse-names":false,"suffix":""},{"dropping-particle":"","family":"Krogstad","given":"Paul","non-dropping-particle":"","parse-names":false,"suffix":""}],"container-title":"Current Opinion in Pediatrics","id":"ITEM-1","issue":"1","issued":{"date-parts":[["2016","2"]]},"page":"107-113","title":"Enteroviruses in the early 21st century","type":"article-journal","volume":"28"},"uris":["http://www.mendeley.com/documents/?uuid=b68e9c69-b202-4e11-9e13-67bc58e34618"]},{"id":"ITEM-2","itemData":{"DOI":"10.3345/kjp.2016.59.10.395","ISBN":"9788131223123","ISSN":"20927258","PMID":"27826325","abstract":"Since the outbreak of the enterovirus 71 (EV71) infection in Malaysia in 1997, large epidemics of EV71 have occurred in the Asia-Pacific region. Many children and infants have died from serious neurological complications during these epidemics, and EV71 infection has become a serious public health problem in these areas. EV71 infection causes hand, foot and mouth disease (HFMD) in children, and usually resolves spontaneously. However, EV71 occasionally involves the central nervous system (CNS), and induces diverse neurological complications such as brainstem encephalitis, aseptic meningitis, and acute flaccid paralysis. Among those complications, brainstem encephalitis is the most critical neurological manifestation because it can cause neurogenic pulmonary hemorrhage/edema leading to death. The characteristic clinical symptoms such as myoclonus and ataxia, cerebrospinal fluid (CSF) pleocytosis, and brainstem lesions on magnetic resonance imaging, in conjunction with the skin rash of HFMD and the isolation of EV71 from a stool, throat-swab, or CSF sample are typical findings indicating CNS involvement of EV71 infection. Treatment with intravenous immunoglobulin and milrinone are recommended in cases with severe neurological complications from EV71 infection, such as brainstem encephalitis. Despite the recent discovery of receptors for EV71 in human cells, such as the scavenger receptor B2 and P-selection glycoprotein ligand 1, it is not known why EV71 infection predominantly involves the brainstem. Recently, 3 companies in China have completed phase III clinical trials of EV71 vaccines. However, the promotion and approval of these vaccines in various countries are problems yet to be resolved.","author":[{"dropping-particle":"","family":"Lee","given":"Kyung Yeon","non-dropping-particle":"","parse-names":false,"suffix":""}],"container-title":"Korean Journal of Pediatrics","id":"ITEM-2","issue":"10","issued":{"date-parts":[["2016"]]},"page":"395-401","title":"Enterovirus 71 infection and neurological complications","type":"article-journal","volume":"59"},"uris":["http://www.mendeley.com/documents/?uuid=66dce016-ab6b-4325-b6d9-053dedb55177"]},{"id":"ITEM-3","itemData":{"DOI":"10.1016/S1473-3099(15)00543-5","ISBN":"1473-3099","ISSN":"14744457","PMID":"26929196","abstract":"Since its discovery in California in 1962, reports of enterovirus D68 have been infrequent. Before 2014, infections were confirmed in only 699 people worldwide. In August, 2014, two paediatric hospitals in the USA reported increases in the number of patients with severe respiratory illness, with an over-representation in children with asthma. Shortly after, the authorities recognised a nationwide outbreak, which then spread to Canada, Europe, and Asia. In 2014, more than 2000 cases of enterovirus D68 were reported in 20 countries. Concurrently, clusters of children with acute flaccid paralysis of unknown cause were reported in several US states and in Europe. Enterovirus D68 infection was confirmed in some of the paralysed children, but not all. Complications in patients who were severely neurologically affected resemble those caused by poliomyelitis. In this paper we systematically review reports on enterovirus D68 to estimate its global epidemiology and its ability to cause respiratory infections and neurological damage in children. We extracted data from 70 papers to report on prevalence, symptoms, hospitalisation and mortality, and complications of enterovirus D68, both before and during the large outbreak of 2014. The magnitude and severity of the enterovirus D68 outbreak underscores a need for improved diagnostic work-up of paediatric respiratory illness, not only to prevent unnecessary use of antibiotics, but also to ensure better surveillance of diseases. Existing surveillance systems should be assessed in terms of capacity and ability to detect and report any upsurge of respiratory viruses such as enterovirus D68 in a timely manner, and focus should be paid to development of preventive measures against these emerging enteroviruses that have potential for severe disease.","author":[{"dropping-particle":"","family":"Holm-Hansen","given":"Charlotte Carina","non-dropping-particle":"","parse-names":false,"suffix":""},{"dropping-particle":"","family":"Midgley","given":"Sofie Elisabeth","non-dropping-particle":"","parse-names":false,"suffix":""},{"dropping-particle":"","family":"Fischer","given":"Thea Kølsen","non-dropping-particle":"","parse-names":false,"suffix":""}],"container-title":"The Lancet Infectious Diseases","id":"ITEM-3","issue":"5","issued":{"date-parts":[["2016"]]},"page":"e64-e75","title":"Global emergence of enterovirus D68: A systematic review","type":"article-journal","volume":"16"},"uris":["http://www.mendeley.com/documents/?uuid=64bad13b-a7ab-47e9-9454-63a48beddbdb"]}],"mendeley":{"formattedCitation":"(105–107)","plainTextFormattedCitation":"(105–107)","previouslyFormattedCitation":"(105–107)"},"properties":{"noteIndex":0},"schema":"https://github.com/citation-style-language/schema/raw/master/csl-citation.json"}</w:instrText>
      </w:r>
      <w:r w:rsidR="00EC27CD">
        <w:rPr>
          <w:rFonts w:cstheme="minorHAnsi"/>
        </w:rPr>
        <w:fldChar w:fldCharType="separate"/>
      </w:r>
      <w:r w:rsidR="005D2ADA" w:rsidRPr="005D2ADA">
        <w:rPr>
          <w:rFonts w:cstheme="minorHAnsi"/>
          <w:noProof/>
        </w:rPr>
        <w:t>(105–107)</w:t>
      </w:r>
      <w:r w:rsidR="00EC27CD">
        <w:rPr>
          <w:rFonts w:cstheme="minorHAnsi"/>
        </w:rPr>
        <w:fldChar w:fldCharType="end"/>
      </w:r>
      <w:r w:rsidR="00EC27CD">
        <w:rPr>
          <w:rFonts w:cstheme="minorHAnsi"/>
        </w:rPr>
        <w:t>.</w:t>
      </w:r>
      <w:r w:rsidR="00112051">
        <w:rPr>
          <w:rFonts w:cstheme="minorHAnsi"/>
        </w:rPr>
        <w:t xml:space="preserve"> Both serotypes of the virus have been shown to cause acute flaccid myelitis and other severe neurological conditions</w:t>
      </w:r>
      <w:r w:rsidR="00112051">
        <w:rPr>
          <w:rFonts w:cstheme="minorHAnsi"/>
        </w:rPr>
        <w:fldChar w:fldCharType="begin" w:fldLock="1"/>
      </w:r>
      <w:r w:rsidR="00F81397">
        <w:rPr>
          <w:rFonts w:cstheme="minorHAnsi"/>
        </w:rPr>
        <w:instrText>ADDIN CSL_CITATION {"citationItems":[{"id":"ITEM-1","itemData":{"DOI":"10.1097/MOP.0000000000000303","ISBN":"0000000000000","ISSN":"1040-8703","author":[{"dropping-particle":"","family":"Lugo","given":"Debra","non-dropping-particle":"","parse-names":false,"suffix":""},{"dropping-particle":"","family":"Krogstad","given":"Paul","non-dropping-particle":"","parse-names":false,"suffix":""}],"container-title":"Current Opinion in Pediatrics","id":"ITEM-1","issue":"1","issued":{"date-parts":[["2016","2"]]},"page":"107-113","title":"Enteroviruses in the early 21st century","type":"article-journal","volume":"28"},"uris":["http://www.mendeley.com/documents/?uuid=b68e9c69-b202-4e11-9e13-67bc58e34618"]},{"id":"ITEM-2","itemData":{"DOI":"10.3345/kjp.2016.59.10.395","ISBN":"9788131223123","ISSN":"20927258","PMID":"27826325","abstract":"Since the outbreak of the enterovirus 71 (EV71) infection in Malaysia in 1997, large epidemics of EV71 have occurred in the Asia-Pacific region. Many children and infants have died from serious neurological complications during these epidemics, and EV71 infection has become a serious public health problem in these areas. EV71 infection causes hand, foot and mouth disease (HFMD) in children, and usually resolves spontaneously. However, EV71 occasionally involves the central nervous system (CNS), and induces diverse neurological complications such as brainstem encephalitis, aseptic meningitis, and acute flaccid paralysis. Among those complications, brainstem encephalitis is the most critical neurological manifestation because it can cause neurogenic pulmonary hemorrhage/edema leading to death. The characteristic clinical symptoms such as myoclonus and ataxia, cerebrospinal fluid (CSF) pleocytosis, and brainstem lesions on magnetic resonance imaging, in conjunction with the skin rash of HFMD and the isolation of EV71 from a stool, throat-swab, or CSF sample are typical findings indicating CNS involvement of EV71 infection. Treatment with intravenous immunoglobulin and milrinone are recommended in cases with severe neurological complications from EV71 infection, such as brainstem encephalitis. Despite the recent discovery of receptors for EV71 in human cells, such as the scavenger receptor B2 and P-selection glycoprotein ligand 1, it is not known why EV71 infection predominantly involves the brainstem. Recently, 3 companies in China have completed phase III clinical trials of EV71 vaccines. However, the promotion and approval of these vaccines in various countries are problems yet to be resolved.","author":[{"dropping-particle":"","family":"Lee","given":"Kyung Yeon","non-dropping-particle":"","parse-names":false,"suffix":""}],"container-title":"Korean Journal of Pediatrics","id":"ITEM-2","issue":"10","issued":{"date-parts":[["2016"]]},"page":"395-401","title":"Enterovirus 71 infection and neurological complications","type":"article-journal","volume":"59"},"uris":["http://www.mendeley.com/documents/?uuid=66dce016-ab6b-4325-b6d9-053dedb55177"]},{"id":"ITEM-3","itemData":{"DOI":"10.1016/S1473-3099(15)00543-5","ISBN":"1473-3099","ISSN":"14744457","PMID":"26929196","abstract":"Since its discovery in California in 1962, reports of enterovirus D68 have been infrequent. Before 2014, infections were confirmed in only 699 people worldwide. In August, 2014, two paediatric hospitals in the USA reported increases in the number of patients with severe respiratory illness, with an over-representation in children with asthma. Shortly after, the authorities recognised a nationwide outbreak, which then spread to Canada, Europe, and Asia. In 2014, more than 2000 cases of enterovirus D68 were reported in 20 countries. Concurrently, clusters of children with acute flaccid paralysis of unknown cause were reported in several US states and in Europe. Enterovirus D68 infection was confirmed in some of the paralysed children, but not all. Complications in patients who were severely neurologically affected resemble those caused by poliomyelitis. In this paper we systematically review reports on enterovirus D68 to estimate its global epidemiology and its ability to cause respiratory infections and neurological damage in children. We extracted data from 70 papers to report on prevalence, symptoms, hospitalisation and mortality, and complications of enterovirus D68, both before and during the large outbreak of 2014. The magnitude and severity of the enterovirus D68 outbreak underscores a need for improved diagnostic work-up of paediatric respiratory illness, not only to prevent unnecessary use of antibiotics, but also to ensure better surveillance of diseases. Existing surveillance systems should be assessed in terms of capacity and ability to detect and report any upsurge of respiratory viruses such as enterovirus D68 in a timely manner, and focus should be paid to development of preventive measures against these emerging enteroviruses that have potential for severe disease.","author":[{"dropping-particle":"","family":"Holm-Hansen","given":"Charlotte Carina","non-dropping-particle":"","parse-names":false,"suffix":""},{"dropping-particle":"","family":"Midgley","given":"Sofie Elisabeth","non-dropping-particle":"","parse-names":false,"suffix":""},{"dropping-particle":"","family":"Fischer","given":"Thea Kølsen","non-dropping-particle":"","parse-names":false,"suffix":""}],"container-title":"The Lancet Infectious Diseases","id":"ITEM-3","issue":"5","issued":{"date-parts":[["2016"]]},"page":"e64-e75","title":"Global emergence of enterovirus D68: A systematic review","type":"article-journal","volume":"16"},"uris":["http://www.mendeley.com/documents/?uuid=64bad13b-a7ab-47e9-9454-63a48beddbdb"]}],"mendeley":{"formattedCitation":"(105–107)","plainTextFormattedCitation":"(105–107)","previouslyFormattedCitation":"(105–107)"},"properties":{"noteIndex":0},"schema":"https://github.com/citation-style-language/schema/raw/master/csl-citation.json"}</w:instrText>
      </w:r>
      <w:r w:rsidR="00112051">
        <w:rPr>
          <w:rFonts w:cstheme="minorHAnsi"/>
        </w:rPr>
        <w:fldChar w:fldCharType="separate"/>
      </w:r>
      <w:r w:rsidR="005D2ADA" w:rsidRPr="005D2ADA">
        <w:rPr>
          <w:rFonts w:cstheme="minorHAnsi"/>
          <w:noProof/>
        </w:rPr>
        <w:t>(105–107)</w:t>
      </w:r>
      <w:r w:rsidR="00112051">
        <w:rPr>
          <w:rFonts w:cstheme="minorHAnsi"/>
        </w:rPr>
        <w:fldChar w:fldCharType="end"/>
      </w:r>
      <w:r w:rsidR="00112051">
        <w:rPr>
          <w:rFonts w:cstheme="minorHAnsi"/>
        </w:rPr>
        <w:t xml:space="preserve">. EV71 and </w:t>
      </w:r>
      <w:r w:rsidR="00326133">
        <w:rPr>
          <w:rFonts w:cstheme="minorHAnsi"/>
        </w:rPr>
        <w:t xml:space="preserve">CV are some of the most causative agents of hand, foot, and mouth disease and a </w:t>
      </w:r>
      <w:r w:rsidR="00326133">
        <w:rPr>
          <w:rFonts w:cstheme="minorHAnsi"/>
        </w:rPr>
        <w:lastRenderedPageBreak/>
        <w:t>recent outbreak in China between 2008-2012 resulted in over 7 million cases with over 2500 deaths</w:t>
      </w:r>
      <w:r w:rsidR="00326133">
        <w:rPr>
          <w:rFonts w:cstheme="minorHAnsi"/>
        </w:rPr>
        <w:fldChar w:fldCharType="begin" w:fldLock="1"/>
      </w:r>
      <w:r w:rsidR="00F81397">
        <w:rPr>
          <w:rFonts w:cstheme="minorHAnsi"/>
        </w:rPr>
        <w:instrText>ADDIN CSL_CITATION {"citationItems":[{"id":"ITEM-1","itemData":{"DOI":"10.3345/kjp.2016.59.10.395","ISBN":"9788131223123","ISSN":"20927258","PMID":"27826325","abstract":"Since the outbreak of the enterovirus 71 (EV71) infection in Malaysia in 1997, large epidemics of EV71 have occurred in the Asia-Pacific region. Many children and infants have died from serious neurological complications during these epidemics, and EV71 infection has become a serious public health problem in these areas. EV71 infection causes hand, foot and mouth disease (HFMD) in children, and usually resolves spontaneously. However, EV71 occasionally involves the central nervous system (CNS), and induces diverse neurological complications such as brainstem encephalitis, aseptic meningitis, and acute flaccid paralysis. Among those complications, brainstem encephalitis is the most critical neurological manifestation because it can cause neurogenic pulmonary hemorrhage/edema leading to death. The characteristic clinical symptoms such as myoclonus and ataxia, cerebrospinal fluid (CSF) pleocytosis, and brainstem lesions on magnetic resonance imaging, in conjunction with the skin rash of HFMD and the isolation of EV71 from a stool, throat-swab, or CSF sample are typical findings indicating CNS involvement of EV71 infection. Treatment with intravenous immunoglobulin and milrinone are recommended in cases with severe neurological complications from EV71 infection, such as brainstem encephalitis. Despite the recent discovery of receptors for EV71 in human cells, such as the scavenger receptor B2 and P-selection glycoprotein ligand 1, it is not known why EV71 infection predominantly involves the brainstem. Recently, 3 companies in China have completed phase III clinical trials of EV71 vaccines. However, the promotion and approval of these vaccines in various countries are problems yet to be resolved.","author":[{"dropping-particle":"","family":"Lee","given":"Kyung Yeon","non-dropping-particle":"","parse-names":false,"suffix":""}],"container-title":"Korean Journal of Pediatrics","id":"ITEM-1","issue":"10","issued":{"date-parts":[["2016"]]},"page":"395-401","title":"Enterovirus 71 infection and neurological complications","type":"article-journal","volume":"59"},"uris":["http://www.mendeley.com/documents/?uuid=66dce016-ab6b-4325-b6d9-053dedb55177"]},{"id":"ITEM-2","itemData":{"DOI":"10.1097/MOP.0000000000000303","ISBN":"0000000000000","ISSN":"1040-8703","author":[{"dropping-particle":"","family":"Lugo","given":"Debra","non-dropping-particle":"","parse-names":false,"suffix":""},{"dropping-particle":"","family":"Krogstad","given":"Paul","non-dropping-particle":"","parse-names":false,"suffix":""}],"container-title":"Current Opinion in Pediatrics","id":"ITEM-2","issue":"1","issued":{"date-parts":[["2016","2"]]},"page":"107-113","title":"Enteroviruses in the early 21st century","type":"article-journal","volume":"28"},"uris":["http://www.mendeley.com/documents/?uuid=b68e9c69-b202-4e11-9e13-67bc58e34618"]}],"mendeley":{"formattedCitation":"(105, 106)","plainTextFormattedCitation":"(105, 106)","previouslyFormattedCitation":"(105, 106)"},"properties":{"noteIndex":0},"schema":"https://github.com/citation-style-language/schema/raw/master/csl-citation.json"}</w:instrText>
      </w:r>
      <w:r w:rsidR="00326133">
        <w:rPr>
          <w:rFonts w:cstheme="minorHAnsi"/>
        </w:rPr>
        <w:fldChar w:fldCharType="separate"/>
      </w:r>
      <w:r w:rsidR="005D2ADA" w:rsidRPr="005D2ADA">
        <w:rPr>
          <w:rFonts w:cstheme="minorHAnsi"/>
          <w:noProof/>
        </w:rPr>
        <w:t>(105, 106)</w:t>
      </w:r>
      <w:r w:rsidR="00326133">
        <w:rPr>
          <w:rFonts w:cstheme="minorHAnsi"/>
        </w:rPr>
        <w:fldChar w:fldCharType="end"/>
      </w:r>
      <w:r w:rsidR="00326133">
        <w:rPr>
          <w:rFonts w:cstheme="minorHAnsi"/>
        </w:rPr>
        <w:t>. Echoviruses are among the most common cause of meningitis and can also cause myocarditis and development of type 1 diabetes</w:t>
      </w:r>
      <w:r w:rsidR="00326133">
        <w:rPr>
          <w:rFonts w:cstheme="minorHAnsi"/>
        </w:rPr>
        <w:fldChar w:fldCharType="begin" w:fldLock="1"/>
      </w:r>
      <w:r w:rsidR="00F81397">
        <w:rPr>
          <w:rFonts w:cstheme="minorHAnsi"/>
        </w:rPr>
        <w:instrText>ADDIN CSL_CITATION {"citationItems":[{"id":"ITEM-1","itemData":{"ISBN":"978-0-12-374410-4","author":[{"dropping-particle":"","family":"Reading","given":"Further","non-dropping-particle":"","parse-names":false,"suffix":""}],"chapter-number":"Echoviruse","container-title":"Encyclopedia of Virology","edition":"3","editor":[{"dropping-particle":"","family":"Brian W.J. Mahy and Marc H.V. Van Regenmortel","given":"","non-dropping-particle":"","parse-names":false,"suffix":""}],"id":"ITEM-1","issued":{"date-parts":[["2008"]]},"page":"65-71","publisher":"Academic Press","title":"Echoviruses","type":"chapter"},"uris":["http://www.mendeley.com/documents/?uuid=0412acce-01b2-489a-ae14-b6b785912de9"]}],"mendeley":{"formattedCitation":"(108)","plainTextFormattedCitation":"(108)","previouslyFormattedCitation":"(108)"},"properties":{"noteIndex":0},"schema":"https://github.com/citation-style-language/schema/raw/master/csl-citation.json"}</w:instrText>
      </w:r>
      <w:r w:rsidR="00326133">
        <w:rPr>
          <w:rFonts w:cstheme="minorHAnsi"/>
        </w:rPr>
        <w:fldChar w:fldCharType="separate"/>
      </w:r>
      <w:r w:rsidR="005D2ADA" w:rsidRPr="005D2ADA">
        <w:rPr>
          <w:rFonts w:cstheme="minorHAnsi"/>
          <w:noProof/>
        </w:rPr>
        <w:t>(108)</w:t>
      </w:r>
      <w:r w:rsidR="00326133">
        <w:rPr>
          <w:rFonts w:cstheme="minorHAnsi"/>
        </w:rPr>
        <w:fldChar w:fldCharType="end"/>
      </w:r>
      <w:r w:rsidR="00326133">
        <w:rPr>
          <w:rFonts w:cstheme="minorHAnsi"/>
        </w:rPr>
        <w:t xml:space="preserve">. </w:t>
      </w:r>
      <w:r w:rsidRPr="00737D20">
        <w:rPr>
          <w:rFonts w:cstheme="minorHAnsi"/>
        </w:rPr>
        <w:t>Unlike PV,</w:t>
      </w:r>
      <w:r w:rsidR="00FD7DAB">
        <w:rPr>
          <w:rFonts w:cstheme="minorHAnsi"/>
        </w:rPr>
        <w:t xml:space="preserve"> due to the large number of serotypes,</w:t>
      </w:r>
      <w:r w:rsidRPr="00737D20">
        <w:rPr>
          <w:rFonts w:cstheme="minorHAnsi"/>
        </w:rPr>
        <w:t xml:space="preserve"> the non-polio enteroviruses do not have a vaccine and there currently are no approved antiviral treatments.</w:t>
      </w:r>
    </w:p>
    <w:p w:rsidR="00961548" w:rsidRPr="00737D20" w:rsidRDefault="00961548" w:rsidP="00FB099D">
      <w:pPr>
        <w:ind w:firstLine="720"/>
        <w:jc w:val="both"/>
        <w:rPr>
          <w:b/>
          <w:szCs w:val="28"/>
        </w:rPr>
      </w:pPr>
      <w:r w:rsidRPr="00737D20">
        <w:rPr>
          <w:rFonts w:cstheme="minorHAnsi"/>
          <w:i/>
        </w:rPr>
        <w:t xml:space="preserve">Enterovirus </w:t>
      </w:r>
      <w:r w:rsidRPr="00737D20">
        <w:rPr>
          <w:rFonts w:cstheme="minorHAnsi"/>
        </w:rPr>
        <w:t>species encode a single protein of about 250kDa that is processed by viral proteases to make structural and non-structural proteins. Like HCV, these viruses also induce a protrusion-type RO which are thought to shield the RNA in the cytoplasm from host defenses and support replication</w:t>
      </w:r>
      <w:r w:rsidRPr="00737D20">
        <w:rPr>
          <w:rFonts w:cstheme="minorHAnsi"/>
          <w:vertAlign w:val="superscript"/>
        </w:rPr>
        <w:fldChar w:fldCharType="begin" w:fldLock="1"/>
      </w:r>
      <w:r w:rsidR="00F81397">
        <w:rPr>
          <w:rFonts w:cstheme="minorHAnsi"/>
          <w:vertAlign w:val="superscript"/>
        </w:rPr>
        <w:instrText>ADDIN CSL_CITATION {"citationItems":[{"id":"ITEM-1","itemData":{"DOI":"10.1016/j.ceb.2017.02.005","ISBN":"1879-0410 (Electronic) 0955-0674 (Linking)","ISSN":"18790410","PMID":"28242560","abstract":"Positive-strand RNA (+RNA) viruses (e.g. poliovirus, hepatitis C virus, dengue virus, SARS-coronavirus) remodel cellular membranes to form so-called viral replication compartments (VRCs), which are the sites where viral RNA genome replication takes place. To induce VRC formation, these viruses extensively rewire lipid metabolism. Disparate viruses have many commonalities as well as disparities in their interactions with the host lipidome and accumulate specific sets of lipids (sterols, glycerophospholipids, sphingolipids) at their VRCs. Recent years have seen an upsurge in studies investigating the role of lipids in +RNA virus replication, in particular of sterols, and uncovered that membrane contact sites and lipid transfer proteins are hijacked by viruses and play pivotal roles in VRC formation.","author":[{"dropping-particle":"","family":"Strating","given":"Jeroen R P M","non-dropping-particle":"","parse-names":false,"suffix":""},{"dropping-particle":"","family":"Kuppeveld","given":"Frank J M","non-dropping-particle":"van","parse-names":false,"suffix":""}],"container-title":"Current Opinion in Cell Biology","id":"ITEM-1","issued":{"date-parts":[["2017"]]},"page":"24-33","publisher":"Elsevier Ltd","title":"Viral rewiring of cellular lipid metabolism to create membranous replication compartments","type":"article-journal","volume":"47"},"uris":["http://www.mendeley.com/documents/?uuid=c1475281-6b87-4732-a870-570564f4bb77"]}],"mendeley":{"formattedCitation":"(109)","plainTextFormattedCitation":"(109)","previouslyFormattedCitation":"(109)"},"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(109)</w:t>
      </w:r>
      <w:r w:rsidRPr="00737D20">
        <w:rPr>
          <w:rFonts w:cstheme="minorHAnsi"/>
          <w:vertAlign w:val="superscript"/>
        </w:rPr>
        <w:fldChar w:fldCharType="end"/>
      </w:r>
      <w:r w:rsidRPr="00737D20">
        <w:rPr>
          <w:rFonts w:cstheme="minorHAnsi"/>
        </w:rPr>
        <w:t>. The virus needs to modulate the lipid composition of the membrane to retain integrity of the membrane to sustain efficient replication, and to do this it hijacks host proteins involved in lipid metabolism</w:t>
      </w:r>
      <w:r w:rsidRPr="00737D20">
        <w:rPr>
          <w:rFonts w:cstheme="minorHAnsi"/>
          <w:vertAlign w:val="superscript"/>
        </w:rPr>
        <w:fldChar w:fldCharType="begin" w:fldLock="1"/>
      </w:r>
      <w:r w:rsidR="00F81397">
        <w:rPr>
          <w:rFonts w:cstheme="minorHAnsi"/>
          <w:vertAlign w:val="superscript"/>
        </w:rPr>
        <w:instrText>ADDIN CSL_CITATION {"citationItems":[{"id":"ITEM-1","itemData":{"DOI":"10.1016/j.coviro.2012.09.006","ISBN":"1879-6257","ISSN":"18796257","PMID":"23036609","abstract":"Positive-strand RNA [(+)RNA] viruses show a significant degree of conservation of their mechanisms of replication. The universal requirement of (+)RNA viruses for cellular membranes for genome replication, and the formation of membranous replication organelles with similar architecture, suggest that they target essential control mechanisms of membrane metabolism conserved among eukaryotes. Recently, significant progress has been made in understanding the role of key host factors and pathways that are hijacked for the development of replication organelles. In addition, electron tomography studies have shed new light on their ultrastructure. Collectively, these studies reveal an unexpected complexity of the spatial organization of the replication membranes and suggest that (+)RNA viruses actively change cellular membrane composition to build their replication organelles. {©} 2012 Elsevier B.V.","author":[{"dropping-particle":"","family":"Belov","given":"George A","non-dropping-particle":"","parse-names":false,"suffix":""},{"dropping-particle":"","family":"Kuppeveld","given":"Frank Jm","non-dropping-particle":"Van","parse-names":false,"suffix":""}],"container-title":"Current Opinion in Virology","id":"ITEM-1","issue":"6","issued":{"date-parts":[["2012"]]},"page":"734-741","publisher":"Elsevier B.V.","title":"(+)RNA viruses rewire cellular pathways to build replication organelles","type":"article-journal","volume":"2"},"uris":["http://www.mendeley.com/documents/?uuid=d4687324-de86-4c64-8c82-68d74069a2db"]}],"mendeley":{"formattedCitation":"(110)","plainTextFormattedCitation":"(110)","previouslyFormattedCitation":"(110)"},"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(110)</w:t>
      </w:r>
      <w:r w:rsidRPr="00737D20">
        <w:rPr>
          <w:rFonts w:cstheme="minorHAnsi"/>
          <w:vertAlign w:val="superscript"/>
        </w:rPr>
        <w:fldChar w:fldCharType="end"/>
      </w:r>
      <w:r w:rsidRPr="00737D20">
        <w:rPr>
          <w:rFonts w:cstheme="minorHAnsi"/>
        </w:rPr>
        <w:t>. Viral protein 3A has been shown to play a role in the RO formation by recruiting host factors ARF1 and GFB1 to the membrane, which in turn recruits PI4KIIIβ to increase PI4P production at the RO</w:t>
      </w:r>
      <w:r w:rsidRPr="00737D20">
        <w:rPr>
          <w:rFonts w:cstheme="minorHAnsi"/>
          <w:vertAlign w:val="superscript"/>
        </w:rPr>
        <w:fldChar w:fldCharType="begin" w:fldLock="1"/>
      </w:r>
      <w:r w:rsidR="00F81397">
        <w:rPr>
          <w:rFonts w:cstheme="minorHAnsi"/>
          <w:vertAlign w:val="superscript"/>
        </w:rPr>
        <w:instrText>ADDIN CSL_CITATION {"citationItems":[{"id":"ITEM-1","itemData":{"DOI":"10.1128/JVI.01820-06","ISBN":"0022-538X (Print)","ISSN":"0022-538X","PMID":"17079330","abstract":"Infection of cells with poliovirus induces a massive intracellular membrane reorganization to form vesicle-like structures where viral RNA replication occurs. The mechanism of membrane remodeling remains unknown, although some observations have implicated components of the cellular secretory and/or autophagy pathways. Recently, we showed that some members of the Arf family of small GTPases, which control secretory trafficking, became membrane-bound after the synthesis of poliovirus proteins in vitro and associated with newly formed membranous RNA replication complexes in infected cells. The recruitment of Arfs to specific target membranes is mediated by a group of guanine nucleotide exchange factors (GEFs) that recycle Arf from its inactive, GDP-bound state to an active GTP-bound form. Here we show that two different viral proteins independently recruit different Arf GEFs (GBF1 and BIG1/2) to the new structures that support virus replication. Intracellular Arf-GTP levels increase approximately 4-fold during poliovirus infection. The requirement for these GEFs explains the sensitivity of virus growth to brefeldin A, which can be rescued by the overexpression of GBF1. The recruitment of Arf to membranes via specific GEFs by poliovirus proteins provides an important clue toward identifying cellular pathways utilized by the virus to form its membranous replication complex.","author":[{"dropping-particle":"","family":"Belov","given":"G A","non-dropping-particle":"","parse-names":false,"suffix":""},{"dropping-particle":"","family":"Altan-Bonnet","given":"N","non-dropping-particle":"","parse-names":false,"suffix":""},{"dropping-particle":"","family":"Kovtunovych","given":"G","non-dropping-particle":"","parse-names":false,"suffix":""},{"dropping-particle":"","family":"Jackson","given":"C L","non-dropping-particle":"","parse-names":false,"suffix":""},{"dropping-particle":"","family":"Lippincott-Schwartz","given":"J","non-dropping-particle":"","parse-names":false,"suffix":""},{"dropping-particle":"","family":"Ehrenfeld","given":"E","non-dropping-particle":"","parse-names":false,"suffix":""}],"container-title":"Journal of Virology","id":"ITEM-1","issue":"2","issued":{"date-parts":[["2007"]]},"page":"558-567","title":"Hijacking Components of the Cellular Secretory Pathway for Replication of Poliovirus RNA","type":"article-journal","volume":"81"},"uris":["http://www.mendeley.com/documents/?uuid=5a2b1b1f-4e68-426a-a490-6070ae2a6b12"]},{"id":"ITEM-2","itemData":{"DOI":"10.1016/j.cell.2010.03.050","ISBN":"1097-4172 (Electronic)\\r0092-8674 (Linking)","ISSN":"00928674","PMID":"20510927","abstract":"Many RNA viruses remodel intracellular membranes to generate specialized sites for RNA replication. How membranes are remodeled and what properties make them conducive for replication are unknown. Here we show how RNA viruses can manipulate multiple components of the cellular secretory pathway to generate organelles specialized for replication that are distinct in protein and lipid composition from the host cell. Specific viral proteins modulate effector recruitment by Arf1 GTPase and its guanine nucleotide exchange factor GBF1, promoting preferential recruitment of phosphatidylinositol-4-kinase IIIβ (PI4KIIIβ) to membranes over coat proteins, yielding uncoated phosphatidylinositol-4-phosphate (PI4P) lipid-enriched organelles. The PI4P-rich lipid microenvironment is essential for both enteroviral and flaviviral RNA replication; PI4KIIIβ inhibition interferes with this process; and enteroviral RNA polymerases specifically bind PI4P. These findings reveal how RNA viruses can selectively exploit specific elements of the host to form specialized organelles where cellular phosphoinositide lipids are key to regulating viral RNA replication. © 2010 Elsevier Inc.","author":[{"dropping-particle":"","family":"Hsu","given":"Nai Yun","non-dropping-particle":"","parse-names":false,"suffix":""},{"dropping-particle":"","family":"Ilnytska","given":"Olha","non-dropping-particle":"","parse-names":false,"suffix":""},{"dropping-particle":"","family":"Belov","given":"Georgiy","non-dropping-particle":"","parse-names":false,"suffix":""},{"dropping-particle":"","family":"Santiana","given":"Marianita","non-dropping-particle":"","parse-names":false,"suffix":""},{"dropping-particle":"","family":"Chen","given":"Ying Han","non-dropping-particle":"","parse-names":false,"suffix":""},{"dropping-particle":"","family":"Takvorian","given":"Peter M.","non-dropping-particle":"","parse-names":false,"suffix":""},{"dropping-particle":"","family":"Pau","given":"Cyrilla","non-dropping-particle":"","parse-names":false,"suffix":""},{"dropping-particle":"","family":"Schaar","given":"Hilde","non-dropping-particle":"van der","parse-names":false,"suffix":""},{"dropping-particle":"","family":"Kaushik-Basu","given":"Neerja","non-dropping-particle":"","parse-names":false,"suffix":""},{"dropping-particle":"","family":"Balla","given":"Tamas","non-dropping-particle":"","parse-names":false,"suffix":""},{"dropping-particle":"","family":"Cameron","given":"Craig E.","non-dropping-particle":"","parse-names":false,"suffix":""},{"dropping-particle":"","family":"Ehrenfeld","given":"Ellie","non-dropping-particle":"","parse-names":false,"suffix":""},{"dropping-particle":"","family":"Kuppeveld","given":"Frank J.M.","non-dropping-particle":"van","parse-names":false,"suffix":""},{"dropping-particle":"","family":"Altan-Bonnet","given":"Nihal","non-dropping-particle":"","parse-names":false,"suffix":""}],"container-title":"Cell","id":"ITEM-2","issue":"5","issued":{"date-parts":[["2010"]]},"page":"799-811","publisher":"Elsevier Ltd","title":"Viral reorganization of the secretory pathway generates distinct organelles for RNA replication","type":"article-journal","volume":"141"},"uris":["http://www.mendeley.com/documents/?uuid=844978c9-6a77-49a7-94c9-49a4e26aba5d"]},{"id":"ITEM-3","itemData":{"DOI":"10.1111/1348-0421.12144","ISBN":"8142561077","ISSN":"13480421","PMID":"24527995","abstract":"Studies on anti-picornavirus compounds have revealed an essential role of a novel cellular pathway via host phosphatidylinositol-4 kinase III beta (PI4KB) and oxysterol-binding protein (OSBP) family I in poliovirus (PV) replication. However, the molecular role for this pathway in PV replication has yet to be determined. Here, viral and host proteins modulating production of phosphatidylinositol 4-phosphate (PI4P) and accumulation of unesterified cholesterol (UC) in cells were analyzed and the role of the PI4KB/OSBP pathway in PV replication characterized. Virus protein 2BC was identified as a novel interactant of PI4KB. PI4KB and VCP/p97 bind to a partially overlapped region of 2BC with different sensitivity to a 2C inhibitor. Production of PI4P and accumulation of UC were enhanced by virus protein 2BC, but suppressed by virus proteins 3A and 3AB. In PV-infected cells, a PI4KB inhibitor suppressed production of PI4P, and both a PI4KB inhibitor and an OSBP ligand suppressed accumulation of UC on virus-induced membrane structure. Inhibition of PI4KB activity caused dissociation of OSBP from virus-induced membrane structure in PV-infected cells. Synthesis of viral nascent RNA in PV-infected cells was not affected in the presence of PI4KB inhibitor and OSBP ligand; however, transient pre-treatment of PV-infected cells with these inhibitors suppressed viral RNA synthesis. These results suggest that virus proteins modulate PI4KB activity and provide PI4P for recruitment of OSBP to accumulate UC on virus-induced membrane structure for formation of a virus replication complex.","author":[{"dropping-particle":"","family":"Arita","given":"Minetaro","non-dropping-particle":"","parse-names":false,"suffix":""}],"container-title":"Microbiology and Immunology","id":"ITEM-3","issue":"4","issued":{"date-parts":[["2014"]]},"page":"239-256","title":"Phosphatidylinositol-4 kinase III beta and oxysterol-binding protein accumulate unesterified cholesterol on poliovirus-induced membrane structure","type":"article-journal","volume":"58"},"uris":["http://www.mendeley.com/documents/?uuid=426f9d8f-86ee-4b4a-84bf-33376c3e1fee"]}],"mendeley":{"formattedCitation":"(111–113)","plainTextFormattedCitation":"(111–113)","previouslyFormattedCitation":"(111–113)"},"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(111–113)</w:t>
      </w:r>
      <w:r w:rsidRPr="00737D20">
        <w:rPr>
          <w:rFonts w:cstheme="minorHAnsi"/>
          <w:vertAlign w:val="superscript"/>
        </w:rPr>
        <w:fldChar w:fldCharType="end"/>
      </w:r>
      <w:r w:rsidRPr="00737D20">
        <w:rPr>
          <w:rFonts w:cstheme="minorHAnsi"/>
        </w:rPr>
        <w:t xml:space="preserve">. </w:t>
      </w:r>
      <w:r w:rsidR="004438CF">
        <w:rPr>
          <w:rFonts w:cstheme="minorHAnsi"/>
        </w:rPr>
        <w:t>OSBP can localize to these ROs through its normal interactions with ARF1 and PI4P targeting and d</w:t>
      </w:r>
      <w:r w:rsidR="005D2ADA" w:rsidRPr="00737D20">
        <w:rPr>
          <w:rFonts w:cstheme="minorHAnsi"/>
        </w:rPr>
        <w:t>isruption of OSBP function leads to broad enteroviral inhibition due to OSBP’s role in cholesterol shuttling in response to PI4KIIIβ derived PI4P accumulation at ROs</w:t>
      </w:r>
      <w:r w:rsidR="005D2ADA" w:rsidRPr="00737D20">
        <w:rPr>
          <w:rFonts w:cstheme="minorHAnsi"/>
          <w:vertAlign w:val="superscript"/>
        </w:rPr>
        <w:fldChar w:fldCharType="begin" w:fldLock="1"/>
      </w:r>
      <w:r w:rsidR="00F81397">
        <w:rPr>
          <w:rFonts w:cstheme="minorHAnsi"/>
          <w:vertAlign w:val="superscript"/>
        </w:rPr>
        <w:instrText>ADDIN CSL_CITATION {"citationItems":[{"id":"ITEM-1","itemData":{"DOI":"10.1371/journal.ppat.1005185","ISBN":"1553-7374 (Electronic)\\r1553-7366 (Linking)","ISSN":"15537374","PMID":"26406250","abstract":"Cardioviruses, including encephalomyocarditis virus (EMCV) and the human Saffold virus, are small non-enveloped viruses belonging to the Picornaviridae, a large family of positive-sense RNA [(+)RNA] viruses. All (+)RNA viruses remodel intracellular membranes into unique structures for viral genome replication. Accumulating evidence suggests that picornaviruses from different genera use different strategies to generate viral replication organelles (ROs). For instance, enteroviruses (e.g. poliovirus, coxsackievirus, rhinovirus) rely on the Golgi-localized phosphatidylinositol 4-kinase III beta (PI4KB), while cardioviruses replicate independently of the kinase. By which mechanisms cardioviruses develop their ROs is currently unknown. Here we show that cardioviruses manipulate another PI4K, namely the ER-localized phosphatidylinositol 4-kinase III alpha (PI4KA), to generate PI4P-enriched ROs. By siRNA-mediated knockdown and pharmacological inhibition, we demonstrate that PI4KA is an essential host factor for EMCV genome replication. We reveal that the EMCV nonstructural protein 3A interacts with and is responsible for PI4KA recruitment to viral ROs. The ensuing phosphatidylinositol 4-phosphate (PI4P) proved important for the recruitment of oxysterol-binding protein (OSBP), which delivers cholesterol to EMCV ROs in a PI4P-dependent manner. PI4P lipids and cholesterol are shown to be required for the global organization of the ROs and for viral genome replication. Consistently, inhibition of OSBP expression or function efficiently blocked EMCV RNA replication. In conclusion, we describe for the first time a cellular pathway involved in the biogenesis of cardiovirus ROs. Remarkably, the same pathway was reported to promote formation of the replication sites of hepatitis C virus, a member of the Flaviviridae family, but not other picornaviruses or flaviviruses. Thus, our results highlight the convergent recruitment by distantly related (+)RNA viruses of a host lipid-modifying pathway underlying formation of viral replication sites.","author":[{"dropping-particle":"","family":"Dorobantu","given":"Cristina M.","non-dropping-particle":"","parse-names":false,"suffix":""},{"dropping-particle":"","family":"Albulescu","given":"Lucian","non-dropping-particle":"","parse-names":false,"suffix":""},{"dropping-particle":"","family":"Harak","given":"Christian","non-dropping-particle":"","parse-names":false,"suffix":""},{"dropping-particle":"","family":"Feng","given":"Qian","non-dropping-particle":"","parse-names":false,"suffix":""},{"dropping-particle":"","family":"Kampen","given":"Mirjam","non-dropping-particle":"van","parse-names":false,"suffix":""},{"dropping-particle":"","family":"Strating","given":"Jeroen R P M","non-dropping-particle":"","parse-names":false,"suffix":""},{"dropping-particle":"","family":"Gorbalenya","given":"Alexander E.","non-dropping-particle":"","parse-names":false,"suffix":""},{"dropping-particle":"","family":"Lohmann","given":"Volker","non-dropping-particle":"","parse-names":false,"suffix":""},{"dropping-particle":"","family":"Schaar","given":"Hilde M.","non-dropping-particle":"van der","parse-names":false,"suffix":""},{"dropping-particle":"","family":"Kuppeveld","given":"Frank J M","non-dropping-particle":"van","parse-names":false,"suffix":""}],"container-title":"PLoS Pathogens","id":"ITEM-1","issue":"9","issued":{"date-parts":[["2015"]]},"page":"1-27","title":"Modulation of the Host Lipid Landscape to Promote RNA Virus Replication: The Picornavirus Encephalomyocarditis Virus Converges on the Pathway Used by Hepatitis C Virus","type":"article-journal","volume":"11"},"uris":["http://www.mendeley.com/documents/?uuid=188c5290-db9e-4bc6-a18f-395b8acecb64"]},{"id":"ITEM-2","itemData":{"DOI":"10.1016/j.pmr.2014.05.001.Functional","ISBN":"0000287431","ISSN":"0000287431","PMID":"25792328","author":[{"dropping-particle":"","family":"Strating","given":"Jeroen R.P.M.","non-dropping-particle":"","parse-names":false,"suffix":""}],"id":"ITEM-2","issue":"3","issued":{"date-parts":[["2015"]]},"page":"1-30","title":"ITRACONAZOLE INHIBITS ENTEROVIRUS REPLICATION BY TARGETING THE OXYSTEROL-BINDING PROTEIN","type":"article-journal","volume":"25"},"uris":["http://www.mendeley.com/documents/?uuid=02c7ec4c-fc93-404c-a402-6abc8c747415"]}],"mendeley":{"formattedCitation":"(81, 114)","plainTextFormattedCitation":"(81, 114)","previouslyFormattedCitation":"(81, 114)"},"properties":{"noteIndex":0},"schema":"https://github.com/citation-style-language/schema/raw/master/csl-citation.json"}</w:instrText>
      </w:r>
      <w:r w:rsidR="005D2ADA" w:rsidRPr="00737D20">
        <w:rPr>
          <w:rFonts w:cstheme="minorHAnsi"/>
          <w:vertAlign w:val="superscript"/>
        </w:rPr>
        <w:fldChar w:fldCharType="separate"/>
      </w:r>
      <w:r w:rsidR="005D2ADA" w:rsidRPr="005D2ADA">
        <w:rPr>
          <w:rFonts w:cstheme="minorHAnsi"/>
          <w:noProof/>
        </w:rPr>
        <w:t>(81, 114)</w:t>
      </w:r>
      <w:r w:rsidR="005D2ADA" w:rsidRPr="00737D20">
        <w:rPr>
          <w:rFonts w:cstheme="minorHAnsi"/>
          <w:vertAlign w:val="superscript"/>
        </w:rPr>
        <w:fldChar w:fldCharType="end"/>
      </w:r>
      <w:r w:rsidR="005D2ADA" w:rsidRPr="00737D20">
        <w:rPr>
          <w:rFonts w:cstheme="minorHAnsi"/>
        </w:rPr>
        <w:t xml:space="preserve">. </w:t>
      </w:r>
      <w:r w:rsidRPr="00737D20">
        <w:rPr>
          <w:rFonts w:cstheme="minorHAnsi"/>
        </w:rPr>
        <w:t>The viral RNA-dependent RNA-polymerase, 3D</w:t>
      </w:r>
      <w:r w:rsidRPr="00737D20">
        <w:rPr>
          <w:rFonts w:cstheme="minorHAnsi"/>
          <w:vertAlign w:val="superscript"/>
        </w:rPr>
        <w:t>pol</w:t>
      </w:r>
      <w:r w:rsidRPr="00737D20">
        <w:rPr>
          <w:rFonts w:cstheme="minorHAnsi"/>
        </w:rPr>
        <w:t xml:space="preserve">, was shown to have specificity in binding PI4P </w:t>
      </w:r>
      <w:r w:rsidRPr="00737D20">
        <w:rPr>
          <w:rFonts w:cstheme="minorHAnsi"/>
          <w:i/>
        </w:rPr>
        <w:t>in vitro</w:t>
      </w:r>
      <w:r w:rsidRPr="00737D20">
        <w:rPr>
          <w:rFonts w:cstheme="minorHAnsi"/>
        </w:rPr>
        <w:t xml:space="preserve"> which suggests that PI4P may act as a scaffold at ROs for viral protein localization for assembly of genome replication machinery</w:t>
      </w:r>
      <w:r w:rsidRPr="00737D20">
        <w:rPr>
          <w:rFonts w:cstheme="minorHAnsi"/>
          <w:vertAlign w:val="superscript"/>
        </w:rPr>
        <w:fldChar w:fldCharType="begin" w:fldLock="1"/>
      </w:r>
      <w:r w:rsidR="00F81397">
        <w:rPr>
          <w:rFonts w:cstheme="minorHAnsi"/>
          <w:vertAlign w:val="superscript"/>
        </w:rPr>
        <w:instrText>ADDIN CSL_CITATION {"citationItems":[{"id":"ITEM-1","itemData":{"DOI":"10.1016/j.cell.2010.03.050","ISBN":"1097-4172 (Electronic)\\r0092-8674 (Linking)","ISSN":"00928674","PMID":"20510927","abstract":"Many RNA viruses remodel intracellular membranes to generate specialized sites for RNA replication. How membranes are remodeled and what properties make them conducive for replication are unknown. Here we show how RNA viruses can manipulate multiple components of the cellular secretory pathway to generate organelles specialized for replication that are distinct in protein and lipid composition from the host cell. Specific viral proteins modulate effector recruitment by Arf1 GTPase and its guanine nucleotide exchange factor GBF1, promoting preferential recruitment of phosphatidylinositol-4-kinase IIIβ (PI4KIIIβ) to membranes over coat proteins, yielding uncoated phosphatidylinositol-4-phosphate (PI4P) lipid-enriched organelles. The PI4P-rich lipid microenvironment is essential for both enteroviral and flaviviral RNA replication; PI4KIIIβ inhibition interferes with this process; and enteroviral RNA polymerases specifically bind PI4P. These findings reveal how RNA viruses can selectively exploit specific elements of the host to form specialized organelles where cellular phosphoinositide lipids are key to regulating viral RNA replication. © 2010 Elsevier Inc.","author":[{"dropping-particle":"","family":"Hsu","given":"Nai Yun","non-dropping-particle":"","parse-names":false,"suffix":""},{"dropping-particle":"","family":"Ilnytska","given":"Olha","non-dropping-particle":"","parse-names":false,"suffix":""},{"dropping-particle":"","family":"Belov","given":"Georgiy","non-dropping-particle":"","parse-names":false,"suffix":""},{"dropping-particle":"","family":"Santiana","given":"Marianita","non-dropping-particle":"","parse-names":false,"suffix":""},{"dropping-particle":"","family":"Chen","given":"Ying Han","non-dropping-particle":"","parse-names":false,"suffix":""},{"dropping-particle":"","family":"Takvorian","given":"Peter M.","non-dropping-particle":"","parse-names":false,"suffix":""},{"dropping-particle":"","family":"Pau","given":"Cyrilla","non-dropping-particle":"","parse-names":false,"suffix":""},{"dropping-particle":"","family":"Schaar","given":"Hilde","non-dropping-particle":"van der","parse-names":false,"suffix":""},{"dropping-particle":"","family":"Kaushik-Basu","given":"Neerja","non-dropping-particle":"","parse-names":false,"suffix":""},{"dropping-particle":"","family":"Balla","given":"Tamas","non-dropping-particle":"","parse-names":false,"suffix":""},{"dropping-particle":"","family":"Cameron","given":"Craig E.","non-dropping-particle":"","parse-names":false,"suffix":""},{"dropping-particle":"","family":"Ehrenfeld","given":"Ellie","non-dropping-particle":"","parse-names":false,"suffix":""},{"dropping-particle":"","family":"Kuppeveld","given":"Frank J.M.","non-dropping-particle":"van","parse-names":false,"suffix":""},{"dropping-particle":"","family":"Altan-Bonnet","given":"Nihal","non-dropping-particle":"","parse-names":false,"suffix":""}],"container-title":"Cell","id":"ITEM-1","issue":"5","issued":{"date-parts":[["2010"]]},"page":"799-811","publisher":"Elsevier Ltd","title":"Viral reorganization of the secretory pathway generates distinct organelles for RNA replication","type":"article-journal","volume":"141"},"uris":["http://www.mendeley.com/documents/?uuid=844978c9-6a77-49a7-94c9-49a4e26aba5d"]}],"mendeley":{"formattedCitation":"(112)","plainTextFormattedCitation":"(112)","previouslyFormattedCitation":"(112)"},"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(112)</w:t>
      </w:r>
      <w:r w:rsidRPr="00737D20">
        <w:rPr>
          <w:rFonts w:cstheme="minorHAnsi"/>
          <w:vertAlign w:val="superscript"/>
        </w:rPr>
        <w:fldChar w:fldCharType="end"/>
      </w:r>
      <w:r w:rsidRPr="00737D20">
        <w:rPr>
          <w:rFonts w:cstheme="minorHAnsi"/>
        </w:rPr>
        <w:t>. Another component of RO generation is the accumulation of cholesterol from various host membranes</w:t>
      </w:r>
      <w:r w:rsidR="002175FA">
        <w:rPr>
          <w:rFonts w:cstheme="minorHAnsi"/>
        </w:rPr>
        <w:fldChar w:fldCharType="begin" w:fldLock="1"/>
      </w:r>
      <w:r w:rsidR="00F81397">
        <w:rPr>
          <w:rFonts w:cstheme="minorHAnsi"/>
        </w:rPr>
        <w:instrText>ADDIN CSL_CITATION {"citationItems":[{"id":"ITEM-1","itemData":{"DOI":"10.1371/journal.ppat.1005185","ISBN":"1553-7374 (Electronic)\\r1553-7366 (Linking)","ISSN":"15537374","PMID":"26406250","abstract":"Cardioviruses, including encephalomyocarditis virus (EMCV) and the human Saffold virus, are small non-enveloped viruses belonging to the Picornaviridae, a large family of positive-sense RNA [(+)RNA] viruses. All (+)RNA viruses remodel intracellular membranes into unique structures for viral genome replication. Accumulating evidence suggests that picornaviruses from different genera use different strategies to generate viral replication organelles (ROs). For instance, enteroviruses (e.g. poliovirus, coxsackievirus, rhinovirus) rely on the Golgi-localized phosphatidylinositol 4-kinase III beta (PI4KB), while cardioviruses replicate independently of the kinase. By which mechanisms cardioviruses develop their ROs is currently unknown. Here we show that cardioviruses manipulate another PI4K, namely the ER-localized phosphatidylinositol 4-kinase III alpha (PI4KA), to generate PI4P-enriched ROs. By siRNA-mediated knockdown and pharmacological inhibition, we demonstrate that PI4KA is an essential host factor for EMCV genome replication. We reveal that the EMCV nonstructural protein 3A interacts with and is responsible for PI4KA recruitment to viral ROs. The ensuing phosphatidylinositol 4-phosphate (PI4P) proved important for the recruitment of oxysterol-binding protein (OSBP), which delivers cholesterol to EMCV ROs in a PI4P-dependent manner. PI4P lipids and cholesterol are shown to be required for the global organization of the ROs and for viral genome replication. Consistently, inhibition of OSBP expression or function efficiently blocked EMCV RNA replication. In conclusion, we describe for the first time a cellular pathway involved in the biogenesis of cardiovirus ROs. Remarkably, the same pathway was reported to promote formation of the replication sites of hepatitis C virus, a member of the Flaviviridae family, but not other picornaviruses or flaviviruses. Thus, our results highlight the convergent recruitment by distantly related (+)RNA viruses of a host lipid-modifying pathway underlying formation of viral replication sites.","author":[{"dropping-particle":"","family":"Dorobantu","given":"Cristina M.","non-dropping-particle":"","parse-names":false,"suffix":""},{"dropping-particle":"","family":"Albulescu","given":"Lucian","non-dropping-particle":"","parse-names":false,"suffix":""},{"dropping-particle":"","family":"Harak","given":"Christian","non-dropping-particle":"","parse-names":false,"suffix":""},{"dropping-particle":"","family":"Feng","given":"Qian","non-dropping-particle":"","parse-names":false,"suffix":""},{"dropping-particle":"","family":"Kampen","given":"Mirjam","non-dropping-particle":"van","parse-names":false,"suffix":""},{"dropping-particle":"","family":"Strating","given":"Jeroen R P M","non-dropping-particle":"","parse-names":false,"suffix":""},{"dropping-particle":"","family":"Gorbalenya","given":"Alexander E.","non-dropping-particle":"","parse-names":false,"suffix":""},{"dropping-particle":"","family":"Lohmann","given":"Volker","non-dropping-particle":"","parse-names":false,"suffix":""},{"dropping-particle":"","family":"Schaar","given":"Hilde M.","non-dropping-particle":"van der","parse-names":false,"suffix":""},{"dropping-particle":"","family":"Kuppeveld","given":"Frank J M","non-dropping-particle":"van","parse-names":false,"suffix":""}],"container-title":"PLoS Pathogens","id":"ITEM-1","issue":"9","issued":{"date-parts":[["2015"]]},"page":"1-27","title":"Modulation of the Host Lipid Landscape to Promote RNA Virus Replication: The Picornavirus Encephalomyocarditis Virus Converges on the Pathway Used by Hepatitis C Virus","type":"article-journal","volume":"11"},"uris":["http://www.mendeley.com/documents/?uuid=188c5290-db9e-4bc6-a18f-395b8acecb64"]}],"mendeley":{"formattedCitation":"(114)","plainTextFormattedCitation":"(114)","previouslyFormattedCitation":"(114)"},"properties":{"noteIndex":0},"schema":"https://github.com/citation-style-language/schema/raw/master/csl-citation.json"}</w:instrText>
      </w:r>
      <w:r w:rsidR="002175FA">
        <w:rPr>
          <w:rFonts w:cstheme="minorHAnsi"/>
        </w:rPr>
        <w:fldChar w:fldCharType="separate"/>
      </w:r>
      <w:r w:rsidR="005D2ADA" w:rsidRPr="005D2ADA">
        <w:rPr>
          <w:rFonts w:cstheme="minorHAnsi"/>
          <w:noProof/>
        </w:rPr>
        <w:t>(114)</w:t>
      </w:r>
      <w:r w:rsidR="002175FA">
        <w:rPr>
          <w:rFonts w:cstheme="minorHAnsi"/>
        </w:rPr>
        <w:fldChar w:fldCharType="end"/>
      </w:r>
      <w:r w:rsidRPr="00737D20">
        <w:rPr>
          <w:rFonts w:cstheme="minorHAnsi"/>
        </w:rPr>
        <w:t xml:space="preserve">. </w:t>
      </w:r>
      <w:r w:rsidRPr="00737D20">
        <w:rPr>
          <w:rFonts w:cstheme="minorHAnsi"/>
          <w:i/>
        </w:rPr>
        <w:t xml:space="preserve">Enteroviruses </w:t>
      </w:r>
      <w:r w:rsidRPr="00737D20">
        <w:rPr>
          <w:rFonts w:cstheme="minorHAnsi"/>
        </w:rPr>
        <w:t>have been shown to extract cholesterol from the ER, lipid droplets, and recycling endosomes from increased endocytosis</w:t>
      </w:r>
      <w:r w:rsidR="002175FA">
        <w:rPr>
          <w:rFonts w:cstheme="minorHAnsi"/>
        </w:rPr>
        <w:t>,</w:t>
      </w:r>
      <w:r w:rsidRPr="00737D20">
        <w:rPr>
          <w:rFonts w:cstheme="minorHAnsi"/>
        </w:rPr>
        <w:t xml:space="preserve"> and disruption of cholesterol homeostasis leads to decreased viral replication</w:t>
      </w:r>
      <w:r w:rsidRPr="00737D20">
        <w:rPr>
          <w:rFonts w:cstheme="minorHAnsi"/>
          <w:vertAlign w:val="superscript"/>
        </w:rPr>
        <w:fldChar w:fldCharType="begin" w:fldLock="1"/>
      </w:r>
      <w:r w:rsidR="00F81397">
        <w:rPr>
          <w:rFonts w:cstheme="minorHAnsi"/>
          <w:vertAlign w:val="superscript"/>
        </w:rPr>
        <w:instrText>ADDIN CSL_CITATION {"citationItems":[{"id":"ITEM-1","itemData":{"DOI":"10.1016/j.chom.2013.08.002","ISBN":"1934-6069 (Electronic)\\r1931-3128 (Linking)","ISSN":"19346069","PMID":"24034614","abstract":"Cholesterol is a critical component of cellular membranes, regulating assembly and function of membrane-based protein/lipid complexes. Many RNA viruses, including enteroviruses, remodel host membranes to generate organelles with unique lipid blueprints on which they assemble replication complexes and synthesize viral RNA. Here we find that clathrin-mediated endocytosis (CME) is harnessed by enteroviruses to traffic cholesterol from the plasma membrane (PM) and extracellular medium to replication organelles, where cholesterol then regulates viral polyprotein processing and facilitates genome synthesis. When CME is disrupted, cellular cholesterol pools are instead stored in lipid droplets, cholesterol cannot be trafficked to replication organelles, and replication is inhibited. In contrast, replication is stimulated in cholesterol-elevated cells like those lacking caveolins or those from Niemann-Pick disease patients. Our findings indicate cholesterol as a critical determinant for enteroviral replication and outline roles for the endocytic machinery in both the enteroviral life cycle and host cell cholesterol homeostasis. © 2013 Elsevier Inc.","author":[{"dropping-particle":"","family":"Ilnytska","given":"Olha","non-dropping-particle":"","parse-names":false,"suffix":""},{"dropping-particle":"","family":"Santiana","given":"Marianita","non-dropping-particle":"","parse-names":false,"suffix":""},{"dropping-particle":"","family":"Hsu","given":"Nai Yun","non-dropping-particle":"","parse-names":false,"suffix":""},{"dropping-particle":"","family":"Du","given":"Wen Li","non-dropping-particle":"","parse-names":false,"suffix":""},{"dropping-particle":"","family":"Chen","given":"Ying Han","non-dropping-particle":"","parse-names":false,"suffix":""},{"dropping-particle":"","family":"Viktorova","given":"Ekaterina G.","non-dropping-particle":"","parse-names":false,"suffix":""},{"dropping-particle":"","family":"Belov","given":"Georgy","non-dropping-particle":"","parse-names":false,"suffix":""},{"dropping-particle":"","family":"Brinker","given":"Anita","non-dropping-particle":"","parse-names":false,"suffix":""},{"dropping-particle":"","family":"Storch","given":"Judith","non-dropping-particle":"","parse-names":false,"suffix":""},{"dropping-particle":"","family":"Moore","given":"Christopher","non-dropping-particle":"","parse-names":false,"suffix":""},{"dropping-particle":"","family":"Dixon","given":"Joseph L.","non-dropping-particle":"","parse-names":false,"suffix":""},{"dropping-particle":"","family":"Altan-Bonnet","given":"Nihal","non-dropping-particle":"","parse-names":false,"suffix":""}],"container-title":"Cell Host and Microbe","id":"ITEM-1","issue":"3","issued":{"date-parts":[["2013"]]},"page":"281-293","publisher":"Elsevier Inc.","title":"Enteroviruses harness the cellular endocytic machinery to remodel the host cell cholesterol landscape for effective viral replication","type":"article-journal","volume":"14"},"uris":["http://www.mendeley.com/documents/?uuid=1f9af861-df53-45df-a041-1bd750b2ce3b"]},{"id":"ITEM-2","itemData":{"DOI":"10.1111/cmi.12425","ISBN":"1462-5822 (Electronic) 1462-5814 (Linking)","ISSN":"14625822","PMID":"25645595","abstract":"Picornaviruses are a family of positive-strand RNA viruses that represent important human and animal pathogens. Upon infection, picornaviruses induce an extensive remodeling of host cell membranes into replication organelles, which is critical for replication. Membrane lipids and lipid remodeling processes are at the base of RO formation, yet their involvement remains largely obscure. Recently, phosphatidylinositol-4-phosphate (PI4P) was the first lipid discovered to be important for the replication of a number of picornaviruses. Here, we investigate the role of the lipid cholesterol in picornavirus replication. We show that two picornaviruses from distinct genera that rely on different host factors for replication, namely the enterovirus coxsackievirus B3 (CVB3) and the cardiovirus encephalomyocarditis virus (EMCV), both recruited cholesterol to their ROs. Although CVB3 and EMCV both required cholesterol for efficient genome replication, the viruses appeared to rely on different cellular cholesterol pools. Treatments that altered the distribution of endosomal cholesterol inhibited replication of both CVB3 and EMCV, showing the importance of endosomal cholesterol shuttling for the replication of these viruses. Summarizing, we here demonstrate the importance of cholesterol homeostasis for efficient replication of CVB3 and EMCV.","author":[{"dropping-particle":"","family":"Albulescu","given":"Lucian","non-dropping-particle":"","parse-names":false,"suffix":""},{"dropping-particle":"","family":"Wubbolts","given":"Richard","non-dropping-particle":"","parse-names":false,"suffix":""},{"dropping-particle":"","family":"Kuppeveld","given":"Frank J M","non-dropping-particle":"van","parse-names":false,"suffix":""},{"dropping-particle":"","family":"Strating","given":"Jeroen R P M","non-dropping-particle":"","parse-names":false,"suffix":""}],"container-title":"Cellular Microbiology","id":"ITEM-2","issue":"8","issued":{"date-parts":[["2015"]]},"page":"1144-1156","title":"Cholesterol shuttling is important for RNA replication of coxsackievirus B3 and encephalomyocarditis virus","type":"article-journal","volume":"17"},"uris":["http://www.mendeley.com/documents/?uuid=51b68514-8d04-4b95-9e29-4cad2861b78b"]},{"id":"ITEM-3","itemData":{"DOI":"10.1371/journal.ppat.1005185","ISBN":"1553-7374 (Electronic)\\r1553-7366 (Linking)","ISSN":"15537374","PMID":"26406250","abstract":"Cardioviruses, including encephalomyocarditis virus (EMCV) and the human Saffold virus, are small non-enveloped viruses belonging to the Picornaviridae, a large family of positive-sense RNA [(+)RNA] viruses. All (+)RNA viruses remodel intracellular membranes into unique structures for viral genome replication. Accumulating evidence suggests that picornaviruses from different genera use different strategies to generate viral replication organelles (ROs). For instance, enteroviruses (e.g. poliovirus, coxsackievirus, rhinovirus) rely on the Golgi-localized phosphatidylinositol 4-kinase III beta (PI4KB), while cardioviruses replicate independently of the kinase. By which mechanisms cardioviruses develop their ROs is currently unknown. Here we show that cardioviruses manipulate another PI4K, namely the ER-localized phosphatidylinositol 4-kinase III alpha (PI4KA), to generate PI4P-enriched ROs. By siRNA-mediated knockdown and pharmacological inhibition, we demonstrate that PI4KA is an essential host factor for EMCV genome replication. We reveal that the EMCV nonstructural protein 3A interacts with and is responsible for PI4KA recruitment to viral ROs. The ensuing phosphatidylinositol 4-phosphate (PI4P) proved important for the recruitment of oxysterol-binding protein (OSBP), which delivers cholesterol to EMCV ROs in a PI4P-dependent manner. PI4P lipids and cholesterol are shown to be required for the global organization of the ROs and for viral genome replication. Consistently, inhibition of OSBP expression or function efficiently blocked EMCV RNA replication. In conclusion, we describe for the first time a cellular pathway involved in the biogenesis of cardiovirus ROs. Remarkably, the same pathway was reported to promote formation of the replication sites of hepatitis C virus, a member of the Flaviviridae family, but not other picornaviruses or flaviviruses. Thus, our results highlight the convergent recruitment by distantly related (+)RNA viruses of a host lipid-modifying pathway underlying formation of viral replication sites.","author":[{"dropping-particle":"","family":"Dorobantu","given":"Cristina M.","non-dropping-particle":"","parse-names":false,"suffix":""},{"dropping-particle":"","family":"Albulescu","given":"Lucian","non-dropping-particle":"","parse-names":false,"suffix":""},{"dropping-particle":"","family":"Harak","given":"Christian","non-dropping-particle":"","parse-names":false,"suffix":""},{"dropping-particle":"","family":"Feng","given":"Qian","non-dropping-particle":"","parse-names":false,"suffix":""},{"dropping-particle":"","family":"Kampen","given":"Mirjam","non-dropping-particle":"van","parse-names":false,"suffix":""},{"dropping-particle":"","family":"Strating","given":"Jeroen R P M","non-dropping-particle":"","parse-names":false,"suffix":""},{"dropping-particle":"","family":"Gorbalenya","given":"Alexander E.","non-dropping-particle":"","parse-names":false,"suffix":""},{"dropping-particle":"","family":"Lohmann","given":"Volker","non-dropping-particle":"","parse-names":false,"suffix":""},{"dropping-particle":"","family":"Schaar","given":"Hilde M.","non-dropping-particle":"van der","parse-names":false,"suffix":""},{"dropping-particle":"","family":"Kuppeveld","given":"Frank J M","non-dropping-particle":"van","parse-names":false,"suffix":""}],"container-title":"PLoS Pathogens","id":"ITEM-3","issue":"9","issued":{"date-parts":[["2015"]]},"page":"1-27","title":"Modulation of the Host Lipid Landscape to Promote RNA Virus Replication: The Picornavirus Encephalomyocarditis Virus Converges on the Pathway Used by Hepatitis C Virus","type":"article-journal","volume":"11"},"uris":["http://www.mendeley.com/documents/?uuid=188c5290-db9e-4bc6-a18f-395b8acecb64"]}],"mendeley":{"formattedCitation":"(114–116)","plainTextFormattedCitation":"(114–116)","previouslyFormattedCitation":"(114–116)"},"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(114–116)</w:t>
      </w:r>
      <w:r w:rsidRPr="00737D20">
        <w:rPr>
          <w:rFonts w:cstheme="minorHAnsi"/>
          <w:vertAlign w:val="superscript"/>
        </w:rPr>
        <w:fldChar w:fldCharType="end"/>
      </w:r>
      <w:r w:rsidR="004438CF">
        <w:rPr>
          <w:rFonts w:cstheme="minorHAnsi"/>
        </w:rPr>
        <w:t>. The dependence of these viruses on cholesterol</w:t>
      </w:r>
      <w:r w:rsidRPr="00737D20">
        <w:rPr>
          <w:rFonts w:cstheme="minorHAnsi"/>
        </w:rPr>
        <w:t xml:space="preserve"> suggests that OSBP would be a favorable host target for antiviral therapies.</w:t>
      </w:r>
    </w:p>
    <w:p w:rsidR="00961548" w:rsidRPr="00AE0583" w:rsidRDefault="002175FA" w:rsidP="00FB099D">
      <w:pPr>
        <w:pStyle w:val="Heading4"/>
        <w:jc w:val="both"/>
        <w:rPr>
          <w:b w:val="0"/>
          <w:i/>
          <w:sz w:val="24"/>
        </w:rPr>
      </w:pPr>
      <w:r>
        <w:rPr>
          <w:b w:val="0"/>
          <w:i/>
          <w:sz w:val="24"/>
        </w:rPr>
        <w:lastRenderedPageBreak/>
        <w:t xml:space="preserve">Role of OSBP in the Replication of </w:t>
      </w:r>
      <w:r w:rsidR="00961548" w:rsidRPr="00AE0583">
        <w:rPr>
          <w:b w:val="0"/>
          <w:i/>
          <w:sz w:val="24"/>
        </w:rPr>
        <w:t>Other Viruses</w:t>
      </w:r>
    </w:p>
    <w:p w:rsidR="00961548" w:rsidRPr="00737D20" w:rsidRDefault="00961548" w:rsidP="00FB099D">
      <w:pPr>
        <w:ind w:firstLine="720"/>
        <w:jc w:val="both"/>
        <w:rPr>
          <w:rFonts w:cstheme="minorHAnsi"/>
        </w:rPr>
      </w:pPr>
      <w:r w:rsidRPr="00737D20">
        <w:rPr>
          <w:rFonts w:cstheme="minorHAnsi"/>
        </w:rPr>
        <w:t xml:space="preserve">Encephalomyocarditis virus (EMCV) is a positive-sense strand RNA virus belonging to the genus </w:t>
      </w:r>
      <w:r w:rsidRPr="00737D20">
        <w:rPr>
          <w:rFonts w:cstheme="minorHAnsi"/>
          <w:i/>
        </w:rPr>
        <w:t>Cardiovirus</w:t>
      </w:r>
      <w:r w:rsidRPr="00737D20">
        <w:rPr>
          <w:rFonts w:cstheme="minorHAnsi"/>
        </w:rPr>
        <w:t xml:space="preserve"> that is responsible for fatal myocarditis and encephalitis in various animals with no current treatment. The main reservoir for EMCV is thought to be rodents</w:t>
      </w:r>
      <w:r w:rsidR="002175FA">
        <w:rPr>
          <w:rFonts w:cstheme="minorHAnsi"/>
        </w:rPr>
        <w:t>,</w:t>
      </w:r>
      <w:r w:rsidRPr="00737D20">
        <w:rPr>
          <w:rFonts w:cstheme="minorHAnsi"/>
        </w:rPr>
        <w:t xml:space="preserve"> and </w:t>
      </w:r>
      <w:r w:rsidR="002175FA">
        <w:rPr>
          <w:rFonts w:cstheme="minorHAnsi"/>
        </w:rPr>
        <w:t xml:space="preserve">although EMCV infects a variety of animals, </w:t>
      </w:r>
      <w:r w:rsidRPr="00737D20">
        <w:rPr>
          <w:rFonts w:cstheme="minorHAnsi"/>
        </w:rPr>
        <w:t>pigs seem to be the most susceptible</w:t>
      </w:r>
      <w:r w:rsidRPr="00737D20">
        <w:rPr>
          <w:rFonts w:cstheme="minorHAnsi"/>
          <w:vertAlign w:val="superscript"/>
        </w:rPr>
        <w:fldChar w:fldCharType="begin" w:fldLock="1"/>
      </w:r>
      <w:r w:rsidR="00F81397">
        <w:rPr>
          <w:rFonts w:cstheme="minorHAnsi"/>
          <w:vertAlign w:val="superscript"/>
        </w:rPr>
        <w:instrText>ADDIN CSL_CITATION {"citationItems":[{"id":"ITEM-1","itemData":{"DOI":"10.4161/viru.20573","ISBN":"2150-5608 (Electronic)\\r2150-5594 (Linking)","ISSN":"21505608","PMID":"22722247","abstract":"The encephalomyocarditis virus (EMCV) is a small non-enveloped single-strand RNA virus, the causative agent of not only myocarditis and encephalitis, but also neurological diseases, reproductive disorders and diabetes in many mammalian species. EMCV pathogenesis appears to be viral strain- and host-specific, and a better understanding of EMCV virulence factors is increasingly required. Indeed, EMCV is often used as a model for diabetes and viral myocarditis, and is also widely used in immunology as a double-stranded RNA stimulus in the study of Toll-like as well as cytosolic receptors. However, EMCV virulence and properties have often been neglected. Moreover, EMCV is able to infect humans albeit with a low morbidity. Progress on xenografts, such as pig heart transplantation in humans, has raised safety concerns that need to be explored. In this review we will highlight the biology of EMCV and all known and potential virulence factors.","author":[{"dropping-particle":"","family":"Carocci","given":"Margot","non-dropping-particle":"","parse-names":false,"suffix":""},{"dropping-particle":"","family":"Bakkali-Kassimi","given":"Labib","non-dropping-particle":"","parse-names":false,"suffix":""}],"container-title":"Virulence","id":"ITEM-1","issue":"4","issued":{"date-parts":[["2012"]]},"page":"351-367","title":"The encephalomyocarditis virus","type":"article-journal","volume":"3"},"uris":["http://www.mendeley.com/documents/?uuid=0746d9f5-31ee-4cf1-ac08-b36fb1556e09"]}],"mendeley":{"formattedCitation":"(117)","plainTextFormattedCitation":"(117)","previouslyFormattedCitation":"(117)"},"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(117)</w:t>
      </w:r>
      <w:r w:rsidRPr="00737D20">
        <w:rPr>
          <w:rFonts w:cstheme="minorHAnsi"/>
          <w:vertAlign w:val="superscript"/>
        </w:rPr>
        <w:fldChar w:fldCharType="end"/>
      </w:r>
      <w:r w:rsidRPr="00737D20">
        <w:rPr>
          <w:rFonts w:cstheme="minorHAnsi"/>
        </w:rPr>
        <w:t>. EMCV infection is thought to be fairly common in humans with up to 17% of various town populations being seropositive to EMCV, but despite the common exposure there are rarely any symptoms reported</w:t>
      </w:r>
      <w:r w:rsidRPr="00737D20">
        <w:rPr>
          <w:rFonts w:cstheme="minorHAnsi"/>
          <w:vertAlign w:val="superscript"/>
        </w:rPr>
        <w:fldChar w:fldCharType="begin" w:fldLock="1"/>
      </w:r>
      <w:r w:rsidR="00F81397">
        <w:rPr>
          <w:rFonts w:cstheme="minorHAnsi"/>
          <w:vertAlign w:val="superscript"/>
        </w:rPr>
        <w:instrText>ADDIN CSL_CITATION {"citationItems":[{"id":"ITEM-1","itemData":{"DOI":"10.4161/viru.20573","ISBN":"2150-5608 (Electronic)\\r2150-5594 (Linking)","ISSN":"21505608","PMID":"22722247","abstract":"The encephalomyocarditis virus (EMCV) is a small non-enveloped single-strand RNA virus, the causative agent of not only myocarditis and encephalitis, but also neurological diseases, reproductive disorders and diabetes in many mammalian species. EMCV pathogenesis appears to be viral strain- and host-specific, and a better understanding of EMCV virulence factors is increasingly required. Indeed, EMCV is often used as a model for diabetes and viral myocarditis, and is also widely used in immunology as a double-stranded RNA stimulus in the study of Toll-like as well as cytosolic receptors. However, EMCV virulence and properties have often been neglected. Moreover, EMCV is able to infect humans albeit with a low morbidity. Progress on xenografts, such as pig heart transplantation in humans, has raised safety concerns that need to be explored. In this review we will highlight the biology of EMCV and all known and potential virulence factors.","author":[{"dropping-particle":"","family":"Carocci","given":"Margot","non-dropping-particle":"","parse-names":false,"suffix":""},{"dropping-particle":"","family":"Bakkali-Kassimi","given":"Labib","non-dropping-particle":"","parse-names":false,"suffix":""}],"container-title":"Virulence","id":"ITEM-1","issue":"4","issued":{"date-parts":[["2012"]]},"page":"351-367","title":"The encephalomyocarditis virus","type":"article-journal","volume":"3"},"uris":["http://www.mendeley.com/documents/?uuid=0746d9f5-31ee-4cf1-ac08-b36fb1556e09"]}],"mendeley":{"formattedCitation":"(117)","plainTextFormattedCitation":"(117)","previouslyFormattedCitation":"(117)"},"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(117)</w:t>
      </w:r>
      <w:r w:rsidRPr="00737D20">
        <w:rPr>
          <w:rFonts w:cstheme="minorHAnsi"/>
          <w:vertAlign w:val="superscript"/>
        </w:rPr>
        <w:fldChar w:fldCharType="end"/>
      </w:r>
      <w:r w:rsidRPr="00737D20">
        <w:rPr>
          <w:rFonts w:cstheme="minorHAnsi"/>
        </w:rPr>
        <w:t>. One potential</w:t>
      </w:r>
      <w:r w:rsidR="002175FA">
        <w:rPr>
          <w:rFonts w:cstheme="minorHAnsi"/>
        </w:rPr>
        <w:t xml:space="preserve"> human health</w:t>
      </w:r>
      <w:r w:rsidRPr="00737D20">
        <w:rPr>
          <w:rFonts w:cstheme="minorHAnsi"/>
        </w:rPr>
        <w:t xml:space="preserve"> issue that could arise is the use of pig heart tissue for xenografts i</w:t>
      </w:r>
      <w:r w:rsidR="002175FA">
        <w:rPr>
          <w:rFonts w:cstheme="minorHAnsi"/>
        </w:rPr>
        <w:t>n humans.</w:t>
      </w:r>
      <w:r w:rsidRPr="00737D20">
        <w:rPr>
          <w:rFonts w:cstheme="minorHAnsi"/>
        </w:rPr>
        <w:t xml:space="preserve"> </w:t>
      </w:r>
      <w:r w:rsidR="002175FA">
        <w:rPr>
          <w:rFonts w:cstheme="minorHAnsi"/>
        </w:rPr>
        <w:t xml:space="preserve">The common occurrence of the virus and its specificity for pig heart tissue could destroy the xenograft tissue quickly leading to patient complications. </w:t>
      </w:r>
    </w:p>
    <w:p w:rsidR="00EF1534" w:rsidRDefault="00961548" w:rsidP="00FB099D">
      <w:pPr>
        <w:ind w:firstLine="720"/>
        <w:jc w:val="both"/>
        <w:rPr>
          <w:rFonts w:cstheme="minorHAnsi"/>
        </w:rPr>
      </w:pPr>
      <w:r w:rsidRPr="00737D20">
        <w:rPr>
          <w:rFonts w:cstheme="minorHAnsi"/>
        </w:rPr>
        <w:t>Recent studies have shown that EMCV utilizes the same pathway as HCV for viral replication</w:t>
      </w:r>
      <w:r w:rsidR="002175FA">
        <w:rPr>
          <w:rFonts w:cstheme="minorHAnsi"/>
        </w:rPr>
        <w:fldChar w:fldCharType="begin" w:fldLock="1"/>
      </w:r>
      <w:r w:rsidR="0078225D">
        <w:rPr>
          <w:rFonts w:cstheme="minorHAnsi"/>
        </w:rPr>
        <w:instrText>ADDIN CSL_CITATION {"citationItems":[{"id":"ITEM-1","itemData":{"DOI":"10.1099/jmm.0.000518","ISSN":"00222615","PMID":"27303747","abstract":"&lt;p&gt; Positive-strand RNA [(+)RNA] viruses are true masters of reprogramming host lipid trafficking and synthesis to support virus genome replication. Via their membrane-associated 3A protein, picornaviruses of the genus &lt;italic&gt;Enterovirus&lt;/italic&gt; (e.g., poliovirus, coxsackievirus, and rhinovirus) subvert Golgi complex-localized phosphatidylinositol 4-kinase IIIβ (PI4KB) to generate “replication organelles” (ROs) enriched in phosphatidylinositol 4-phosphate (PI4P). PI4P lipids serve to accumulate oxysterol-binding protein (OSBP), which subsequently transfers cholesterol to the ROs in a PI4P-dependent manner. Single-point mutations in 3A render enteroviruses resistant to both PI4KB and OSBP inhibition, indicating coupled dependency on these host factors. Recently, we showed that encephalomyocarditis virus (EMCV), a picornavirus that belongs to the &lt;italic&gt;Cardiovirus&lt;/italic&gt; genus, also builds PI4P/cholesterol-enriched ROs. Like the hepatitis C virus (HCV) of the &lt;italic&gt;Flaviviridae&lt;/italic&gt; family, it does so by hijacking the endoplasmic reticulum (ER)-localized phosphatidylinositol 4-kinase IIIα (PI4KA). Here we provide genetic evidence for the critical involvement of EMCV protein 3A in this process &lt;italic&gt;.&lt;/italic&gt; Using a genetic screening approach, we selected EMCV mutants with single amino acid substitutions in 3A, which rescued RNA virus replication upon small interfering RNA (siRNA) knockdown or pharmacological inhibition of PI4KA. In the presence of PI4KA inhibitors, the mutants no longer induced PI4P, OSBP, or cholesterol accumulation at ROs, which aggregated into large cytoplasmic clusters &lt;italic&gt;.&lt;/italic&gt; In contrast to the enterovirus escape mutants, we observed little if any cross-resistance of EMCV mutants to OSBP inhibitors, indicating an uncoupled level of dependency of their RNA replication on PI4KA and OSBP activities. This report may contribute to a better understanding of the roles of PI4KA and OSBP in membrane modifications induced by (+)RNA viruses. &lt;/p&gt;","author":[{"dropping-particle":"","family":"Dorobantu","given":"Cristina M.","non-dropping-particle":"","parse-names":false,"suffix":""},{"dropping-particle":"","family":"Albulescu","given":"Lucian","non-dropping-particle":"","parse-names":false,"suffix":""},{"dropping-particle":"","family":"Lyoo","given":"Heyrhyoung","non-dropping-particle":"","parse-names":false,"suffix":""},{"dropping-particle":"","family":"Kampen","given":"Mirjam","non-dropping-particle":"van","parse-names":false,"suffix":""},{"dropping-particle":"","family":"Francesco","given":"Raffaele","non-dropping-particle":"De","parse-names":false,"suffix":""},{"dropping-particle":"","family":"Lohmann","given":"Volker","non-dropping-particle":"","parse-names":false,"suffix":""},{"dropping-particle":"","family":"Harak","given":"Christian","non-dropping-particle":"","parse-names":false,"suffix":""},{"dropping-particle":"","family":"Schaar","given":"Hilde M.","non-dropping-particle":"van der","parse-names":false,"suffix":""},{"dropping-particle":"","family":"Strating","given":"Jeroen R. P. M.","non-dropping-particle":"","parse-names":false,"suffix":""},{"dropping-particle":"","family":"Gorbalenya","given":"Alexander E.","non-dropping-particle":"","parse-names":false,"suffix":""},{"dropping-particle":"","family":"Kuppeveld","given":"Frank J. M.","non-dropping-particle":"van","parse-names":false,"suffix":""}],"container-title":"mSphere","id":"ITEM-1","issue":"3","issued":{"date-parts":[["2016"]]},"page":"e00068-16","title":"Mutations in Encephalomyocarditis Virus 3A Protein Uncouple the Dependency of Genome Replication on Host Factors Phosphatidylinositol 4-Kinase IIIα and Oxysterol-Binding Protein","type":"article-journal","volume":"1"},"uris":["http://www.mendeley.com/documents/?uuid=4fc7d316-452c-4c42-9fc3-18a5a42e829a"]}],"mendeley":{"formattedCitation":"(83)","plainTextFormattedCitation":"(83)","previouslyFormattedCitation":"(83)"},"properties":{"noteIndex":0},"schema":"https://github.com/citation-style-language/schema/raw/master/csl-citation.json"}</w:instrText>
      </w:r>
      <w:r w:rsidR="002175FA">
        <w:rPr>
          <w:rFonts w:cstheme="minorHAnsi"/>
        </w:rPr>
        <w:fldChar w:fldCharType="separate"/>
      </w:r>
      <w:r w:rsidR="00287BFE" w:rsidRPr="00287BFE">
        <w:rPr>
          <w:rFonts w:cstheme="minorHAnsi"/>
          <w:noProof/>
        </w:rPr>
        <w:t>(83)</w:t>
      </w:r>
      <w:r w:rsidR="002175FA">
        <w:rPr>
          <w:rFonts w:cstheme="minorHAnsi"/>
        </w:rPr>
        <w:fldChar w:fldCharType="end"/>
      </w:r>
      <w:r w:rsidRPr="00737D20">
        <w:rPr>
          <w:rFonts w:cstheme="minorHAnsi"/>
        </w:rPr>
        <w:t>. EMCV hijacks PI4KIIIα, which associates with viral protein 3A at</w:t>
      </w:r>
      <w:r w:rsidR="004D5FF7">
        <w:rPr>
          <w:rFonts w:cstheme="minorHAnsi"/>
        </w:rPr>
        <w:t xml:space="preserve"> the</w:t>
      </w:r>
      <w:r w:rsidRPr="00737D20">
        <w:rPr>
          <w:rFonts w:cstheme="minorHAnsi"/>
        </w:rPr>
        <w:t xml:space="preserve"> RO to recruit OSBP</w:t>
      </w:r>
      <w:r w:rsidR="004D5FF7">
        <w:rPr>
          <w:rFonts w:cstheme="minorHAnsi"/>
        </w:rPr>
        <w:t>.</w:t>
      </w:r>
      <w:r w:rsidRPr="00737D20">
        <w:rPr>
          <w:rFonts w:cstheme="minorHAnsi"/>
        </w:rPr>
        <w:t xml:space="preserve"> </w:t>
      </w:r>
      <w:r w:rsidR="004D5FF7">
        <w:rPr>
          <w:rFonts w:cstheme="minorHAnsi"/>
        </w:rPr>
        <w:t>OSBP is recruited to</w:t>
      </w:r>
      <w:r w:rsidRPr="00737D20">
        <w:rPr>
          <w:rFonts w:cstheme="minorHAnsi"/>
        </w:rPr>
        <w:t xml:space="preserve"> counter transport PI4P for cholesterol</w:t>
      </w:r>
      <w:r w:rsidR="004D5FF7">
        <w:rPr>
          <w:rFonts w:cstheme="minorHAnsi"/>
        </w:rPr>
        <w:t xml:space="preserve"> at the RO</w:t>
      </w:r>
      <w:r w:rsidR="00EF1534" w:rsidRPr="00737D20">
        <w:rPr>
          <w:rFonts w:cstheme="minorHAnsi"/>
          <w:vertAlign w:val="superscript"/>
        </w:rPr>
        <w:fldChar w:fldCharType="begin" w:fldLock="1"/>
      </w:r>
      <w:r w:rsidR="00F81397">
        <w:rPr>
          <w:rFonts w:cstheme="minorHAnsi"/>
          <w:vertAlign w:val="superscript"/>
        </w:rPr>
        <w:instrText>ADDIN CSL_CITATION {"citationItems":[{"id":"ITEM-1","itemData":{"DOI":"10.1371/journal.ppat.1005185","ISBN":"1553-7374 (Electronic)\\r1553-7366 (Linking)","ISSN":"15537374","PMID":"26406250","abstract":"Cardioviruses, including encephalomyocarditis virus (EMCV) and the human Saffold virus, are small non-enveloped viruses belonging to the Picornaviridae, a large family of positive-sense RNA [(+)RNA] viruses. All (+)RNA viruses remodel intracellular membranes into unique structures for viral genome replication. Accumulating evidence suggests that picornaviruses from different genera use different strategies to generate viral replication organelles (ROs). For instance, enteroviruses (e.g. poliovirus, coxsackievirus, rhinovirus) rely on the Golgi-localized phosphatidylinositol 4-kinase III beta (PI4KB), while cardioviruses replicate independently of the kinase. By which mechanisms cardioviruses develop their ROs is currently unknown. Here we show that cardioviruses manipulate another PI4K, namely the ER-localized phosphatidylinositol 4-kinase III alpha (PI4KA), to generate PI4P-enriched ROs. By siRNA-mediated knockdown and pharmacological inhibition, we demonstrate that PI4KA is an essential host factor for EMCV genome replication. We reveal that the EMCV nonstructural protein 3A interacts with and is responsible for PI4KA recruitment to viral ROs. The ensuing phosphatidylinositol 4-phosphate (PI4P) proved important for the recruitment of oxysterol-binding protein (OSBP), which delivers cholesterol to EMCV ROs in a PI4P-dependent manner. PI4P lipids and cholesterol are shown to be required for the global organization of the ROs and for viral genome replication. Consistently, inhibition of OSBP expression or function efficiently blocked EMCV RNA replication. In conclusion, we describe for the first time a cellular pathway involved in the biogenesis of cardiovirus ROs. Remarkably, the same pathway was reported to promote formation of the replication sites of hepatitis C virus, a member of the Flaviviridae family, but not other picornaviruses or flaviviruses. Thus, our results highlight the convergent recruitment by distantly related (+)RNA viruses of a host lipid-modifying pathway underlying formation of viral replication sites.","author":[{"dropping-particle":"","family":"Dorobantu","given":"Cristina M.","non-dropping-particle":"","parse-names":false,"suffix":""},{"dropping-particle":"","family":"Albulescu","given":"Lucian","non-dropping-particle":"","parse-names":false,"suffix":""},{"dropping-particle":"","family":"Harak","given":"Christian","non-dropping-particle":"","parse-names":false,"suffix":""},{"dropping-particle":"","family":"Feng","given":"Qian","non-dropping-particle":"","parse-names":false,"suffix":""},{"dropping-particle":"","family":"Kampen","given":"Mirjam","non-dropping-particle":"van","parse-names":false,"suffix":""},{"dropping-particle":"","family":"Strating","given":"Jeroen R P M","non-dropping-particle":"","parse-names":false,"suffix":""},{"dropping-particle":"","family":"Gorbalenya","given":"Alexander E.","non-dropping-particle":"","parse-names":false,"suffix":""},{"dropping-particle":"","family":"Lohmann","given":"Volker","non-dropping-particle":"","parse-names":false,"suffix":""},{"dropping-particle":"","family":"Schaar","given":"Hilde M.","non-dropping-particle":"van der","parse-names":false,"suffix":""},{"dropping-particle":"","family":"Kuppeveld","given":"Frank J M","non-dropping-particle":"van","parse-names":false,"suffix":""}],"container-title":"PLoS Pathogens","id":"ITEM-1","issue":"9","issued":{"date-parts":[["2015"]]},"page":"1-27","title":"Modulation of the Host Lipid Landscape to Promote RNA Virus Replication: The Picornavirus Encephalomyocarditis Virus Converges on the Pathway Used by Hepatitis C Virus","type":"article-journal","volume":"11"},"uris":["http://www.mendeley.com/documents/?uuid=188c5290-db9e-4bc6-a18f-395b8acecb64"]}],"mendeley":{"formattedCitation":"(114)","plainTextFormattedCitation":"(114)","previouslyFormattedCitation":"(114)"},"properties":{"noteIndex":0},"schema":"https://github.com/citation-style-language/schema/raw/master/csl-citation.json"}</w:instrText>
      </w:r>
      <w:r w:rsidR="00EF1534" w:rsidRPr="00737D20">
        <w:rPr>
          <w:rFonts w:cstheme="minorHAnsi"/>
          <w:vertAlign w:val="superscript"/>
        </w:rPr>
        <w:fldChar w:fldCharType="separate"/>
      </w:r>
      <w:r w:rsidR="005D2ADA" w:rsidRPr="005D2ADA">
        <w:rPr>
          <w:rFonts w:cstheme="minorHAnsi"/>
          <w:noProof/>
        </w:rPr>
        <w:t>(114)</w:t>
      </w:r>
      <w:r w:rsidR="00EF1534" w:rsidRPr="00737D20">
        <w:rPr>
          <w:rFonts w:cstheme="minorHAnsi"/>
          <w:vertAlign w:val="superscript"/>
        </w:rPr>
        <w:fldChar w:fldCharType="end"/>
      </w:r>
      <w:r w:rsidR="004D5FF7">
        <w:rPr>
          <w:rFonts w:cstheme="minorHAnsi"/>
        </w:rPr>
        <w:t>.</w:t>
      </w:r>
      <w:r w:rsidRPr="00737D20">
        <w:rPr>
          <w:rFonts w:cstheme="minorHAnsi"/>
        </w:rPr>
        <w:t xml:space="preserve"> </w:t>
      </w:r>
      <w:r w:rsidR="004D5FF7">
        <w:rPr>
          <w:rFonts w:cstheme="minorHAnsi"/>
        </w:rPr>
        <w:t>D</w:t>
      </w:r>
      <w:r w:rsidRPr="00737D20">
        <w:rPr>
          <w:rFonts w:cstheme="minorHAnsi"/>
        </w:rPr>
        <w:t xml:space="preserve">isruption of </w:t>
      </w:r>
      <w:r w:rsidR="004D5FF7">
        <w:rPr>
          <w:rFonts w:cstheme="minorHAnsi"/>
        </w:rPr>
        <w:t xml:space="preserve">the function of either OSBP or </w:t>
      </w:r>
      <w:r w:rsidR="004D5FF7" w:rsidRPr="00737D20">
        <w:rPr>
          <w:rFonts w:cstheme="minorHAnsi"/>
        </w:rPr>
        <w:t>PI4KIIIα</w:t>
      </w:r>
      <w:r w:rsidR="004D5FF7">
        <w:rPr>
          <w:rFonts w:cstheme="minorHAnsi"/>
        </w:rPr>
        <w:t xml:space="preserve"> prevent viral replication</w:t>
      </w:r>
      <w:r w:rsidRPr="00737D20">
        <w:rPr>
          <w:rFonts w:cstheme="minorHAnsi"/>
          <w:vertAlign w:val="superscript"/>
        </w:rPr>
        <w:fldChar w:fldCharType="begin" w:fldLock="1"/>
      </w:r>
      <w:r w:rsidR="00F81397">
        <w:rPr>
          <w:rFonts w:cstheme="minorHAnsi"/>
          <w:vertAlign w:val="superscript"/>
        </w:rPr>
        <w:instrText>ADDIN CSL_CITATION {"citationItems":[{"id":"ITEM-1","itemData":{"DOI":"10.1371/journal.ppat.1005185","ISBN":"1553-7374 (Electronic)\\r1553-7366 (Linking)","ISSN":"15537374","PMID":"26406250","abstract":"Cardioviruses, including encephalomyocarditis virus (EMCV) and the human Saffold virus, are small non-enveloped viruses belonging to the Picornaviridae, a large family of positive-sense RNA [(+)RNA] viruses. All (+)RNA viruses remodel intracellular membranes into unique structures for viral genome replication. Accumulating evidence suggests that picornaviruses from different genera use different strategies to generate viral replication organelles (ROs). For instance, enteroviruses (e.g. poliovirus, coxsackievirus, rhinovirus) rely on the Golgi-localized phosphatidylinositol 4-kinase III beta (PI4KB), while cardioviruses replicate independently of the kinase. By which mechanisms cardioviruses develop their ROs is currently unknown. Here we show that cardioviruses manipulate another PI4K, namely the ER-localized phosphatidylinositol 4-kinase III alpha (PI4KA), to generate PI4P-enriched ROs. By siRNA-mediated knockdown and pharmacological inhibition, we demonstrate that PI4KA is an essential host factor for EMCV genome replication. We reveal that the EMCV nonstructural protein 3A interacts with and is responsible for PI4KA recruitment to viral ROs. The ensuing phosphatidylinositol 4-phosphate (PI4P) proved important for the recruitment of oxysterol-binding protein (OSBP), which delivers cholesterol to EMCV ROs in a PI4P-dependent manner. PI4P lipids and cholesterol are shown to be required for the global organization of the ROs and for viral genome replication. Consistently, inhibition of OSBP expression or function efficiently blocked EMCV RNA replication. In conclusion, we describe for the first time a cellular pathway involved in the biogenesis of cardiovirus ROs. Remarkably, the same pathway was reported to promote formation of the replication sites of hepatitis C virus, a member of the Flaviviridae family, but not other picornaviruses or flaviviruses. Thus, our results highlight the convergent recruitment by distantly related (+)RNA viruses of a host lipid-modifying pathway underlying formation of viral replication sites.","author":[{"dropping-particle":"","family":"Dorobantu","given":"Cristina M.","non-dropping-particle":"","parse-names":false,"suffix":""},{"dropping-particle":"","family":"Albulescu","given":"Lucian","non-dropping-particle":"","parse-names":false,"suffix":""},{"dropping-particle":"","family":"Harak","given":"Christian","non-dropping-particle":"","parse-names":false,"suffix":""},{"dropping-particle":"","family":"Feng","given":"Qian","non-dropping-particle":"","parse-names":false,"suffix":""},{"dropping-particle":"","family":"Kampen","given":"Mirjam","non-dropping-particle":"van","parse-names":false,"suffix":""},{"dropping-particle":"","family":"Strating","given":"Jeroen R P M","non-dropping-particle":"","parse-names":false,"suffix":""},{"dropping-particle":"","family":"Gorbalenya","given":"Alexander E.","non-dropping-particle":"","parse-names":false,"suffix":""},{"dropping-particle":"","family":"Lohmann","given":"Volker","non-dropping-particle":"","parse-names":false,"suffix":""},{"dropping-particle":"","family":"Schaar","given":"Hilde M.","non-dropping-particle":"van der","parse-names":false,"suffix":""},{"dropping-particle":"","family":"Kuppeveld","given":"Frank J M","non-dropping-particle":"van","parse-names":false,"suffix":""}],"container-title":"PLoS Pathogens","id":"ITEM-1","issue":"9","issued":{"date-parts":[["2015"]]},"page":"1-27","title":"Modulation of the Host Lipid Landscape to Promote RNA Virus Replication: The Picornavirus Encephalomyocarditis Virus Converges on the Pathway Used by Hepatitis C Virus","type":"article-journal","volume":"11"},"uris":["http://www.mendeley.com/documents/?uuid=188c5290-db9e-4bc6-a18f-395b8acecb64"]}],"mendeley":{"formattedCitation":"(114)","plainTextFormattedCitation":"(114)","previouslyFormattedCitation":"(114)"},"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(114)</w:t>
      </w:r>
      <w:r w:rsidRPr="00737D20">
        <w:rPr>
          <w:rFonts w:cstheme="minorHAnsi"/>
          <w:vertAlign w:val="superscript"/>
        </w:rPr>
        <w:fldChar w:fldCharType="end"/>
      </w:r>
      <w:r w:rsidRPr="00737D20">
        <w:rPr>
          <w:rFonts w:cstheme="minorHAnsi"/>
        </w:rPr>
        <w:t xml:space="preserve">. </w:t>
      </w:r>
      <w:r w:rsidR="00EF1534">
        <w:rPr>
          <w:rFonts w:cstheme="minorHAnsi"/>
        </w:rPr>
        <w:t xml:space="preserve">Interestingly, </w:t>
      </w:r>
      <w:r w:rsidRPr="00737D20">
        <w:rPr>
          <w:rFonts w:cstheme="minorHAnsi"/>
        </w:rPr>
        <w:t xml:space="preserve">single point mutations in 3A that lead to resistance to PI4KIIIα </w:t>
      </w:r>
      <w:r w:rsidR="00EF1534">
        <w:rPr>
          <w:rFonts w:cstheme="minorHAnsi"/>
        </w:rPr>
        <w:t xml:space="preserve">small molecule </w:t>
      </w:r>
      <w:r w:rsidRPr="00737D20">
        <w:rPr>
          <w:rFonts w:cstheme="minorHAnsi"/>
        </w:rPr>
        <w:t>inhibitors did not confer resistance to OSBP inhibitors</w:t>
      </w:r>
      <w:r w:rsidR="00EF1534" w:rsidRPr="00737D20">
        <w:rPr>
          <w:rFonts w:cstheme="minorHAnsi"/>
          <w:vertAlign w:val="superscript"/>
        </w:rPr>
        <w:fldChar w:fldCharType="begin" w:fldLock="1"/>
      </w:r>
      <w:r w:rsidR="00F81397">
        <w:rPr>
          <w:rFonts w:cstheme="minorHAnsi"/>
          <w:vertAlign w:val="superscript"/>
        </w:rPr>
        <w:instrText>ADDIN CSL_CITATION {"citationItems":[{"id":"ITEM-1","itemData":{"DOI":"10.1128/mSphere.00068-16","ISSN":"2379-5042","PMID":"27303747","abstract":"Positive-strand RNA [(+)RNA] viruses are true masters of reprogramming host lipid trafficking and synthesis to support virus genome replication. Via their membrane-associated 3A protein, picornaviruses of the genus Enterovirus (e.g., poliovirus, coxsackievirus, and rhinovirus) subvert Golgi complex-localized phosphatidylinositol 4-kinase IIIβ (PI4KB) to generate \"replication organelles\" (ROs) enriched in phosphatidylinositol 4-phosphate (PI4P). PI4P lipids serve to accumulate oxysterol-binding protein (OSBP), which subsequently transfers cholesterol to the ROs in a PI4P-dependent manner. Single-point mutations in 3A render enteroviruses resistant to both PI4KB and OSBP inhibition, indicating coupled dependency on these host factors. Recently, we showed that encephalomyocarditis virus (EMCV), a picornavirus that belongs to the Cardiovirus genus, also builds PI4P/cholesterol-enriched ROs. Like the hepatitis C virus (HCV) of the Flaviviridae family, it does so by hijacking the endoplasmic reticulum (ER)-localized phosphatidylinositol 4-kinase IIIα (PI4KA). Here we provide genetic evidence for the critical involvement of EMCV protein 3A in this process. Using a genetic screening approach, we selected EMCV mutants with single amino acid substitutions in 3A, which rescued RNA virus replication upon small interfering RNA (siRNA) knockdown or pharmacological inhibition of PI4KA. In the presence of PI4KA inhibitors, the mutants no longer induced PI4P, OSBP, or cholesterol accumulation at ROs, which aggregated into large cytoplasmic clusters. In contrast to the enterovirus escape mutants, we observed little if any cross-resistance of EMCV mutants to OSBP inhibitors, indicating an uncoupled level of dependency of their RNA replication on PI4KA and OSBP activities. This report may contribute to a better understanding of the roles of PI4KA and OSBP in membrane modifications induced by (+)RNA viruses. IMPORTANCE Positive-strand RNA viruses modulate lipid homeostasis to generate unique, membranous \"replication organelles\" (ROs) where viral genome replication takes place. Hepatitis C virus, encephalomyocarditis virus (EMCV), and enteroviruses have convergently evolved to hijack host phosphatidylinositol 4-kinases (PI4Ks), which produce PI4P lipids, to recruit oxysterol-binding protein (OSBP), a PI4P-binding protein that shuttles cholesterol to ROs. Consistent with the proposed coupling between PI4K and OSBP, enterovirus mutants resistant to PI4KB inhibitors are also re…","author":[{"dropping-particle":"","family":"Dorobantu","given":"Cristina M","non-dropping-particle":"","parse-names":false,"suffix":""},{"dropping-particle":"","family":"Albulescu","given":"Lucian","non-dropping-particle":"","parse-names":false,"suffix":""},{"dropping-particle":"","family":"Lyoo","given":"Heyrhyoung","non-dropping-particle":"","parse-names":false,"suffix":""},{"dropping-particle":"","family":"Kampen","given":"Mirjam","non-dropping-particle":"van","parse-names":false,"suffix":""},{"dropping-particle":"","family":"Francesco","given":"Raffaele","non-dropping-particle":"De","parse-names":false,"suffix":""},{"dropping-particle":"","family":"Lohmann","given":"Volker","non-dropping-particle":"","parse-names":false,"suffix":""},{"dropping-particle":"","family":"Harak","given":"Christian","non-dropping-particle":"","parse-names":false,"suffix":""},{"dropping-particle":"","family":"Schaar","given":"Hilde M","non-dropping-particle":"van der","parse-names":false,"suffix":""},{"dropping-particle":"","family":"Strating","given":"Jeroen R P M","non-dropping-particle":"","parse-names":false,"suffix":""},{"dropping-particle":"","family":"Gorbalenya","given":"Alexander E","non-dropping-particle":"","parse-names":false,"suffix":""},{"dropping-particle":"","family":"Kuppeveld","given":"Frank J M","non-dropping-particle":"van","parse-names":false,"suffix":""}],"container-title":"mSphere","id":"ITEM-1","issue":"3","issued":{"date-parts":[["2016"]]},"page":"1-17","title":"Mutations in Encephalomyocarditis Virus 3A Protein Uncouple the Dependency of Genome Replication on Host Factors Phosphatidylinositol 4-Kinase IIIα and Oxysterol-Binding Protein.","type":"article-journal","volume":"1"},"uris":["http://www.mendeley.com/documents/?uuid=86cb0b81-8159-4de4-b914-914a8eea5a6d"]}],"mendeley":{"formattedCitation":"(118)","plainTextFormattedCitation":"(118)","previouslyFormattedCitation":"(118)"},"properties":{"noteIndex":0},"schema":"https://github.com/citation-style-language/schema/raw/master/csl-citation.json"}</w:instrText>
      </w:r>
      <w:r w:rsidR="00EF1534" w:rsidRPr="00737D20">
        <w:rPr>
          <w:rFonts w:cstheme="minorHAnsi"/>
          <w:vertAlign w:val="superscript"/>
        </w:rPr>
        <w:fldChar w:fldCharType="separate"/>
      </w:r>
      <w:r w:rsidR="005D2ADA" w:rsidRPr="005D2ADA">
        <w:rPr>
          <w:rFonts w:cstheme="minorHAnsi"/>
          <w:noProof/>
        </w:rPr>
        <w:t>(118)</w:t>
      </w:r>
      <w:r w:rsidR="00EF1534" w:rsidRPr="00737D20">
        <w:rPr>
          <w:rFonts w:cstheme="minorHAnsi"/>
          <w:vertAlign w:val="superscript"/>
        </w:rPr>
        <w:fldChar w:fldCharType="end"/>
      </w:r>
      <w:r w:rsidR="00EF1534">
        <w:rPr>
          <w:rFonts w:cstheme="minorHAnsi"/>
        </w:rPr>
        <w:t>.</w:t>
      </w:r>
      <w:r w:rsidRPr="00737D20">
        <w:rPr>
          <w:rFonts w:cstheme="minorHAnsi"/>
        </w:rPr>
        <w:t xml:space="preserve"> </w:t>
      </w:r>
      <w:r w:rsidR="00EF1534">
        <w:rPr>
          <w:rFonts w:cstheme="minorHAnsi"/>
        </w:rPr>
        <w:t xml:space="preserve">This </w:t>
      </w:r>
      <w:r w:rsidRPr="00737D20">
        <w:rPr>
          <w:rFonts w:cstheme="minorHAnsi"/>
        </w:rPr>
        <w:t>suggest</w:t>
      </w:r>
      <w:r w:rsidR="00EF1534">
        <w:rPr>
          <w:rFonts w:cstheme="minorHAnsi"/>
        </w:rPr>
        <w:t>s</w:t>
      </w:r>
      <w:r w:rsidRPr="00737D20">
        <w:rPr>
          <w:rFonts w:cstheme="minorHAnsi"/>
        </w:rPr>
        <w:t xml:space="preserve"> an uncoupled function of PI4KIIIα and OSBP in the virus replication</w:t>
      </w:r>
      <w:r w:rsidRPr="00737D20">
        <w:rPr>
          <w:rFonts w:cstheme="minorHAnsi"/>
          <w:vertAlign w:val="superscript"/>
        </w:rPr>
        <w:fldChar w:fldCharType="begin" w:fldLock="1"/>
      </w:r>
      <w:r w:rsidR="00F81397">
        <w:rPr>
          <w:rFonts w:cstheme="minorHAnsi"/>
          <w:vertAlign w:val="superscript"/>
        </w:rPr>
        <w:instrText>ADDIN CSL_CITATION {"citationItems":[{"id":"ITEM-1","itemData":{"DOI":"10.1128/mSphere.00068-16","ISSN":"2379-5042","PMID":"27303747","abstract":"Positive-strand RNA [(+)RNA] viruses are true masters of reprogramming host lipid trafficking and synthesis to support virus genome replication. Via their membrane-associated 3A protein, picornaviruses of the genus Enterovirus (e.g., poliovirus, coxsackievirus, and rhinovirus) subvert Golgi complex-localized phosphatidylinositol 4-kinase IIIβ (PI4KB) to generate \"replication organelles\" (ROs) enriched in phosphatidylinositol 4-phosphate (PI4P). PI4P lipids serve to accumulate oxysterol-binding protein (OSBP), which subsequently transfers cholesterol to the ROs in a PI4P-dependent manner. Single-point mutations in 3A render enteroviruses resistant to both PI4KB and OSBP inhibition, indicating coupled dependency on these host factors. Recently, we showed that encephalomyocarditis virus (EMCV), a picornavirus that belongs to the Cardiovirus genus, also builds PI4P/cholesterol-enriched ROs. Like the hepatitis C virus (HCV) of the Flaviviridae family, it does so by hijacking the endoplasmic reticulum (ER)-localized phosphatidylinositol 4-kinase IIIα (PI4KA). Here we provide genetic evidence for the critical involvement of EMCV protein 3A in this process. Using a genetic screening approach, we selected EMCV mutants with single amino acid substitutions in 3A, which rescued RNA virus replication upon small interfering RNA (siRNA) knockdown or pharmacological inhibition of PI4KA. In the presence of PI4KA inhibitors, the mutants no longer induced PI4P, OSBP, or cholesterol accumulation at ROs, which aggregated into large cytoplasmic clusters. In contrast to the enterovirus escape mutants, we observed little if any cross-resistance of EMCV mutants to OSBP inhibitors, indicating an uncoupled level of dependency of their RNA replication on PI4KA and OSBP activities. This report may contribute to a better understanding of the roles of PI4KA and OSBP in membrane modifications induced by (+)RNA viruses. IMPORTANCE Positive-strand RNA viruses modulate lipid homeostasis to generate unique, membranous \"replication organelles\" (ROs) where viral genome replication takes place. Hepatitis C virus, encephalomyocarditis virus (EMCV), and enteroviruses have convergently evolved to hijack host phosphatidylinositol 4-kinases (PI4Ks), which produce PI4P lipids, to recruit oxysterol-binding protein (OSBP), a PI4P-binding protein that shuttles cholesterol to ROs. Consistent with the proposed coupling between PI4K and OSBP, enterovirus mutants resistant to PI4KB inhibitors are also re…","author":[{"dropping-particle":"","family":"Dorobantu","given":"Cristina M","non-dropping-particle":"","parse-names":false,"suffix":""},{"dropping-particle":"","family":"Albulescu","given":"Lucian","non-dropping-particle":"","parse-names":false,"suffix":""},{"dropping-particle":"","family":"Lyoo","given":"Heyrhyoung","non-dropping-particle":"","parse-names":false,"suffix":""},{"dropping-particle":"","family":"Kampen","given":"Mirjam","non-dropping-particle":"van","parse-names":false,"suffix":""},{"dropping-particle":"","family":"Francesco","given":"Raffaele","non-dropping-particle":"De","parse-names":false,"suffix":""},{"dropping-particle":"","family":"Lohmann","given":"Volker","non-dropping-particle":"","parse-names":false,"suffix":""},{"dropping-particle":"","family":"Harak","given":"Christian","non-dropping-particle":"","parse-names":false,"suffix":""},{"dropping-particle":"","family":"Schaar","given":"Hilde M","non-dropping-particle":"van der","parse-names":false,"suffix":""},{"dropping-particle":"","family":"Strating","given":"Jeroen R P M","non-dropping-particle":"","parse-names":false,"suffix":""},{"dropping-particle":"","family":"Gorbalenya","given":"Alexander E","non-dropping-particle":"","parse-names":false,"suffix":""},{"dropping-particle":"","family":"Kuppeveld","given":"Frank J M","non-dropping-particle":"van","parse-names":false,"suffix":""}],"container-title":"mSphere","id":"ITEM-1","issue":"3","issued":{"date-parts":[["2016"]]},"page":"1-17","title":"Mutations in Encephalomyocarditis Virus 3A Protein Uncouple the Dependency of Genome Replication on Host Factors Phosphatidylinositol 4-Kinase IIIα and Oxysterol-Binding Protein.","type":"article-journal","volume":"1"},"uris":["http://www.mendeley.com/documents/?uuid=86cb0b81-8159-4de4-b914-914a8eea5a6d"]}],"mendeley":{"formattedCitation":"(118)","plainTextFormattedCitation":"(118)","previouslyFormattedCitation":"(118)"},"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(118)</w:t>
      </w:r>
      <w:r w:rsidRPr="00737D20">
        <w:rPr>
          <w:rFonts w:cstheme="minorHAnsi"/>
          <w:vertAlign w:val="superscript"/>
        </w:rPr>
        <w:fldChar w:fldCharType="end"/>
      </w:r>
      <w:r w:rsidRPr="00737D20">
        <w:rPr>
          <w:rFonts w:cstheme="minorHAnsi"/>
        </w:rPr>
        <w:t xml:space="preserve">. </w:t>
      </w:r>
    </w:p>
    <w:p w:rsidR="00961548" w:rsidRPr="00737D20" w:rsidRDefault="00961548" w:rsidP="00FB099D">
      <w:pPr>
        <w:ind w:firstLine="720"/>
        <w:jc w:val="both"/>
        <w:rPr>
          <w:rFonts w:cstheme="minorHAnsi"/>
        </w:rPr>
      </w:pPr>
      <w:r w:rsidRPr="00737D20">
        <w:rPr>
          <w:rFonts w:cstheme="minorHAnsi"/>
        </w:rPr>
        <w:t xml:space="preserve">Dengue virus (DV) is a positive-sense strand RNA virus in the </w:t>
      </w:r>
      <w:r w:rsidRPr="00995672">
        <w:rPr>
          <w:rFonts w:cstheme="minorHAnsi"/>
        </w:rPr>
        <w:t>Flaviviridae</w:t>
      </w:r>
      <w:r w:rsidRPr="00737D20">
        <w:rPr>
          <w:rFonts w:cstheme="minorHAnsi"/>
          <w:i/>
        </w:rPr>
        <w:t xml:space="preserve"> </w:t>
      </w:r>
      <w:r w:rsidRPr="00737D20">
        <w:rPr>
          <w:rFonts w:cstheme="minorHAnsi"/>
        </w:rPr>
        <w:t>family that is transferred by an arthropod vector to humans</w:t>
      </w:r>
      <w:r w:rsidR="00EF1534">
        <w:rPr>
          <w:rFonts w:cstheme="minorHAnsi"/>
        </w:rPr>
        <w:t>.</w:t>
      </w:r>
      <w:r w:rsidRPr="00737D20">
        <w:rPr>
          <w:rFonts w:cstheme="minorHAnsi"/>
        </w:rPr>
        <w:t xml:space="preserve"> </w:t>
      </w:r>
      <w:r w:rsidR="00EF1534">
        <w:rPr>
          <w:rFonts w:cstheme="minorHAnsi"/>
        </w:rPr>
        <w:t xml:space="preserve">DV causes </w:t>
      </w:r>
      <w:r w:rsidRPr="00737D20">
        <w:rPr>
          <w:rFonts w:cstheme="minorHAnsi"/>
        </w:rPr>
        <w:t>dengue hemorrhagic fever and dengue shock syndrome</w:t>
      </w:r>
      <w:r w:rsidR="00EF1534">
        <w:rPr>
          <w:rFonts w:cstheme="minorHAnsi"/>
        </w:rPr>
        <w:fldChar w:fldCharType="begin" w:fldLock="1"/>
      </w:r>
      <w:r w:rsidR="00F81397">
        <w:rPr>
          <w:rFonts w:cstheme="minorHAnsi"/>
        </w:rPr>
        <w:instrText>ADDIN CSL_CITATION {"citationItems":[{"id":"ITEM-1","itemData":{"DOI":"10.1016/j.biotechadv.2010.11.008","ISBN":"1873-1899 (Electronic)\\r0734-9750 (Linking)","ISSN":"07349750","PMID":"21146601","abstract":"Dengue viral infection has become an increasing global health concern with over two-fifths of the world's population at risk of infection. It is the most rapidly spreading vector borne disease, attributed to changing demographics, urbanization, environment, and global travel. It continues to be a threat in over 100 tropical and sub-tropical countries, affecting predominantly children. Dengue also carries a hefty financial burden on the health care systems in affected areas, as those infected seek care for their symptoms. The search for a suitable vaccine for dengue has been ongoing for the last sixty years, yet any effective treatment or vaccine remains elusive. A vaccine must be protective for all four serotypes of dengue and be cost-effective. Many approaches to developing candidate vaccines have been employed. The candidates include live attenuated tetravalent vaccines, chimeric tetravalent vaccines based on attenuated dengue virus or Yellow Fever 17D, and recombinant DNA vaccines based on flavivirus and non-flavivirus vectors. This review outlines the challenges involved in dengue vaccine development and presents the current stages of proposed vaccine candidate development. © 2010 Elsevier Inc.","author":[{"dropping-particle":"","family":"Murrell","given":"Sarah","non-dropping-particle":"","parse-names":false,"suffix":""},{"dropping-particle":"","family":"Wu","given":"Suh Chin","non-dropping-particle":"","parse-names":false,"suffix":""},{"dropping-particle":"","family":"Butler","given":"Michael","non-dropping-particle":"","parse-names":false,"suffix":""}],"container-title":"Biotechnology Advances","id":"ITEM-1","issue":"2","issued":{"date-parts":[["2011"]]},"page":"239-247","publisher":"Elsevier Inc.","title":"Review of dengue virus and the development of a vaccine","type":"article-journal","volume":"29"},"uris":["http://www.mendeley.com/documents/?uuid=90d3761e-be52-4a6b-bcc8-c0240d5ffe88"]}],"mendeley":{"formattedCitation":"(119)","plainTextFormattedCitation":"(119)","previouslyFormattedCitation":"(119)"},"properties":{"noteIndex":0},"schema":"https://github.com/citation-style-language/schema/raw/master/csl-citation.json"}</w:instrText>
      </w:r>
      <w:r w:rsidR="00EF1534">
        <w:rPr>
          <w:rFonts w:cstheme="minorHAnsi"/>
        </w:rPr>
        <w:fldChar w:fldCharType="separate"/>
      </w:r>
      <w:r w:rsidR="005D2ADA" w:rsidRPr="005D2ADA">
        <w:rPr>
          <w:rFonts w:cstheme="minorHAnsi"/>
          <w:noProof/>
        </w:rPr>
        <w:t>(119)</w:t>
      </w:r>
      <w:r w:rsidR="00EF1534">
        <w:rPr>
          <w:rFonts w:cstheme="minorHAnsi"/>
        </w:rPr>
        <w:fldChar w:fldCharType="end"/>
      </w:r>
      <w:r w:rsidRPr="00737D20">
        <w:rPr>
          <w:rFonts w:cstheme="minorHAnsi"/>
        </w:rPr>
        <w:t>. DV has four closely related serotypes and infection with one serotype can make reinfection with a different serotype more dangerous</w:t>
      </w:r>
      <w:r w:rsidRPr="00737D20">
        <w:rPr>
          <w:rFonts w:cstheme="minorHAnsi"/>
          <w:vertAlign w:val="superscript"/>
        </w:rPr>
        <w:fldChar w:fldCharType="begin" w:fldLock="1"/>
      </w:r>
      <w:r w:rsidR="00F81397">
        <w:rPr>
          <w:rFonts w:cstheme="minorHAnsi"/>
          <w:vertAlign w:val="superscript"/>
        </w:rPr>
        <w:instrText>ADDIN CSL_CITATION {"citationItems":[{"id":"ITEM-1","itemData":{"DOI":"10.1086/315215","ISBN":"0022-1899 (Print)\\n0022-1899 (Linking)","ISSN":"0022-1899","PMID":"10608744","abstract":"Viremia titers in serial plasma samples from 168 children with acute dengue virus infection who were enrolled in a prospective study at 2 hospitals in Thailand were examined to determine the role of virus load in the pathogenesis of dengue hemorrhagic fever (DHF). The infecting virus serotype was identified for 165 patients (DEN-1, 46 patients; DEN-2, 47 patients; DEN-3, 47 patients, DEN-4, 25 patients). Patients with DEN-2 infections experienced more severe disease than those infected with other serotypes. Eighty-one percent of patients experienced a secondary dengue virus infection that was associated with more severe disease. Viremia titers were determined for 41 DEN-1 and 46 DEN-2 patients. Higher peak titers were associated with increased disease severity for the 31 patients with a peak titer identified (mean titer of 107.6 for those with dengue fever vs. 108.5 for patients with DHF, P=.01). Increased dengue disease severity correlated with high viremia titer, secondary dengue virus infection, and DEN-2 virus type.","author":[{"dropping-particle":"","family":"Vaughn","given":"D W","non-dropping-particle":"","parse-names":false,"suffix":""},{"dropping-particle":"","family":"Green","given":"S","non-dropping-particle":"","parse-names":false,"suffix":""},{"dropping-particle":"","family":"Kalayanarooj","given":"S","non-dropping-particle":"","parse-names":false,"suffix":""},{"dropping-particle":"","family":"Innis","given":"B L","non-dropping-particle":"","parse-names":false,"suffix":""},{"dropping-particle":"","family":"Nimmannitya","given":"S","non-dropping-particle":"","parse-names":false,"suffix":""},{"dropping-particle":"","family":"Suntayakorn","given":"S","non-dropping-particle":"","parse-names":false,"suffix":""},{"dropping-particle":"","family":"Endy","given":"T P","non-dropping-particle":"","parse-names":false,"suffix":""},{"dropping-particle":"","family":"Raengsakulrach","given":"B","non-dropping-particle":"","parse-names":false,"suffix":""},{"dropping-particle":"","family":"Rothman","given":"A L","non-dropping-particle":"","parse-names":false,"suffix":""},{"dropping-particle":"","family":"Ennis","given":"F A","non-dropping-particle":"","parse-names":false,"suffix":""},{"dropping-particle":"","family":"Nisalak","given":"A","non-dropping-particle":"","parse-names":false,"suffix":""}],"container-title":"Journal of infectious diseases","id":"ITEM-1","issue":"1","issued":{"date-parts":[["2000"]]},"page":"2-9","title":"Dengue viremia titer, antibody response pattern, and virus serotype correlate with disease severity","type":"article-journal","volume":"181"},"uris":["http://www.mendeley.com/documents/?uuid=ca83d153-fca2-491b-9f1b-b3a2133708ec"]},{"id":"ITEM-2","itemData":{"DOI":"10.1371/journal.pntd.0000617","ISBN":"1935-2735 (Electronic)\\n1935-2727 (Linking)","ISSN":"1935-2735","PMID":"20209155","abstract":"It is unclear whether dengue serotypes differ in their propensity to cause severe disease. We analyzed differences in serotype-specific disease severity in children presenting for medical attention in Bangkok, Thailand.","author":[{"dropping-particle":"","family":"Fried","given":"Jessica R.","non-dropping-particle":"","parse-names":false,"suffix":""},{"dropping-particle":"V.","family":"Gibbons","given":"Robert","non-dropping-particle":"","parse-names":false,"suffix":""},{"dropping-particle":"","family":"Kalayanarooj","given":"Siripen","non-dropping-particle":"","parse-names":false,"suffix":""},{"dropping-particle":"","family":"Thomas","given":"Stephen J.","non-dropping-particle":"","parse-names":false,"suffix":""},{"dropping-particle":"","family":"Srikiatkhachorn","given":"Anon","non-dropping-particle":"","parse-names":false,"suffix":""},{"dropping-particle":"","family":"Yoon","given":"In Kyu","non-dropping-particle":"","parse-names":false,"suffix":""},{"dropping-particle":"","family":"Jarman","given":"Richard G.","non-dropping-particle":"","parse-names":false,"suffix":""},{"dropping-particle":"","family":"Green","given":"Sharone","non-dropping-particle":"","parse-names":false,"suffix":""},{"dropping-particle":"","family":"Rothman","given":"Alan L.","non-dropping-particle":"","parse-names":false,"suffix":""},{"dropping-particle":"","family":"Cummings","given":"Derek A T","non-dropping-particle":"","parse-names":false,"suffix":""}],"container-title":"PLoS Neglected Tropical Diseases","id":"ITEM-2","issue":"3","issued":{"date-parts":[["2010"]]},"page":"1-6","title":"Serotype-specific differences in the risk of dengue hemorrhagic fever: An analysis of data collected in Bangkok, Thailand from 1994 to 2006","type":"article-journal","volume":"4"},"uris":["http://www.mendeley.com/documents/?uuid=99ed356b-6087-4c79-973e-90b38d00f33c"]}],"mendeley":{"formattedCitation":"(120, 121)","plainTextFormattedCitation":"(120, 121)","previouslyFormattedCitation":"(120, 121)"},"properties":{"noteIndex":0},"schema":"https://github.com/citation-style-language/schema/raw/master/csl-citation.json"}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(120, 121)</w:t>
      </w:r>
      <w:r w:rsidRPr="00737D20">
        <w:rPr>
          <w:rFonts w:cstheme="minorHAnsi"/>
          <w:vertAlign w:val="superscript"/>
        </w:rPr>
        <w:fldChar w:fldCharType="end"/>
      </w:r>
      <w:r w:rsidRPr="00737D20">
        <w:rPr>
          <w:rFonts w:cstheme="minorHAnsi"/>
        </w:rPr>
        <w:t>. More than two fifths of the world’s population is at risk for possible dengue infection and the development of a vaccine to cover all the serotypes is a slow process with many challenges</w:t>
      </w:r>
      <w:r w:rsidRPr="00737D20">
        <w:rPr>
          <w:rFonts w:cstheme="minorHAnsi"/>
          <w:vertAlign w:val="superscript"/>
        </w:rPr>
        <w:fldChar w:fldCharType="begin" w:fldLock="1"/>
      </w:r>
      <w:r w:rsidR="00F81397">
        <w:rPr>
          <w:rFonts w:cstheme="minorHAnsi"/>
          <w:vertAlign w:val="superscript"/>
        </w:rPr>
        <w:instrText>ADDIN CSL_CITATION {"citationItems":[{"id":"ITEM-1","itemData":{"DOI":"10.1016/j.biotechadv.2010.11.008","ISBN":"1873-1899 (Electronic)\\r0734-9750 (Linking)","ISSN":"07349750","PMID":"21146601","abstract":"Dengue viral infection has become an increasing global health concern with over two-fifths of the world's population at risk of infection. It is the most rapidly spreading vector borne disease, attributed to changing demographics, urbanization, environment, and global travel. It continues to be a threat in over 100 tropical and sub-tropical countries, affecting predominantly children. Dengue also carries a hefty financial burden on the health care systems in affected areas, as those infected seek care for their symptoms. The search for a suitable vaccine for dengue has been ongoing for the last sixty years, yet any effective treatment or vaccine remains elusive. A vaccine must be protective for all four serotypes of dengue and be cost-effective. Many approaches to developing candidate vaccines have been employed. The candidates include live attenuated tetravalent vaccines, chimeric tetravalent vaccines based on attenuated dengue virus or Yellow Fever 17D, and recombinant DNA vaccines based on flavivirus and non-flavivirus vectors. This review outlines the challenges involved in dengue vaccine development and presents the current stages of proposed vaccine candidate development. © 2010 Elsevier Inc.","author":[{"dropping-particle":"","family":"Murrell","given":"Sarah","non-dropping-particle":"","parse-names":false,"suffix":""},{"dropping-particle":"","family":"Wu","given":"Suh Chin","non-dropping-particle":"","parse-names":false,"suffix":""},{"dropping-particle":"","family":"Butler","given":"Michael","non-dropping-particle":"","parse-names":false,"suffix":""}],"container-title":"Biotechnology Advances","id":"ITEM-1","issue":"2","issued":{"date-parts":[["2011"]]},"page":"239-247","publisher":"Elsevier Inc.","title":"Review of dengue virus and the development of a vaccine","type":"article-journal","volume":"29"},"uris":["http://www.mendeley.com/documents/?uuid=90d3761e-be52-4a6b-bcc8-c0240d5ffe88"]}],"mendeley":{"formattedCitation":"(119)","plainTextFormattedCitation":"(119)","previouslyFormattedCitation":"(119)"},"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(119)</w:t>
      </w:r>
      <w:r w:rsidRPr="00737D20">
        <w:rPr>
          <w:rFonts w:cstheme="minorHAnsi"/>
          <w:vertAlign w:val="superscript"/>
        </w:rPr>
        <w:fldChar w:fldCharType="end"/>
      </w:r>
      <w:r w:rsidRPr="00737D20">
        <w:rPr>
          <w:rFonts w:cstheme="minorHAnsi"/>
        </w:rPr>
        <w:t xml:space="preserve">. Unlike the other viruses </w:t>
      </w:r>
      <w:r w:rsidRPr="00737D20">
        <w:rPr>
          <w:rFonts w:cstheme="minorHAnsi"/>
        </w:rPr>
        <w:lastRenderedPageBreak/>
        <w:t>mentioned earlier, DV makes an invagination RO into the ER which is PI4KIII independent</w:t>
      </w:r>
      <w:r w:rsidRPr="00737D20">
        <w:rPr>
          <w:rFonts w:cstheme="minorHAnsi"/>
          <w:vertAlign w:val="superscript"/>
        </w:rPr>
        <w:fldChar w:fldCharType="begin" w:fldLock="1"/>
      </w:r>
      <w:r w:rsidR="00F81397">
        <w:rPr>
          <w:rFonts w:cstheme="minorHAnsi"/>
          <w:vertAlign w:val="superscript"/>
        </w:rPr>
        <w:instrText>ADDIN CSL_CITATION {"citationItems":[{"id":"ITEM-1","itemData":{"DOI":"10.1016/j.chom.2009.03.007","ISBN":"1934-6069 (Electronic)\\r1931-3128 (Linking)","ISSN":"19313128","PMID":"19380115","abstract":"Positive-strand RNA viruses are known to rearrange cellular membranes to facilitate viral genome replication. The biogenesis and three-dimensional organization of these membranes and the link between replication and virus assembly sites is not fully clear. Using electron microscopy, we find Dengue virus (DENV)-induced vesicles, convoluted membranes, and virus particles to be endoplasmic reticulum (ER)-derived, and we detect double-stranded RNA, a presumed marker of RNA replication, inside virus-induced vesicles. Electron tomography (ET) shows DENV-induced membrane structures to be part of one ER-derived network. Furthermore, ET reveals vesicle pores that could enable release of newly synthesized viral RNA and reveals budding of DENV particles on ER membranes directly apposed to vesicle pores. Thus, DENV modifies ER membrane structure to promote replication and efficient encapsidation of the genome into progeny virus. This architecture of DENV replication and assembly sites could explain the coordination of distinct steps of the flavivirus replication cycle. © 2009 Elsevier Inc. All rights reserved.","author":[{"dropping-particle":"","family":"Welsch","given":"Sonja","non-dropping-particle":"","parse-names":false,"suffix":""},{"dropping-particle":"","family":"Miller","given":"Sven","non-dropping-particle":"","parse-names":false,"suffix":""},{"dropping-particle":"","family":"Romero-Brey","given":"Ines","non-dropping-particle":"","parse-names":false,"suffix":""},{"dropping-particle":"","family":"Merz","given":"Andreas","non-dropping-particle":"","parse-names":false,"suffix":""},{"dropping-particle":"","family":"Bleck","given":"Christopher K.E.","non-dropping-particle":"","parse-names":false,"suffix":""},{"dropping-particle":"","family":"Walther","given":"Paul","non-dropping-particle":"","parse-names":false,"suffix":""},{"dropping-particle":"","family":"Fuller","given":"Stephen D.","non-dropping-particle":"","parse-names":false,"suffix":""},{"dropping-particle":"","family":"Antony","given":"Claude","non-dropping-particle":"","parse-names":false,"suffix":""},{"dropping-particle":"","family":"Krijnse-Locker","given":"Jacomine","non-dropping-particle":"","parse-names":false,"suffix":""},{"dropping-particle":"","family":"Bartenschlager","given":"Ralf","non-dropping-particle":"","parse-names":false,"suffix":""}],"container-title":"Cell Host and Microbe","id":"ITEM-1","issue":"4","issued":{"date-parts":[["2009"]]},"page":"365-375","publisher":"Elsevier Ltd","title":"Composition and Three-Dimensional Architecture of the Dengue Virus Replication and Assembly Sites","type":"article-journal","volume":"5"},"uris":["http://www.mendeley.com/documents/?uuid=daf25654-ce1b-4bf9-ac64-8229519bf817"]}],"mendeley":{"formattedCitation":"(122)","plainTextFormattedCitation":"(122)","previouslyFormattedCitation":"(122)"},"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(122)</w:t>
      </w:r>
      <w:r w:rsidRPr="00737D20">
        <w:rPr>
          <w:rFonts w:cstheme="minorHAnsi"/>
          <w:vertAlign w:val="superscript"/>
        </w:rPr>
        <w:fldChar w:fldCharType="end"/>
      </w:r>
      <w:r w:rsidRPr="00737D20">
        <w:rPr>
          <w:rFonts w:cstheme="minorHAnsi"/>
        </w:rPr>
        <w:t>. Despite the lack of PI4KIII dependency, inhibition of cholesterol biosynthesis or cholesterol depletion was shown to be antiviral towards DV</w:t>
      </w:r>
      <w:r w:rsidRPr="00737D20">
        <w:rPr>
          <w:rFonts w:cstheme="minorHAnsi"/>
          <w:vertAlign w:val="superscript"/>
        </w:rPr>
        <w:fldChar w:fldCharType="begin" w:fldLock="1"/>
      </w:r>
      <w:r w:rsidR="00F81397">
        <w:rPr>
          <w:rFonts w:cstheme="minorHAnsi"/>
          <w:vertAlign w:val="superscript"/>
        </w:rPr>
        <w:instrText>ADDIN CSL_CITATION {"citationItems":[{"id":"ITEM-1","itemData":{"DOI":"10.1016/j.virol.2009.03.025","ISBN":"1096-0341 (Electronic)$\\$r0042-6822 (Linking)","ISSN":"00426822","PMID":"19419745","abstract":"We performed a focused siRNA screen in an A549 dengue type 2 New Guinea C subgenomic replicon cell line (Rluc-replicon) that contains a Renilla luciferase cassette. We found that siRNA mediated knock down of mevalonate diphospho decarboxylase (MVD) inhibited viral replication of the Rluc-replicon and DEN-2 NGC live virus replication in A549 cells. When the Rluc-replicon A459 cells were grown in delipidated media the replicon expression was suppressed and MVD knock down could further sensitize Renilla expression. Hymeglusin and zaragozic acid A could inhibit DEN-2 NGC live virus replication in K562 cells, while lovastatin could inhibit DEN-2 NGC live virus replication in human peripheral blood mononuclear cells. Renilla expression could be rescued in fluvastatin treated A549 Rluc-replicon cells after the addition of mevalonate, and partially restored with geranylgeranyl pyrophosphate, or farnesyl pyrophosphate. Our data suggest genetic and pharmacological modulation of cholesterol biosynthesis can regulate dengue virus replication. {©} 2009 Elsevier Inc. All rights reserved.","author":[{"dropping-particle":"","family":"Rothwell","given":"Christopher","non-dropping-particle":"","parse-names":false,"suffix":""},{"dropping-particle":"","family":"LeBreton","given":"Aude","non-dropping-particle":"","parse-names":false,"suffix":""},{"dropping-particle":"","family":"Young Ng","given":"Chuan","non-dropping-particle":"","parse-names":false,"suffix":""},{"dropping-particle":"","family":"Lim","given":"Joanne Y H","non-dropping-particle":"","parse-names":false,"suffix":""},{"dropping-particle":"","family":"Liu","given":"Wei","non-dropping-particle":"","parse-names":false,"suffix":""},{"dropping-particle":"","family":"Vasudevan","given":"Subhash","non-dropping-particle":"","parse-names":false,"suffix":""},{"dropping-particle":"","family":"Labow","given":"Mark","non-dropping-particle":"","parse-names":false,"suffix":""},{"dropping-particle":"","family":"Gu","given":"Feng","non-dropping-particle":"","parse-names":false,"suffix":""},{"dropping-particle":"","family":"Gaither","given":"L Alex","non-dropping-particle":"","parse-names":false,"suffix":""}],"container-title":"Virology","id":"ITEM-1","issue":"1-2","issued":{"date-parts":[["2009"]]},"page":"8-19","publisher":"Elsevier Inc.","title":"Cholesterol biosynthesis modulation regulates dengue viral replication","type":"article-journal","volume":"389"},"uris":["http://www.mendeley.com/documents/?uuid=92d5b568-5ce3-4677-93c9-7b1bc2db6594"]}],"mendeley":{"formattedCitation":"(123)","plainTextFormattedCitation":"(123)","previouslyFormattedCitation":"(123)"},"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(123)</w:t>
      </w:r>
      <w:r w:rsidRPr="00737D20">
        <w:rPr>
          <w:rFonts w:cstheme="minorHAnsi"/>
          <w:vertAlign w:val="superscript"/>
        </w:rPr>
        <w:fldChar w:fldCharType="end"/>
      </w:r>
      <w:r w:rsidRPr="00737D20">
        <w:rPr>
          <w:rFonts w:cstheme="minorHAnsi"/>
        </w:rPr>
        <w:t>. A recent study has shown that OSBP is involved in DV replication. Knockdown of OSBP and use of OSBP inhibitors was shown to inhibit DV replication and cause a redistribution of cellular cholesterol</w:t>
      </w:r>
      <w:r w:rsidRPr="00737D20">
        <w:rPr>
          <w:rFonts w:cstheme="minorHAnsi"/>
          <w:vertAlign w:val="superscript"/>
        </w:rPr>
        <w:fldChar w:fldCharType="begin" w:fldLock="1"/>
      </w:r>
      <w:r w:rsidR="0078225D">
        <w:rPr>
          <w:rFonts w:cstheme="minorHAnsi"/>
          <w:vertAlign w:val="superscript"/>
        </w:rPr>
        <w:instrText>ADDIN CSL_CITATION {"citationItems":[{"id":"ITEM-1","itemData":{"DOI":"10.1016/j.antiviral.2018.06.017","ISSN":"18729096","PMID":"29981375","abstract":"Dengue virus (DENV) is associated with an estimated 390 million infections per year, occurring across approximately 100 countries in tropical and sub-tropical regions. To date, there are no antiviral drugs or specific therapies to treat DENV infection. Posaconazole and itraconazole are potent antifungal drugs that inhibit ergosterol biosynthesis in fungal cells, but also target a number of human proteins. Here, we show that itraconazole and posaconazole have antiviral activity against DENV. Posaconazole inhibited replication of multiple serotypes of DENV and the related flavivirus Zika virus, and reduced viral RNA replication, but not translation of the viral genome. We used a combination of knockdown and drug sensitization assays to define the molecular target of posaconazole that mediates its antiviral activity. We found that knockdown of oxysterol-binding protein (OSBP) inhibited DENV replication. Moreover, knockdown of OSBP, but not other known targets of posaconazole, enhanced the inhibitory effect of posaconazole. Our findings imply OSBP as a potential target for the development of antiviral compounds against DENV.","author":[{"dropping-particle":"","family":"Meutiawati","given":"Febrina","non-dropping-particle":"","parse-names":false,"suffix":""},{"dropping-particle":"","family":"Bezemer","given":"Bodine","non-dropping-particle":"","parse-names":false,"suffix":""},{"dropping-particle":"","family":"Strating","given":"Jeroen R.P.M.","non-dropping-particle":"","parse-names":false,"suffix":""},{"dropping-particle":"","family":"Overheul","given":"Gijs J.","non-dropping-particle":"","parse-names":false,"suffix":""},{"dropping-particle":"","family":"Žusinaite","given":"Eva","non-dropping-particle":"","parse-names":false,"suffix":""},{"dropping-particle":"","family":"Kuppeveld","given":"Frank J.M.","non-dropping-particle":"van","parse-names":false,"suffix":""},{"dropping-particle":"","family":"Cleef","given":"Koen W.R.","non-dropping-particle":"van","parse-names":false,"suffix":""},{"dropping-particle":"","family":"Rij","given":"Ronald P.","non-dropping-particle":"van","parse-names":false,"suffix":""}],"container-title":"Antiviral Research","id":"ITEM-1","issue":"July","issued":{"date-parts":[["2018"]]},"page":"68-79","title":"Posaconazole inhibits dengue virus replication by targeting oxysterol-binding protein","type":"article-journal","volume":"157"},"uris":["http://www.mendeley.com/documents/?uuid=5ba0eafa-a20d-44b1-b512-8af03bc16827"]}],"mendeley":{"formattedCitation":"(84)","plainTextFormattedCitation":"(84)","previouslyFormattedCitation":"(84)"},"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(84)</w:t>
      </w:r>
      <w:r w:rsidRPr="00737D20">
        <w:rPr>
          <w:rFonts w:cstheme="minorHAnsi"/>
          <w:vertAlign w:val="superscript"/>
        </w:rPr>
        <w:fldChar w:fldCharType="end"/>
      </w:r>
      <w:r w:rsidRPr="00737D20">
        <w:rPr>
          <w:rFonts w:cstheme="minorHAnsi"/>
        </w:rPr>
        <w:t>. This new study solidifies the role that OSBP plays in a broad spectrum of viral infections and signifies the potential therapy OSBP targeting could provide.</w:t>
      </w:r>
    </w:p>
    <w:p w:rsidR="00961548" w:rsidRDefault="00961548" w:rsidP="00042529">
      <w:pPr>
        <w:pStyle w:val="Heading3"/>
      </w:pPr>
      <w:bookmarkStart w:id="55" w:name="_Toc532553083"/>
      <w:r>
        <w:t>Cancer Cell Survival and Proliferation</w:t>
      </w:r>
      <w:bookmarkEnd w:id="55"/>
    </w:p>
    <w:p w:rsidR="00961548" w:rsidRPr="00737D20" w:rsidRDefault="00961548" w:rsidP="00FB099D">
      <w:pPr>
        <w:ind w:firstLine="720"/>
        <w:jc w:val="both"/>
        <w:rPr>
          <w:b/>
          <w:szCs w:val="28"/>
        </w:rPr>
      </w:pPr>
      <w:r>
        <w:rPr>
          <w:rFonts w:cstheme="minorHAnsi"/>
        </w:rPr>
        <w:t>ORP4 and OSBP were originally identified as the target of various natural product compounds that showed anti-cancer activity in various cultured human cancer cell lines</w:t>
      </w:r>
      <w:r w:rsidRPr="004E0B66">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Pr="004E0B66">
        <w:rPr>
          <w:rFonts w:cstheme="minorHAnsi"/>
          <w:vertAlign w:val="superscript"/>
        </w:rPr>
        <w:fldChar w:fldCharType="separate"/>
      </w:r>
      <w:r w:rsidR="00393368" w:rsidRPr="00393368">
        <w:rPr>
          <w:rFonts w:cstheme="minorHAnsi"/>
          <w:noProof/>
        </w:rPr>
        <w:t>(46)</w:t>
      </w:r>
      <w:r w:rsidRPr="004E0B66">
        <w:rPr>
          <w:rFonts w:cstheme="minorHAnsi"/>
          <w:vertAlign w:val="superscript"/>
        </w:rPr>
        <w:fldChar w:fldCharType="end"/>
      </w:r>
      <w:r>
        <w:rPr>
          <w:rFonts w:cstheme="minorHAnsi"/>
        </w:rPr>
        <w:t>. This study showed that overexpression of either protein resulted in an increased resistance to the compounds and that loss of OSBP resulted in increased sensitivity of the compounds</w:t>
      </w:r>
      <w:r w:rsidRPr="004E0B66">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Pr="004E0B66">
        <w:rPr>
          <w:rFonts w:cstheme="minorHAnsi"/>
          <w:vertAlign w:val="superscript"/>
        </w:rPr>
        <w:fldChar w:fldCharType="separate"/>
      </w:r>
      <w:r w:rsidR="00393368" w:rsidRPr="00393368">
        <w:rPr>
          <w:rFonts w:cstheme="minorHAnsi"/>
          <w:noProof/>
        </w:rPr>
        <w:t>(46)</w:t>
      </w:r>
      <w:r w:rsidRPr="004E0B66">
        <w:rPr>
          <w:rFonts w:cstheme="minorHAnsi"/>
          <w:vertAlign w:val="superscript"/>
        </w:rPr>
        <w:fldChar w:fldCharType="end"/>
      </w:r>
      <w:r>
        <w:rPr>
          <w:rFonts w:cstheme="minorHAnsi"/>
        </w:rPr>
        <w:t>. ORP4 was originally identified as a potential molecular marker for solid state tumors due to its mRNA overexpression in patient blood and tissue samples of lung and breast cancer</w:t>
      </w:r>
      <w:r w:rsidRPr="007F16C3">
        <w:rPr>
          <w:rFonts w:cstheme="minorHAnsi"/>
          <w:vertAlign w:val="superscript"/>
        </w:rPr>
        <w:fldChar w:fldCharType="begin" w:fldLock="1"/>
      </w:r>
      <w:r w:rsidR="00F81397">
        <w:rPr>
          <w:rFonts w:cstheme="minorHAnsi"/>
          <w:vertAlign w:val="superscript"/>
        </w:rPr>
        <w:instrText>ADDIN CSL_CITATION {"citationItems":[{"id":"ITEM-1","itemData":{"ISSN":"0008-5472","abstract":"This study describes a new potential role in human cancer for a gene, HLM, isolated by differential display, that bears homology to an oxysterol-binding protein. A significant association between increased expression of HLM with metastatic disease was found. HLM mRNA levels were increased in circulating tumor cells in patients' peripheral blood and in primary human epithelial cells expressing the human papillomavirus16 E6 and E7 proteins. HLM mRNA was not detected in most normal human tissues, including peripheral blood and lymph node. These findings indicate that HLM may function as a potential marker for tumor dissemination.","author":[{"dropping-particle":"V","family":"Fournier","given":"M","non-dropping-particle":"","parse-names":false,"suffix":""},{"dropping-particle":"","family":"Guimarães da Costa","given":"F","non-dropping-particle":"","parse-names":false,"suffix":""},{"dropping-particle":"","family":"Paschoal","given":"M E","non-dropping-particle":"","parse-names":false,"suffix":""},{"dropping-particle":"V","family":"Ronco","given":"L","non-dropping-particle":"","parse-names":false,"suffix":""},{"dropping-particle":"","family":"Carvalho","given":"M G","non-dropping-particle":"","parse-names":false,"suffix":""},{"dropping-particle":"","family":"Pardee","given":"a B","non-dropping-particle":"","parse-names":false,"suffix":""},{"dropping-particle":"","family":"Giumaraes","given":"F C","non-dropping-particle":"","parse-names":false,"suffix":""}],"container-title":"Cancer research","id":"ITEM-1","issue":"15","issued":{"date-parts":[["1999","8","1"]]},"page":"3748-53","title":"Identification of a gene encoding a human oxysterol-binding protein-homologue: a potential general molecular marker for blood dissemination of solid tumors.","type":"article-journal","volume":"59"},"uris":["http://www.mendeley.com/documents/?uuid=8b582343-bc2e-4ad3-b316-cf1ef8ab96c5"]}],"mendeley":{"formattedCitation":"(124)","plainTextFormattedCitation":"(124)","previouslyFormattedCitation":"(124)"},"properties":{"noteIndex":0},"schema":"https://github.com/citation-style-language/schema/raw/master/csl-citation.json"}</w:instrText>
      </w:r>
      <w:r w:rsidRPr="007F16C3">
        <w:rPr>
          <w:rFonts w:cstheme="minorHAnsi"/>
          <w:vertAlign w:val="superscript"/>
        </w:rPr>
        <w:fldChar w:fldCharType="separate"/>
      </w:r>
      <w:r w:rsidR="005D2ADA" w:rsidRPr="005D2ADA">
        <w:rPr>
          <w:rFonts w:cstheme="minorHAnsi"/>
          <w:noProof/>
        </w:rPr>
        <w:t>(124)</w:t>
      </w:r>
      <w:r w:rsidRPr="007F16C3">
        <w:rPr>
          <w:rFonts w:cstheme="minorHAnsi"/>
          <w:vertAlign w:val="superscript"/>
        </w:rPr>
        <w:fldChar w:fldCharType="end"/>
      </w:r>
      <w:r>
        <w:rPr>
          <w:rFonts w:cstheme="minorHAnsi"/>
        </w:rPr>
        <w:t>. In a subsequent study ORP4 was shown to be overexpressed in chronic myeloid leukemia from patient samples as well as several cultured cell lines derived from various forms of leukemia</w:t>
      </w:r>
      <w:r w:rsidRPr="009C7749">
        <w:rPr>
          <w:rFonts w:cstheme="minorHAnsi"/>
          <w:vertAlign w:val="superscript"/>
        </w:rPr>
        <w:fldChar w:fldCharType="begin" w:fldLock="1"/>
      </w:r>
      <w:r w:rsidR="00393368">
        <w:rPr>
          <w:rFonts w:cstheme="minorHAnsi"/>
          <w:vertAlign w:val="superscript"/>
        </w:rPr>
        <w:instrText>ADDIN CSL_CITATION {"citationItems":[{"id":"ITEM-1","itemData":{"author":[{"dropping-particle":"","family":"Silva","given":"NH","non-dropping-particle":"","parse-names":false,"suffix":""},{"dropping-particle":"V","family":"Fournier","given":"M","non-dropping-particle":"","parse-names":false,"suffix":""},{"dropping-particle":"","family":"Pimenta","given":"G","non-dropping-particle":"","parse-names":false,"suffix":""},{"dropping-particle":"","family":"Pulcheri","given":"W A","non-dropping-particle":"","parse-names":false,"suffix":""},{"dropping-particle":"","family":"Spector","given":"N","non-dropping-particle":"","parse-names":false,"suffix":""},{"dropping-particle":"","family":"Carvalho","given":"M G","non-dropping-particle":"","parse-names":false,"suffix":""}],"container-title":"International Journal of Molecular Medicine","id":"ITEM-1","issued":{"date-parts":[["2003"]]},"note":"From Duplicate 2 ( \n\n\n\n\n\n\n\n\n\n\n\n\n\n\n\n\n\n\n\n\n\n\n\n\n\n\n\n\n\n\n\n\n\n\n\n\n\n\n\n\n\n\n\n\n\n\n\n\n\n\n\n\n\n\n\n\n\n\n\n\n\n\n\n\n\n\n\n\n\n\n\n\n\n\n\n\n\n\n\n\n\n\n\n\n\n\n\n\n\n\n\n\n\n\n\n\n\n\n\n\n\n\n\n\n\n\n\n\n\n\n\n\n\n\n\n\n\n\n\n\n\n\n\n\n\n\n\n\n\nUnknown - Unknown - Silva et al. - HLMOSBP2 is expressed in chronic myeloid leukemia - 2003 - International journal of molecular medicine.pdf - Unknown - Unknown.pdf - Unknown - Unknown.pdf\n\n\n\n\n\n\n\n\n\n\n\n\n\n\n\n\n\n\n\n\n\n\n\n\n\n\n\n\n\n\n\n\n\n\n\n\n\n\n\n\n\n\n\n\n\n\n\n\n\n\n\n\n\n\n\n\n\n\n\n\n\n\n\n\n\n\n\n\n\n\n\n\n\n\n\n\n\n\n\n\n\n\n\n\n\n\n\n\n\n\n\n\n\n\n\n\n\n\n\n\n\n\n\n\n\n\n\n\n\n\n\n\n\n\n\n\n\n\n\n\n\n\n\n\n\n\n\n\n\n- )\n\n\n\n\n\n\n\n\n\n\n\n\n\n\n\n\n\n\n\n\n\n\n\n\n\n\n\n\n\n\n\n","page":"663-666","title":"HLMOSBP2 is expressed in chronic myeloid leukemia","type":"article-journal","volume":"12"},"uris":["http://www.mendeley.com/documents/?uuid=4a942059-98bd-40c4-b13a-d341952716d3"]}],"mendeley":{"formattedCitation":"(45)","plainTextFormattedCitation":"(45)","previouslyFormattedCitation":"(45)"},"properties":{"noteIndex":0},"schema":"https://github.com/citation-style-language/schema/raw/master/csl-citation.json"}</w:instrText>
      </w:r>
      <w:r w:rsidRPr="009C7749">
        <w:rPr>
          <w:rFonts w:cstheme="minorHAnsi"/>
          <w:vertAlign w:val="superscript"/>
        </w:rPr>
        <w:fldChar w:fldCharType="separate"/>
      </w:r>
      <w:r w:rsidR="00393368" w:rsidRPr="00393368">
        <w:rPr>
          <w:rFonts w:cstheme="minorHAnsi"/>
          <w:noProof/>
        </w:rPr>
        <w:t>(45)</w:t>
      </w:r>
      <w:r w:rsidRPr="009C7749">
        <w:rPr>
          <w:rFonts w:cstheme="minorHAnsi"/>
          <w:vertAlign w:val="superscript"/>
        </w:rPr>
        <w:fldChar w:fldCharType="end"/>
      </w:r>
      <w:r>
        <w:rPr>
          <w:rFonts w:cstheme="minorHAnsi"/>
        </w:rPr>
        <w:t>. Knockdown of ORP4 resulted in cellular growth arrest in cancerous and immortalized cultured cell lines and apoptosis of non-transformed cells</w:t>
      </w:r>
      <w:r w:rsidRPr="009C7749">
        <w:rPr>
          <w:rFonts w:cstheme="minorHAnsi"/>
          <w:vertAlign w:val="superscript"/>
        </w:rPr>
        <w:fldChar w:fldCharType="begin" w:fldLock="1"/>
      </w:r>
      <w:r w:rsidR="00DE076B">
        <w:rPr>
          <w:rFonts w:cstheme="minorHAnsi"/>
          <w:vertAlign w:val="superscript"/>
        </w:rPr>
        <w:instrText>ADDIN CSL_CITATION {"citationItems":[{"id":"ITEM-1","itemData":{"DOI":"10.1074/jbc.M114.571216","ISBN":"9024924324","ISSN":"1083351X","PMID":"24742681","abstract":"Oxysterol-binding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Chemistry","id":"ITEM-1","issue":"22","issued":{"date-parts":[["2014"]]},"page":"15705-15717","title":"Oxysterol-binding protein (OSBP)-related protein 4 (ORP4) is essential for cell proliferation and survival","type":"article-journal","volume":"289"},"uris":["http://www.mendeley.com/documents/?uuid=69e80f92-9587-4c32-b5d3-c1560da16ba1"]}],"mendeley":{"formattedCitation":"(17)","plainTextFormattedCitation":"(17)","previouslyFormattedCitation":"(17)"},"properties":{"noteIndex":0},"schema":"https://github.com/citation-style-language/schema/raw/master/csl-citation.json"}</w:instrText>
      </w:r>
      <w:r w:rsidRPr="009C7749">
        <w:rPr>
          <w:rFonts w:cstheme="minorHAnsi"/>
          <w:vertAlign w:val="superscript"/>
        </w:rPr>
        <w:fldChar w:fldCharType="separate"/>
      </w:r>
      <w:r w:rsidR="00423910" w:rsidRPr="00423910">
        <w:rPr>
          <w:rFonts w:cstheme="minorHAnsi"/>
          <w:noProof/>
        </w:rPr>
        <w:t>(17)</w:t>
      </w:r>
      <w:r w:rsidRPr="009C7749">
        <w:rPr>
          <w:rFonts w:cstheme="minorHAnsi"/>
          <w:vertAlign w:val="superscript"/>
        </w:rPr>
        <w:fldChar w:fldCharType="end"/>
      </w:r>
      <w:r>
        <w:rPr>
          <w:rFonts w:cstheme="minorHAnsi"/>
        </w:rPr>
        <w:t xml:space="preserve">. Consistent with the finding that ORP4 is utilized in the oncogenesis/transformation of cells was the finding that ORP4 mRNA expression was increased when the human papilloma virus proteins E6 and E7, which can immortalize cell lines </w:t>
      </w:r>
      <w:r>
        <w:rPr>
          <w:rFonts w:cstheme="minorHAnsi"/>
          <w:i/>
        </w:rPr>
        <w:t>in vitro</w:t>
      </w:r>
      <w:r>
        <w:rPr>
          <w:rFonts w:cstheme="minorHAnsi"/>
        </w:rPr>
        <w:t>, were transfected into cells</w:t>
      </w:r>
      <w:r w:rsidRPr="009C7749">
        <w:rPr>
          <w:rFonts w:cstheme="minorHAnsi"/>
          <w:vertAlign w:val="superscript"/>
        </w:rPr>
        <w:fldChar w:fldCharType="begin" w:fldLock="1"/>
      </w:r>
      <w:r w:rsidR="00F81397">
        <w:rPr>
          <w:rFonts w:cstheme="minorHAnsi"/>
          <w:vertAlign w:val="superscript"/>
        </w:rPr>
        <w:instrText>ADDIN CSL_CITATION {"citationItems":[{"id":"ITEM-1","itemData":{"ISSN":"0008-5472","abstract":"This study describes a new potential role in human cancer for a gene, HLM, isolated by differential display, that bears homology to an oxysterol-binding protein. A significant association between increased expression of HLM with metastatic disease was found. HLM mRNA levels were increased in circulating tumor cells in patients' peripheral blood and in primary human epithelial cells expressing the human papillomavirus16 E6 and E7 proteins. HLM mRNA was not detected in most normal human tissues, including peripheral blood and lymph node. These findings indicate that HLM may function as a potential marker for tumor dissemination.","author":[{"dropping-particle":"V","family":"Fournier","given":"M","non-dropping-particle":"","parse-names":false,"suffix":""},{"dropping-particle":"","family":"Guimarães da Costa","given":"F","non-dropping-particle":"","parse-names":false,"suffix":""},{"dropping-particle":"","family":"Paschoal","given":"M E","non-dropping-particle":"","parse-names":false,"suffix":""},{"dropping-particle":"V","family":"Ronco","given":"L","non-dropping-particle":"","parse-names":false,"suffix":""},{"dropping-particle":"","family":"Carvalho","given":"M G","non-dropping-particle":"","parse-names":false,"suffix":""},{"dropping-particle":"","family":"Pardee","given":"a B","non-dropping-particle":"","parse-names":false,"suffix":""},{"dropping-particle":"","family":"Giumaraes","given":"F C","non-dropping-particle":"","parse-names":false,"suffix":""}],"container-title":"Cancer research","id":"ITEM-1","issue":"15","issued":{"date-parts":[["1999","8","1"]]},"page":"3748-53","title":"Identification of a gene encoding a human oxysterol-binding protein-homologue: a potential general molecular marker for blood dissemination of solid tumors.","type":"article-journal","volume":"59"},"uris":["http://www.mendeley.com/documents/?uuid=8b582343-bc2e-4ad3-b316-cf1ef8ab96c5"]}],"mendeley":{"formattedCitation":"(124)","plainTextFormattedCitation":"(124)","previouslyFormattedCitation":"(124)"},"properties":{"noteIndex":0},"schema":"https://github.com/citation-style-language/schema/raw/master/csl-citation.json"}</w:instrText>
      </w:r>
      <w:r w:rsidRPr="009C7749">
        <w:rPr>
          <w:rFonts w:cstheme="minorHAnsi"/>
          <w:vertAlign w:val="superscript"/>
        </w:rPr>
        <w:fldChar w:fldCharType="separate"/>
      </w:r>
      <w:r w:rsidR="005D2ADA" w:rsidRPr="005D2ADA">
        <w:rPr>
          <w:rFonts w:cstheme="minorHAnsi"/>
          <w:noProof/>
        </w:rPr>
        <w:t>(124)</w:t>
      </w:r>
      <w:r w:rsidRPr="009C7749">
        <w:rPr>
          <w:rFonts w:cstheme="minorHAnsi"/>
          <w:vertAlign w:val="superscript"/>
        </w:rPr>
        <w:fldChar w:fldCharType="end"/>
      </w:r>
      <w:r>
        <w:rPr>
          <w:rFonts w:cstheme="minorHAnsi"/>
        </w:rPr>
        <w:t>. A recent study has shown that ORP4L is expressed in T-cell acute lymphoblastic leukemia</w:t>
      </w:r>
      <w:r w:rsidR="00EF1534">
        <w:rPr>
          <w:rFonts w:cstheme="minorHAnsi"/>
        </w:rPr>
        <w:t xml:space="preserve"> (T-ALL) but not normal T-cells</w:t>
      </w:r>
      <w:r w:rsidR="00EF1534" w:rsidRPr="00946EF8">
        <w:rPr>
          <w:rFonts w:cstheme="minorHAnsi"/>
          <w:vertAlign w:val="superscript"/>
        </w:rPr>
        <w:fldChar w:fldCharType="begin" w:fldLock="1"/>
      </w:r>
      <w:r w:rsidR="00EF1534">
        <w:rPr>
          <w:rFonts w:cstheme="minorHAnsi"/>
          <w:vertAlign w:val="superscript"/>
        </w:rPr>
        <w:instrText>ADDIN CSL_CITATION {"citationItems":[{"id":"ITEM-1","itemData":{"DOI":"10.1038/ncomms12702","ISBN":"2041-1723 (Electronic) 2041-1723 (Linking)","ISSN":"20411723","PMID":"27581363","abstract":"Metabolic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CD3ɛ, Gαq/11 and PLCβ3 into a complex that activates PLCβ3. PLCβ3 catalyzes IP3 production in T-ALL as opposed to PLCγ1 in normal T-cells. Up-regulation of ORP4L thus results in a switch in the enzyme responsible for IP3-induced endoplasmic reticulum Ca(2+)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PLCβ3 activation, resulting in an increase of mitochondrial respiration for cell survival. Targeting ORP4L might represent a promising approach for T-ALL treatment.","author":[{"dropping-particle":"","family":"Zhong","given":"Wenbin","non-dropping-particle":"","parse-names":false,"suffix":""},{"dropping-particle":"","family":"Yi","given":"Qing","non-dropping-particle":"","parse-names":false,"suffix":""},{"dropping-particle":"","family":"Xu","given":"Bing","non-dropping-particle":"","parse-names":false,"suffix":""},{"dropping-particle":"","family":"Li","given":"Shiqian","non-dropping-particle":"","parse-names":false,"suffix":""},{"dropping-particle":"","family":"Wang","given":"Tong","non-dropping-particle":"","parse-names":false,"suffix":""},{"dropping-particle":"","family":"Liu","given":"Fupei","non-dropping-particle":"","parse-names":false,"suffix":""},{"dropping-particle":"","family":"Zhu","given":"Biying","non-dropping-particle":"","parse-names":false,"suffix":""},{"dropping-particle":"","family":"Hoffmann","given":"Peter R.","non-dropping-particle":"","parse-names":false,"suffix":""},{"dropping-particle":"","family":"Ji","given":"Guangju","non-dropping-particle":"","parse-names":false,"suffix":""},{"dropping-particle":"","family":"Lei","given":"Pingsheng","non-dropping-particle":"","parse-names":false,"suffix":""},{"dropping-particle":"","family":"Li","given":"Guoping","non-dropping-particle":"","parse-names":false,"suffix":""},{"dropping-particle":"","family":"Li","given":"Jiwei","non-dropping-particle":"","parse-names":false,"suffix":""},{"dropping-particle":"","family":"Li","given":"Jian","non-dropping-particle":"","parse-names":false,"suffix":""},{"dropping-particle":"","family":"Olkkonen","given":"Vesa M.","non-dropping-particle":"","parse-names":false,"suffix":""},{"dropping-particle":"","family":"Yan","given":"Daoguang","non-dropping-particle":"","parse-names":false,"suffix":""}],"container-title":"Nature Communications","id":"ITEM-1","issued":{"date-parts":[["2016"]]},"page":"1-14","publisher":"Nature Publishing Group","title":"ORP4L is essential for T-cell acute lymphoblastic leukemia cell survival","type":"article-journal","volume":"7"},"uris":["http://www.mendeley.com/documents/?uuid=4b829fa5-078a-4bb6-b33f-741001f11c41"]}],"mendeley":{"formattedCitation":"(54)","plainTextFormattedCitation":"(54)","previouslyFormattedCitation":"(54)"},"properties":{"noteIndex":0},"schema":"https://github.com/citation-style-language/schema/raw/master/csl-citation.json"}</w:instrText>
      </w:r>
      <w:r w:rsidR="00EF1534" w:rsidRPr="00946EF8">
        <w:rPr>
          <w:rFonts w:cstheme="minorHAnsi"/>
          <w:vertAlign w:val="superscript"/>
        </w:rPr>
        <w:fldChar w:fldCharType="separate"/>
      </w:r>
      <w:r w:rsidR="00EF1534" w:rsidRPr="00393368">
        <w:rPr>
          <w:rFonts w:cstheme="minorHAnsi"/>
          <w:noProof/>
        </w:rPr>
        <w:t>(54)</w:t>
      </w:r>
      <w:r w:rsidR="00EF1534" w:rsidRPr="00946EF8">
        <w:rPr>
          <w:rFonts w:cstheme="minorHAnsi"/>
          <w:vertAlign w:val="superscript"/>
        </w:rPr>
        <w:fldChar w:fldCharType="end"/>
      </w:r>
      <w:r w:rsidR="00EF1534">
        <w:rPr>
          <w:rFonts w:cstheme="minorHAnsi"/>
        </w:rPr>
        <w:t>. ORP4L in the T-ALL cancer cell</w:t>
      </w:r>
      <w:r>
        <w:rPr>
          <w:rFonts w:cstheme="minorHAnsi"/>
        </w:rPr>
        <w:t xml:space="preserve"> was linked with an increase in oxidative phosphorylation through calcium signaling</w:t>
      </w:r>
      <w:r w:rsidRPr="00946EF8">
        <w:rPr>
          <w:rFonts w:cstheme="minorHAnsi"/>
          <w:vertAlign w:val="superscript"/>
        </w:rPr>
        <w:fldChar w:fldCharType="begin" w:fldLock="1"/>
      </w:r>
      <w:r w:rsidR="00393368">
        <w:rPr>
          <w:rFonts w:cstheme="minorHAnsi"/>
          <w:vertAlign w:val="superscript"/>
        </w:rPr>
        <w:instrText>ADDIN CSL_CITATION {"citationItems":[{"id":"ITEM-1","itemData":{"DOI":"10.1038/ncomms12702","ISBN":"2041-1723 (Electronic) 2041-1723 (Linking)","ISSN":"20411723","PMID":"27581363","abstract":"Metabolic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CD3ɛ, Gαq/11 and PLCβ3 into a complex that activates PLCβ3. PLCβ3 catalyzes IP3 production in T-ALL as opposed to PLCγ1 in normal T-cells. Up-regulation of ORP4L thus results in a switch in the enzyme responsible for IP3-induced endoplasmic reticulum Ca(2+)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PLCβ3 activation, resulting in an increase of mitochondrial respiration for cell survival. Targeting ORP4L might represent a promising approach for T-ALL treatment.","author":[{"dropping-particle":"","family":"Zhong","given":"Wenbin","non-dropping-particle":"","parse-names":false,"suffix":""},{"dropping-particle":"","family":"Yi","given":"Qing","non-dropping-particle":"","parse-names":false,"suffix":""},{"dropping-particle":"","family":"Xu","given":"Bing","non-dropping-particle":"","parse-names":false,"suffix":""},{"dropping-particle":"","family":"Li","given":"Shiqian","non-dropping-particle":"","parse-names":false,"suffix":""},{"dropping-particle":"","family":"Wang","given":"Tong","non-dropping-particle":"","parse-names":false,"suffix":""},{"dropping-particle":"","family":"Liu","given":"Fupei","non-dropping-particle":"","parse-names":false,"suffix":""},{"dropping-particle":"","family":"Zhu","given":"Biying","non-dropping-particle":"","parse-names":false,"suffix":""},{"dropping-particle":"","family":"Hoffmann","given":"Peter R.","non-dropping-particle":"","parse-names":false,"suffix":""},{"dropping-particle":"","family":"Ji","given":"Guangju","non-dropping-particle":"","parse-names":false,"suffix":""},{"dropping-particle":"","family":"Lei","given":"Pingsheng","non-dropping-particle":"","parse-names":false,"suffix":""},{"dropping-particle":"","family":"Li","given":"Guoping","non-dropping-particle":"","parse-names":false,"suffix":""},{"dropping-particle":"","family":"Li","given":"Jiwei","non-dropping-particle":"","parse-names":false,"suffix":""},{"dropping-particle":"","family":"Li","given":"Jian","non-dropping-particle":"","parse-names":false,"suffix":""},{"dropping-particle":"","family":"Olkkonen","given":"Vesa M.","non-dropping-particle":"","parse-names":false,"suffix":""},{"dropping-particle":"","family":"Yan","given":"Daoguang","non-dropping-particle":"","parse-names":false,"suffix":""}],"container-title":"Nature Communications","id":"ITEM-1","issued":{"date-parts":[["2016"]]},"page":"1-14","publisher":"Nature Publishing Group","title":"ORP4L is essential for T-cell acute lymphoblastic leukemia cell survival","type":"article-journal","volume":"7"},"uris":["http://www.mendeley.com/documents/?uuid=4b829fa5-078a-4bb6-b33f-741001f11c41"]}],"mendeley":{"formattedCitation":"(54)","plainTextFormattedCitation":"(54)","previouslyFormattedCitation":"(54)"},"properties":{"noteIndex":0},"schema":"https://github.com/citation-style-language/schema/raw/master/csl-citation.json"}</w:instrText>
      </w:r>
      <w:r w:rsidRPr="00946EF8">
        <w:rPr>
          <w:rFonts w:cstheme="minorHAnsi"/>
          <w:vertAlign w:val="superscript"/>
        </w:rPr>
        <w:fldChar w:fldCharType="separate"/>
      </w:r>
      <w:r w:rsidR="00393368" w:rsidRPr="00393368">
        <w:rPr>
          <w:rFonts w:cstheme="minorHAnsi"/>
          <w:noProof/>
        </w:rPr>
        <w:t>(54)</w:t>
      </w:r>
      <w:r w:rsidRPr="00946EF8">
        <w:rPr>
          <w:rFonts w:cstheme="minorHAnsi"/>
          <w:vertAlign w:val="superscript"/>
        </w:rPr>
        <w:fldChar w:fldCharType="end"/>
      </w:r>
      <w:r>
        <w:rPr>
          <w:rFonts w:cstheme="minorHAnsi"/>
        </w:rPr>
        <w:t xml:space="preserve">. ORP4’s </w:t>
      </w:r>
      <w:r>
        <w:rPr>
          <w:rFonts w:cstheme="minorHAnsi"/>
        </w:rPr>
        <w:lastRenderedPageBreak/>
        <w:t>link with various forms of cancer and cell survival provide an attractive target for anti-cancer strategies due to its limited tissue expression as previously mentioned.</w:t>
      </w:r>
    </w:p>
    <w:p w:rsidR="00961548" w:rsidRDefault="00961548" w:rsidP="00FB099D">
      <w:pPr>
        <w:pStyle w:val="Heading2"/>
      </w:pPr>
      <w:bookmarkStart w:id="56" w:name="_Ref530671483"/>
      <w:bookmarkStart w:id="57" w:name="_Ref530742185"/>
      <w:bookmarkStart w:id="58" w:name="_Toc532553084"/>
      <w:r>
        <w:t>ORPphillins and OSBP/ORP4</w:t>
      </w:r>
      <w:bookmarkEnd w:id="56"/>
      <w:bookmarkEnd w:id="57"/>
      <w:bookmarkEnd w:id="58"/>
    </w:p>
    <w:p w:rsidR="00061BE9" w:rsidRPr="00061BE9" w:rsidRDefault="00061BE9" w:rsidP="00061BE9">
      <w:pPr>
        <w:ind w:firstLine="720"/>
        <w:jc w:val="both"/>
      </w:pPr>
      <w:r>
        <w:t>A variety of small molecule inhibitors of OSBP and ORP4, termed ORPphillins, have been identified through the screening of these compounds as anti-cancer and antiviral agents</w:t>
      </w:r>
      <w:r>
        <w:fldChar w:fldCharType="begin" w:fldLock="1"/>
      </w:r>
      <w:r w:rsidR="00F81397">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id":"ITEM-2","itemData":{"DOI":"10.1016/j.pmr.2014.05.001.Functional","ISBN":"0000287431","ISSN":"0000287431","PMID":"25792328","author":[{"dropping-particle":"","family":"Strating","given":"Jeroen R.P.M.","non-dropping-particle":"","parse-names":false,"suffix":""}],"id":"ITEM-2","issue":"3","issued":{"date-parts":[["2015"]]},"page":"1-30","title":"ITRACONAZOLE INHIBITS ENTEROVIRUS REPLICATION BY TARGETING THE OXYSTEROL-BINDING PROTEIN","type":"article-journal","volume":"25"},"uris":["http://www.mendeley.com/documents/?uuid=02c7ec4c-fc93-404c-a402-6abc8c747415"]},{"id":"ITEM-3","itemData":{"DOI":"10.1128/JVI.03546-12","ISBN":"1098-5514 (Electronic)\\r0022-538X (Linking)","ISSN":"0022-538X","PMID":"23365445","abstract":"Enviroxime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ournal of Virology","id":"ITEM-3","issue":"8","issued":{"date-parts":[["2013"]]},"page":"4252-4260","title":"Oxysterol-Binding Protein Family I Is the Target of Minor Enviroxime-Like Compounds","type":"article-journal","volume":"87"},"uris":["http://www.mendeley.com/documents/?uuid=641d6d35-1865-4621-81e7-9210abc22b07"]},{"id":"ITEM-4","itemData":{"DOI":"10.1016/j.antiviral.2017.01.008","ISSN":"18729096","PMID":"28088354","abstract":"The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J.M.","non-dropping-particle":"van","parse-names":false,"suffix":""},{"dropping-particle":"","family":"Strating","given":"Jeroen R.P.M.","non-dropping-particle":"","parse-names":false,"suffix":""}],"container-title":"Antiviral Research","id":"ITEM-4","issued":{"date-parts":[["2017"]]},"page":"37-44","title":"Uncovering oxysterol-binding protein (OSBP) as a target of the anti-enteroviral compound TTP-8307","type":"article-journal","volume":"140"},"uris":["http://www.mendeley.com/documents/?uuid=cf662cf3-179b-47a2-b708-ee865a6768a2"]}],"mendeley":{"formattedCitation":"(46, 80, 81, 125)","plainTextFormattedCitation":"(46, 80, 81, 125)","previouslyFormattedCitation":"(46, 80, 81, 125)"},"properties":{"noteIndex":0},"schema":"https://github.com/citation-style-language/schema/raw/master/csl-citation.json"}</w:instrText>
      </w:r>
      <w:r>
        <w:fldChar w:fldCharType="separate"/>
      </w:r>
      <w:r w:rsidR="005D2ADA" w:rsidRPr="005D2ADA">
        <w:rPr>
          <w:noProof/>
        </w:rPr>
        <w:t>(46, 80, 81, 125)</w:t>
      </w:r>
      <w:r>
        <w:fldChar w:fldCharType="end"/>
      </w:r>
      <w:r w:rsidR="007E7C21">
        <w:t>. These compounds range from steroidal based natural products to synthetic triazoles</w:t>
      </w:r>
      <w:r w:rsidR="007E7C21">
        <w:fldChar w:fldCharType="begin" w:fldLock="1"/>
      </w:r>
      <w:r w:rsidR="00F81397">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id":"ITEM-2","itemData":{"DOI":"10.1016/j.pmr.2014.05.001.Functional","ISBN":"0000287431","ISSN":"0000287431","PMID":"25792328","author":[{"dropping-particle":"","family":"Strating","given":"Jeroen R.P.M.","non-dropping-particle":"","parse-names":false,"suffix":""}],"id":"ITEM-2","issue":"3","issued":{"date-parts":[["2015"]]},"page":"1-30","title":"ITRACONAZOLE INHIBITS ENTEROVIRUS REPLICATION BY TARGETING THE OXYSTEROL-BINDING PROTEIN","type":"article-journal","volume":"25"},"uris":["http://www.mendeley.com/documents/?uuid=02c7ec4c-fc93-404c-a402-6abc8c747415"]},{"id":"ITEM-3","itemData":{"DOI":"10.1128/JVI.03546-12","ISBN":"1098-5514 (Electronic)\\r0022-538X (Linking)","ISSN":"0022-538X","PMID":"23365445","abstract":"Enviroxime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ournal of Virology","id":"ITEM-3","issue":"8","issued":{"date-parts":[["2013"]]},"page":"4252-4260","title":"Oxysterol-Binding Protein Family I Is the Target of Minor Enviroxime-Like Compounds","type":"article-journal","volume":"87"},"uris":["http://www.mendeley.com/documents/?uuid=641d6d35-1865-4621-81e7-9210abc22b07"]},{"id":"ITEM-4","itemData":{"DOI":"10.1016/j.antiviral.2017.01.008","ISSN":"18729096","PMID":"28088354","abstract":"The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J.M.","non-dropping-particle":"van","parse-names":false,"suffix":""},{"dropping-particle":"","family":"Strating","given":"Jeroen R.P.M.","non-dropping-particle":"","parse-names":false,"suffix":""}],"container-title":"Antiviral Research","id":"ITEM-4","issued":{"date-parts":[["2017"]]},"page":"37-44","title":"Uncovering oxysterol-binding protein (OSBP) as a target of the anti-enteroviral compound TTP-8307","type":"article-journal","volume":"140"},"uris":["http://www.mendeley.com/documents/?uuid=cf662cf3-179b-47a2-b708-ee865a6768a2"]}],"mendeley":{"formattedCitation":"(46, 80, 81, 125)","plainTextFormattedCitation":"(46, 80, 81, 125)","previouslyFormattedCitation":"(46, 80, 81, 125)"},"properties":{"noteIndex":0},"schema":"https://github.com/citation-style-language/schema/raw/master/csl-citation.json"}</w:instrText>
      </w:r>
      <w:r w:rsidR="007E7C21">
        <w:fldChar w:fldCharType="separate"/>
      </w:r>
      <w:r w:rsidR="005D2ADA" w:rsidRPr="005D2ADA">
        <w:rPr>
          <w:noProof/>
        </w:rPr>
        <w:t>(46, 80, 81, 125)</w:t>
      </w:r>
      <w:r w:rsidR="007E7C21">
        <w:fldChar w:fldCharType="end"/>
      </w:r>
      <w:r w:rsidR="007E7C21">
        <w:t xml:space="preserve">. Despite the diversity of structures, most of the compounds exhibit the ability to inhibit OSBP function </w:t>
      </w:r>
      <w:r w:rsidR="007E7C21">
        <w:rPr>
          <w:i/>
        </w:rPr>
        <w:t>in vitro</w:t>
      </w:r>
      <w:r w:rsidR="007E7C21">
        <w:t>, but many of the cellular effects on OSBP and ORP4 remain unknown for these compounds</w:t>
      </w:r>
      <w:r w:rsidR="007E7C21">
        <w:fldChar w:fldCharType="begin" w:fldLock="1"/>
      </w:r>
      <w:r w:rsidR="00F81397">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id":"ITEM-2","itemData":{"DOI":"10.1016/j.pmr.2014.05.001.Functional","ISBN":"0000287431","ISSN":"0000287431","PMID":"25792328","author":[{"dropping-particle":"","family":"Strating","given":"Jeroen R.P.M.","non-dropping-particle":"","parse-names":false,"suffix":""}],"id":"ITEM-2","issue":"3","issued":{"date-parts":[["2015"]]},"page":"1-30","title":"ITRACONAZOLE INHIBITS ENTEROVIRUS REPLICATION BY TARGETING THE OXYSTEROL-BINDING PROTEIN","type":"article-journal","volume":"25"},"uris":["http://www.mendeley.com/documents/?uuid=02c7ec4c-fc93-404c-a402-6abc8c747415"]},{"id":"ITEM-3","itemData":{"DOI":"10.1128/JVI.03546-12","ISBN":"1098-5514 (Electronic)\\r0022-538X (Linking)","ISSN":"0022-538X","PMID":"23365445","abstract":"Enviroxime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ournal of Virology","id":"ITEM-3","issue":"8","issued":{"date-parts":[["2013"]]},"page":"4252-4260","title":"Oxysterol-Binding Protein Family I Is the Target of Minor Enviroxime-Like Compounds","type":"article-journal","volume":"87"},"uris":["http://www.mendeley.com/documents/?uuid=641d6d35-1865-4621-81e7-9210abc22b07"]},{"id":"ITEM-4","itemData":{"DOI":"10.1016/j.antiviral.2017.01.008","ISSN":"18729096","PMID":"28088354","abstract":"The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J.M.","non-dropping-particle":"van","parse-names":false,"suffix":""},{"dropping-particle":"","family":"Strating","given":"Jeroen R.P.M.","non-dropping-particle":"","parse-names":false,"suffix":""}],"container-title":"Antiviral Research","id":"ITEM-4","issued":{"date-parts":[["2017"]]},"page":"37-44","title":"Uncovering oxysterol-binding protein (OSBP) as a target of the anti-enteroviral compound TTP-8307","type":"article-journal","volume":"140"},"uris":["http://www.mendeley.com/documents/?uuid=cf662cf3-179b-47a2-b708-ee865a6768a2"]}],"mendeley":{"formattedCitation":"(46, 80, 81, 125)","plainTextFormattedCitation":"(46, 80, 81, 125)","previouslyFormattedCitation":"(46, 80, 81, 125)"},"properties":{"noteIndex":0},"schema":"https://github.com/citation-style-language/schema/raw/master/csl-citation.json"}</w:instrText>
      </w:r>
      <w:r w:rsidR="007E7C21">
        <w:fldChar w:fldCharType="separate"/>
      </w:r>
      <w:r w:rsidR="005D2ADA" w:rsidRPr="005D2ADA">
        <w:rPr>
          <w:noProof/>
        </w:rPr>
        <w:t>(46, 80, 81, 125)</w:t>
      </w:r>
      <w:r w:rsidR="007E7C21">
        <w:fldChar w:fldCharType="end"/>
      </w:r>
      <w:r w:rsidR="007E7C21">
        <w:t xml:space="preserve">.   </w:t>
      </w:r>
      <w:r>
        <w:t xml:space="preserve">    </w:t>
      </w:r>
    </w:p>
    <w:p w:rsidR="00961548" w:rsidRPr="000C47E5" w:rsidRDefault="00961548" w:rsidP="00042529">
      <w:pPr>
        <w:pStyle w:val="Heading3"/>
      </w:pPr>
      <w:bookmarkStart w:id="59" w:name="_Ref530663375"/>
      <w:bookmarkStart w:id="60" w:name="_Ref530670280"/>
      <w:bookmarkStart w:id="61" w:name="_Ref530671302"/>
      <w:bookmarkStart w:id="62" w:name="_Toc532553085"/>
      <w:r w:rsidRPr="000C47E5">
        <w:t>OSW-1</w:t>
      </w:r>
      <w:bookmarkEnd w:id="59"/>
      <w:bookmarkEnd w:id="60"/>
      <w:bookmarkEnd w:id="61"/>
      <w:bookmarkEnd w:id="62"/>
    </w:p>
    <w:p w:rsidR="00961548" w:rsidRPr="00737D20" w:rsidRDefault="00961548" w:rsidP="00FB099D">
      <w:pPr>
        <w:ind w:firstLine="720"/>
        <w:jc w:val="both"/>
        <w:rPr>
          <w:rFonts w:cstheme="minorHAnsi"/>
        </w:rPr>
      </w:pPr>
      <w:r w:rsidRPr="00737D20">
        <w:rPr>
          <w:rFonts w:cstheme="minorHAnsi"/>
        </w:rPr>
        <w:t xml:space="preserve">The </w:t>
      </w:r>
      <w:r w:rsidR="00F73B45">
        <w:rPr>
          <w:rFonts w:cstheme="minorHAnsi"/>
        </w:rPr>
        <w:t>natural product OSW-1 (</w:t>
      </w:r>
      <w:r w:rsidR="001A1E57" w:rsidRPr="001A1E57">
        <w:rPr>
          <w:rFonts w:cstheme="minorHAnsi"/>
          <w:b/>
        </w:rPr>
        <w:fldChar w:fldCharType="begin"/>
      </w:r>
      <w:r w:rsidR="001A1E57" w:rsidRPr="001A1E57">
        <w:rPr>
          <w:rFonts w:cstheme="minorHAnsi"/>
          <w:b/>
        </w:rPr>
        <w:instrText xml:space="preserve"> REF _Ref532314186 \h </w:instrText>
      </w:r>
      <w:r w:rsidR="001A1E57" w:rsidRPr="001A1E57">
        <w:rPr>
          <w:rFonts w:cstheme="minorHAnsi"/>
          <w:b/>
        </w:rPr>
      </w:r>
      <w:r w:rsidR="001A1E57" w:rsidRPr="001A1E57">
        <w:rPr>
          <w:rFonts w:cstheme="minorHAnsi"/>
          <w:b/>
        </w:rPr>
        <w:instrText xml:space="preserve"> \* MERGEFORMAT </w:instrText>
      </w:r>
      <w:r w:rsidR="001A1E57" w:rsidRPr="001A1E57">
        <w:rPr>
          <w:rFonts w:cstheme="minorHAnsi"/>
          <w:b/>
        </w:rPr>
        <w:fldChar w:fldCharType="separate"/>
      </w:r>
      <w:r w:rsidR="00E2070A" w:rsidRPr="00E2070A">
        <w:rPr>
          <w:b/>
        </w:rPr>
        <w:t xml:space="preserve">Figure </w:t>
      </w:r>
      <w:r w:rsidR="00E2070A" w:rsidRPr="00E2070A">
        <w:rPr>
          <w:b/>
          <w:noProof/>
        </w:rPr>
        <w:t>9</w:t>
      </w:r>
      <w:r w:rsidR="001A1E57" w:rsidRPr="001A1E57">
        <w:rPr>
          <w:rFonts w:cstheme="minorHAnsi"/>
          <w:b/>
        </w:rPr>
        <w:fldChar w:fldCharType="end"/>
      </w:r>
      <w:r w:rsidRPr="00737D20">
        <w:rPr>
          <w:rFonts w:cstheme="minorHAnsi"/>
        </w:rPr>
        <w:t>), (3β,16β)-3,17-Dih</w:t>
      </w:r>
      <w:r w:rsidR="00FB099D">
        <w:rPr>
          <w:rFonts w:cstheme="minorHAnsi"/>
        </w:rPr>
        <w:t>ydroxy-22-oxocholest-5-en-16-yl-</w:t>
      </w:r>
      <w:r w:rsidRPr="00737D20">
        <w:rPr>
          <w:rFonts w:cstheme="minorHAnsi"/>
        </w:rPr>
        <w:t xml:space="preserve">2-O-acetyl-3-O-[2-O-(4-methoxybenzoyl)-β-D-xylopyranosyl]-α-L-arabinopyranoside, was originally extracted from bulbs of </w:t>
      </w:r>
      <w:r w:rsidRPr="00737D20">
        <w:rPr>
          <w:rFonts w:cstheme="minorHAnsi"/>
          <w:i/>
        </w:rPr>
        <w:t xml:space="preserve">Ornithogalum saundersiae, </w:t>
      </w:r>
      <w:r w:rsidRPr="00737D20">
        <w:rPr>
          <w:rFonts w:cstheme="minorHAnsi"/>
        </w:rPr>
        <w:t>a Star-of-Bethlehem plant found in South Africa, in 1992 and was shown to have considerable activity against cyclic AMP phosphodiesterase</w:t>
      </w:r>
      <w:r w:rsidRPr="00737D20">
        <w:rPr>
          <w:rFonts w:cstheme="minorHAnsi"/>
          <w:vertAlign w:val="superscript"/>
        </w:rPr>
        <w:fldChar w:fldCharType="begin" w:fldLock="1"/>
      </w:r>
      <w:r w:rsidR="00F81397">
        <w:rPr>
          <w:rFonts w:cstheme="minorHAnsi"/>
          <w:vertAlign w:val="superscript"/>
        </w:rPr>
        <w:instrText>ADDIN CSL_CITATION {"citationItems":[{"id":"ITEM-1","itemData":{"author":[{"dropping-particle":"","family":"Kubo","given":"Satoshi","non-dropping-particle":"","parse-names":false,"suffix":""},{"dropping-particle":"","family":"Mimaki","given":"Yoshihiro","non-dropping-particle":"","parse-names":false,"suffix":""},{"dropping-particle":"","family":"Terao","given":"Miki","non-dropping-particle":"","parse-names":false,"suffix":""},{"dropping-particle":"","family":"Sashida","given":"Yutaka","non-dropping-particle":"","parse-names":false,"suffix":""}],"container-title":"Phytochemistry","id":"ITEM-1","issue":"11","issued":{"date-parts":[["1992"]]},"page":"3969-3973","title":"Acylated cholestane glycosides from the bulbs of","type":"article-journal","volume":"31"},"uris":["http://www.mendeley.com/documents/?uuid=42a00f85-b6d4-48a1-b93a-5e1e9f936a7e"]}],"mendeley":{"formattedCitation":"(126)","plainTextFormattedCitation":"(126)","previouslyFormattedCitation":"(126)"},"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(126)</w:t>
      </w:r>
      <w:r w:rsidRPr="00737D20">
        <w:rPr>
          <w:rFonts w:cstheme="minorHAnsi"/>
          <w:vertAlign w:val="superscript"/>
        </w:rPr>
        <w:fldChar w:fldCharType="end"/>
      </w:r>
      <w:r w:rsidRPr="00737D20">
        <w:rPr>
          <w:rFonts w:cstheme="minorHAnsi"/>
        </w:rPr>
        <w:t>. It was later shown that OSW-1 had significant anti-proliferative effects against various tumor derived cell lines and had a mean IC</w:t>
      </w:r>
      <w:r w:rsidRPr="00737D20">
        <w:rPr>
          <w:rFonts w:cstheme="minorHAnsi"/>
          <w:vertAlign w:val="subscript"/>
        </w:rPr>
        <w:t>50</w:t>
      </w:r>
      <w:r w:rsidRPr="00737D20">
        <w:rPr>
          <w:rFonts w:cstheme="minorHAnsi"/>
        </w:rPr>
        <w:t xml:space="preserve"> of 0.78 nM in the National Cancer Institute 60-cell </w:t>
      </w:r>
      <w:r w:rsidRPr="00737D20">
        <w:rPr>
          <w:rFonts w:cstheme="minorHAnsi"/>
          <w:i/>
        </w:rPr>
        <w:t>in vitro</w:t>
      </w:r>
      <w:r w:rsidRPr="00737D20">
        <w:rPr>
          <w:rFonts w:cstheme="minorHAnsi"/>
        </w:rPr>
        <w:t xml:space="preserve"> screen (NCI60)</w:t>
      </w:r>
      <w:r w:rsidRPr="00737D20">
        <w:rPr>
          <w:rFonts w:cstheme="minorHAnsi"/>
          <w:vertAlign w:val="superscript"/>
        </w:rPr>
        <w:fldChar w:fldCharType="begin" w:fldLock="1"/>
      </w:r>
      <w:r w:rsidR="00F81397">
        <w:rPr>
          <w:rFonts w:cstheme="minorHAnsi"/>
          <w:vertAlign w:val="superscript"/>
        </w:rPr>
        <w:instrText>ADDIN CSL_CITATION {"citationItems":[{"id":"ITEM-1","itemData":{"DOI":"10.1016/S0960-894X(97)00071-1","ISSN":"0960894X","abstract":"Five cholestane glycosides (1-5) including three new ones (3-5) with potent cytostatic activity on leukemia HL-60 cells were isolated from Ornithogalum saundersiae bulbs. Compound 1, a main constituent in the bulbs, was revealed to be exceptionally cytostatic against various malignant tumor cells and effective to mouse P388 leukemia in in vivo evaluation.","author":[{"dropping-particle":"","family":"Mimaki","given":"Yoshihiro","non-dropping-particle":"","parse-names":false,"suffix":""},{"dropping-particle":"","family":"Kuroda","given":"Minpei","non-dropping-particle":"","parse-names":false,"suffix":""},{"dropping-particle":"","family":"Kameyama","given":"Aiko","non-dropping-particle":"","parse-names":false,"suffix":""},{"dropping-particle":"","family":"Sashida","given":"Yutaka","non-dropping-particle":"","parse-names":false,"suffix":""},{"dropping-particle":"","family":"Hirano","given":"Toshiliko","non-dropping-particle":"","parse-names":false,"suffix":""},{"dropping-particle":"","family":"Oka","given":"Kitaro","non-dropping-particle":"","parse-names":false,"suffix":""},{"dropping-particle":"","family":"Maekawa","given":"Rhuji","non-dropping-particle":"","parse-names":false,"suffix":""},{"dropping-particle":"","family":"Wada","given":"Toru","non-dropping-particle":"","parse-names":false,"suffix":""},{"dropping-particle":"","family":"Sugita","given":"Kenji","non-dropping-particle":"","parse-names":false,"suffix":""},{"dropping-particle":"","family":"Beutler","given":"John A","non-dropping-particle":"","parse-names":false,"suffix":""}],"container-title":"Bioorganic and Medicinal Chemistry Letters","id":"ITEM-1","issue":"5","issued":{"date-parts":[["1997"]]},"page":"633-636","title":"Cholestane glycosides with potent cytostatic activities on various tumor cells from Ornithogalum saundersiae bulbs","type":"article-journal","volume":"7"},"uris":["http://www.mendeley.com/documents/?uuid=d55e5d3c-fc6a-4a0a-be23-f53d2a2ce132"]}],"mendeley":{"formattedCitation":"(127)","plainTextFormattedCitation":"(127)","previouslyFormattedCitation":"(127)"},"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(127)</w:t>
      </w:r>
      <w:r w:rsidRPr="00737D20">
        <w:rPr>
          <w:rFonts w:cstheme="minorHAnsi"/>
          <w:vertAlign w:val="superscript"/>
        </w:rPr>
        <w:fldChar w:fldCharType="end"/>
      </w:r>
      <w:r w:rsidRPr="00737D20">
        <w:rPr>
          <w:rFonts w:cstheme="minorHAnsi"/>
        </w:rPr>
        <w:t>. The target of OSW-1 was</w:t>
      </w:r>
      <w:r w:rsidR="0041658F">
        <w:rPr>
          <w:rFonts w:cstheme="minorHAnsi"/>
        </w:rPr>
        <w:t xml:space="preserve"> identified to be OSBP and ORP4</w:t>
      </w:r>
      <w:r w:rsidRPr="00737D20">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Pr="00737D20">
        <w:rPr>
          <w:rFonts w:cstheme="minorHAnsi"/>
          <w:vertAlign w:val="superscript"/>
        </w:rPr>
        <w:fldChar w:fldCharType="separate"/>
      </w:r>
      <w:r w:rsidR="00393368" w:rsidRPr="00393368">
        <w:rPr>
          <w:rFonts w:cstheme="minorHAnsi"/>
          <w:noProof/>
        </w:rPr>
        <w:t>(46)</w:t>
      </w:r>
      <w:r w:rsidRPr="00737D20">
        <w:rPr>
          <w:rFonts w:cstheme="minorHAnsi"/>
          <w:vertAlign w:val="superscript"/>
        </w:rPr>
        <w:fldChar w:fldCharType="end"/>
      </w:r>
      <w:r w:rsidRPr="00737D20">
        <w:rPr>
          <w:rFonts w:cstheme="minorHAnsi"/>
        </w:rPr>
        <w:t xml:space="preserve">. </w:t>
      </w:r>
      <w:r w:rsidR="0041658F">
        <w:rPr>
          <w:rFonts w:cstheme="minorHAnsi"/>
        </w:rPr>
        <w:t>OSW-1 was shown to cause proteasome dependent degradation of OSBP in a time dependent manner</w:t>
      </w:r>
      <w:r w:rsidR="0041658F">
        <w:rPr>
          <w:rFonts w:cstheme="minorHAnsi"/>
        </w:rPr>
        <w:fldChar w:fldCharType="begin" w:fldLock="1"/>
      </w:r>
      <w:r w:rsidR="00F81397">
        <w:rPr>
          <w:rFonts w:cstheme="minorHAnsi"/>
        </w:rPr>
        <w:instrText>ADDIN CSL_CITATION {"citationItems":[{"id":"ITEM-1","itemData":{"DOI":"10.1146/annurev-biochem-061516-044924","ISSN":"1545-4509","PMID":"29596003","abstract":"To maintain an asymmetric distribution of ions across membranes, protein pumps displace ions against their concentration gradient by using chemical energy. Here, we describe a functionally analogous but topologically opposite process that applies to the lipid transfer protein (LTP) oxysterolbinding protein (OSBP). This multidomain protein exchanges cholesterol for the phosphoinositide phosphatidylinositol 4-phosphate [PI(4)P] between two apposed membranes. Because of the subsequent hydrolysis of PI(4)P, this counterexchange is irreversible and contributes to the establishment of a cholesterol gradient along organelles of the secretory pathway. The facts that some natural anti-cancer molecules block OSBP and that many viruses hijack the OSBP cycle for the formation of intracellular replication organelles highlight the importance and potency of OSBP-mediated lipid exchange. The architecture of some LTPs is similar to that of OSBP, suggesting that the principles of the OSBP cycle-burning PI(4)P for the vectorial transfer of another lipid-might be general. Expected final online publication date for the Annual Review of Biochemistry Volume 87 is June 20, 2018. Please see http://www.annualreviews.org/page/journal/pubdates for revised estimates.","author":[{"dropping-particle":"","family":"Antonny","given":"Bruno","non-dropping-particle":"","parse-names":false,"suffix":""},{"dropping-particle":"","family":"Bigay","given":"Joëlle","non-dropping-particle":"","parse-names":false,"suffix":""},{"dropping-particle":"","family":"Mesmin","given":"Bruno","non-dropping-particle":"","parse-names":false,"suffix":""}],"container-title":"Annual Review of Biochemistry","id":"ITEM-1","issue":"1","issued":{"date-parts":[["2018"]]},"page":"annurev-biochem-061516-044924","title":"The Oxysterol-Binding Protein Cycle: Burning Off PI(4)P to Transport Cholesterol","type":"article-journal","volume":"87"},"uris":["http://www.mendeley.com/documents/?uuid=0a57fc08-1064-4882-9c64-4a4fc131b18a"]}],"mendeley":{"formattedCitation":"(128)","plainTextFormattedCitation":"(128)","previouslyFormattedCitation":"(128)"},"properties":{"noteIndex":0},"schema":"https://github.com/citation-style-language/schema/raw/master/csl-citation.json"}</w:instrText>
      </w:r>
      <w:r w:rsidR="0041658F">
        <w:rPr>
          <w:rFonts w:cstheme="minorHAnsi"/>
        </w:rPr>
        <w:fldChar w:fldCharType="separate"/>
      </w:r>
      <w:r w:rsidR="005D2ADA" w:rsidRPr="005D2ADA">
        <w:rPr>
          <w:rFonts w:cstheme="minorHAnsi"/>
          <w:noProof/>
        </w:rPr>
        <w:t>(128)</w:t>
      </w:r>
      <w:r w:rsidR="0041658F">
        <w:rPr>
          <w:rFonts w:cstheme="minorHAnsi"/>
        </w:rPr>
        <w:fldChar w:fldCharType="end"/>
      </w:r>
      <w:r w:rsidR="0041658F">
        <w:rPr>
          <w:rFonts w:cstheme="minorHAnsi"/>
        </w:rPr>
        <w:t>. OSW-</w:t>
      </w:r>
      <w:r w:rsidR="00507C72">
        <w:rPr>
          <w:rFonts w:cstheme="minorHAnsi"/>
        </w:rPr>
        <w:t>1 has been shown to cause</w:t>
      </w:r>
      <w:r w:rsidRPr="00737D20">
        <w:rPr>
          <w:rFonts w:cstheme="minorHAnsi"/>
        </w:rPr>
        <w:t xml:space="preserve"> disrupti</w:t>
      </w:r>
      <w:r w:rsidR="00507C72">
        <w:rPr>
          <w:rFonts w:cstheme="minorHAnsi"/>
        </w:rPr>
        <w:t>on of intracellular calcium</w:t>
      </w:r>
      <w:r w:rsidRPr="00737D20">
        <w:rPr>
          <w:rFonts w:cstheme="minorHAnsi"/>
        </w:rPr>
        <w:t xml:space="preserve"> lead</w:t>
      </w:r>
      <w:r w:rsidR="00507C72">
        <w:rPr>
          <w:rFonts w:cstheme="minorHAnsi"/>
        </w:rPr>
        <w:t>ing</w:t>
      </w:r>
      <w:r w:rsidRPr="00737D20">
        <w:rPr>
          <w:rFonts w:cstheme="minorHAnsi"/>
        </w:rPr>
        <w:t xml:space="preserve"> to mitochondria membrane disruption and calcium dependent apoptosis</w:t>
      </w:r>
      <w:r w:rsidRPr="00737D20">
        <w:rPr>
          <w:rFonts w:cstheme="minorHAnsi"/>
          <w:vertAlign w:val="superscript"/>
        </w:rPr>
        <w:fldChar w:fldCharType="begin" w:fldLock="1"/>
      </w:r>
      <w:r w:rsidR="00F81397">
        <w:rPr>
          <w:rFonts w:cstheme="minorHAnsi"/>
          <w:vertAlign w:val="superscript"/>
        </w:rPr>
        <w:instrText>ADDIN CSL_CITATION {"citationItems":[{"id":"ITEM-1","itemData":{"DOI":"10.1093/jnci/dji404","abstract":"The naturally occurring compound 3beta,16beta,17alpha-trihydroxycholest-5-en-22-one 16-O-(2-O-4-methoxybenzoyl-beta-D-xylopyranosyl)-(1--&gt;3)-(2-O-acetyl-alpha-L-arabinopyranoside) (OSW-1) is found in the bulbs of Ornithogalum saudersiae and is highly cytotoxic against tumor cell lines. Using various human cancer and nonmalignant cell lines, we investigated the anticancer activity and selectivity of OSW-1 and its underlying mechanisms of action. OSW-1 exhibited extremely potent cytotoxic activity against cancer cells in vitro. Nonmalignant cells were statistically significantly less sensitive to OSW-1 than cancer cells, with concentrations that cause a 50% loss of cell viability 40-150-fold greater than those observed in malignant cells. Electron microscopy and biochemical analyses revealed that OSW-1 damaged the mitochondrial membrane and cristae in both human leukemia and pancreatic cancer cells, leading to the loss of transmembrane potential, increase of cytosolic calcium, and activation of calcium-dependent apoptosis. Clones of leukemia cells with mitochondrial DNA defects and respiration deficiency that had adapted the ability to survive in culture without mitochondrial respiration also were resistant to OSW-1. In vitro analysis revealed that OSW-1 effectively killed primary leukemia cells from chronic lymphocytic leukemia patients with disease refractory to fludarabine. The promising anticancer activity of OSW-1 and its unique mechanism of action make this compound worthy of further investigation for its potential to overcome drug resistance.","author":[{"dropping-particle":"","family":"Zhou","given":"Yan","non-dropping-particle":"","parse-names":false,"suffix":""},{"dropping-particle":"","family":"Garcia-Prieto","given":"Celia","non-dropping-particle":"","parse-names":false,"suffix":""},{"dropping-particle":"","family":"Carney","given":"Dennis a","non-dropping-particle":"","parse-names":false,"suffix":""},{"dropping-particle":"","family":"Xu","given":"Rui-hua","non-dropping-particle":"","parse-names":false,"suffix":""},{"dropping-particle":"","family":"Pelicano","given":"Helene","non-dropping-particle":"","parse-names":false,"suffix":""},{"dropping-particle":"","family":"Kang","given":"Ying","non-dropping-particle":"","parse-names":false,"suffix":""},{"dropping-particle":"","family":"Yu","given":"Wensheng","non-dropping-particle":"","parse-names":false,"suffix":""},{"dropping-particle":"","family":"Lou","given":"Changgang","non-dropping-particle":"","parse-names":false,"suffix":""},{"dropping-particle":"","family":"Kondo","given":"Seiji","non-dropping-particle":"","parse-names":false,"suffix":""},{"dropping-particle":"","family":"Liu","given":"Jinsong","non-dropping-particle":"","parse-names":false,"suffix":""},{"dropping-particle":"","family":"Harris","given":"David M","non-dropping-particle":"","parse-names":false,"suffix":""},{"dropping-particle":"","family":"Estrov","given":"Zeev","non-dropping-particle":"","parse-names":false,"suffix":""},{"dropping-particle":"","family":"Keating","given":"Michael J","non-dropping-particle":"","parse-names":false,"suffix":""},{"dropping-particle":"","family":"Jin","given":"Zhendong","non-dropping-particle":"","parse-names":false,"suffix":""},{"dropping-particle":"","family":"Huang","given":"Peng","non-dropping-particle":"","parse-names":false,"suffix":""}],"container-title":"Journal of the National Cancer Institute","id":"ITEM-1","issue":"23","issued":{"date-parts":[["2005","12"]]},"page":"1781-5","title":"OSW-1: a natural compound with potent anticancer activity and a novel mechanism of action.","type":"article-journal","volume":"97"},"uris":["http://www.mendeley.com/documents/?uuid=6bf32f1f-90c7-4176-93a0-af0e7e51a6b1"]}],"mendeley":{"formattedCitation":"(129)","plainTextFormattedCitation":"(129)","previouslyFormattedCitation":"(129)"},"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(129)</w:t>
      </w:r>
      <w:r w:rsidRPr="00737D20">
        <w:rPr>
          <w:rFonts w:cstheme="minorHAnsi"/>
          <w:vertAlign w:val="superscript"/>
        </w:rPr>
        <w:fldChar w:fldCharType="end"/>
      </w:r>
      <w:r w:rsidRPr="00737D20">
        <w:rPr>
          <w:rFonts w:cstheme="minorHAnsi"/>
        </w:rPr>
        <w:t>. Further research has also shown that OSW-1 causes a disruption of cellular calcium homeostasis which affected the mitochondria and the survival factor GRP78 which lead to apoptosis in leukemia cells</w:t>
      </w:r>
      <w:r w:rsidRPr="00737D20">
        <w:rPr>
          <w:rFonts w:cstheme="minorHAnsi"/>
          <w:vertAlign w:val="superscript"/>
        </w:rPr>
        <w:fldChar w:fldCharType="begin" w:fldLock="1"/>
      </w:r>
      <w:r w:rsidR="00F81397">
        <w:rPr>
          <w:rFonts w:cstheme="minorHAnsi"/>
          <w:vertAlign w:val="superscript"/>
        </w:rPr>
        <w:instrText>ADDIN CSL_CITATION {"citationItems":[{"id":"ITEM-1","itemData":{"DOI":"10.1074/jbc.M112.384776","ISSN":"00219258","PMID":"23250754","abstract":"3β,16β,17α-Trihydroxycholest-5-en-22-one 16-O-(2-O-4-methoxybenzoyl-β-D-xylopyranosyl)-(1→3)-2-O-acetyl-α-L-arabinopyranoside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leukemia.","author":[{"dropping-particle":"","family":"Garcia-Prieto","given":"Celia","non-dropping-particle":"","parse-names":false,"suffix":""},{"dropping-particle":"","family":"Ahmed","given":"Kausar Begam Riaz","non-dropping-particle":"","parse-names":false,"suffix":""},{"dropping-particle":"","family":"Chen","given":"Zhao","non-dropping-particle":"","parse-names":false,"suffix":""},{"dropping-particle":"","family":"Zhou","given":"Yan","non-dropping-particle":"","parse-names":false,"suffix":""},{"dropping-particle":"","family":"Hammoudi","given":"Naima","non-dropping-particle":"","parse-names":false,"suffix":""},{"dropping-particle":"","family":"Kang","given":"Ying","non-dropping-particle":"","parse-names":false,"suffix":""},{"dropping-particle":"","family":"Lou","given":"Changgang","non-dropping-particle":"","parse-names":false,"suffix":""},{"dropping-particle":"","family":"Mei","given":"Yan","non-dropping-particle":"","parse-names":false,"suffix":""},{"dropping-particle":"","family":"Jin","given":"Zhendong","non-dropping-particle":"","parse-names":false,"suffix":""},{"dropping-particle":"","family":"Huang","given":"Peng","non-dropping-particle":"","parse-names":false,"suffix":""}],"container-title":"Journal of Biological Chemistry","id":"ITEM-1","issue":"5","issued":{"date-parts":[["2013","2","1"]]},"page":"3240-3250","title":"Effective killing of leukemia cells by the natural product OSW-1 through disruption of cellular calcium homeostasis","type":"article-journal","volume":"288"},"uris":["http://www.mendeley.com/documents/?uuid=cc0a9126-34f4-44d0-9c6a-6be26fc49bd6"]}],"mendeley":{"formattedCitation":"(130)","plainTextFormattedCitation":"(130)","previouslyFormattedCitation":"(130)"},"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(130)</w:t>
      </w:r>
      <w:r w:rsidRPr="00737D20">
        <w:rPr>
          <w:rFonts w:cstheme="minorHAnsi"/>
          <w:vertAlign w:val="superscript"/>
        </w:rPr>
        <w:fldChar w:fldCharType="end"/>
      </w:r>
      <w:r w:rsidRPr="00737D20">
        <w:rPr>
          <w:rFonts w:cstheme="minorHAnsi"/>
        </w:rPr>
        <w:t xml:space="preserve">. This mechanism of action coupled with the idea that increased ORP4L is tied to </w:t>
      </w:r>
      <w:r w:rsidRPr="00737D20">
        <w:rPr>
          <w:rFonts w:cstheme="minorHAnsi"/>
        </w:rPr>
        <w:lastRenderedPageBreak/>
        <w:t>oxidative phosphorylation through intracellular calcium signaling in T-ALL cells</w:t>
      </w:r>
      <w:r w:rsidRPr="00737D20">
        <w:rPr>
          <w:rFonts w:cstheme="minorHAnsi"/>
          <w:vertAlign w:val="superscript"/>
        </w:rPr>
        <w:fldChar w:fldCharType="begin" w:fldLock="1"/>
      </w:r>
      <w:r w:rsidR="00393368">
        <w:rPr>
          <w:rFonts w:cstheme="minorHAnsi"/>
          <w:vertAlign w:val="superscript"/>
        </w:rPr>
        <w:instrText>ADDIN CSL_CITATION {"citationItems":[{"id":"ITEM-1","itemData":{"DOI":"10.1038/ncomms12702","ISBN":"2041-1723 (Electronic) 2041-1723 (Linking)","ISSN":"20411723","PMID":"27581363","abstract":"Metabolic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CD3ɛ, Gαq/11 and PLCβ3 into a complex that activates PLCβ3. PLCβ3 catalyzes IP3 production in T-ALL as opposed to PLCγ1 in normal T-cells. Up-regulation of ORP4L thus results in a switch in the enzyme responsible for IP3-induced endoplasmic reticulum Ca(2+)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PLCβ3 activation, resulting in an increase of mitochondrial respiration for cell survival. Targeting ORP4L might represent a promising approach for T-ALL treatment.","author":[{"dropping-particle":"","family":"Zhong","given":"Wenbin","non-dropping-particle":"","parse-names":false,"suffix":""},{"dropping-particle":"","family":"Yi","given":"Qing","non-dropping-particle":"","parse-names":false,"suffix":""},{"dropping-particle":"","family":"Xu","given":"Bing","non-dropping-particle":"","parse-names":false,"suffix":""},{"dropping-particle":"","family":"Li","given":"Shiqian","non-dropping-particle":"","parse-names":false,"suffix":""},{"dropping-particle":"","family":"Wang","given":"Tong","non-dropping-particle":"","parse-names":false,"suffix":""},{"dropping-particle":"","family":"Liu","given":"Fupei","non-dropping-particle":"","parse-names":false,"suffix":""},{"dropping-particle":"","family":"Zhu","given":"Biying","non-dropping-particle":"","parse-names":false,"suffix":""},{"dropping-particle":"","family":"Hoffmann","given":"Peter R.","non-dropping-particle":"","parse-names":false,"suffix":""},{"dropping-particle":"","family":"Ji","given":"Guangju","non-dropping-particle":"","parse-names":false,"suffix":""},{"dropping-particle":"","family":"Lei","given":"Pingsheng","non-dropping-particle":"","parse-names":false,"suffix":""},{"dropping-particle":"","family":"Li","given":"Guoping","non-dropping-particle":"","parse-names":false,"suffix":""},{"dropping-particle":"","family":"Li","given":"Jiwei","non-dropping-particle":"","parse-names":false,"suffix":""},{"dropping-particle":"","family":"Li","given":"Jian","non-dropping-particle":"","parse-names":false,"suffix":""},{"dropping-particle":"","family":"Olkkonen","given":"Vesa M.","non-dropping-particle":"","parse-names":false,"suffix":""},{"dropping-particle":"","family":"Yan","given":"Daoguang","non-dropping-particle":"","parse-names":false,"suffix":""}],"container-title":"Nature Communications","id":"ITEM-1","issued":{"date-parts":[["2016"]]},"page":"1-14","publisher":"Nature Publishing Group","title":"ORP4L is essential for T-cell acute lymphoblastic leukemia cell survival","type":"article-journal","volume":"7"},"uris":["http://www.mendeley.com/documents/?uuid=4b829fa5-078a-4bb6-b33f-741001f11c41"]}],"mendeley":{"formattedCitation":"(54)","plainTextFormattedCitation":"(54)","previouslyFormattedCitation":"(54)"},"properties":{"noteIndex":0},"schema":"https://github.com/citation-style-language/schema/raw/master/csl-citation.json"}</w:instrText>
      </w:r>
      <w:r w:rsidRPr="00737D20">
        <w:rPr>
          <w:rFonts w:cstheme="minorHAnsi"/>
          <w:vertAlign w:val="superscript"/>
        </w:rPr>
        <w:fldChar w:fldCharType="separate"/>
      </w:r>
      <w:r w:rsidR="00393368" w:rsidRPr="00393368">
        <w:rPr>
          <w:rFonts w:cstheme="minorHAnsi"/>
          <w:noProof/>
        </w:rPr>
        <w:t>(54)</w:t>
      </w:r>
      <w:r w:rsidRPr="00737D20">
        <w:rPr>
          <w:rFonts w:cstheme="minorHAnsi"/>
          <w:vertAlign w:val="superscript"/>
        </w:rPr>
        <w:fldChar w:fldCharType="end"/>
      </w:r>
      <w:r w:rsidRPr="00737D20">
        <w:rPr>
          <w:rFonts w:cstheme="minorHAnsi"/>
        </w:rPr>
        <w:t xml:space="preserve"> suggests that ORP4 is the anticancer target of OSW-1.</w:t>
      </w:r>
    </w:p>
    <w:p w:rsidR="00F73B45" w:rsidRDefault="00961548" w:rsidP="00FB099D">
      <w:pPr>
        <w:ind w:firstLine="720"/>
        <w:jc w:val="both"/>
        <w:rPr>
          <w:rFonts w:cstheme="minorHAnsi"/>
        </w:rPr>
      </w:pPr>
      <w:r w:rsidRPr="00737D20">
        <w:rPr>
          <w:rFonts w:cstheme="minorHAnsi"/>
        </w:rPr>
        <w:t>OSW-1 has been shown to</w:t>
      </w:r>
      <w:r w:rsidR="00507C72">
        <w:rPr>
          <w:rFonts w:cstheme="minorHAnsi"/>
        </w:rPr>
        <w:t xml:space="preserve"> have antiviral activity</w:t>
      </w:r>
      <w:r w:rsidR="00507C72">
        <w:rPr>
          <w:rFonts w:cstheme="minorHAnsi"/>
        </w:rPr>
        <w:fldChar w:fldCharType="begin" w:fldLock="1"/>
      </w:r>
      <w:r w:rsidR="00D8382E">
        <w:rPr>
          <w:rFonts w:cstheme="minorHAnsi"/>
        </w:rPr>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id":"ITEM-2","itemData":{"DOI":"10.1016/j.antiviral.2015.02.013","ISSN":"01663542","author":[{"dropping-particle":"","family":"Albulescu","given":"Lucian","non-dropping-particle":"","parse-names":false,"suffix":""},{"dropping-particle":"","family":"Strating","given":"Jeroen R.P.M.","non-dropping-particle":"","parse-names":false,"suffix":""},{"dropping-particle":"","family":"Thibaut","given":"Hendrik Jan","non-dropping-particle":"","parse-names":false,"suffix":""},{"dropping-particle":"Van Der","family":"Linden","given":"Lonneke","non-dropping-particle":"","parse-names":false,"suffix":""},{"dropping-particle":"","family":"Shair","given":"Matthew D.","non-dropping-particle":"","parse-names":false,"suffix":""},{"dropping-particle":"","family":"Neyts","given":"Johan","non-dropping-particle":"","parse-names":false,"suffix":""},{"dropping-particle":"","family":"Kuppeveld","given":"Frank J.M.","non-dropping-particle":"van","parse-names":false,"suffix":""}],"container-title":"Antiviral Research","id":"ITEM-2","issued":{"date-parts":[["2015"]]},"page":"110-114","publisher":"Elsevier B.V.","title":"Broad-range inhibition of enterovirus replication by OSW-1, a natural compound targeting OSBP","type":"article-journal","volume":"117"},"uris":["http://www.mendeley.com/documents/?uuid=a8e5b343-7cc9-4cc8-aca5-d1dc4c99b364"]}],"mendeley":{"formattedCitation":"(81, 82)","plainTextFormattedCitation":"(81, 82)","previouslyFormattedCitation":"(81, 82)"},"properties":{"noteIndex":0},"schema":"https://github.com/citation-style-language/schema/raw/master/csl-citation.json"}</w:instrText>
      </w:r>
      <w:r w:rsidR="00507C72">
        <w:rPr>
          <w:rFonts w:cstheme="minorHAnsi"/>
        </w:rPr>
        <w:fldChar w:fldCharType="separate"/>
      </w:r>
      <w:r w:rsidR="00507C72" w:rsidRPr="00507C72">
        <w:rPr>
          <w:rFonts w:cstheme="minorHAnsi"/>
          <w:noProof/>
        </w:rPr>
        <w:t>(81, 82)</w:t>
      </w:r>
      <w:r w:rsidR="00507C72">
        <w:rPr>
          <w:rFonts w:cstheme="minorHAnsi"/>
        </w:rPr>
        <w:fldChar w:fldCharType="end"/>
      </w:r>
      <w:r w:rsidRPr="00737D20">
        <w:rPr>
          <w:rFonts w:cstheme="minorHAnsi"/>
        </w:rPr>
        <w:t>. OSW-1 was first shown to have antiviral activity against HCV due to the disruption of OSBP function and the resulting loss of cholesterol to ROs</w:t>
      </w:r>
      <w:r w:rsidRPr="00737D20">
        <w:rPr>
          <w:rFonts w:cstheme="minorHAnsi"/>
          <w:vertAlign w:val="superscript"/>
        </w:rPr>
        <w:fldChar w:fldCharType="begin" w:fldLock="1"/>
      </w:r>
      <w:r w:rsidR="0078225D">
        <w:rPr>
          <w:rFonts w:cstheme="minorHAnsi"/>
          <w:vertAlign w:val="superscript"/>
        </w:rPr>
        <w:instrText>ADDIN CSL_CITATION {"citationItems":[{"id":"ITEM-1","itemData":{"DOI":"10.1053/j.gastro.2014.02.002","ISBN":"2122633255","ISSN":"15280012","PMID":"24512803","abstract":"Background &amp; Aims Positive-sense RNA viruses remodel intracellular membranes to generate specialized membrane compartments for viral replication. Several RNA viruses, including poliovirus and hepatitis C virus (HCV), require phosphatidylinositol (PI) 4-kinases for their replication. However, it is not known how PI 4-kinases and their product, PI(4)P, facilitate host membrane reorganization and viral replication. In addition, although the HCV replication compartment, known as the membranous web, is believed to be cholesterol enriched, the mechanisms by which this occurs have not been elucidated. We aimed to identify and characterize a PI 4-kinase effector in HCV replication. Methods We used a combination of microscopic and biochemical methods to study HCV replication, web morphology, the distribution of intracellular protein and PI(4)P, along with cholesterol trafficking in HCV-infected cells. PI 4-kinase and oxysterol-binding protein (OSBP) were inhibited using RNA interference or small molecules in cells expressing a full-length genotype 1b replicon or infected with the JFH-1 strain of HCV. Results OSBP was required for HCV replication and membranous web integrity. OSBP was recruited to membranous webs in a PI 4-kinase-dependent manner, and both these factors were found to regulate cholesterol trafficking to the web. We also found OSBP to be required for poliovirus infection but dispensable for dengue virus. Conclusions OSBP is a PI 4-kinase effector in HCV infection, and contributes to the integrity and cholesterol enrichment of the membranous web. OSBP might also be a PI 4-kinase effector in poliovirus infection and could be involved in replication of other viruses that require PI 4-kinases.","author":[{"dropping-particle":"","family":"Wang","given":"Hongliang","non-dropping-particle":"","parse-names":false,"suffix":""},{"dropping-particle":"","family":"Perry","given":"Jeffrey W.","non-dropping-particle":"","parse-names":false,"suffix":""},{"dropping-particle":"","family":"Lauring","given":"Adam S.","non-dropping-particle":"","parse-names":false,"suffix":""},{"dropping-particle":"","family":"Neddermann","given":"Petra","non-dropping-particle":"","parse-names":false,"suffix":""},{"dropping-particle":"","family":"Francesco","given":"Raffaele","non-dropping-particle":"De","parse-names":false,"suffix":""},{"dropping-particle":"","family":"Tai","given":"Andrew W.","non-dropping-particle":"","parse-names":false,"suffix":""}],"container-title":"Gastroenterology","id":"ITEM-1","issue":"5","issued":{"date-parts":[["2014"]]},"page":"1373-1385.e11","publisher":"Elsevier, Inc","title":"Oxysterol-binding protein is a phosphatidylinositol 4-kinase effector required for HCV replication membrane integrity and cholesterol trafficking","type":"article-journal","volume":"146"},"uris":["http://www.mendeley.com/documents/?uuid=c4965c5f-4035-445e-b032-522e4220235b"]}],"mendeley":{"formattedCitation":"(92)","plainTextFormattedCitation":"(92)","previouslyFormattedCitation":"(92)"},"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(92)</w:t>
      </w:r>
      <w:r w:rsidRPr="00737D20">
        <w:rPr>
          <w:rFonts w:cstheme="minorHAnsi"/>
          <w:vertAlign w:val="superscript"/>
        </w:rPr>
        <w:fldChar w:fldCharType="end"/>
      </w:r>
      <w:r w:rsidRPr="00737D20">
        <w:rPr>
          <w:rFonts w:cstheme="minorHAnsi"/>
        </w:rPr>
        <w:t xml:space="preserve">. It has also been shown to be a broad spectrum antiviral against </w:t>
      </w:r>
      <w:r w:rsidRPr="00737D20">
        <w:rPr>
          <w:rFonts w:cstheme="minorHAnsi"/>
          <w:i/>
        </w:rPr>
        <w:t xml:space="preserve">Enteroviruses </w:t>
      </w:r>
      <w:r w:rsidRPr="00737D20">
        <w:rPr>
          <w:rFonts w:cstheme="minorHAnsi"/>
        </w:rPr>
        <w:t>through the disruption of OSBP shuttling cholesterol to ROs which affected genome replication of the viruses</w:t>
      </w:r>
      <w:r w:rsidRPr="00737D20">
        <w:rPr>
          <w:rFonts w:cstheme="minorHAnsi"/>
          <w:vertAlign w:val="superscript"/>
        </w:rPr>
        <w:fldChar w:fldCharType="begin" w:fldLock="1"/>
      </w:r>
      <w:r w:rsidR="0078225D">
        <w:rPr>
          <w:rFonts w:cstheme="minorHAnsi"/>
          <w:vertAlign w:val="superscript"/>
        </w:rPr>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id":"ITEM-2","itemData":{"DOI":"10.1016/j.antiviral.2015.02.013","ISSN":"01663542","author":[{"dropping-particle":"","family":"Albulescu","given":"Lucian","non-dropping-particle":"","parse-names":false,"suffix":""},{"dropping-particle":"","family":"Strating","given":"Jeroen R.P.M.","non-dropping-particle":"","parse-names":false,"suffix":""},{"dropping-particle":"","family":"Thibaut","given":"Hendrik Jan","non-dropping-particle":"","parse-names":false,"suffix":""},{"dropping-particle":"Van Der","family":"Linden","given":"Lonneke","non-dropping-particle":"","parse-names":false,"suffix":""},{"dropping-particle":"","family":"Shair","given":"Matthew D.","non-dropping-particle":"","parse-names":false,"suffix":""},{"dropping-particle":"","family":"Neyts","given":"Johan","non-dropping-particle":"","parse-names":false,"suffix":""},{"dropping-particle":"","family":"Kuppeveld","given":"Frank J.M.","non-dropping-particle":"van","parse-names":false,"suffix":""}],"container-title":"Antiviral Research","id":"ITEM-2","issued":{"date-parts":[["2015"]]},"page":"110-114","publisher":"Elsevier B.V.","title":"Broad-range inhibition of enterovirus replication by OSW-1, a natural compound targeting OSBP","type":"article-journal","volume":"117"},"uris":["http://www.mendeley.com/documents/?uuid=a8e5b343-7cc9-4cc8-aca5-d1dc4c99b364"]}],"mendeley":{"formattedCitation":"(81, 82)","plainTextFormattedCitation":"(81, 82)","previouslyFormattedCitation":"(81, 82)"},"properties":{"noteIndex":0},"schema":"https://github.com/citation-style-language/schema/raw/master/csl-citation.json"}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(81, 82)</w:t>
      </w:r>
      <w:r w:rsidRPr="00737D20">
        <w:rPr>
          <w:rFonts w:cstheme="minorHAnsi"/>
          <w:vertAlign w:val="superscript"/>
        </w:rPr>
        <w:fldChar w:fldCharType="end"/>
      </w:r>
      <w:r w:rsidRPr="00737D20">
        <w:rPr>
          <w:rFonts w:cstheme="minorHAnsi"/>
        </w:rPr>
        <w:t>. OSW-1 treatment was also recently shown to reduce DV replication presumably through the disruption of cellular cholesterol homeostasis due to impaired OSBP function</w:t>
      </w:r>
      <w:r w:rsidRPr="00737D20">
        <w:rPr>
          <w:rFonts w:cstheme="minorHAnsi"/>
          <w:vertAlign w:val="superscript"/>
        </w:rPr>
        <w:fldChar w:fldCharType="begin" w:fldLock="1"/>
      </w:r>
      <w:r w:rsidR="0078225D">
        <w:rPr>
          <w:rFonts w:cstheme="minorHAnsi"/>
          <w:vertAlign w:val="superscript"/>
        </w:rPr>
        <w:instrText>ADDIN CSL_CITATION {"citationItems":[{"id":"ITEM-1","itemData":{"DOI":"10.1016/j.antiviral.2018.06.017","ISSN":"18729096","PMID":"29981375","abstract":"Dengue virus (DENV) is associated with an estimated 390 million infections per year, occurring across approximately 100 countries in tropical and sub-tropical regions. To date, there are no antiviral drugs or specific therapies to treat DENV infection. Posaconazole and itraconazole are potent antifungal drugs that inhibit ergosterol biosynthesis in fungal cells, but also target a number of human proteins. Here, we show that itraconazole and posaconazole have antiviral activity against DENV. Posaconazole inhibited replication of multiple serotypes of DENV and the related flavivirus Zika virus, and reduced viral RNA replication, but not translation of the viral genome. We used a combination of knockdown and drug sensitization assays to define the molecular target of posaconazole that mediates its antiviral activity. We found that knockdown of oxysterol-binding protein (OSBP) inhibited DENV replication. Moreover, knockdown of OSBP, but not other known targets of posaconazole, enhanced the inhibitory effect of posaconazole. Our findings imply OSBP as a potential target for the development of antiviral compounds against DENV.","author":[{"dropping-particle":"","family":"Meutiawati","given":"Febrina","non-dropping-particle":"","parse-names":false,"suffix":""},{"dropping-particle":"","family":"Bezemer","given":"Bodine","non-dropping-particle":"","parse-names":false,"suffix":""},{"dropping-particle":"","family":"Strating","given":"Jeroen R.P.M.","non-dropping-particle":"","parse-names":false,"suffix":""},{"dropping-particle":"","family":"Overheul","given":"Gijs J.","non-dropping-particle":"","parse-names":false,"suffix":""},{"dropping-particle":"","family":"Žusinaite","given":"Eva","non-dropping-particle":"","parse-names":false,"suffix":""},{"dropping-particle":"","family":"Kuppeveld","given":"Frank J.M.","non-dropping-particle":"van","parse-names":false,"suffix":""},{"dropping-particle":"","family":"Cleef","given":"Koen W.R.","non-dropping-particle":"van","parse-names":false,"suffix":""},{"dropping-particle":"","family":"Rij","given":"Ronald P.","non-dropping-particle":"van","parse-names":false,"suffix":""}],"container-title":"Antiviral Research","id":"ITEM-1","issue":"July","issued":{"date-parts":[["2018"]]},"page":"68-79","title":"Posaconazole inhibits dengue virus replication by targeting oxysterol-binding protein","type":"article-journal","volume":"157"},"uris":["http://www.mendeley.com/documents/?uuid=5ba0eafa-a20d-44b1-b512-8af03bc16827"]}],"mendeley":{"formattedCitation":"(84)","plainTextFormattedCitation":"(84)","previouslyFormattedCitation":"(84)"},"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(84)</w:t>
      </w:r>
      <w:r w:rsidRPr="00737D20">
        <w:rPr>
          <w:rFonts w:cstheme="minorHAnsi"/>
          <w:vertAlign w:val="superscript"/>
        </w:rPr>
        <w:fldChar w:fldCharType="end"/>
      </w:r>
      <w:r w:rsidRPr="00737D20">
        <w:rPr>
          <w:rFonts w:cstheme="minorHAnsi"/>
        </w:rPr>
        <w:t>. These findings suggest that OSBP is the antiviral target of OSW-1, while the anti-cancer target is ORP4.</w:t>
      </w:r>
    </w:p>
    <w:p w:rsidR="00C90A08" w:rsidRDefault="00C90A08" w:rsidP="00C90A08">
      <w:pPr>
        <w:keepNext/>
        <w:jc w:val="both"/>
      </w:pPr>
      <w:r w:rsidRPr="00C90A08">
        <w:rPr>
          <w:noProof/>
          <w:lang w:bidi="ar-SA"/>
        </w:rPr>
        <w:drawing>
          <wp:inline distT="0" distB="0" distL="0" distR="0" wp14:anchorId="74627CEF" wp14:editId="015FC5CE">
            <wp:extent cx="5394960" cy="2766646"/>
            <wp:effectExtent l="19050" t="19050" r="15240" b="152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2766646"/>
                    </a:xfrm>
                    <a:prstGeom prst="rect">
                      <a:avLst/>
                    </a:prstGeom>
                    <a:noFill/>
                    <a:ln>
                      <a:solidFill>
                        <a:schemeClr val="tx1"/>
                      </a:solidFill>
                    </a:ln>
                  </pic:spPr>
                </pic:pic>
              </a:graphicData>
            </a:graphic>
          </wp:inline>
        </w:drawing>
      </w:r>
    </w:p>
    <w:p w:rsidR="00F73B45" w:rsidRDefault="00C90A08" w:rsidP="00C90A08">
      <w:pPr>
        <w:pStyle w:val="Caption"/>
        <w:jc w:val="both"/>
      </w:pPr>
      <w:bookmarkStart w:id="63" w:name="_Ref532314186"/>
      <w:bookmarkStart w:id="64" w:name="_Toc530673934"/>
      <w:r>
        <w:t xml:space="preserve">Figure </w:t>
      </w:r>
      <w:fldSimple w:instr=" SEQ Figure \* ARABIC ">
        <w:r w:rsidR="00E2070A">
          <w:rPr>
            <w:noProof/>
          </w:rPr>
          <w:t>9</w:t>
        </w:r>
      </w:fldSimple>
      <w:bookmarkEnd w:id="63"/>
      <w:r>
        <w:t>:</w:t>
      </w:r>
      <w:r w:rsidRPr="00C90A08">
        <w:t xml:space="preserve"> </w:t>
      </w:r>
      <w:r>
        <w:t>Structure of OSW-1</w:t>
      </w:r>
      <w:bookmarkEnd w:id="64"/>
    </w:p>
    <w:p w:rsidR="00961548" w:rsidRPr="00737D20" w:rsidRDefault="00961548" w:rsidP="00FB099D">
      <w:pPr>
        <w:jc w:val="both"/>
        <w:rPr>
          <w:rFonts w:cstheme="minorHAnsi"/>
        </w:rPr>
      </w:pPr>
    </w:p>
    <w:p w:rsidR="00961548" w:rsidRPr="000C47E5" w:rsidRDefault="00961548" w:rsidP="00042529">
      <w:pPr>
        <w:pStyle w:val="Heading3"/>
      </w:pPr>
      <w:bookmarkStart w:id="65" w:name="_Ref530756951"/>
      <w:bookmarkStart w:id="66" w:name="_Toc532553086"/>
      <w:r w:rsidRPr="000C47E5">
        <w:t>Schweinfurthins</w:t>
      </w:r>
      <w:bookmarkEnd w:id="65"/>
      <w:bookmarkEnd w:id="66"/>
    </w:p>
    <w:p w:rsidR="00961548" w:rsidRDefault="00961548" w:rsidP="00FB099D">
      <w:pPr>
        <w:ind w:firstLine="720"/>
        <w:jc w:val="both"/>
        <w:rPr>
          <w:rFonts w:cstheme="minorHAnsi"/>
        </w:rPr>
      </w:pPr>
      <w:r w:rsidRPr="00737D20">
        <w:rPr>
          <w:rFonts w:cstheme="minorHAnsi"/>
        </w:rPr>
        <w:t xml:space="preserve">Schweinfurthins (A-C) were originally isolated from </w:t>
      </w:r>
      <w:r w:rsidRPr="00737D20">
        <w:rPr>
          <w:rFonts w:cstheme="minorHAnsi"/>
          <w:i/>
        </w:rPr>
        <w:t>Macaranga schweinfurthii</w:t>
      </w:r>
      <w:r w:rsidRPr="00737D20">
        <w:rPr>
          <w:rFonts w:cstheme="minorHAnsi"/>
        </w:rPr>
        <w:t>, a flowering tree in the spurge family found in Cameroon, in 1998 and A</w:t>
      </w:r>
      <w:r w:rsidR="00F73B45">
        <w:rPr>
          <w:rFonts w:cstheme="minorHAnsi"/>
        </w:rPr>
        <w:t xml:space="preserve"> (</w:t>
      </w:r>
      <w:r w:rsidR="00F73B45" w:rsidRPr="00FB099D">
        <w:rPr>
          <w:rFonts w:cstheme="minorHAnsi"/>
          <w:b/>
        </w:rPr>
        <w:fldChar w:fldCharType="begin"/>
      </w:r>
      <w:r w:rsidR="00F73B45" w:rsidRPr="00FB099D">
        <w:rPr>
          <w:rFonts w:cstheme="minorHAnsi"/>
          <w:b/>
        </w:rPr>
        <w:instrText xml:space="preserve"> REF _Ref530241503 \h </w:instrText>
      </w:r>
      <w:r w:rsidR="001B3703" w:rsidRPr="00FB099D">
        <w:rPr>
          <w:rFonts w:cstheme="minorHAnsi"/>
          <w:b/>
        </w:rPr>
        <w:instrText xml:space="preserve"> \* MERGEFORMAT </w:instrText>
      </w:r>
      <w:r w:rsidR="00F73B45" w:rsidRPr="00FB099D">
        <w:rPr>
          <w:rFonts w:cstheme="minorHAnsi"/>
          <w:b/>
        </w:rPr>
      </w:r>
      <w:r w:rsidR="00F73B45" w:rsidRPr="00FB099D">
        <w:rPr>
          <w:rFonts w:cstheme="minorHAnsi"/>
          <w:b/>
        </w:rPr>
        <w:fldChar w:fldCharType="separate"/>
      </w:r>
      <w:r w:rsidR="00E2070A" w:rsidRPr="00E2070A">
        <w:rPr>
          <w:b/>
        </w:rPr>
        <w:t xml:space="preserve">Figure </w:t>
      </w:r>
      <w:r w:rsidR="00E2070A" w:rsidRPr="00E2070A">
        <w:rPr>
          <w:b/>
          <w:noProof/>
        </w:rPr>
        <w:t>10</w:t>
      </w:r>
      <w:r w:rsidR="00F73B45" w:rsidRPr="00FB099D">
        <w:rPr>
          <w:rFonts w:cstheme="minorHAnsi"/>
          <w:b/>
        </w:rPr>
        <w:fldChar w:fldCharType="end"/>
      </w:r>
      <w:r w:rsidR="00F73B45">
        <w:rPr>
          <w:rFonts w:cstheme="minorHAnsi"/>
        </w:rPr>
        <w:t>)</w:t>
      </w:r>
      <w:r w:rsidRPr="00737D20">
        <w:rPr>
          <w:rFonts w:cstheme="minorHAnsi"/>
        </w:rPr>
        <w:t xml:space="preserve"> and B were </w:t>
      </w:r>
      <w:r w:rsidRPr="00737D20">
        <w:rPr>
          <w:rFonts w:cstheme="minorHAnsi"/>
        </w:rPr>
        <w:lastRenderedPageBreak/>
        <w:t>shown to have cytotoxic activity with a mean NCI60 IC</w:t>
      </w:r>
      <w:r w:rsidRPr="00737D20">
        <w:rPr>
          <w:rFonts w:cstheme="minorHAnsi"/>
          <w:vertAlign w:val="subscript"/>
        </w:rPr>
        <w:t xml:space="preserve">50 </w:t>
      </w:r>
      <w:r w:rsidRPr="00737D20">
        <w:rPr>
          <w:rFonts w:cstheme="minorHAnsi"/>
        </w:rPr>
        <w:t>value of 360 nM and 810 nM respectively</w:t>
      </w:r>
      <w:r w:rsidRPr="00737D20">
        <w:rPr>
          <w:rFonts w:cstheme="minorHAnsi"/>
          <w:vertAlign w:val="superscript"/>
        </w:rPr>
        <w:fldChar w:fldCharType="begin" w:fldLock="1"/>
      </w:r>
      <w:r w:rsidR="00F81397">
        <w:rPr>
          <w:rFonts w:cstheme="minorHAnsi"/>
          <w:vertAlign w:val="superscript"/>
        </w:rPr>
        <w:instrText>ADDIN CSL_CITATION {"citationItems":[{"id":"ITEM-1","itemData":{"DOI":"10.1021/np980208m","ISBN":"1545-9985 (Electronic)\\r1545-9985 (Linking)","ISSN":"01633864","PMID":"20154707","abstract":"Munc13 is a multidomain protein present in presynaptic active zones that mediates the priming and plasticity of synaptic vesicle exocytosis, but the mechanisms involved remain unclear. Here we use biophysical, biochemical and electrophysiological approaches to show that the central C(2)B domain of Munc13 functions as a Ca(2+) regulator of short-term synaptic plasticity. The crystal structure of the C(2)B domain revealed an unusual Ca(2+)-binding site with an amphipathic alpha-helix. This configuration confers onto the C(2)B domain unique Ca(2+)-dependent phospholipid-binding properties that favor phosphatidylinositolphosphates. A mutation that inactivated Ca(2+)-dependent phospholipid binding to the C(2)B domain did not alter neurotransmitter release evoked by isolated action potentials, but it did depress release evoked by action-potential trains. In contrast, a mutation that increased Ca(2+)-dependent phosphatidylinositolbisphosphate binding to the C(2)B domain enhanced release evoked by isolated action potentials and by action-potential trains. Our data suggest that, during repeated action potentials, Ca(2+) and phosphatidylinositolphosphate binding to the Munc13 C(2)B domain potentiate synaptic vesicle exocytosis, thereby offsetting synaptic depression induced by vesicle depletion.","author":[{"dropping-particle":"","family":"Beutler","given":"J. A.","non-dropping-particle":"","parse-names":false,"suffix":""},{"dropping-particle":"","family":"Shoemaker","given":"R. H.","non-dropping-particle":"","parse-names":false,"suffix":""},{"dropping-particle":"","family":"Johnson","given":"T.","non-dropping-particle":"","parse-names":false,"suffix":""},{"dropping-particle":"","family":"Boyd","given":"M. R.","non-dropping-particle":"","parse-names":false,"suffix":""}],"container-title":"Journal of Natural Products","id":"ITEM-1","issue":"12","issued":{"date-parts":[["1998"]]},"page":"1509-1512","title":"Cytotoxic geranyl stilbenes from Macaranga schweinfurthii","type":"article-journal","volume":"61"},"uris":["http://www.mendeley.com/documents/?uuid=2cb67a97-4316-4bab-b22d-4ac853c71f2c"]}],"mendeley":{"formattedCitation":"(131)","plainTextFormattedCitation":"(131)","previouslyFormattedCitation":"(131)"},"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(131)</w:t>
      </w:r>
      <w:r w:rsidRPr="00737D20">
        <w:rPr>
          <w:rFonts w:cstheme="minorHAnsi"/>
          <w:vertAlign w:val="superscript"/>
        </w:rPr>
        <w:fldChar w:fldCharType="end"/>
      </w:r>
      <w:r w:rsidRPr="00737D20">
        <w:rPr>
          <w:rFonts w:cstheme="minorHAnsi"/>
        </w:rPr>
        <w:t xml:space="preserve">. Further isolations from </w:t>
      </w:r>
      <w:r w:rsidRPr="00737D20">
        <w:rPr>
          <w:rFonts w:cstheme="minorHAnsi"/>
          <w:i/>
        </w:rPr>
        <w:t xml:space="preserve">M. schweinfurthii </w:t>
      </w:r>
      <w:r w:rsidRPr="00737D20">
        <w:rPr>
          <w:rFonts w:cstheme="minorHAnsi"/>
        </w:rPr>
        <w:t xml:space="preserve">revealed Schweinfurthin (D, I, and J) while isolations from two other species in the </w:t>
      </w:r>
      <w:r w:rsidRPr="00737D20">
        <w:rPr>
          <w:rFonts w:cstheme="minorHAnsi"/>
          <w:i/>
        </w:rPr>
        <w:t>Macaranga</w:t>
      </w:r>
      <w:r w:rsidRPr="00737D20">
        <w:rPr>
          <w:rFonts w:cstheme="minorHAnsi"/>
        </w:rPr>
        <w:t xml:space="preserve"> genus yielded 11 other Schweinfurthins lettered to Q with Schweinfurthin F having the lowest mean NCI60 IC</w:t>
      </w:r>
      <w:r w:rsidRPr="00737D20">
        <w:rPr>
          <w:rFonts w:cstheme="minorHAnsi"/>
          <w:vertAlign w:val="subscript"/>
        </w:rPr>
        <w:t xml:space="preserve">50 </w:t>
      </w:r>
      <w:r w:rsidRPr="00737D20">
        <w:rPr>
          <w:rFonts w:cstheme="minorHAnsi"/>
        </w:rPr>
        <w:t>value of 130 nM</w:t>
      </w:r>
      <w:r w:rsidRPr="00737D20">
        <w:rPr>
          <w:rFonts w:cstheme="minorHAnsi"/>
          <w:vertAlign w:val="superscript"/>
        </w:rPr>
        <w:fldChar w:fldCharType="begin" w:fldLock="1"/>
      </w:r>
      <w:r w:rsidR="00F81397">
        <w:rPr>
          <w:rFonts w:cstheme="minorHAnsi"/>
          <w:vertAlign w:val="superscript"/>
        </w:rPr>
        <w:instrText>ADDIN CSL_CITATION {"citationItems":[{"id":"ITEM-1","itemData":{"DOI":"10.1080/10575630008043774","ISSN":"10575634","abstract":"A novel cytotoxic stilbene, schweinfurthin D, was isolated from Macaranga schweinfurthii (Euphorbiaceae) and its structure was determined by spectroscopic methods. Schweinfurthin D showed comparable potency to schweinfurthin B.","author":[{"dropping-particle":"","family":"Beutler","given":"John A.","non-dropping-particle":"","parse-names":false,"suffix":""},{"dropping-particle":"","family":"Jato","given":"Johnson","non-dropping-particle":"","parse-names":false,"suffix":""},{"dropping-particle":"","family":"Cragg","given":"Gordon M.","non-dropping-particle":"","parse-names":false,"suffix":""},{"dropping-particle":"","family":"Boyd","given":"Michael R.","non-dropping-particle":"","parse-names":false,"suffix":""}],"container-title":"Natural Product Letters","id":"ITEM-1","issue":"5","issued":{"date-parts":[["2000","9"]]},"page":"399-404","title":"Schweinfurthin D, a cytotoxic stilbene from Macaranga schweinfurthii","type":"article-journal","volume":"14"},"uris":["http://www.mendeley.com/documents/?uuid=1ae01f88-fd4b-31e0-a10b-aab8665ba35a"]},{"id":"ITEM-2","itemData":{"DOI":"10.1021/np9006348","ISBN":"1520-6025","ISSN":"01633864","PMID":"20000454","abstract":"Demand for the experimental antineoplastic agent schweinfurthin A, for developmental testing, prompted a re-collection of leaf material of Macaranga schweinfurthii from the original collection site in Cameroon. During chromatographic purification of the organic solvent extract, analytical UPLC-PDA-TOFMS of stilbene-enriched fractions revealed the presence of six known schweinfurthins and two previously unknown stilbenes. The structures of these new compounds, schweinfurthins I and J (1 and 2), were elucidated by 1D- and 2D-NMR techniques.","author":[{"dropping-particle":"","family":"Klausmeyer","given":"Paul","non-dropping-particle":"","parse-names":false,"suffix":""},{"dropping-particle":"","family":"Que","given":"N.","non-dropping-particle":"Van","parse-names":false,"suffix":""},{"dropping-particle":"","family":"Jato","given":"Johnson","non-dropping-particle":"","parse-names":false,"suffix":""},{"dropping-particle":"","family":"McCloud","given":"Thomas G.","non-dropping-particle":"","parse-names":false,"suffix":""},{"dropping-particle":"","family":"Beutler","given":"John A.","non-dropping-particle":"","parse-names":false,"suffix":""}],"container-title":"Journal of Natural Products","id":"ITEM-2","issue":"3","issued":{"date-parts":[["2010"]]},"page":"479-481","title":"Schweinfurthins I and J from Macaranga schweinfurthii","type":"article-journal","volume":"73"},"uris":["http://www.mendeley.com/documents/?uuid=b4fcb653-fcfc-4e43-85f7-7a72e241896f"]},{"id":"ITEM-3","itemData":{"DOI":"10.1039/c8ra02872a","ISSN":"20462069","abstract":"&lt;p&gt;An overview of the isolation, synthesis, and biochemical properties of the stilbene-based natural products schweinfurthins A–Q (1999–2017).&lt;/p&gt;","author":[{"dropping-particle":"","family":"Harmalkar","given":"Dipesh S.","non-dropping-particle":"","parse-names":false,"suffix":""},{"dropping-particle":"","family":"Mali","given":"Jyotirling R.","non-dropping-particle":"","parse-names":false,"suffix":""},{"dropping-particle":"","family":"Sivaraman","given":"Aneesh","non-dropping-particle":"","parse-names":false,"suffix":""},{"dropping-particle":"","family":"Choi","given":"Yongseok","non-dropping-particle":"","parse-names":false,"suffix":""},{"dropping-particle":"","family":"Lee","given":"Kyeong","non-dropping-particle":"","parse-names":false,"suffix":""}],"container-title":"RSC Advances","id":"ITEM-3","issue":"38","issued":{"date-parts":[["2018"]]},"page":"21191-21209","publisher":"Royal Society of Chemistry","title":"Schweinfurthins A-Q: Isolation, synthesis, and biochemical properties","type":"article-journal","volume":"8"},"uris":["http://www.mendeley.com/documents/?uuid=28b036e2-83f4-4a4b-8e84-68085dbbb0ed"]}],"mendeley":{"formattedCitation":"(132–134)","plainTextFormattedCitation":"(132–134)","previouslyFormattedCitation":"(132–134)"},"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(132–134)</w:t>
      </w:r>
      <w:r w:rsidRPr="00737D20">
        <w:rPr>
          <w:rFonts w:cstheme="minorHAnsi"/>
          <w:vertAlign w:val="superscript"/>
        </w:rPr>
        <w:fldChar w:fldCharType="end"/>
      </w:r>
      <w:r w:rsidRPr="00737D20">
        <w:rPr>
          <w:rFonts w:cstheme="minorHAnsi"/>
        </w:rPr>
        <w:t>. Schweinfurthin A was shown to bind to OSBP in the low nanomolar range while ORP4 binding was in the low micromolar range</w:t>
      </w:r>
      <w:r w:rsidR="00D8382E">
        <w:rPr>
          <w:rFonts w:cstheme="minorHAnsi"/>
        </w:rPr>
        <w:fldChar w:fldCharType="begin" w:fldLock="1"/>
      </w:r>
      <w:r w:rsidR="00D8382E">
        <w:rPr>
          <w:rFonts w:cstheme="minorHAnsi"/>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rsidR="00D8382E">
        <w:rPr>
          <w:rFonts w:cstheme="minorHAnsi"/>
        </w:rPr>
        <w:fldChar w:fldCharType="separate"/>
      </w:r>
      <w:r w:rsidR="00D8382E" w:rsidRPr="00D8382E">
        <w:rPr>
          <w:rFonts w:cstheme="minorHAnsi"/>
          <w:noProof/>
        </w:rPr>
        <w:t>(46)</w:t>
      </w:r>
      <w:r w:rsidR="00D8382E">
        <w:rPr>
          <w:rFonts w:cstheme="minorHAnsi"/>
        </w:rPr>
        <w:fldChar w:fldCharType="end"/>
      </w:r>
      <w:r w:rsidR="00D8382E">
        <w:rPr>
          <w:rFonts w:cstheme="minorHAnsi"/>
        </w:rPr>
        <w:t>. U</w:t>
      </w:r>
      <w:r w:rsidRPr="00737D20">
        <w:rPr>
          <w:rFonts w:cstheme="minorHAnsi"/>
        </w:rPr>
        <w:t>nlike OSW-1, Schweinfurthin A does not cause OSBP protein degradation</w:t>
      </w:r>
      <w:r w:rsidRPr="00737D20">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Pr="00737D20">
        <w:rPr>
          <w:rFonts w:cstheme="minorHAnsi"/>
          <w:vertAlign w:val="superscript"/>
        </w:rPr>
        <w:fldChar w:fldCharType="separate"/>
      </w:r>
      <w:r w:rsidR="00393368" w:rsidRPr="00393368">
        <w:rPr>
          <w:rFonts w:cstheme="minorHAnsi"/>
          <w:noProof/>
        </w:rPr>
        <w:t>(46)</w:t>
      </w:r>
      <w:r w:rsidRPr="00737D20">
        <w:rPr>
          <w:rFonts w:cstheme="minorHAnsi"/>
          <w:vertAlign w:val="superscript"/>
        </w:rPr>
        <w:fldChar w:fldCharType="end"/>
      </w:r>
      <w:r w:rsidRPr="00737D20">
        <w:rPr>
          <w:rFonts w:cstheme="minorHAnsi"/>
        </w:rPr>
        <w:t>. A recent study has shown that Schweinfurthin G</w:t>
      </w:r>
      <w:r w:rsidR="00F73B45">
        <w:rPr>
          <w:rFonts w:cstheme="minorHAnsi"/>
        </w:rPr>
        <w:t xml:space="preserve"> (</w:t>
      </w:r>
      <w:r w:rsidR="00F73B45" w:rsidRPr="00FB099D">
        <w:rPr>
          <w:rFonts w:cstheme="minorHAnsi"/>
          <w:b/>
        </w:rPr>
        <w:fldChar w:fldCharType="begin"/>
      </w:r>
      <w:r w:rsidR="00F73B45" w:rsidRPr="00FB099D">
        <w:rPr>
          <w:rFonts w:cstheme="minorHAnsi"/>
          <w:b/>
        </w:rPr>
        <w:instrText xml:space="preserve"> REF _Ref530241503 \h </w:instrText>
      </w:r>
      <w:r w:rsidR="001B3703" w:rsidRPr="00FB099D">
        <w:rPr>
          <w:rFonts w:cstheme="minorHAnsi"/>
          <w:b/>
        </w:rPr>
        <w:instrText xml:space="preserve"> \* MERGEFORMAT </w:instrText>
      </w:r>
      <w:r w:rsidR="00F73B45" w:rsidRPr="00FB099D">
        <w:rPr>
          <w:rFonts w:cstheme="minorHAnsi"/>
          <w:b/>
        </w:rPr>
      </w:r>
      <w:r w:rsidR="00F73B45" w:rsidRPr="00FB099D">
        <w:rPr>
          <w:rFonts w:cstheme="minorHAnsi"/>
          <w:b/>
        </w:rPr>
        <w:fldChar w:fldCharType="separate"/>
      </w:r>
      <w:r w:rsidR="00E2070A" w:rsidRPr="00E2070A">
        <w:rPr>
          <w:b/>
        </w:rPr>
        <w:t xml:space="preserve">Figure </w:t>
      </w:r>
      <w:r w:rsidR="00E2070A" w:rsidRPr="00E2070A">
        <w:rPr>
          <w:b/>
          <w:noProof/>
        </w:rPr>
        <w:t>10</w:t>
      </w:r>
      <w:r w:rsidR="00F73B45" w:rsidRPr="00FB099D">
        <w:rPr>
          <w:rFonts w:cstheme="minorHAnsi"/>
          <w:b/>
        </w:rPr>
        <w:fldChar w:fldCharType="end"/>
      </w:r>
      <w:r w:rsidR="00F73B45">
        <w:rPr>
          <w:rFonts w:cstheme="minorHAnsi"/>
        </w:rPr>
        <w:t>)</w:t>
      </w:r>
      <w:r w:rsidRPr="00737D20">
        <w:rPr>
          <w:rFonts w:cstheme="minorHAnsi"/>
        </w:rPr>
        <w:t xml:space="preserve"> inhibits mTOR/AKT cancer cell proliferation through disruption of the trans-Golgi network (TGN)</w:t>
      </w:r>
      <w:r w:rsidRPr="00737D20">
        <w:rPr>
          <w:rFonts w:cstheme="minorHAnsi"/>
          <w:vertAlign w:val="superscript"/>
        </w:rPr>
        <w:fldChar w:fldCharType="begin" w:fldLock="1"/>
      </w:r>
      <w:r w:rsidR="00F81397">
        <w:rPr>
          <w:rFonts w:cstheme="minorHAnsi"/>
          <w:vertAlign w:val="superscript"/>
        </w:rPr>
        <w:instrText>ADDIN CSL_CITATION {"citationItems":[{"id":"ITEM-1","itemData":{"DOI":"10.1080/15384047.2015.1019184","ISSN":"1538-4047","PMID":"25729885","abstract":"Natural compound schweinfurthins are of considerable interest for novel therapy development because of their selective anti-proliferative activity against human cancer cells. We previously reported the isolation of highly active schweinfurthins E-H, and in the present study, mechanisms of the potent and selective anti-proliferation were investigated. We found that schweinfurthins preferentially inhibited the proliferation of PTEN deficient cancer cells by indirect inhibition of AKT phosphorylation. Mechanistically, schweinfurthins and their analogs arrested trans-Golgi-network trafficking, an intracellular vesicular trafficking system, resulting in the induction of endoplasmic reticulum stress and the suppression of both lipid raft-mediated PI3K activation and mTOR/RheB complex formation, which collectively led to an effective inhibition of mTOR/AKT signaling. The trans-Golgi-network traffic arresting effect of schweinfurthins was associated with their in vitro binding activity to oxysterol-binding proteins that are known to regulate intracellular vesicular trafficking. Moreover, schweinfurthins were found to be highly toxic toward PTEN-deficient B cell lymphoma cells, and displayed 2 orders of magnitude lower activity toward normal human peripheral blood mononuclear cells and primary fibroblasts in vitro. These results revealed a previously unrecognized role of schweinfurthins in regulating trans-Golgi-network trafficking, and linked mechanistically this cellular effect with mTOR/AKT signaling and with cancer cell survival and growth. Our findings suggest the schweinfurthin class of compounds as a novel approach to modulate oncogenic mTOR/AKT signaling for cancer treatment.","author":[{"dropping-particle":"","family":"Bao","given":"Xingfeng","non-dropping-particle":"","parse-names":false,"suffix":""},{"dropping-particle":"","family":"Zheng","given":"Wanjun","non-dropping-particle":"","parse-names":false,"suffix":""},{"dropping-particle":"","family":"Sugi","given":"Naoko Hata","non-dropping-particle":"","parse-names":false,"suffix":""},{"dropping-particle":"","family":"Agarwala","given":"Kishan L","non-dropping-particle":"","parse-names":false,"suffix":""},{"dropping-particle":"","family":"Xu","given":"Qunli","non-dropping-particle":"","parse-names":false,"suffix":""},{"dropping-particle":"","family":"Wang","given":"Zichun","non-dropping-particle":"","parse-names":false,"suffix":""},{"dropping-particle":"","family":"Tendyke","given":"Karen","non-dropping-particle":"","parse-names":false,"suffix":""},{"dropping-particle":"","family":"Lee","given":"Winnie","non-dropping-particle":"","parse-names":false,"suffix":""},{"dropping-particle":"","family":"Parent","given":"Lana","non-dropping-particle":"","parse-names":false,"suffix":""},{"dropping-particle":"","family":"Li","given":"Wei","non-dropping-particle":"","parse-names":false,"suffix":""},{"dropping-particle":"","family":"Cheng","given":"Hongsheng","non-dropping-particle":"","parse-names":false,"suffix":""},{"dropping-particle":"","family":"Shen","given":"Yongchun","non-dropping-particle":"","parse-names":false,"suffix":""},{"dropping-particle":"","family":"Taylor","given":"Noel","non-dropping-particle":"","parse-names":false,"suffix":""},{"dropping-particle":"","family":"Dezso","given":"Zoltan","non-dropping-particle":"","parse-names":false,"suffix":""},{"dropping-particle":"","family":"Du","given":"Hong","non-dropping-particle":"","parse-names":false,"suffix":""},{"dropping-particle":"","family":"Kotake","given":"Yoshihiko","non-dropping-particle":"","parse-names":false,"suffix":""},{"dropping-particle":"","family":"Zhao","given":"Nanding","non-dropping-particle":"","parse-names":false,"suffix":""},{"dropping-particle":"","family":"Wang","given":"John","non-dropping-particle":"","parse-names":false,"suffix":""},{"dropping-particle":"","family":"Postema","given":"Maarten","non-dropping-particle":"","parse-names":false,"suffix":""},{"dropping-particle":"","family":"Woodall-Jappe","given":"Mary","non-dropping-particle":"","parse-names":false,"suffix":""},{"dropping-particle":"","family":"Takase","given":"Yasutaka","non-dropping-particle":"","parse-names":false,"suffix":""},{"dropping-particle":"","family":"Uenaka","given":"Toshimitsu","non-dropping-particle":"","parse-names":false,"suffix":""},{"dropping-particle":"","family":"Kingston","given":"David G I","non-dropping-particle":"","parse-names":false,"suffix":""},{"dropping-particle":"","family":"Nomoto","given":"Kenichi","non-dropping-particle":"","parse-names":false,"suffix":""}],"container-title":"Cancer Biology &amp; Therapy","id":"ITEM-1","issue":"4","issued":{"date-parts":[["2015","4","3"]]},"page":"589-601","title":"Small molecule schweinfurthins selectively inhibit cancer cell proliferation and mTOR/AKT signaling by interfering with trans-Golgi-network trafficking","type":"article-journal","volume":"16"},"uris":["http://www.mendeley.com/documents/?uuid=503f4853-188b-416d-bcbf-eef97cb303e7"]}],"mendeley":{"formattedCitation":"(135)","plainTextFormattedCitation":"(135)","previouslyFormattedCitation":"(135)"},"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(135)</w:t>
      </w:r>
      <w:r w:rsidRPr="00737D20">
        <w:rPr>
          <w:rFonts w:cstheme="minorHAnsi"/>
          <w:vertAlign w:val="superscript"/>
        </w:rPr>
        <w:fldChar w:fldCharType="end"/>
      </w:r>
      <w:r w:rsidRPr="00737D20">
        <w:rPr>
          <w:rFonts w:cstheme="minorHAnsi"/>
        </w:rPr>
        <w:t>. Schweinfurthin G was shown to bind with OSBP and increase its affinity for PI4P, suggesting that the interaction might lead to sequestration of PI4P trafficking that leads to TGN disruption</w:t>
      </w:r>
      <w:r w:rsidRPr="00737D20">
        <w:rPr>
          <w:rFonts w:cstheme="minorHAnsi"/>
          <w:vertAlign w:val="superscript"/>
        </w:rPr>
        <w:fldChar w:fldCharType="begin" w:fldLock="1"/>
      </w:r>
      <w:r w:rsidR="00F81397">
        <w:rPr>
          <w:rFonts w:cstheme="minorHAnsi"/>
          <w:vertAlign w:val="superscript"/>
        </w:rPr>
        <w:instrText>ADDIN CSL_CITATION {"citationItems":[{"id":"ITEM-1","itemData":{"DOI":"10.1080/15384047.2015.1019184","ISSN":"1538-4047","PMID":"25729885","abstract":"Natural compound schweinfurthins are of considerable interest for novel therapy development because of their selective anti-proliferative activity against human cancer cells. We previously reported the isolation of highly active schweinfurthins E-H, and in the present study, mechanisms of the potent and selective anti-proliferation were investigated. We found that schweinfurthins preferentially inhibited the proliferation of PTEN deficient cancer cells by indirect inhibition of AKT phosphorylation. Mechanistically, schweinfurthins and their analogs arrested trans-Golgi-network trafficking, an intracellular vesicular trafficking system, resulting in the induction of endoplasmic reticulum stress and the suppression of both lipid raft-mediated PI3K activation and mTOR/RheB complex formation, which collectively led to an effective inhibition of mTOR/AKT signaling. The trans-Golgi-network traffic arresting effect of schweinfurthins was associated with their in vitro binding activity to oxysterol-binding proteins that are known to regulate intracellular vesicular trafficking. Moreover, schweinfurthins were found to be highly toxic toward PTEN-deficient B cell lymphoma cells, and displayed 2 orders of magnitude lower activity toward normal human peripheral blood mononuclear cells and primary fibroblasts in vitro. These results revealed a previously unrecognized role of schweinfurthins in regulating trans-Golgi-network trafficking, and linked mechanistically this cellular effect with mTOR/AKT signaling and with cancer cell survival and growth. Our findings suggest the schweinfurthin class of compounds as a novel approach to modulate oncogenic mTOR/AKT signaling for cancer treatment.","author":[{"dropping-particle":"","family":"Bao","given":"Xingfeng","non-dropping-particle":"","parse-names":false,"suffix":""},{"dropping-particle":"","family":"Zheng","given":"Wanjun","non-dropping-particle":"","parse-names":false,"suffix":""},{"dropping-particle":"","family":"Sugi","given":"Naoko Hata","non-dropping-particle":"","parse-names":false,"suffix":""},{"dropping-particle":"","family":"Agarwala","given":"Kishan L","non-dropping-particle":"","parse-names":false,"suffix":""},{"dropping-particle":"","family":"Xu","given":"Qunli","non-dropping-particle":"","parse-names":false,"suffix":""},{"dropping-particle":"","family":"Wang","given":"Zichun","non-dropping-particle":"","parse-names":false,"suffix":""},{"dropping-particle":"","family":"Tendyke","given":"Karen","non-dropping-particle":"","parse-names":false,"suffix":""},{"dropping-particle":"","family":"Lee","given":"Winnie","non-dropping-particle":"","parse-names":false,"suffix":""},{"dropping-particle":"","family":"Parent","given":"Lana","non-dropping-particle":"","parse-names":false,"suffix":""},{"dropping-particle":"","family":"Li","given":"Wei","non-dropping-particle":"","parse-names":false,"suffix":""},{"dropping-particle":"","family":"Cheng","given":"Hongsheng","non-dropping-particle":"","parse-names":false,"suffix":""},{"dropping-particle":"","family":"Shen","given":"Yongchun","non-dropping-particle":"","parse-names":false,"suffix":""},{"dropping-particle":"","family":"Taylor","given":"Noel","non-dropping-particle":"","parse-names":false,"suffix":""},{"dropping-particle":"","family":"Dezso","given":"Zoltan","non-dropping-particle":"","parse-names":false,"suffix":""},{"dropping-particle":"","family":"Du","given":"Hong","non-dropping-particle":"","parse-names":false,"suffix":""},{"dropping-particle":"","family":"Kotake","given":"Yoshihiko","non-dropping-particle":"","parse-names":false,"suffix":""},{"dropping-particle":"","family":"Zhao","given":"Nanding","non-dropping-particle":"","parse-names":false,"suffix":""},{"dropping-particle":"","family":"Wang","given":"John","non-dropping-particle":"","parse-names":false,"suffix":""},{"dropping-particle":"","family":"Postema","given":"Maarten","non-dropping-particle":"","parse-names":false,"suffix":""},{"dropping-particle":"","family":"Woodall-Jappe","given":"Mary","non-dropping-particle":"","parse-names":false,"suffix":""},{"dropping-particle":"","family":"Takase","given":"Yasutaka","non-dropping-particle":"","parse-names":false,"suffix":""},{"dropping-particle":"","family":"Uenaka","given":"Toshimitsu","non-dropping-particle":"","parse-names":false,"suffix":""},{"dropping-particle":"","family":"Kingston","given":"David G I","non-dropping-particle":"","parse-names":false,"suffix":""},{"dropping-particle":"","family":"Nomoto","given":"Kenichi","non-dropping-particle":"","parse-names":false,"suffix":""}],"container-title":"Cancer Biology &amp; Therapy","id":"ITEM-1","issue":"4","issued":{"date-parts":[["2015","4","3"]]},"page":"589-601","title":"Small molecule schweinfurthins selectively inhibit cancer cell proliferation and mTOR/AKT signaling by interfering with trans-Golgi-network trafficking","type":"article-journal","volume":"16"},"uris":["http://www.mendeley.com/documents/?uuid=503f4853-188b-416d-bcbf-eef97cb303e7"]}],"mendeley":{"formattedCitation":"(135)","plainTextFormattedCitation":"(135)","previouslyFormattedCitation":"(135)"},"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(135)</w:t>
      </w:r>
      <w:r w:rsidRPr="00737D20">
        <w:rPr>
          <w:rFonts w:cstheme="minorHAnsi"/>
          <w:vertAlign w:val="superscript"/>
        </w:rPr>
        <w:fldChar w:fldCharType="end"/>
      </w:r>
      <w:r w:rsidRPr="00737D20">
        <w:rPr>
          <w:rFonts w:cstheme="minorHAnsi"/>
        </w:rPr>
        <w:t>. Schweinfurthin A presents as an interesting candidate for an antiviral drug due its selectivity for OSBP over ORP4 but the limited availability due to supply issues presents an obstacle to overcome</w:t>
      </w:r>
      <w:r w:rsidRPr="00737D20">
        <w:rPr>
          <w:rFonts w:cstheme="minorHAnsi"/>
          <w:vertAlign w:val="superscript"/>
        </w:rPr>
        <w:fldChar w:fldCharType="begin" w:fldLock="1"/>
      </w:r>
      <w:r w:rsidR="00F81397">
        <w:rPr>
          <w:rFonts w:cstheme="minorHAnsi"/>
          <w:vertAlign w:val="superscript"/>
        </w:rPr>
        <w:instrText>ADDIN CSL_CITATION {"citationItems":[{"id":"ITEM-1","itemData":{"author":[{"dropping-particle":"","family":"Beutler","given":"John A","non-dropping-particle":"","parse-names":false,"suffix":""},{"dropping-particle":"","family":"Jato","given":"Johnson G","non-dropping-particle":"","parse-names":false,"suffix":""},{"dropping-particle":"","family":"Cragg","given":"Gordon","non-dropping-particle":"","parse-names":false,"suffix":""},{"dropping-particle":"","family":"Wiemer","given":"David F","non-dropping-particle":"","parse-names":false,"suffix":""},{"dropping-particle":"","family":"Neighbors","given":"Jeffrey D","non-dropping-particle":"","parse-names":false,"suffix":""},{"dropping-particle":"","family":"Salnikova","given":"Maya","non-dropping-particle":"","parse-names":false,"suffix":""},{"dropping-particle":"","family":"Hollingshead","given":"Melinda","non-dropping-particle":"","parse-names":false,"suffix":""},{"dropping-particle":"","family":"Scudiero","given":"Domenic A","non-dropping-particle":"","parse-names":false,"suffix":""},{"dropping-particle":"","family":"Mccloud","given":"Thomas G","non-dropping-particle":"","parse-names":false,"suffix":""}],"container-title":"Medicinal and Aromatic Plants. Agricultual, Commerical, Ecological, Legal, Pharmalogical and Social Aspects","id":"ITEM-1","issued":{"date-parts":[["2006"]]},"page":"301-309","title":"Chapter 22 the Schweinfurthins","type":"article-journal"},"uris":["http://www.mendeley.com/documents/?uuid=dfe74ec0-bc18-4182-abb7-1c63461b2588"]}],"mendeley":{"formattedCitation":"(136)","plainTextFormattedCitation":"(136)","previouslyFormattedCitation":"(136)"},"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(136)</w:t>
      </w:r>
      <w:r w:rsidRPr="00737D20">
        <w:rPr>
          <w:rFonts w:cstheme="minorHAnsi"/>
          <w:vertAlign w:val="superscript"/>
        </w:rPr>
        <w:fldChar w:fldCharType="end"/>
      </w:r>
      <w:r w:rsidRPr="00737D20">
        <w:rPr>
          <w:rFonts w:cstheme="minorHAnsi"/>
        </w:rPr>
        <w:t>.</w:t>
      </w:r>
    </w:p>
    <w:p w:rsidR="00F73B45" w:rsidRDefault="00F73B45" w:rsidP="00FB099D">
      <w:pPr>
        <w:keepNext/>
        <w:jc w:val="both"/>
      </w:pPr>
      <w:r w:rsidRPr="00F73B45">
        <w:rPr>
          <w:noProof/>
          <w:lang w:bidi="ar-SA"/>
        </w:rPr>
        <w:lastRenderedPageBreak/>
        <w:drawing>
          <wp:inline distT="0" distB="0" distL="0" distR="0" wp14:anchorId="52340F61" wp14:editId="323EE823">
            <wp:extent cx="5394960" cy="3447089"/>
            <wp:effectExtent l="19050" t="19050" r="15240" b="203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960" cy="3447089"/>
                    </a:xfrm>
                    <a:prstGeom prst="rect">
                      <a:avLst/>
                    </a:prstGeom>
                    <a:noFill/>
                    <a:ln>
                      <a:solidFill>
                        <a:schemeClr val="tx1"/>
                      </a:solidFill>
                    </a:ln>
                  </pic:spPr>
                </pic:pic>
              </a:graphicData>
            </a:graphic>
          </wp:inline>
        </w:drawing>
      </w:r>
    </w:p>
    <w:p w:rsidR="00F73B45" w:rsidRPr="00042529" w:rsidRDefault="00A841B4" w:rsidP="00042529">
      <w:pPr>
        <w:pStyle w:val="Caption"/>
        <w:jc w:val="both"/>
        <w:rPr>
          <w:b w:val="0"/>
        </w:rPr>
      </w:pPr>
      <w:bookmarkStart w:id="67" w:name="_Ref530241503"/>
      <w:bookmarkStart w:id="68" w:name="_Toc530673935"/>
      <w:r w:rsidRPr="00A841B4">
        <w:t>Figure</w:t>
      </w:r>
      <w:r w:rsidR="00F73B45">
        <w:t xml:space="preserve"> </w:t>
      </w:r>
      <w:fldSimple w:instr=" SEQ Figure \* ARABIC ">
        <w:r w:rsidR="00E2070A">
          <w:rPr>
            <w:noProof/>
          </w:rPr>
          <w:t>10</w:t>
        </w:r>
      </w:fldSimple>
      <w:bookmarkEnd w:id="67"/>
      <w:r w:rsidR="00F73B45">
        <w:t xml:space="preserve">: Structures of Schweinfurthins that bind OSBP. </w:t>
      </w:r>
      <w:r w:rsidR="00F73B45">
        <w:rPr>
          <w:b w:val="0"/>
        </w:rPr>
        <w:t>Schweinfurthin A (1) and G (2).</w:t>
      </w:r>
      <w:bookmarkEnd w:id="68"/>
    </w:p>
    <w:p w:rsidR="00961548" w:rsidRPr="000C47E5" w:rsidRDefault="00961548" w:rsidP="00042529">
      <w:pPr>
        <w:pStyle w:val="Heading3"/>
      </w:pPr>
      <w:bookmarkStart w:id="69" w:name="_Toc532553087"/>
      <w:r w:rsidRPr="000C47E5">
        <w:t>Cephalostatin 1 and Ritterazine B</w:t>
      </w:r>
      <w:bookmarkEnd w:id="69"/>
    </w:p>
    <w:p w:rsidR="00961548" w:rsidRDefault="004C4888" w:rsidP="00FB099D">
      <w:pPr>
        <w:ind w:firstLine="720"/>
        <w:jc w:val="both"/>
        <w:rPr>
          <w:rFonts w:cstheme="minorHAnsi"/>
        </w:rPr>
      </w:pPr>
      <w:r>
        <w:rPr>
          <w:rFonts w:cstheme="minorHAnsi"/>
        </w:rPr>
        <w:t>Cephalostain 1 (</w:t>
      </w:r>
      <w:r w:rsidRPr="00FB099D">
        <w:rPr>
          <w:rFonts w:cstheme="minorHAnsi"/>
          <w:b/>
        </w:rPr>
        <w:fldChar w:fldCharType="begin"/>
      </w:r>
      <w:r w:rsidRPr="00FB099D">
        <w:rPr>
          <w:rFonts w:cstheme="minorHAnsi"/>
          <w:b/>
        </w:rPr>
        <w:instrText xml:space="preserve"> REF _Ref530242309 \h </w:instrText>
      </w:r>
      <w:r w:rsidR="001B3703" w:rsidRPr="00FB099D">
        <w:rPr>
          <w:rFonts w:cstheme="minorHAnsi"/>
          <w:b/>
        </w:rPr>
        <w:instrText xml:space="preserve"> \* MERGEFORMAT </w:instrText>
      </w:r>
      <w:r w:rsidRPr="00FB099D">
        <w:rPr>
          <w:rFonts w:cstheme="minorHAnsi"/>
          <w:b/>
        </w:rPr>
      </w:r>
      <w:r w:rsidRPr="00FB099D">
        <w:rPr>
          <w:rFonts w:cstheme="minorHAnsi"/>
          <w:b/>
        </w:rPr>
        <w:fldChar w:fldCharType="separate"/>
      </w:r>
      <w:r w:rsidR="00E2070A" w:rsidRPr="00E2070A">
        <w:rPr>
          <w:b/>
        </w:rPr>
        <w:t xml:space="preserve">Figure </w:t>
      </w:r>
      <w:r w:rsidR="00E2070A" w:rsidRPr="00E2070A">
        <w:rPr>
          <w:b/>
          <w:noProof/>
        </w:rPr>
        <w:t>11</w:t>
      </w:r>
      <w:r w:rsidRPr="00FB099D">
        <w:rPr>
          <w:rFonts w:cstheme="minorHAnsi"/>
          <w:b/>
        </w:rPr>
        <w:fldChar w:fldCharType="end"/>
      </w:r>
      <w:r>
        <w:rPr>
          <w:rFonts w:cstheme="minorHAnsi"/>
        </w:rPr>
        <w:t>)</w:t>
      </w:r>
      <w:r w:rsidR="00961548" w:rsidRPr="00737D20">
        <w:rPr>
          <w:rFonts w:cstheme="minorHAnsi"/>
        </w:rPr>
        <w:t xml:space="preserve"> was originally collected in extracts from the marine worm </w:t>
      </w:r>
      <w:r w:rsidR="00961548" w:rsidRPr="00737D20">
        <w:rPr>
          <w:rFonts w:cstheme="minorHAnsi"/>
          <w:i/>
        </w:rPr>
        <w:t xml:space="preserve">Cephalodiscus gilchristi </w:t>
      </w:r>
      <w:r w:rsidR="00961548" w:rsidRPr="00737D20">
        <w:rPr>
          <w:rFonts w:cstheme="minorHAnsi"/>
        </w:rPr>
        <w:t>off the coast of Southeast Africa in 1972 and was not fully characterized until 1987</w:t>
      </w:r>
      <w:r w:rsidR="00D8382E">
        <w:rPr>
          <w:rFonts w:cstheme="minorHAnsi"/>
        </w:rPr>
        <w:fldChar w:fldCharType="begin" w:fldLock="1"/>
      </w:r>
      <w:r w:rsidR="00F81397">
        <w:rPr>
          <w:rFonts w:cstheme="minorHAnsi"/>
        </w:rPr>
        <w:instrText>ADDIN CSL_CITATION {"citationItems":[{"id":"ITEM-1","itemData":{"DOI":"10.1021/ja00214a078","ISSN":"0002-7863","author":[{"dropping-particle":"","family":"Pettit","given":"George R.","non-dropping-particle":"","parse-names":false,"suffix":""},{"dropping-particle":"","family":"Inoue","given":"Masuo.","non-dropping-particle":"","parse-names":false,"suffix":""},{"dropping-particle":"","family":"Kamano","given":"Yoshiaki.","non-dropping-particle":"","parse-names":false,"suffix":""},{"dropping-particle":"","family":"Herald","given":"Delbert L.","non-dropping-particle":"","parse-names":false,"suffix":""},{"dropping-particle":"","family":"Arm","given":"Christoph.","non-dropping-particle":"","parse-names":false,"suffix":""},{"dropping-particle":"","family":"Dufresne","given":"Claude.","non-dropping-particle":"","parse-names":false,"suffix":""},{"dropping-particle":"","family":"Christie","given":"Nigel D.","non-dropping-particle":"","parse-names":false,"suffix":""},{"dropping-particle":"","family":"Schmidt","given":"Jean M.","non-dropping-particle":"","parse-names":false,"suffix":""},{"dropping-particle":"","family":"Doubek","given":"Dennis L.","non-dropping-particle":"","parse-names":false,"suffix":""},{"dropping-particle":"","family":"Krupa","given":"Timothy S.","non-dropping-particle":"","parse-names":false,"suffix":""}],"container-title":"Journal of the American Chemical Society","id":"ITEM-1","issue":"6","issued":{"date-parts":[["1988","3"]]},"page":"2006-2007","title":"Isolation and structure of the powerful cell growth inhibitor cephalostatin 1","type":"article-journal","volume":"110"},"uris":["http://www.mendeley.com/documents/?uuid=0bf0e1bd-99ab-45a8-b2d7-7762473f8d23"]}],"mendeley":{"formattedCitation":"(137)","plainTextFormattedCitation":"(137)","previouslyFormattedCitation":"(137)"},"properties":{"noteIndex":0},"schema":"https://github.com/citation-style-language/schema/raw/master/csl-citation.json"}</w:instrText>
      </w:r>
      <w:r w:rsidR="00D8382E">
        <w:rPr>
          <w:rFonts w:cstheme="minorHAnsi"/>
        </w:rPr>
        <w:fldChar w:fldCharType="separate"/>
      </w:r>
      <w:r w:rsidR="005D2ADA" w:rsidRPr="005D2ADA">
        <w:rPr>
          <w:rFonts w:cstheme="minorHAnsi"/>
          <w:noProof/>
        </w:rPr>
        <w:t>(137)</w:t>
      </w:r>
      <w:r w:rsidR="00D8382E">
        <w:rPr>
          <w:rFonts w:cstheme="minorHAnsi"/>
        </w:rPr>
        <w:fldChar w:fldCharType="end"/>
      </w:r>
      <w:r w:rsidR="00D8382E">
        <w:rPr>
          <w:rFonts w:cstheme="minorHAnsi"/>
        </w:rPr>
        <w:t>.</w:t>
      </w:r>
      <w:r w:rsidR="00961548" w:rsidRPr="00737D20">
        <w:rPr>
          <w:rFonts w:cstheme="minorHAnsi"/>
        </w:rPr>
        <w:t xml:space="preserve"> Cephalostatin 1 has a mean NCI60 IC</w:t>
      </w:r>
      <w:r w:rsidR="00961548" w:rsidRPr="00737D20">
        <w:rPr>
          <w:rFonts w:cstheme="minorHAnsi"/>
          <w:vertAlign w:val="subscript"/>
        </w:rPr>
        <w:t xml:space="preserve">50 </w:t>
      </w:r>
      <w:r w:rsidR="00961548" w:rsidRPr="00737D20">
        <w:rPr>
          <w:rFonts w:cstheme="minorHAnsi"/>
        </w:rPr>
        <w:t>value of 2.2 nM</w:t>
      </w:r>
      <w:r w:rsidR="00961548" w:rsidRPr="00737D20">
        <w:rPr>
          <w:rFonts w:cstheme="minorHAnsi"/>
          <w:vertAlign w:val="superscript"/>
        </w:rPr>
        <w:fldChar w:fldCharType="begin" w:fldLock="1"/>
      </w:r>
      <w:r w:rsidR="00F81397">
        <w:rPr>
          <w:rFonts w:cstheme="minorHAnsi"/>
          <w:vertAlign w:val="superscript"/>
        </w:rPr>
        <w:instrText>ADDIN CSL_CITATION {"citationItems":[{"id":"ITEM-1","itemData":{"DOI":"10.1021/ja00214a078","ISSN":"0002-7863","author":[{"dropping-particle":"","family":"Pettit","given":"George R.","non-dropping-particle":"","parse-names":false,"suffix":""},{"dropping-particle":"","family":"Inoue","given":"Masuo.","non-dropping-particle":"","parse-names":false,"suffix":""},{"dropping-particle":"","family":"Kamano","given":"Yoshiaki.","non-dropping-particle":"","parse-names":false,"suffix":""},{"dropping-particle":"","family":"Herald","given":"Delbert L.","non-dropping-particle":"","parse-names":false,"suffix":""},{"dropping-particle":"","family":"Arm","given":"Christoph.","non-dropping-particle":"","parse-names":false,"suffix":""},{"dropping-particle":"","family":"Dufresne","given":"Claude.","non-dropping-particle":"","parse-names":false,"suffix":""},{"dropping-particle":"","family":"Christie","given":"Nigel D.","non-dropping-particle":"","parse-names":false,"suffix":""},{"dropping-particle":"","family":"Schmidt","given":"Jean M.","non-dropping-particle":"","parse-names":false,"suffix":""},{"dropping-particle":"","family":"Doubek","given":"Dennis L.","non-dropping-particle":"","parse-names":false,"suffix":""},{"dropping-particle":"","family":"Krupa","given":"Timothy S.","non-dropping-particle":"","parse-names":false,"suffix":""}],"container-title":"Journal of the American Chemical Society","id":"ITEM-1","issue":"6","issued":{"date-parts":[["1988","3"]]},"page":"2006-2007","title":"Isolation and structure of the powerful cell growth inhibitor cephalostatin 1","type":"article-journal","volume":"110"},"uris":["http://www.mendeley.com/documents/?uuid=0bf0e1bd-99ab-45a8-b2d7-7762473f8d23"]},{"id":"ITEM-2","itemData":{"DOI":"10.1007/1-4020-3302-8_9","ISBN":"1402033036","author":[{"dropping-particle":"","family":"Dirsch","given":"Verena M.","non-dropping-particle":"","parse-names":false,"suffix":""},{"dropping-particle":"","family":"Vollmar","given":"Angelika M.","non-dropping-particle":"","parse-names":false,"suffix":""}],"container-title":"Application of Apoptosis to Cancer Treatment","id":"ITEM-2","issued":{"date-parts":[["2005"]]},"page":"209-221","publisher":"Springer-Verlag","publisher-place":"Berlin/Heidelberg","title":"Cephalostatin 1-induced apoptosis in tumor cells: Selective induction of Smac/DIABLO Release","type":"chapter"},"uris":["http://www.mendeley.com/documents/?uuid=4a1eb973-8fe2-3985-b750-8e5ef6eb620e"]}],"mendeley":{"formattedCitation":"(137, 138)","plainTextFormattedCitation":"(137, 138)","previouslyFormattedCitation":"(137, 138)"},"properties":{"noteIndex":0},"schema":"https://github.com/citation-style-language/schema/raw/master/csl-citation.json"}</w:instrText>
      </w:r>
      <w:r w:rsidR="00961548" w:rsidRPr="00737D20">
        <w:rPr>
          <w:rFonts w:cstheme="minorHAnsi"/>
          <w:vertAlign w:val="superscript"/>
        </w:rPr>
        <w:fldChar w:fldCharType="separate"/>
      </w:r>
      <w:r w:rsidR="005D2ADA" w:rsidRPr="005D2ADA">
        <w:rPr>
          <w:rFonts w:cstheme="minorHAnsi"/>
          <w:noProof/>
        </w:rPr>
        <w:t>(137, 138)</w:t>
      </w:r>
      <w:r w:rsidR="00961548" w:rsidRPr="00737D20">
        <w:rPr>
          <w:rFonts w:cstheme="minorHAnsi"/>
          <w:vertAlign w:val="superscript"/>
        </w:rPr>
        <w:fldChar w:fldCharType="end"/>
      </w:r>
      <w:r w:rsidR="00961548" w:rsidRPr="00737D20">
        <w:rPr>
          <w:rFonts w:cstheme="minorHAnsi"/>
        </w:rPr>
        <w:t xml:space="preserve">. Another marine extracted natural product with </w:t>
      </w:r>
      <w:r w:rsidR="00D8382E">
        <w:rPr>
          <w:rFonts w:cstheme="minorHAnsi"/>
        </w:rPr>
        <w:t>a structure related to cephalostatin 1 and possessing potent cytotoxicity is</w:t>
      </w:r>
      <w:r w:rsidR="00961548" w:rsidRPr="00737D20">
        <w:rPr>
          <w:rFonts w:cstheme="minorHAnsi"/>
        </w:rPr>
        <w:t xml:space="preserve"> </w:t>
      </w:r>
      <w:r w:rsidR="00D8382E">
        <w:rPr>
          <w:rFonts w:cstheme="minorHAnsi"/>
        </w:rPr>
        <w:t>r</w:t>
      </w:r>
      <w:r w:rsidR="00961548" w:rsidRPr="00737D20">
        <w:rPr>
          <w:rFonts w:cstheme="minorHAnsi"/>
        </w:rPr>
        <w:t>itterazine B</w:t>
      </w:r>
      <w:r>
        <w:rPr>
          <w:rFonts w:cstheme="minorHAnsi"/>
        </w:rPr>
        <w:t xml:space="preserve"> (</w:t>
      </w:r>
      <w:r w:rsidRPr="00FB099D">
        <w:rPr>
          <w:rFonts w:cstheme="minorHAnsi"/>
          <w:b/>
        </w:rPr>
        <w:fldChar w:fldCharType="begin"/>
      </w:r>
      <w:r w:rsidRPr="00FB099D">
        <w:rPr>
          <w:rFonts w:cstheme="minorHAnsi"/>
          <w:b/>
        </w:rPr>
        <w:instrText xml:space="preserve"> REF _Ref530242309 \h </w:instrText>
      </w:r>
      <w:r w:rsidR="001B3703" w:rsidRPr="00FB099D">
        <w:rPr>
          <w:rFonts w:cstheme="minorHAnsi"/>
          <w:b/>
        </w:rPr>
        <w:instrText xml:space="preserve"> \* MERGEFORMAT </w:instrText>
      </w:r>
      <w:r w:rsidRPr="00FB099D">
        <w:rPr>
          <w:rFonts w:cstheme="minorHAnsi"/>
          <w:b/>
        </w:rPr>
      </w:r>
      <w:r w:rsidRPr="00FB099D">
        <w:rPr>
          <w:rFonts w:cstheme="minorHAnsi"/>
          <w:b/>
        </w:rPr>
        <w:fldChar w:fldCharType="separate"/>
      </w:r>
      <w:r w:rsidR="00E2070A" w:rsidRPr="00E2070A">
        <w:rPr>
          <w:b/>
        </w:rPr>
        <w:t xml:space="preserve">Figure </w:t>
      </w:r>
      <w:r w:rsidR="00E2070A" w:rsidRPr="00E2070A">
        <w:rPr>
          <w:b/>
          <w:noProof/>
        </w:rPr>
        <w:t>11</w:t>
      </w:r>
      <w:r w:rsidRPr="00FB099D">
        <w:rPr>
          <w:rFonts w:cstheme="minorHAnsi"/>
          <w:b/>
        </w:rPr>
        <w:fldChar w:fldCharType="end"/>
      </w:r>
      <w:r>
        <w:rPr>
          <w:rFonts w:cstheme="minorHAnsi"/>
        </w:rPr>
        <w:t>)</w:t>
      </w:r>
      <w:r w:rsidR="00D8382E" w:rsidRPr="00D8382E">
        <w:rPr>
          <w:rFonts w:cstheme="minorHAnsi"/>
          <w:vertAlign w:val="superscript"/>
        </w:rPr>
        <w:t xml:space="preserve"> </w:t>
      </w:r>
      <w:r w:rsidR="00D8382E" w:rsidRPr="00737D20">
        <w:rPr>
          <w:rFonts w:cstheme="minorHAnsi"/>
          <w:vertAlign w:val="superscript"/>
        </w:rPr>
        <w:fldChar w:fldCharType="begin" w:fldLock="1"/>
      </w:r>
      <w:r w:rsidR="00F81397">
        <w:rPr>
          <w:rFonts w:cstheme="minorHAnsi"/>
          <w:vertAlign w:val="superscript"/>
        </w:rPr>
        <w:instrText>ADDIN CSL_CITATION {"citationItems":[{"id":"ITEM-1","itemData":{"DOI":"10.1021/jo00108a024","ISSN":"0022-3263","author":[{"dropping-particle":"","family":"Fukuzawa","given":"Seketsu","non-dropping-particle":"","parse-names":false,"suffix":""},{"dropping-particle":"","family":"Matsunaga","given":"Shigeki","non-dropping-particle":"","parse-names":false,"suffix":""},{"dropping-particle":"","family":"Fusetani","given":"Nobuhiro","non-dropping-particle":"","parse-names":false,"suffix":""}],"container-title":"The Journal of Organic Chemistry","id":"ITEM-1","issue":"3","issued":{"date-parts":[["1995","2"]]},"page":"608-614","title":"Isolation and structure elucidation of ritterazines B and C, highly cytotoxic dimeric steroidal alkaloids, from the tunicate Ritterella tokioka","type":"article-journal","volume":"60"},"uris":["http://www.mendeley.com/documents/?uuid=747fdf2d-b79d-39c3-a8a8-62b6ca60843e"]}],"mendeley":{"formattedCitation":"(139)","plainTextFormattedCitation":"(139)","previouslyFormattedCitation":"(139)"},"properties":{"noteIndex":0},"schema":"https://github.com/citation-style-language/schema/raw/master/csl-citation.json"}</w:instrText>
      </w:r>
      <w:r w:rsidR="00D8382E" w:rsidRPr="00737D20">
        <w:rPr>
          <w:rFonts w:cstheme="minorHAnsi"/>
          <w:vertAlign w:val="superscript"/>
        </w:rPr>
        <w:fldChar w:fldCharType="separate"/>
      </w:r>
      <w:r w:rsidR="005D2ADA" w:rsidRPr="005D2ADA">
        <w:rPr>
          <w:rFonts w:cstheme="minorHAnsi"/>
          <w:noProof/>
        </w:rPr>
        <w:t>(139)</w:t>
      </w:r>
      <w:r w:rsidR="00D8382E" w:rsidRPr="00737D20">
        <w:rPr>
          <w:rFonts w:cstheme="minorHAnsi"/>
          <w:vertAlign w:val="superscript"/>
        </w:rPr>
        <w:fldChar w:fldCharType="end"/>
      </w:r>
      <w:r w:rsidR="00D8382E">
        <w:rPr>
          <w:rFonts w:cstheme="minorHAnsi"/>
        </w:rPr>
        <w:t>.</w:t>
      </w:r>
      <w:r w:rsidR="00961548" w:rsidRPr="00737D20">
        <w:rPr>
          <w:rFonts w:cstheme="minorHAnsi"/>
        </w:rPr>
        <w:t xml:space="preserve"> </w:t>
      </w:r>
      <w:r w:rsidR="00D8382E">
        <w:rPr>
          <w:rFonts w:cstheme="minorHAnsi"/>
        </w:rPr>
        <w:t>Ritterazine B</w:t>
      </w:r>
      <w:r w:rsidR="00961548" w:rsidRPr="00737D20">
        <w:rPr>
          <w:rFonts w:cstheme="minorHAnsi"/>
        </w:rPr>
        <w:t xml:space="preserve"> was isolated from the tunicate </w:t>
      </w:r>
      <w:r w:rsidR="00961548" w:rsidRPr="00737D20">
        <w:rPr>
          <w:rFonts w:cstheme="minorHAnsi"/>
          <w:i/>
        </w:rPr>
        <w:t xml:space="preserve">Ritterella tokioka </w:t>
      </w:r>
      <w:r w:rsidR="00961548" w:rsidRPr="00737D20">
        <w:rPr>
          <w:rFonts w:cstheme="minorHAnsi"/>
        </w:rPr>
        <w:t xml:space="preserve"> collected off the coast of Japan in 1995</w:t>
      </w:r>
      <w:r w:rsidR="00961548" w:rsidRPr="00737D20">
        <w:rPr>
          <w:rFonts w:cstheme="minorHAnsi"/>
          <w:vertAlign w:val="superscript"/>
        </w:rPr>
        <w:fldChar w:fldCharType="begin" w:fldLock="1"/>
      </w:r>
      <w:r w:rsidR="00F81397">
        <w:rPr>
          <w:rFonts w:cstheme="minorHAnsi"/>
          <w:vertAlign w:val="superscript"/>
        </w:rPr>
        <w:instrText>ADDIN CSL_CITATION {"citationItems":[{"id":"ITEM-1","itemData":{"DOI":"10.1021/jo00108a024","ISSN":"0022-3263","author":[{"dropping-particle":"","family":"Fukuzawa","given":"Seketsu","non-dropping-particle":"","parse-names":false,"suffix":""},{"dropping-particle":"","family":"Matsunaga","given":"Shigeki","non-dropping-particle":"","parse-names":false,"suffix":""},{"dropping-particle":"","family":"Fusetani","given":"Nobuhiro","non-dropping-particle":"","parse-names":false,"suffix":""}],"container-title":"The Journal of Organic Chemistry","id":"ITEM-1","issue":"3","issued":{"date-parts":[["1995","2"]]},"page":"608-614","title":"Isolation and structure elucidation of ritterazines B and C, highly cytotoxic dimeric steroidal alkaloids, from the tunicate Ritterella tokioka","type":"article-journal","volume":"60"},"uris":["http://www.mendeley.com/documents/?uuid=747fdf2d-b79d-39c3-a8a8-62b6ca60843e"]}],"mendeley":{"formattedCitation":"(139)","plainTextFormattedCitation":"(139)","previouslyFormattedCitation":"(139)"},"properties":{"noteIndex":0},"schema":"https://github.com/citation-style-language/schema/raw/master/csl-citation.json"}</w:instrText>
      </w:r>
      <w:r w:rsidR="00961548" w:rsidRPr="00737D20">
        <w:rPr>
          <w:rFonts w:cstheme="minorHAnsi"/>
          <w:vertAlign w:val="superscript"/>
        </w:rPr>
        <w:fldChar w:fldCharType="separate"/>
      </w:r>
      <w:r w:rsidR="005D2ADA" w:rsidRPr="005D2ADA">
        <w:rPr>
          <w:rFonts w:cstheme="minorHAnsi"/>
          <w:noProof/>
        </w:rPr>
        <w:t>(139)</w:t>
      </w:r>
      <w:r w:rsidR="00961548" w:rsidRPr="00737D20">
        <w:rPr>
          <w:rFonts w:cstheme="minorHAnsi"/>
          <w:vertAlign w:val="superscript"/>
        </w:rPr>
        <w:fldChar w:fldCharType="end"/>
      </w:r>
      <w:r w:rsidR="00961548" w:rsidRPr="00737D20">
        <w:rPr>
          <w:rFonts w:cstheme="minorHAnsi"/>
        </w:rPr>
        <w:t>. Ritterazine B has a mean NCI60 IC</w:t>
      </w:r>
      <w:r w:rsidR="00961548" w:rsidRPr="00737D20">
        <w:rPr>
          <w:rFonts w:cstheme="minorHAnsi"/>
          <w:vertAlign w:val="subscript"/>
        </w:rPr>
        <w:t xml:space="preserve">50 </w:t>
      </w:r>
      <w:r w:rsidR="00961548" w:rsidRPr="00737D20">
        <w:rPr>
          <w:rFonts w:cstheme="minorHAnsi"/>
        </w:rPr>
        <w:t>value of 3.2 nM which is comparable to that of Cephalostatin 1</w:t>
      </w:r>
      <w:r w:rsidR="00961548" w:rsidRPr="00737D20">
        <w:rPr>
          <w:rFonts w:cstheme="minorHAnsi"/>
          <w:vertAlign w:val="superscript"/>
        </w:rPr>
        <w:fldChar w:fldCharType="begin" w:fldLock="1"/>
      </w:r>
      <w:r w:rsidR="00F81397">
        <w:rPr>
          <w:rFonts w:cstheme="minorHAnsi"/>
          <w:vertAlign w:val="superscript"/>
        </w:rPr>
        <w:instrText>ADDIN CSL_CITATION {"citationItems":[{"id":"ITEM-1","itemData":{"ISBN":"9780128157909","author":[{"dropping-particle":"","family":"Knölker","given":"Hans-Joachim.","non-dropping-particle":"","parse-names":false,"suffix":""}],"container-title":"The Alkaloids","edition":"16","id":"ITEM-1","issued":{"date-parts":[["2018"]]},"page":"175","publisher":"Elsevier Science","title":"Cephalostatins and Ritterazines","type":"chapter","volume":"80"},"uris":["http://www.mendeley.com/documents/?uuid=6144c49c-0a55-42af-8c1f-2332a23b69d5"]}],"mendeley":{"formattedCitation":"(140)","plainTextFormattedCitation":"(140)","previouslyFormattedCitation":"(140)"},"properties":{"noteIndex":0},"schema":"https://github.com/citation-style-language/schema/raw/master/csl-citation.json"}</w:instrText>
      </w:r>
      <w:r w:rsidR="00961548" w:rsidRPr="00737D20">
        <w:rPr>
          <w:rFonts w:cstheme="minorHAnsi"/>
          <w:vertAlign w:val="superscript"/>
        </w:rPr>
        <w:fldChar w:fldCharType="separate"/>
      </w:r>
      <w:r w:rsidR="005D2ADA" w:rsidRPr="005D2ADA">
        <w:rPr>
          <w:rFonts w:cstheme="minorHAnsi"/>
          <w:noProof/>
        </w:rPr>
        <w:t>(140)</w:t>
      </w:r>
      <w:r w:rsidR="00961548" w:rsidRPr="00737D20">
        <w:rPr>
          <w:rFonts w:cstheme="minorHAnsi"/>
          <w:vertAlign w:val="superscript"/>
        </w:rPr>
        <w:fldChar w:fldCharType="end"/>
      </w:r>
      <w:r w:rsidR="00961548" w:rsidRPr="00737D20">
        <w:rPr>
          <w:rFonts w:cstheme="minorHAnsi"/>
        </w:rPr>
        <w:t>. Both of these compounds were shown to bind OSBP with low nanomolar affinity</w:t>
      </w:r>
      <w:r w:rsidR="00D8382E">
        <w:rPr>
          <w:rFonts w:cstheme="minorHAnsi"/>
        </w:rPr>
        <w:fldChar w:fldCharType="begin" w:fldLock="1"/>
      </w:r>
      <w:r w:rsidR="00D8382E">
        <w:rPr>
          <w:rFonts w:cstheme="minorHAnsi"/>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rsidR="00D8382E">
        <w:rPr>
          <w:rFonts w:cstheme="minorHAnsi"/>
        </w:rPr>
        <w:fldChar w:fldCharType="separate"/>
      </w:r>
      <w:r w:rsidR="00D8382E" w:rsidRPr="00D8382E">
        <w:rPr>
          <w:rFonts w:cstheme="minorHAnsi"/>
          <w:noProof/>
        </w:rPr>
        <w:t>(46)</w:t>
      </w:r>
      <w:r w:rsidR="00D8382E">
        <w:rPr>
          <w:rFonts w:cstheme="minorHAnsi"/>
        </w:rPr>
        <w:fldChar w:fldCharType="end"/>
      </w:r>
      <w:r w:rsidR="00D8382E">
        <w:rPr>
          <w:rFonts w:cstheme="minorHAnsi"/>
        </w:rPr>
        <w:t>. Cephalostatin 1 also has</w:t>
      </w:r>
      <w:r w:rsidR="00961548" w:rsidRPr="00737D20">
        <w:rPr>
          <w:rFonts w:cstheme="minorHAnsi"/>
        </w:rPr>
        <w:t xml:space="preserve"> low nanomolar affinity for ORP4</w:t>
      </w:r>
      <w:r w:rsidR="00D8382E">
        <w:rPr>
          <w:rFonts w:cstheme="minorHAnsi"/>
        </w:rPr>
        <w:fldChar w:fldCharType="begin" w:fldLock="1"/>
      </w:r>
      <w:r w:rsidR="00D8382E">
        <w:rPr>
          <w:rFonts w:cstheme="minorHAnsi"/>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rsidR="00D8382E">
        <w:rPr>
          <w:rFonts w:cstheme="minorHAnsi"/>
        </w:rPr>
        <w:fldChar w:fldCharType="separate"/>
      </w:r>
      <w:r w:rsidR="00D8382E" w:rsidRPr="00D8382E">
        <w:rPr>
          <w:rFonts w:cstheme="minorHAnsi"/>
          <w:noProof/>
        </w:rPr>
        <w:t>(46)</w:t>
      </w:r>
      <w:r w:rsidR="00D8382E">
        <w:rPr>
          <w:rFonts w:cstheme="minorHAnsi"/>
        </w:rPr>
        <w:fldChar w:fldCharType="end"/>
      </w:r>
      <w:r w:rsidR="00D8382E">
        <w:rPr>
          <w:rFonts w:cstheme="minorHAnsi"/>
        </w:rPr>
        <w:t xml:space="preserve">. </w:t>
      </w:r>
      <w:r w:rsidR="00961548" w:rsidRPr="00737D20">
        <w:rPr>
          <w:rFonts w:cstheme="minorHAnsi"/>
        </w:rPr>
        <w:t xml:space="preserve">Ritterazine B </w:t>
      </w:r>
      <w:r w:rsidR="00D8382E">
        <w:rPr>
          <w:rFonts w:cstheme="minorHAnsi"/>
        </w:rPr>
        <w:t>did not bind ORP4L as well as cephalostatin 1, but a inhibition binding value could not be determined</w:t>
      </w:r>
      <w:r w:rsidR="00961548" w:rsidRPr="00737D20">
        <w:rPr>
          <w:rFonts w:cstheme="minorHAnsi"/>
        </w:rPr>
        <w:t xml:space="preserve"> due to lack of sufficient compound</w:t>
      </w:r>
      <w:r w:rsidR="00961548" w:rsidRPr="00737D20">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00961548" w:rsidRPr="00737D20">
        <w:rPr>
          <w:rFonts w:cstheme="minorHAnsi"/>
          <w:vertAlign w:val="superscript"/>
        </w:rPr>
        <w:fldChar w:fldCharType="separate"/>
      </w:r>
      <w:r w:rsidR="00393368" w:rsidRPr="00393368">
        <w:rPr>
          <w:rFonts w:cstheme="minorHAnsi"/>
          <w:noProof/>
        </w:rPr>
        <w:t>(46)</w:t>
      </w:r>
      <w:r w:rsidR="00961548" w:rsidRPr="00737D20">
        <w:rPr>
          <w:rFonts w:cstheme="minorHAnsi"/>
          <w:vertAlign w:val="superscript"/>
        </w:rPr>
        <w:fldChar w:fldCharType="end"/>
      </w:r>
      <w:r w:rsidR="00D8382E">
        <w:rPr>
          <w:rFonts w:cstheme="minorHAnsi"/>
        </w:rPr>
        <w:t>. Interestingly, c</w:t>
      </w:r>
      <w:r w:rsidR="00961548" w:rsidRPr="00737D20">
        <w:rPr>
          <w:rFonts w:cstheme="minorHAnsi"/>
        </w:rPr>
        <w:t xml:space="preserve">ephalostatin 1 was also able to induce OSBP degradation upon treatment similar to </w:t>
      </w:r>
      <w:r w:rsidR="00961548" w:rsidRPr="00737D20">
        <w:rPr>
          <w:rFonts w:cstheme="minorHAnsi"/>
        </w:rPr>
        <w:lastRenderedPageBreak/>
        <w:t>OSW-1</w:t>
      </w:r>
      <w:r w:rsidR="00961548" w:rsidRPr="00737D20">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00961548" w:rsidRPr="00737D20">
        <w:rPr>
          <w:rFonts w:cstheme="minorHAnsi"/>
          <w:vertAlign w:val="superscript"/>
        </w:rPr>
        <w:fldChar w:fldCharType="separate"/>
      </w:r>
      <w:r w:rsidR="00393368" w:rsidRPr="00393368">
        <w:rPr>
          <w:rFonts w:cstheme="minorHAnsi"/>
          <w:noProof/>
        </w:rPr>
        <w:t>(46)</w:t>
      </w:r>
      <w:r w:rsidR="00961548" w:rsidRPr="00737D20">
        <w:rPr>
          <w:rFonts w:cstheme="minorHAnsi"/>
          <w:vertAlign w:val="superscript"/>
        </w:rPr>
        <w:fldChar w:fldCharType="end"/>
      </w:r>
      <w:r w:rsidR="00961548" w:rsidRPr="00737D20">
        <w:rPr>
          <w:rFonts w:cstheme="minorHAnsi"/>
        </w:rPr>
        <w:t>. Neither of these compounds has been tested for antiviral activity and do not seem feasible to pursue due to their limited availability and time intensive synthesis</w:t>
      </w:r>
      <w:r w:rsidR="00961548" w:rsidRPr="00737D20">
        <w:rPr>
          <w:rFonts w:cstheme="minorHAnsi"/>
          <w:vertAlign w:val="superscript"/>
        </w:rPr>
        <w:fldChar w:fldCharType="begin" w:fldLock="1"/>
      </w:r>
      <w:r w:rsidR="00F81397">
        <w:rPr>
          <w:rFonts w:cstheme="minorHAnsi"/>
          <w:vertAlign w:val="superscript"/>
        </w:rPr>
        <w:instrText>ADDIN CSL_CITATION {"citationItems":[{"id":"ITEM-1","itemData":{"DOI":"10.2174/1385272033486512","ISSN":"13852728","author":[{"dropping-particle":"","family":"Gryszkiewicz-Wojtkielewicz","given":"A.","non-dropping-particle":"","parse-names":false,"suffix":""},{"dropping-particle":"","family":"Jastrzebska","given":"I.","non-dropping-particle":"","parse-names":false,"suffix":""},{"dropping-particle":"","family":"Morzycki","given":"J.","non-dropping-particle":"","parse-names":false,"suffix":""},{"dropping-particle":"","family":"Romanowska","given":"D.","non-dropping-particle":"","parse-names":false,"suffix":""}],"container-title":"Current Organic Chemistry","id":"ITEM-1","issue":"12","issued":{"date-parts":[["2003","8","1"]]},"page":"1257-1277","title":"Approaches Towards the Synthesis of Cephalostatins, Ritterazines and Saponins from Ornithogalum saundersiae - New Natural Products With Cytostatic Activity","type":"article-journal","volume":"7"},"uris":["http://www.mendeley.com/documents/?uuid=a438e717-d143-3598-a530-3d7cc9fefe33"]}],"mendeley":{"formattedCitation":"(141)","plainTextFormattedCitation":"(141)","previouslyFormattedCitation":"(141)"},"properties":{"noteIndex":0},"schema":"https://github.com/citation-style-language/schema/raw/master/csl-citation.json"}</w:instrText>
      </w:r>
      <w:r w:rsidR="00961548" w:rsidRPr="00737D20">
        <w:rPr>
          <w:rFonts w:cstheme="minorHAnsi"/>
          <w:vertAlign w:val="superscript"/>
        </w:rPr>
        <w:fldChar w:fldCharType="separate"/>
      </w:r>
      <w:r w:rsidR="005D2ADA" w:rsidRPr="005D2ADA">
        <w:rPr>
          <w:rFonts w:cstheme="minorHAnsi"/>
          <w:noProof/>
        </w:rPr>
        <w:t>(141)</w:t>
      </w:r>
      <w:r w:rsidR="00961548" w:rsidRPr="00737D20">
        <w:rPr>
          <w:rFonts w:cstheme="minorHAnsi"/>
          <w:vertAlign w:val="superscript"/>
        </w:rPr>
        <w:fldChar w:fldCharType="end"/>
      </w:r>
      <w:r w:rsidR="00961548" w:rsidRPr="00737D20">
        <w:rPr>
          <w:rFonts w:cstheme="minorHAnsi"/>
        </w:rPr>
        <w:t>.</w:t>
      </w:r>
    </w:p>
    <w:p w:rsidR="004C4888" w:rsidRDefault="004C4888" w:rsidP="00FB099D">
      <w:pPr>
        <w:keepNext/>
        <w:jc w:val="both"/>
      </w:pPr>
      <w:r>
        <w:rPr>
          <w:b/>
          <w:noProof/>
          <w:szCs w:val="28"/>
          <w:lang w:bidi="ar-SA"/>
        </w:rPr>
        <w:drawing>
          <wp:inline distT="0" distB="0" distL="0" distR="0" wp14:anchorId="325C5B3C" wp14:editId="1C24E271">
            <wp:extent cx="5394960" cy="5121718"/>
            <wp:effectExtent l="19050" t="19050" r="15240" b="222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4960" cy="5121718"/>
                    </a:xfrm>
                    <a:prstGeom prst="rect">
                      <a:avLst/>
                    </a:prstGeom>
                    <a:noFill/>
                    <a:ln>
                      <a:solidFill>
                        <a:schemeClr val="tx1"/>
                      </a:solidFill>
                    </a:ln>
                  </pic:spPr>
                </pic:pic>
              </a:graphicData>
            </a:graphic>
          </wp:inline>
        </w:drawing>
      </w:r>
    </w:p>
    <w:p w:rsidR="004C4888" w:rsidRDefault="00A841B4" w:rsidP="00FB099D">
      <w:pPr>
        <w:pStyle w:val="Caption"/>
        <w:jc w:val="both"/>
      </w:pPr>
      <w:bookmarkStart w:id="70" w:name="_Ref530242309"/>
      <w:bookmarkStart w:id="71" w:name="_Toc530673936"/>
      <w:r w:rsidRPr="00A841B4">
        <w:t>Figure</w:t>
      </w:r>
      <w:r w:rsidR="004C4888">
        <w:t xml:space="preserve"> </w:t>
      </w:r>
      <w:fldSimple w:instr=" SEQ Figure \* ARABIC ">
        <w:r w:rsidR="00E2070A">
          <w:rPr>
            <w:noProof/>
          </w:rPr>
          <w:t>11</w:t>
        </w:r>
      </w:fldSimple>
      <w:bookmarkEnd w:id="70"/>
      <w:r w:rsidR="004C4888">
        <w:t>: Structures of Cephalostatin 1 and Ritterazine B.</w:t>
      </w:r>
      <w:bookmarkEnd w:id="71"/>
    </w:p>
    <w:p w:rsidR="004C4888" w:rsidRPr="004C4888" w:rsidRDefault="004C4888" w:rsidP="00FB099D">
      <w:pPr>
        <w:jc w:val="both"/>
      </w:pPr>
    </w:p>
    <w:p w:rsidR="00961548" w:rsidRPr="000C47E5" w:rsidRDefault="00961548" w:rsidP="00042529">
      <w:pPr>
        <w:pStyle w:val="Heading3"/>
      </w:pPr>
      <w:bookmarkStart w:id="72" w:name="_Toc532553088"/>
      <w:r w:rsidRPr="000C47E5">
        <w:t>Itraconazole</w:t>
      </w:r>
      <w:bookmarkEnd w:id="72"/>
    </w:p>
    <w:p w:rsidR="00961548" w:rsidRDefault="00961548" w:rsidP="00FB099D">
      <w:pPr>
        <w:ind w:firstLine="720"/>
        <w:jc w:val="both"/>
        <w:rPr>
          <w:rFonts w:cstheme="minorHAnsi"/>
        </w:rPr>
      </w:pPr>
      <w:r w:rsidRPr="00737D20">
        <w:rPr>
          <w:rFonts w:cstheme="minorHAnsi"/>
        </w:rPr>
        <w:t xml:space="preserve">Itraconazole (ITZ) </w:t>
      </w:r>
      <w:r w:rsidR="004C4888">
        <w:rPr>
          <w:rFonts w:cstheme="minorHAnsi"/>
        </w:rPr>
        <w:t>(</w:t>
      </w:r>
      <w:r w:rsidR="004C4888" w:rsidRPr="00FB099D">
        <w:rPr>
          <w:rFonts w:cstheme="minorHAnsi"/>
          <w:b/>
        </w:rPr>
        <w:fldChar w:fldCharType="begin"/>
      </w:r>
      <w:r w:rsidR="004C4888" w:rsidRPr="00FB099D">
        <w:rPr>
          <w:rFonts w:cstheme="minorHAnsi"/>
          <w:b/>
        </w:rPr>
        <w:instrText xml:space="preserve"> REF _Ref530242379 \h </w:instrText>
      </w:r>
      <w:r w:rsidR="001B3703" w:rsidRPr="00FB099D">
        <w:rPr>
          <w:rFonts w:cstheme="minorHAnsi"/>
          <w:b/>
        </w:rPr>
        <w:instrText xml:space="preserve"> \* MERGEFORMAT </w:instrText>
      </w:r>
      <w:r w:rsidR="004C4888" w:rsidRPr="00FB099D">
        <w:rPr>
          <w:rFonts w:cstheme="minorHAnsi"/>
          <w:b/>
        </w:rPr>
      </w:r>
      <w:r w:rsidR="004C4888" w:rsidRPr="00FB099D">
        <w:rPr>
          <w:rFonts w:cstheme="minorHAnsi"/>
          <w:b/>
        </w:rPr>
        <w:fldChar w:fldCharType="separate"/>
      </w:r>
      <w:r w:rsidR="00E2070A" w:rsidRPr="00E2070A">
        <w:rPr>
          <w:b/>
        </w:rPr>
        <w:t xml:space="preserve">Figure </w:t>
      </w:r>
      <w:r w:rsidR="00E2070A" w:rsidRPr="00E2070A">
        <w:rPr>
          <w:b/>
          <w:noProof/>
        </w:rPr>
        <w:t>12</w:t>
      </w:r>
      <w:r w:rsidR="004C4888" w:rsidRPr="00FB099D">
        <w:rPr>
          <w:rFonts w:cstheme="minorHAnsi"/>
          <w:b/>
        </w:rPr>
        <w:fldChar w:fldCharType="end"/>
      </w:r>
      <w:r w:rsidR="004C4888">
        <w:rPr>
          <w:rFonts w:cstheme="minorHAnsi"/>
        </w:rPr>
        <w:t xml:space="preserve">) </w:t>
      </w:r>
      <w:r w:rsidR="00D8382E">
        <w:rPr>
          <w:rFonts w:cstheme="minorHAnsi"/>
        </w:rPr>
        <w:t>is a synthetic triazole</w:t>
      </w:r>
      <w:r w:rsidRPr="00737D20">
        <w:rPr>
          <w:rFonts w:cstheme="minorHAnsi"/>
        </w:rPr>
        <w:t xml:space="preserve"> created in 1983 by a division at Janssen Pharmaceutica in Belgium </w:t>
      </w:r>
      <w:r w:rsidR="00D8382E">
        <w:rPr>
          <w:rFonts w:cstheme="minorHAnsi"/>
        </w:rPr>
        <w:t>as a</w:t>
      </w:r>
      <w:r w:rsidRPr="00737D20">
        <w:rPr>
          <w:rFonts w:cstheme="minorHAnsi"/>
        </w:rPr>
        <w:t xml:space="preserve"> broad spectrum anti-fungal</w:t>
      </w:r>
      <w:r w:rsidR="00D8382E">
        <w:rPr>
          <w:rFonts w:cstheme="minorHAnsi"/>
        </w:rPr>
        <w:t xml:space="preserve"> agent</w:t>
      </w:r>
      <w:r w:rsidRPr="00737D20">
        <w:rPr>
          <w:rFonts w:cstheme="minorHAnsi"/>
          <w:vertAlign w:val="superscript"/>
        </w:rPr>
        <w:fldChar w:fldCharType="begin" w:fldLock="1"/>
      </w:r>
      <w:r w:rsidR="00F81397">
        <w:rPr>
          <w:rFonts w:cstheme="minorHAnsi"/>
          <w:vertAlign w:val="superscript"/>
        </w:rPr>
        <w:instrText>ADDIN CSL_CITATION {"citationItems":[{"id":"ITEM-1","itemData":{"DOI":"10.1111/j.1365-2133.1986.tb04879.x","ISSN":"13652133","PMID":"3013271","abstract":"Itraconazole, a new orally active triazole antifungal, has been tested in patients with pityriasis versicolor. A comparison of different dose schedules was carried out in 73 patients. A regime of 100 mg itraconazole daily for 15 days gave a 100% response rate; 200 mg daily for 5 days gave an 80% response rate. Two patients, who had received 50 mg itraconazole for 14 days, relapsed within 2 months of finishing treatment. Only two patients reported minor side-effects.","author":[{"dropping-particle":"","family":"DELESCLUSE","given":"J.","non-dropping-particle":"","parse-names":false,"suffix":""},{"dropping-particle":"","family":"CAUWENBERGH","given":"G.","non-dropping-particle":"","parse-names":false,"suffix":""},{"dropping-particle":"","family":"DEGREEF","given":"H.","non-dropping-particle":"","parse-names":false,"suffix":""}],"container-title":"British Journal of Dermatology","id":"ITEM-1","issue":"6","issued":{"date-parts":[["1986"]]},"page":"701-703","title":"Itraconazole, a new orally active antifungal, in the treatment of pityriasis versicolor","type":"article-journal","volume":"114"},"uris":["http://www.mendeley.com/documents/?uuid=9add7d0d-f4a5-4f7e-a39a-df8efa220a8a"]},{"id":"ITEM-2","itemData":{"DOI":"10.1128/AAC.26.4.527","ISBN":"0066-4804 (Print)\\r0066-4804 (Linking)","ISSN":"00664804","PMID":"6097167","abstract":"Itraconazole is a new orally active triazole derivative with broad-spectrum antifungal activity. This drug is effective in experimental aspergillosis and possesses in vitro activity against various species and strains of Aspergillus. Morphological destruction of inoculated hyphae and complete inhibition of hyphal outgrowth in culture is obtained from 0.07 micrograms ml-1 (10(-7)M) onward. These properties make itraconazole a likely candidate for clinical evaluation in disseminated aspergillosis.","author":[{"dropping-particle":"","family":"Cutsem","given":"J.","non-dropping-particle":"Van","parse-names":false,"suffix":""},{"dropping-particle":"","family":"Gerven","given":"F.","non-dropping-particle":"Van","parse-names":false,"suffix":""},{"dropping-particle":"","family":"Ven","given":"M. A.","non-dropping-particle":"Van de","parse-names":false,"suffix":""}],"container-title":"Antimicrobial Agents and Chemotherapy","id":"ITEM-2","issue":"4","issued":{"date-parts":[["1984"]]},"page":"527-534","title":"Itraconazole, a new triazole that is orally active in aspergillosis","type":"article-journal","volume":"26"},"uris":["http://www.mendeley.com/documents/?uuid=0d89976d-4e2f-47c6-abf8-683f34f7a666"]}],"mendeley":{"formattedCitation":"(142, 143)","plainTextFormattedCitation":"(142, 143)","previouslyFormattedCitation":"(142, 143)"},"properties":{"noteIndex":0},"schema":"https://github.com/citation-style-language/schema/raw/master/csl-citation.json"}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(142, 143)</w:t>
      </w:r>
      <w:r w:rsidRPr="00737D20">
        <w:rPr>
          <w:rFonts w:cstheme="minorHAnsi"/>
          <w:vertAlign w:val="superscript"/>
        </w:rPr>
        <w:fldChar w:fldCharType="end"/>
      </w:r>
      <w:r w:rsidRPr="00737D20">
        <w:rPr>
          <w:rFonts w:cstheme="minorHAnsi"/>
        </w:rPr>
        <w:t xml:space="preserve">. The </w:t>
      </w:r>
      <w:r w:rsidR="00D8382E">
        <w:rPr>
          <w:rFonts w:cstheme="minorHAnsi"/>
        </w:rPr>
        <w:t xml:space="preserve">anti-fungal </w:t>
      </w:r>
      <w:r w:rsidRPr="00737D20">
        <w:rPr>
          <w:rFonts w:cstheme="minorHAnsi"/>
        </w:rPr>
        <w:t>mechanism of action of ITZ is by inhibiting the cytochrome P450 34A enzyme responsible for synthesizing ergosterol, which is a</w:t>
      </w:r>
      <w:r w:rsidR="00D8382E">
        <w:rPr>
          <w:rFonts w:cstheme="minorHAnsi"/>
        </w:rPr>
        <w:t>n essential fungal</w:t>
      </w:r>
      <w:r w:rsidRPr="00737D20">
        <w:rPr>
          <w:rFonts w:cstheme="minorHAnsi"/>
        </w:rPr>
        <w:t xml:space="preserve"> sterol</w:t>
      </w:r>
      <w:r w:rsidR="00D8382E" w:rsidRPr="00737D20">
        <w:rPr>
          <w:rFonts w:cstheme="minorHAnsi"/>
          <w:vertAlign w:val="superscript"/>
        </w:rPr>
        <w:t xml:space="preserve"> </w:t>
      </w:r>
      <w:r w:rsidRPr="00737D20">
        <w:rPr>
          <w:rFonts w:cstheme="minorHAnsi"/>
          <w:vertAlign w:val="superscript"/>
        </w:rPr>
        <w:fldChar w:fldCharType="begin" w:fldLock="1"/>
      </w:r>
      <w:r w:rsidR="00F81397">
        <w:rPr>
          <w:rFonts w:cstheme="minorHAnsi"/>
          <w:vertAlign w:val="superscript"/>
        </w:rPr>
        <w:instrText>ADDIN CSL_CITATION {"citationItems":[{"id":"ITEM-1","itemData":{"DOI":"10.1517/17425255.2013.794785","ISSN":"1742-5255","author":[{"dropping-particle":"","family":"Lestner","given":"Jodi","non-dropping-particle":"","parse-names":false,"suffix":""},{"dropping-particle":"","family":"Hope","given":"William W","non-dropping-particle":"","parse-names":false,"suffix":""}],"container-title":"Expert Opinion on Drug Metabolism &amp; Toxicology","id":"ITEM-1","issue":"7","issued":{"date-parts":[["2013","7","6"]]},"page":"911-926","title":"Itraconazole: an update on pharmacology and clinical use for treatment of invasive and allergic fungal infections","type":"article-journal","volume":"9"},"uris":["http://www.mendeley.com/documents/?uuid=0aaf5129-680a-399f-ab8b-2a89d44d2d0a"]}],"mendeley":{"formattedCitation":"(144)","plainTextFormattedCitation":"(144)","previouslyFormattedCitation":"(144)"},"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(144)</w:t>
      </w:r>
      <w:r w:rsidRPr="00737D20">
        <w:rPr>
          <w:rFonts w:cstheme="minorHAnsi"/>
          <w:vertAlign w:val="superscript"/>
        </w:rPr>
        <w:fldChar w:fldCharType="end"/>
      </w:r>
      <w:r w:rsidRPr="00737D20">
        <w:rPr>
          <w:rFonts w:cstheme="minorHAnsi"/>
        </w:rPr>
        <w:t xml:space="preserve">. ITZ gained FDA approval for </w:t>
      </w:r>
      <w:r w:rsidRPr="00737D20">
        <w:rPr>
          <w:rFonts w:cstheme="minorHAnsi"/>
        </w:rPr>
        <w:lastRenderedPageBreak/>
        <w:t>anti-fungal use in 2001</w:t>
      </w:r>
      <w:r w:rsidRPr="00737D20">
        <w:rPr>
          <w:rFonts w:cstheme="minorHAnsi"/>
          <w:vertAlign w:val="superscript"/>
        </w:rPr>
        <w:fldChar w:fldCharType="begin" w:fldLock="1"/>
      </w:r>
      <w:r w:rsidR="00F81397">
        <w:rPr>
          <w:rFonts w:cstheme="minorHAnsi"/>
          <w:vertAlign w:val="superscript"/>
        </w:rPr>
        <w:instrText>ADDIN CSL_CITATION {"citationItems":[{"id":"ITEM-1","itemData":{"URL":"https://www.accessdata.fda.gov/drugsatfda_docs/nda/2001/20-966S001_Sporanox.cfm","accessed":{"date-parts":[["2018","10","21"]]},"author":[{"dropping-particle":"","family":"U.S. Food &amp; Drug Administration","given":"","non-dropping-particle":"","parse-names":false,"suffix":""}],"id":"ITEM-1","issued":{"date-parts":[["0"]]},"title":"Drug Approval Package","type":"webpage"},"uris":["http://www.mendeley.com/documents/?uuid=24860b84-f2bf-35a1-9aed-d469268d19df"]}],"mendeley":{"formattedCitation":"(145)","plainTextFormattedCitation":"(145)","previouslyFormattedCitation":"(145)"},"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(145)</w:t>
      </w:r>
      <w:r w:rsidRPr="00737D20">
        <w:rPr>
          <w:rFonts w:cstheme="minorHAnsi"/>
          <w:vertAlign w:val="superscript"/>
        </w:rPr>
        <w:fldChar w:fldCharType="end"/>
      </w:r>
      <w:r w:rsidR="00D8382E">
        <w:rPr>
          <w:rFonts w:cstheme="minorHAnsi"/>
        </w:rPr>
        <w:t>.</w:t>
      </w:r>
      <w:r w:rsidRPr="00737D20">
        <w:rPr>
          <w:rFonts w:cstheme="minorHAnsi"/>
        </w:rPr>
        <w:t xml:space="preserve"> </w:t>
      </w:r>
      <w:r w:rsidR="00D8382E">
        <w:rPr>
          <w:rFonts w:cstheme="minorHAnsi"/>
        </w:rPr>
        <w:t>ITZ</w:t>
      </w:r>
      <w:r w:rsidRPr="00737D20">
        <w:rPr>
          <w:rFonts w:cstheme="minorHAnsi"/>
        </w:rPr>
        <w:t xml:space="preserve"> has been </w:t>
      </w:r>
      <w:r w:rsidR="00D8382E">
        <w:rPr>
          <w:rFonts w:cstheme="minorHAnsi"/>
        </w:rPr>
        <w:t>identified as a hit</w:t>
      </w:r>
      <w:r w:rsidRPr="00737D20">
        <w:rPr>
          <w:rFonts w:cstheme="minorHAnsi"/>
        </w:rPr>
        <w:t xml:space="preserve"> in </w:t>
      </w:r>
      <w:r w:rsidR="00D8382E">
        <w:rPr>
          <w:rFonts w:cstheme="minorHAnsi"/>
        </w:rPr>
        <w:t xml:space="preserve">drug </w:t>
      </w:r>
      <w:r w:rsidRPr="00737D20">
        <w:rPr>
          <w:rFonts w:cstheme="minorHAnsi"/>
        </w:rPr>
        <w:t>repurposing screen</w:t>
      </w:r>
      <w:r w:rsidR="00D8382E">
        <w:rPr>
          <w:rFonts w:cstheme="minorHAnsi"/>
        </w:rPr>
        <w:t>s</w:t>
      </w:r>
      <w:r w:rsidRPr="00737D20">
        <w:rPr>
          <w:rFonts w:cstheme="minorHAnsi"/>
        </w:rPr>
        <w:t xml:space="preserve"> for anti-cancer and antiviral compounds</w:t>
      </w:r>
      <w:r w:rsidRPr="00737D20">
        <w:rPr>
          <w:rFonts w:cstheme="minorHAnsi"/>
          <w:vertAlign w:val="superscript"/>
        </w:rPr>
        <w:fldChar w:fldCharType="begin" w:fldLock="1"/>
      </w:r>
      <w:r w:rsidR="00F81397">
        <w:rPr>
          <w:rFonts w:cstheme="minorHAnsi"/>
          <w:vertAlign w:val="superscript"/>
        </w:rPr>
        <w:instrText>ADDIN CSL_CITATION {"citationItems":[{"id":"ITEM-1","itemData":{"DOI":"10.3892/ol.2017.6569","ISSN":"17921082","PMID":"28927025","abstract":"The repurposing of drugs is becoming increasingly attractive as it avoids the lengthy process and cost implications associated with bringing a novel drug to market. Itraconazole is a broad-spectrum anti-fungal agent. An emerging body of in vivo, in vitro and clinical evidence have confirmed that it also possesses antineoplastic activities and has a synergistic action when combined with other chemotherapeutic agents. It acts via several mechanisms to prevent tumour growth, including inhibition of the Hedgehog pathway, prevention of angiogenesis, decreased endothelial cell proliferation, cell cycle arrest and induction of auto-phagocytosis. These allow itraconazole, either alone or in combination with other cytotoxic agents, to increase drug efficacy and overcome drug resistance. This study reviews the reported literature on the use of itraconazole in a variety of malignancies and highlights the recent insights into the critical pathways acted upon to prevent tumour growth.","author":[{"dropping-particle":"","family":"Pounds","given":"Rachel","non-dropping-particle":"","parse-names":false,"suffix":""},{"dropping-particle":"","family":"Leonard","given":"Sarah","non-dropping-particle":"","parse-names":false,"suffix":""},{"dropping-particle":"","family":"Dawson","given":"Christopher","non-dropping-particle":"","parse-names":false,"suffix":""},{"dropping-particle":"","family":"Kehoe","given":"Sean","non-dropping-particle":"","parse-names":false,"suffix":""}],"container-title":"Oncology Letters","id":"ITEM-1","issue":"3","issued":{"date-parts":[["2017"]]},"page":"2587-2597","title":"Repurposing itraconazole for the treatment of cancer (review)","type":"article-journal","volume":"14"},"uris":["http://www.mendeley.com/documents/?uuid=552ef885-ef98-489a-915f-92889f9fe71b"]},{"id":"ITEM-2","itemData":{"DOI":"10.1128/AAC.05108-14","ISSN":"10986596","PMID":"25691649","abstract":"There is currently no approved antiviral therapy for the prophylaxis or treatment of enterovirus infections, which remain a substantial threat to public health. To discover inhibitors that can be immediately repurposed for treatment of enterovirus infections, we developed a high-throughput screening assay that measures the cytopathic effect induced by enterovirus 71 (EV71) to screen an FDA-approved drug library. Itraconazole (ITZ), a triazole antifungal agent, was identified as an effective inhibitor of EV71 replication in the low-micromolar range (50% effective concentrations [EC50s], 1.15 μM). Besides EV71, the compound also inhibited other enteroviruses, including coxsackievirus A16, coxsackievirus B3, poliovirus 1, and enterovirus 68. Study of the mechanism of action by time-of-addition assay and transient-replicon assay revealed that ITZ targeted a step involved in RNA replication or polyprotein processing. We found that the mutations (G5213U and U5286C) conferring the resistance to the compound were in nonstructural protein 3A, and we confirmed the target amino acid substitutions (3A V51L and 3A V75A) using a reverse genetic approach. Interestingly, posaconazole, a new oral azole with a molecular structure similar to that of ITZ, also exhibited anti-EV71 activity. Moreover, ITZ-resistant viruses do not exhibit cross-resistance to posaconazole or the enviroxime-like compound GW5074, which also targets the 3A region, indicating that they may target a specific site(s) in viral genome. Although the protective activity of ITZ or posaconazole (alone or in combination with other antivirals) remains to be assessed in animal models, our findings may represent an opportunity to develop therapeutic interventions for enterovirus infection.","author":[{"dropping-particle":"","family":"Gao","given":"Qianqian","non-dropping-particle":"","parse-names":false,"suffix":""},{"dropping-particle":"","family":"Yuan","given":"Shilin","non-dropping-particle":"","parse-names":false,"suffix":""},{"dropping-particle":"","family":"Zhang","given":"Chao","non-dropping-particle":"","parse-names":false,"suffix":""},{"dropping-particle":"","family":"Wang","given":"Ying","non-dropping-particle":"","parse-names":false,"suffix":""},{"dropping-particle":"","family":"Wang","given":"Yizhuo","non-dropping-particle":"","parse-names":false,"suffix":""},{"dropping-particle":"","family":"He","given":"Guimei","non-dropping-particle":"","parse-names":false,"suffix":""},{"dropping-particle":"","family":"Zhang","given":"Shuyi","non-dropping-particle":"","parse-names":false,"suffix":""},{"dropping-particle":"","family":"Altmeyer","given":"Ralf","non-dropping-particle":"","parse-names":false,"suffix":""},{"dropping-particle":"","family":"Zou","given":"Gang","non-dropping-particle":"","parse-names":false,"suffix":""}],"container-title":"Antimicrobial Agents and Chemotherapy","id":"ITEM-2","issue":"5","issued":{"date-parts":[["2015"]]},"page":"2654-2665","title":"Discovery of itraconazole with broad-spectrum in vitro antienterovirus activity that targets nonstructural protein 3A","type":"article-journal","volume":"59"},"uris":["http://www.mendeley.com/documents/?uuid=8f4afcff-bcc2-4e20-89e6-3e830acec2eb"]}],"mendeley":{"formattedCitation":"(146, 147)","plainTextFormattedCitation":"(146, 147)","previouslyFormattedCitation":"(146, 147)"},"properties":{"noteIndex":0},"schema":"https://github.com/citation-style-language/schema/raw/master/csl-citation.json"}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(146, 147)</w:t>
      </w:r>
      <w:r w:rsidRPr="00737D20">
        <w:rPr>
          <w:rFonts w:cstheme="minorHAnsi"/>
          <w:vertAlign w:val="superscript"/>
        </w:rPr>
        <w:fldChar w:fldCharType="end"/>
      </w:r>
      <w:r w:rsidRPr="00737D20">
        <w:rPr>
          <w:rFonts w:cstheme="minorHAnsi"/>
        </w:rPr>
        <w:t>. The anti-cancer activity of ITZ, which is separate from its anti-fungal activity, stems from its ability to inhibit both angiogenesis through the process of disruption of mTOR signaling and vascular endothelial growth factor receptor 2 trafficking, and</w:t>
      </w:r>
      <w:r w:rsidR="00D8382E">
        <w:rPr>
          <w:rFonts w:cstheme="minorHAnsi"/>
        </w:rPr>
        <w:t xml:space="preserve"> also through effecting the</w:t>
      </w:r>
      <w:r w:rsidRPr="00737D20">
        <w:rPr>
          <w:rFonts w:cstheme="minorHAnsi"/>
        </w:rPr>
        <w:t xml:space="preserve"> hedgehog pathway signaling</w:t>
      </w:r>
      <w:r w:rsidRPr="00737D20">
        <w:rPr>
          <w:rFonts w:cstheme="minorHAnsi"/>
          <w:vertAlign w:val="superscript"/>
        </w:rPr>
        <w:fldChar w:fldCharType="begin" w:fldLock="1"/>
      </w:r>
      <w:r w:rsidR="00F81397">
        <w:rPr>
          <w:rFonts w:cstheme="minorHAnsi"/>
          <w:vertAlign w:val="superscript"/>
        </w:rPr>
        <w:instrText>ADDIN CSL_CITATION {"citationItems":[{"id":"ITEM-1","itemData":{"DOI":"10.1073/pnas.0910872107","ISBN":"1091-6490 (Electronic)$\\$r0027-8424 (Linking)","ISSN":"0027-8424","PMID":"20176935","abstract":"Mammalian target of rapamycin (mTOR) constitutes a nodal point of a signaling network that regulates cell growth and proliferation in response to various environmental cues ranging from growth factor stimulation to nutrients to stress. Whether mTOR is also affected by cholesterol homeostasis, however, has remained unknown. We report that blockade of cholesterol trafficking through lysosome by a newly identified inhibitor of angiogenesis, itraconazole, leads to inhibition of mTOR activity in endothelial cells. Inhibition of mTOR by itraconazole but not rapamycin can be partially restored by extracellular cholesterol delivered by cyclodextrin. Moreover, other known inhibitors of endosomal/lysosomal cholesterol trafficking as well as siRNA knockdown of Niemann-Pick disease type C (NPC) 1 and NPC2 also cause inhibition of mTOR in endothelial cells. In addition, both the accumulation of cholesterol in the lysosome and inhibition of mTOR caused by itraconazole can be reversed by thapsigarin. These observations suggest that mTOR is likely to be involved in sensing membrane sterol concentrations in endothelial cells, and the cholesterol trafficking pathway is a promising target for the discovery of inhibitors of angiogenesis.","author":[{"dropping-particle":"","family":"Xu","given":"J","non-dropping-particle":"","parse-names":false,"suffix":""},{"dropping-particle":"","family":"Dang","given":"Y","non-dropping-particle":"","parse-names":false,"suffix":""},{"dropping-particle":"","family":"Ren","given":"Y R","non-dropping-particle":"","parse-names":false,"suffix":""},{"dropping-particle":"","family":"Liu","given":"J O","non-dropping-particle":"","parse-names":false,"suffix":""}],"container-title":"Proceedings of the National Academy of Sciences","id":"ITEM-1","issue":"10","issued":{"date-parts":[["2010"]]},"page":"4764-4769","title":"Cholesterol trafficking is required for mTOR activation in endothelial cells","type":"article-journal","volume":"107"},"uris":["http://www.mendeley.com/documents/?uuid=91e1599b-5173-4cc8-bf30-0080bf03bda6"]},{"id":"ITEM-2","itemData":{"DOI":"10.1074/jbc.M111.278754","ISBN":"1083-351X (Electronic)\\r0021-9258 (Linking)","ISSN":"00219258","PMID":"22025615","abstract":"Itraconazole is a safe and widely used antifungal drug that was recently found to possess potent antiangiogenic activity. Currently, there are four active clinical trials evaluating itraconazole as a cancer therapeutic. Tumor growth is dependent on angiogenesis, which is driven by the secretion of growth factors from the tumor itself. We report here that itraconazole significantly inhibited the binding of vascular endothelial growth factor (VEGF) to VEGF receptor 2 (VEGFR2) and that both VEGFR2 and an immediate downstream substrate, phospholipase C γ1, failed to become activated after VEGF stimulation. These effects were due to a defect in VEGFR2 trafficking, leading to a decrease in cell surface expression, and were associated with the accumulation of immature N-glycans on VEGFR2. Small molecule inducers of lysosomal cholesterol accumulation and mammalian target of rapamycin (mTOR) inhibition, two previously reported itraconazole activities, failed to recapitulate itraconazole's effects on VEGFR2 glycosylation and signaling. Likewise, glycosylation inhibitors did not alter cholesterol trafficking or inhibit mTOR. Repletion of cellular cholesterol levels, which was known to rescue the effects of itraconazole on mTOR and cholesterol trafficking, was also able to restore VEGFR2 glycosylation and signaling. This suggests that the new effects of itraconazole occur in parallel to those previously reported but are downstream of a common target. We also demonstrated that itraconazole globally reduced poly-N-acetyllactosamine and tetra-antennary complex N-glycans in endothelial cells and induced hypoglycosylation of the epidermal growth factor receptor in a renal cell carcinoma line, suggesting that itraconazole's effects extend beyond VEGFR2.","author":[{"dropping-particle":"","family":"Nacev","given":"Benjamin A.","non-dropping-particle":"","parse-names":false,"suffix":""},{"dropping-particle":"","family":"Grassi","given":"Paola","non-dropping-particle":"","parse-names":false,"suffix":""},{"dropping-particle":"","family":"Dell","given":"Anne","non-dropping-particle":"","parse-names":false,"suffix":""},{"dropping-particle":"","family":"Haslam","given":"Stuart M.","non-dropping-particle":"","parse-names":false,"suffix":""},{"dropping-particle":"","family":"Liu","given":"Jun O.","non-dropping-particle":"","parse-names":false,"suffix":""}],"container-title":"Journal of Biological Chemistry","id":"ITEM-2","issue":"51","issued":{"date-parts":[["2011"]]},"page":"44045-44056","title":"The antifungal drug itraconazole inhibits Vascular Endothelial Growth Factor Receptor 2 (VEGFR2) glycosylation, trafficking, and signaling in endothelial cells","type":"article-journal","volume":"286"},"uris":["http://www.mendeley.com/documents/?uuid=91c123dc-af15-4b7c-96af-af60e2b6329f"]},{"id":"ITEM-3","itemData":{"DOI":"10.1016/j.ccr.2010.02.027","ISBN":"1878-3686 (Electronic)\\n1535-6108 (Linking)","ISSN":"15356108","PMID":"20385363","abstract":"In a screen of drugs previously tested in humans we identified itraconazole, a systemic antifungal, as a potent antagonist of the Hedgehog (Hh) signaling pathway that acts by a mechanism distinct from its inhibitory effect on fungal sterol biosynthesis. Systemically administered itraconazole, like other Hh pathway antagonists, can suppress Hh pathway activity and the growth of medulloblastoma in a mouse allograft model and does so at serum levels comparable to those in patients undergoing antifungal therapy. Mechanistically, itraconazole appears to act on the essential Hh pathway component Smoothened (SMO) by a mechanism distinct from that of cyclopamine and other known SMO antagonists, and prevents the ciliary accumulation of SMO normally caused by Hh stimulation. © 2010 Elsevier Inc. All rights reserved.","author":[{"dropping-particle":"","family":"Kim","given":"James","non-dropping-particle":"","parse-names":false,"suffix":""},{"dropping-particle":"","family":"Tang","given":"Jean Y.","non-dropping-particle":"","parse-names":false,"suffix":""},{"dropping-particle":"","family":"Gong","given":"Ruoyu","non-dropping-particle":"","parse-names":false,"suffix":""},{"dropping-particle":"","family":"Kim","given":"Jynho","non-dropping-particle":"","parse-names":false,"suffix":""},{"dropping-particle":"","family":"Lee","given":"John J.","non-dropping-particle":"","parse-names":false,"suffix":""},{"dropping-particle":"V.","family":"Clemons","given":"Karl","non-dropping-particle":"","parse-names":false,"suffix":""},{"dropping-particle":"","family":"Chong","given":"Curtis R.","non-dropping-particle":"","parse-names":false,"suffix":""},{"dropping-particle":"","family":"Chang","given":"Kris S.","non-dropping-particle":"","parse-names":false,"suffix":""},{"dropping-particle":"","family":"Fereshteh","given":"Mark","non-dropping-particle":"","parse-names":false,"suffix":""},{"dropping-particle":"","family":"Gardner","given":"Dale","non-dropping-particle":"","parse-names":false,"suffix":""},{"dropping-particle":"","family":"Reya","given":"Tannishtha","non-dropping-particle":"","parse-names":false,"suffix":""},{"dropping-particle":"","family":"Liu","given":"Jun O.","non-dropping-particle":"","parse-names":false,"suffix":""},{"dropping-particle":"","family":"Epstein","given":"Ervin H.","non-dropping-particle":"","parse-names":false,"suffix":""},{"dropping-particle":"","family":"Stevens","given":"David A.","non-dropping-particle":"","parse-names":false,"suffix":""},{"dropping-particle":"","family":"Beachy","given":"Philip A.","non-dropping-particle":"","parse-names":false,"suffix":""}],"container-title":"Cancer Cell","id":"ITEM-3","issue":"4","issued":{"date-parts":[["2010"]]},"page":"388-399","publisher":"Elsevier Ltd","title":"Itraconazole, a Commonly Used Antifungal that Inhibits Hedgehog Pathway Activity and Cancer Growth","type":"article-journal","volume":"17"},"uris":["http://www.mendeley.com/documents/?uuid=a7167491-cd76-44ba-a480-dd643c0588e0"]}],"mendeley":{"formattedCitation":"(148–150)","plainTextFormattedCitation":"(148–150)","previouslyFormattedCitation":"(148–150)"},"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(148–150)</w:t>
      </w:r>
      <w:r w:rsidRPr="00737D20">
        <w:rPr>
          <w:rFonts w:cstheme="minorHAnsi"/>
          <w:vertAlign w:val="superscript"/>
        </w:rPr>
        <w:fldChar w:fldCharType="end"/>
      </w:r>
      <w:r w:rsidRPr="00737D20">
        <w:rPr>
          <w:rFonts w:cstheme="minorHAnsi"/>
        </w:rPr>
        <w:t xml:space="preserve">. ITZ’s ability to broadly inhibit virus replication is independent of </w:t>
      </w:r>
      <w:r w:rsidR="00D8382E">
        <w:rPr>
          <w:rFonts w:cstheme="minorHAnsi"/>
        </w:rPr>
        <w:t xml:space="preserve">its </w:t>
      </w:r>
      <w:r w:rsidRPr="00737D20">
        <w:rPr>
          <w:rFonts w:cstheme="minorHAnsi"/>
        </w:rPr>
        <w:t>anti-fungal and anti-cancer activities, and it occurs through inhibiting OSBP and possibly ORP4</w:t>
      </w:r>
      <w:r w:rsidRPr="00737D20">
        <w:rPr>
          <w:rFonts w:cstheme="minorHAnsi"/>
          <w:vertAlign w:val="superscript"/>
        </w:rPr>
        <w:fldChar w:fldCharType="begin" w:fldLock="1"/>
      </w:r>
      <w:r w:rsidR="0078225D">
        <w:rPr>
          <w:rFonts w:cstheme="minorHAnsi"/>
          <w:vertAlign w:val="superscript"/>
        </w:rPr>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mendeley":{"formattedCitation":"(81)","plainTextFormattedCitation":"(81)","previouslyFormattedCitation":"(81)"},"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(81)</w:t>
      </w:r>
      <w:r w:rsidRPr="00737D20">
        <w:rPr>
          <w:rFonts w:cstheme="minorHAnsi"/>
          <w:vertAlign w:val="superscript"/>
        </w:rPr>
        <w:fldChar w:fldCharType="end"/>
      </w:r>
      <w:r w:rsidRPr="00737D20">
        <w:rPr>
          <w:rFonts w:cstheme="minorHAnsi"/>
        </w:rPr>
        <w:t>. ITZ was shown to bind OSBP with a Kd of 430 nM</w:t>
      </w:r>
      <w:r w:rsidR="00D8382E">
        <w:rPr>
          <w:rFonts w:cstheme="minorHAnsi"/>
        </w:rPr>
        <w:fldChar w:fldCharType="begin" w:fldLock="1"/>
      </w:r>
      <w:r w:rsidR="00FF32D7">
        <w:rPr>
          <w:rFonts w:cstheme="minorHAnsi"/>
        </w:rPr>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mendeley":{"formattedCitation":"(81)","plainTextFormattedCitation":"(81)","previouslyFormattedCitation":"(81)"},"properties":{"noteIndex":0},"schema":"https://github.com/citation-style-language/schema/raw/master/csl-citation.json"}</w:instrText>
      </w:r>
      <w:r w:rsidR="00D8382E">
        <w:rPr>
          <w:rFonts w:cstheme="minorHAnsi"/>
        </w:rPr>
        <w:fldChar w:fldCharType="separate"/>
      </w:r>
      <w:r w:rsidR="00D8382E" w:rsidRPr="00D8382E">
        <w:rPr>
          <w:rFonts w:cstheme="minorHAnsi"/>
          <w:noProof/>
        </w:rPr>
        <w:t>(81)</w:t>
      </w:r>
      <w:r w:rsidR="00D8382E">
        <w:rPr>
          <w:rFonts w:cstheme="minorHAnsi"/>
        </w:rPr>
        <w:fldChar w:fldCharType="end"/>
      </w:r>
      <w:r w:rsidR="00D8382E">
        <w:rPr>
          <w:rFonts w:cstheme="minorHAnsi"/>
        </w:rPr>
        <w:t>.</w:t>
      </w:r>
      <w:r w:rsidRPr="00737D20">
        <w:rPr>
          <w:rFonts w:cstheme="minorHAnsi"/>
        </w:rPr>
        <w:t xml:space="preserve"> </w:t>
      </w:r>
      <w:r w:rsidR="00D8382E">
        <w:rPr>
          <w:rFonts w:cstheme="minorHAnsi"/>
        </w:rPr>
        <w:t>ITZ treatment of cells alters OSBP</w:t>
      </w:r>
      <w:r w:rsidRPr="00737D20">
        <w:rPr>
          <w:rFonts w:cstheme="minorHAnsi"/>
        </w:rPr>
        <w:t xml:space="preserve"> localization patterns</w:t>
      </w:r>
      <w:r w:rsidR="00D8382E">
        <w:rPr>
          <w:rFonts w:cstheme="minorHAnsi"/>
        </w:rPr>
        <w:t>, and</w:t>
      </w:r>
      <w:r w:rsidRPr="00737D20">
        <w:rPr>
          <w:rFonts w:cstheme="minorHAnsi"/>
        </w:rPr>
        <w:t xml:space="preserve"> like OSW-1</w:t>
      </w:r>
      <w:r w:rsidR="00D8382E">
        <w:rPr>
          <w:rFonts w:cstheme="minorHAnsi"/>
        </w:rPr>
        <w:t>,</w:t>
      </w:r>
      <w:r w:rsidRPr="00737D20">
        <w:rPr>
          <w:rFonts w:cstheme="minorHAnsi"/>
        </w:rPr>
        <w:t xml:space="preserve"> </w:t>
      </w:r>
      <w:r w:rsidR="00D8382E">
        <w:rPr>
          <w:rFonts w:cstheme="minorHAnsi"/>
        </w:rPr>
        <w:t>ITZ treatment of cells inhibits</w:t>
      </w:r>
      <w:r w:rsidRPr="00737D20">
        <w:rPr>
          <w:rFonts w:cstheme="minorHAnsi"/>
        </w:rPr>
        <w:t xml:space="preserve"> the cholesterol and PI4P counter transport that is necessary to fuel RO viral replication</w:t>
      </w:r>
      <w:r w:rsidRPr="00737D20">
        <w:rPr>
          <w:rFonts w:cstheme="minorHAnsi"/>
          <w:vertAlign w:val="superscript"/>
        </w:rPr>
        <w:fldChar w:fldCharType="begin" w:fldLock="1"/>
      </w:r>
      <w:r w:rsidR="0078225D">
        <w:rPr>
          <w:rFonts w:cstheme="minorHAnsi"/>
          <w:vertAlign w:val="superscript"/>
        </w:rPr>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mendeley":{"formattedCitation":"(81)","plainTextFormattedCitation":"(81)","previouslyFormattedCitation":"(81)"},"properties":{"noteIndex":0},"schema":"https://github.com/citation-style-language/schema/raw/master/csl-citation.json"}</w:instrText>
      </w:r>
      <w:r w:rsidRPr="00737D20">
        <w:rPr>
          <w:rFonts w:cstheme="minorHAnsi"/>
          <w:vertAlign w:val="superscript"/>
        </w:rPr>
        <w:fldChar w:fldCharType="separate"/>
      </w:r>
      <w:r w:rsidR="00287BFE" w:rsidRPr="00287BFE">
        <w:rPr>
          <w:rFonts w:cstheme="minorHAnsi"/>
          <w:noProof/>
        </w:rPr>
        <w:t>(81)</w:t>
      </w:r>
      <w:r w:rsidRPr="00737D20">
        <w:rPr>
          <w:rFonts w:cstheme="minorHAnsi"/>
          <w:vertAlign w:val="superscript"/>
        </w:rPr>
        <w:fldChar w:fldCharType="end"/>
      </w:r>
      <w:r w:rsidRPr="00737D20">
        <w:rPr>
          <w:rFonts w:cstheme="minorHAnsi"/>
        </w:rPr>
        <w:t>. Pursuing ITZ as an OSBP inhibitor seems feasible due to its established FDA approval, but the lack of specificity due to the multiplicity of targets and the extremely poor water solubilit</w:t>
      </w:r>
      <w:r w:rsidR="00D8382E">
        <w:rPr>
          <w:rFonts w:cstheme="minorHAnsi"/>
        </w:rPr>
        <w:t>y of the compound are potentially limiting</w:t>
      </w:r>
      <w:r w:rsidRPr="00737D20">
        <w:rPr>
          <w:rFonts w:cstheme="minorHAnsi"/>
          <w:vertAlign w:val="superscript"/>
        </w:rPr>
        <w:fldChar w:fldCharType="begin" w:fldLock="1"/>
      </w:r>
      <w:r w:rsidR="00F81397">
        <w:rPr>
          <w:rFonts w:cstheme="minorHAnsi"/>
          <w:vertAlign w:val="superscript"/>
        </w:rPr>
        <w:instrText>ADDIN CSL_CITATION {"citationItems":[{"id":"ITEM-1","itemData":{"DOI":"10.1016/j.ejpb.2007.11.006","ISSN":"09396411","author":[{"dropping-particle":"","family":"Mellaerts","given":"Randy","non-dropping-particle":"","parse-names":false,"suffix":""},{"dropping-particle":"","family":"Mols","given":"Raf","non-dropping-particle":"","parse-names":false,"suffix":""},{"dropping-particle":"","family":"Jammaer","given":"Jasper A.G.","non-dropping-particle":"","parse-names":false,"suffix":""},{"dropping-particle":"","family":"Aerts","given":"Caroline A.","non-dropping-particle":"","parse-names":false,"suffix":""},{"dropping-particle":"","family":"Annaert","given":"Pieter","non-dropping-particle":"","parse-names":false,"suffix":""},{"dropping-particle":"","family":"Humbeeck","given":"Jan","non-dropping-particle":"Van","parse-names":false,"suffix":""},{"dropping-particle":"","family":"Mooter","given":"Guy","non-dropping-particle":"Van den","parse-names":false,"suffix":""},{"dropping-particle":"","family":"Augustijns","given":"Patrick","non-dropping-particle":"","parse-names":false,"suffix":""},{"dropping-particle":"","family":"Martens","given":"Johan A.","non-dropping-particle":"","parse-names":false,"suffix":""}],"container-title":"European Journal of Pharmaceutics and Biopharmaceutics","id":"ITEM-1","issue":"1","issued":{"date-parts":[["2008","5"]]},"page":"223-230","title":"Increasing the oral bioavailability of the poorly water soluble drug itraconazole with ordered mesoporous silica","type":"article-journal","volume":"69"},"uris":["http://www.mendeley.com/documents/?uuid=41011551-496f-3d61-b560-5137016cea72"]}],"mendeley":{"formattedCitation":"(151)","plainTextFormattedCitation":"(151)","previouslyFormattedCitation":"(151)"},"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(151)</w:t>
      </w:r>
      <w:r w:rsidRPr="00737D20">
        <w:rPr>
          <w:rFonts w:cstheme="minorHAnsi"/>
          <w:vertAlign w:val="superscript"/>
        </w:rPr>
        <w:fldChar w:fldCharType="end"/>
      </w:r>
      <w:r w:rsidRPr="00737D20">
        <w:rPr>
          <w:rFonts w:cstheme="minorHAnsi"/>
        </w:rPr>
        <w:t>.</w:t>
      </w:r>
    </w:p>
    <w:p w:rsidR="004C4888" w:rsidRDefault="004C4888" w:rsidP="00FB099D">
      <w:pPr>
        <w:keepNext/>
        <w:jc w:val="both"/>
      </w:pPr>
      <w:r w:rsidRPr="004C4888">
        <w:rPr>
          <w:noProof/>
          <w:lang w:bidi="ar-SA"/>
        </w:rPr>
        <w:drawing>
          <wp:inline distT="0" distB="0" distL="0" distR="0" wp14:anchorId="4E0FD421" wp14:editId="5049CFFA">
            <wp:extent cx="5394960" cy="2465090"/>
            <wp:effectExtent l="19050" t="19050" r="15240" b="1143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4960" cy="2465090"/>
                    </a:xfrm>
                    <a:prstGeom prst="rect">
                      <a:avLst/>
                    </a:prstGeom>
                    <a:noFill/>
                    <a:ln>
                      <a:solidFill>
                        <a:schemeClr val="tx1"/>
                      </a:solidFill>
                    </a:ln>
                  </pic:spPr>
                </pic:pic>
              </a:graphicData>
            </a:graphic>
          </wp:inline>
        </w:drawing>
      </w:r>
    </w:p>
    <w:p w:rsidR="004C4888" w:rsidRPr="00737D20" w:rsidRDefault="00A841B4" w:rsidP="00FB099D">
      <w:pPr>
        <w:pStyle w:val="Caption"/>
        <w:jc w:val="both"/>
        <w:rPr>
          <w:b w:val="0"/>
          <w:szCs w:val="28"/>
        </w:rPr>
      </w:pPr>
      <w:bookmarkStart w:id="73" w:name="_Ref530242379"/>
      <w:bookmarkStart w:id="74" w:name="_Toc530673937"/>
      <w:r w:rsidRPr="00A841B4">
        <w:t>Figure</w:t>
      </w:r>
      <w:r w:rsidR="004C4888">
        <w:t xml:space="preserve"> </w:t>
      </w:r>
      <w:fldSimple w:instr=" SEQ Figure \* ARABIC ">
        <w:r w:rsidR="00E2070A">
          <w:rPr>
            <w:noProof/>
          </w:rPr>
          <w:t>12</w:t>
        </w:r>
      </w:fldSimple>
      <w:bookmarkEnd w:id="73"/>
      <w:r w:rsidR="004C4888">
        <w:t>: Structure of Itraconazole.</w:t>
      </w:r>
      <w:bookmarkEnd w:id="74"/>
    </w:p>
    <w:p w:rsidR="00961548" w:rsidRPr="000C47E5" w:rsidRDefault="00961548" w:rsidP="00042529">
      <w:pPr>
        <w:pStyle w:val="Heading3"/>
      </w:pPr>
      <w:bookmarkStart w:id="75" w:name="_Toc532553089"/>
      <w:r w:rsidRPr="000C47E5">
        <w:t>Minor Enviroxime-like Compounds</w:t>
      </w:r>
      <w:bookmarkEnd w:id="75"/>
    </w:p>
    <w:p w:rsidR="00961548" w:rsidRDefault="00961548" w:rsidP="00FB099D">
      <w:pPr>
        <w:ind w:firstLine="720"/>
        <w:jc w:val="both"/>
        <w:rPr>
          <w:rFonts w:cstheme="minorHAnsi"/>
        </w:rPr>
      </w:pPr>
      <w:r w:rsidRPr="00737D20">
        <w:rPr>
          <w:rFonts w:cstheme="minorHAnsi"/>
        </w:rPr>
        <w:t>Enviroxime is a compound that inhibits positive-strand RNA viral synthesis by indirectly targeting viral proteins 3A and/or 3AB</w:t>
      </w:r>
      <w:r w:rsidR="00D8382E" w:rsidRPr="00737D20">
        <w:rPr>
          <w:rFonts w:cstheme="minorHAnsi"/>
          <w:vertAlign w:val="superscript"/>
        </w:rPr>
        <w:fldChar w:fldCharType="begin" w:fldLock="1"/>
      </w:r>
      <w:r w:rsidR="00F81397">
        <w:rPr>
          <w:rFonts w:cstheme="minorHAnsi"/>
          <w:vertAlign w:val="superscript"/>
        </w:rPr>
        <w:instrText>ADDIN CSL_CITATION {"citationItems":[{"id":"ITEM-1","itemData":{"ISBN":"0022-538X","ISSN":"0022-538X","PMID":"7769678","abstract":"Enviroxime is an antiviral compound that inhibits the replication of rhinoviruses and enteroviruses. We have explored the mechanism of action of enviroxime by using poliovirus type 1 and human rhinovirus type 14 as model systems. By varying the time of drug addition to virus-infected cells, we determined that enviroxime could be added several hours postinfection without significant loss of inhibition. This suggested that the drug targeted a step involved in RNA replication or protein processing. To identify this target, we mapped 23 independent mutations in mutants that could multiply in the presence of 1 microgram of enviroxime per ml. Each of these mutants contained a single nucleotide substitution that altered one amino acid in the 3A coding region. Using oligonucleotide-directed mutagenesis of cDNA clones, we have confirmed that these single-amino-acid substitutions are sufficient to confer the resistance phenotype. In addition, we conducted two experiments to support the hypothesis that enviroxime inhibits a 3A function. First, we determined by dot blot analysis of RNA from poliovirus-infected cells that enviroxime preferentially inhibits synthesis of the viral plus strand. Second, we demonstrated that enviroxime inhibits the initiation of plus-strand RNA synthesis as measured by the addition of [32P]uridine to 3AB in poliovirus crude replication complexes. To our knowledge, this is the first evidence that 3A can be targeted by antiviral drugs. We anticipate that enviroxime will be a useful tool for investigating the natural function of the 3A protein.","author":[{"dropping-particle":"","family":"Heinz","given":"B A","non-dropping-particle":"","parse-names":false,"suffix":""},{"dropping-particle":"","family":"Vance","given":"L M","non-dropping-particle":"","parse-names":false,"suffix":""}],"container-title":"J Virol","id":"ITEM-1","issue":"7","issued":{"date-parts":[["1995"]]},"page":"4189-4197","title":"The antiviral compound enviroxime targets the 3A coding region of rhinovirus and poliovirus","type":"article-journal","volume":"69"},"uris":["http://www.mendeley.com/documents/?uuid=2ebac4f8-7892-4b8b-916a-d719c3bb071e"]},{"id":"ITEM-2","itemData":{"DOI":"10.1007/s007050050611","author":[{"dropping-particle":"","family":"Brown-Augsburger","given":"P.","non-dropping-particle":"","parse-names":false,"suffix":""},{"dropping-particle":"","family":"Vance","given":"L. M.","non-dropping-particle":"","parse-names":false,"suffix":""},{"dropping-particle":"","family":"Malcolm","given":"S. K.","non-dropping-particle":"","parse-names":false,"suffix":""},{"dropping-particle":"","family":"Hsiung","given":"H.","non-dropping-particle":"","parse-names":false,"suffix":""},{"dropping-particle":"","family":"Smith","given":"D. P.","non-dropping-particle":"","parse-names":false,"suffix":""},{"dropping-particle":"","family":"Heinz","given":"B. A.","non-dropping-particle":"","parse-names":false,"suffix":""}],"container-title":"Archives of Virology","id":"ITEM-2","issue":"8","issued":{"date-parts":[["1999","8","21"]]},"page":"1569-1585","title":"Evidence that enviroxime targets multiple components of the rhinovirus 14 replication complex","type":"article-journal","volume":"144"},"uris":["http://www.mendeley.com/documents/?uuid=5e19d181-5a45-31e5-9612-f95a53019608"]}],"mendeley":{"formattedCitation":"(152, 153)","plainTextFormattedCitation":"(152, 153)","previouslyFormattedCitation":"(152, 153)"},"properties":{"noteIndex":0},"schema":"https://github.com/citation-style-language/schema/raw/master/csl-citation.json"}</w:instrText>
      </w:r>
      <w:r w:rsidR="00D8382E" w:rsidRPr="00737D20">
        <w:rPr>
          <w:rFonts w:cstheme="minorHAnsi"/>
          <w:vertAlign w:val="superscript"/>
        </w:rPr>
        <w:fldChar w:fldCharType="separate"/>
      </w:r>
      <w:r w:rsidR="005D2ADA" w:rsidRPr="005D2ADA">
        <w:rPr>
          <w:rFonts w:cstheme="minorHAnsi"/>
          <w:noProof/>
        </w:rPr>
        <w:t>(152, 153)</w:t>
      </w:r>
      <w:r w:rsidR="00D8382E" w:rsidRPr="00737D20">
        <w:rPr>
          <w:rFonts w:cstheme="minorHAnsi"/>
          <w:vertAlign w:val="superscript"/>
        </w:rPr>
        <w:fldChar w:fldCharType="end"/>
      </w:r>
      <w:r w:rsidR="00D8382E">
        <w:rPr>
          <w:rFonts w:cstheme="minorHAnsi"/>
        </w:rPr>
        <w:t>.</w:t>
      </w:r>
      <w:r w:rsidRPr="00737D20">
        <w:rPr>
          <w:rFonts w:cstheme="minorHAnsi"/>
        </w:rPr>
        <w:t xml:space="preserve"> </w:t>
      </w:r>
      <w:r w:rsidR="00D8382E">
        <w:rPr>
          <w:rFonts w:cstheme="minorHAnsi"/>
        </w:rPr>
        <w:t>This interaction prevents</w:t>
      </w:r>
      <w:r w:rsidRPr="00737D20">
        <w:rPr>
          <w:rFonts w:cstheme="minorHAnsi"/>
        </w:rPr>
        <w:t xml:space="preserve"> the replication </w:t>
      </w:r>
      <w:r w:rsidRPr="00737D20">
        <w:rPr>
          <w:rFonts w:cstheme="minorHAnsi"/>
        </w:rPr>
        <w:lastRenderedPageBreak/>
        <w:t xml:space="preserve">complex </w:t>
      </w:r>
      <w:r w:rsidR="00D8382E">
        <w:rPr>
          <w:rFonts w:cstheme="minorHAnsi"/>
        </w:rPr>
        <w:t xml:space="preserve">from </w:t>
      </w:r>
      <w:r w:rsidRPr="00737D20">
        <w:rPr>
          <w:rFonts w:cstheme="minorHAnsi"/>
        </w:rPr>
        <w:t>forming properly</w:t>
      </w:r>
      <w:r w:rsidR="00D8382E" w:rsidRPr="00737D20">
        <w:rPr>
          <w:rFonts w:cstheme="minorHAnsi"/>
          <w:vertAlign w:val="superscript"/>
        </w:rPr>
        <w:fldChar w:fldCharType="begin" w:fldLock="1"/>
      </w:r>
      <w:r w:rsidR="00F81397">
        <w:rPr>
          <w:rFonts w:cstheme="minorHAnsi"/>
          <w:vertAlign w:val="superscript"/>
        </w:rPr>
        <w:instrText>ADDIN CSL_CITATION {"citationItems":[{"id":"ITEM-1","itemData":{"ISBN":"0022-538X","ISSN":"0022-538X","PMID":"7769678","abstract":"Enviroxime is an antiviral compound that inhibits the replication of rhinoviruses and enteroviruses. We have explored the mechanism of action of enviroxime by using poliovirus type 1 and human rhinovirus type 14 as model systems. By varying the time of drug addition to virus-infected cells, we determined that enviroxime could be added several hours postinfection without significant loss of inhibition. This suggested that the drug targeted a step involved in RNA replication or protein processing. To identify this target, we mapped 23 independent mutations in mutants that could multiply in the presence of 1 microgram of enviroxime per ml. Each of these mutants contained a single nucleotide substitution that altered one amino acid in the 3A coding region. Using oligonucleotide-directed mutagenesis of cDNA clones, we have confirmed that these single-amino-acid substitutions are sufficient to confer the resistance phenotype. In addition, we conducted two experiments to support the hypothesis that enviroxime inhibits a 3A function. First, we determined by dot blot analysis of RNA from poliovirus-infected cells that enviroxime preferentially inhibits synthesis of the viral plus strand. Second, we demonstrated that enviroxime inhibits the initiation of plus-strand RNA synthesis as measured by the addition of [32P]uridine to 3AB in poliovirus crude replication complexes. To our knowledge, this is the first evidence that 3A can be targeted by antiviral drugs. We anticipate that enviroxime will be a useful tool for investigating the natural function of the 3A protein.","author":[{"dropping-particle":"","family":"Heinz","given":"B A","non-dropping-particle":"","parse-names":false,"suffix":""},{"dropping-particle":"","family":"Vance","given":"L M","non-dropping-particle":"","parse-names":false,"suffix":""}],"container-title":"J Virol","id":"ITEM-1","issue":"7","issued":{"date-parts":[["1995"]]},"page":"4189-4197","title":"The antiviral compound enviroxime targets the 3A coding region of rhinovirus and poliovirus","type":"article-journal","volume":"69"},"uris":["http://www.mendeley.com/documents/?uuid=2ebac4f8-7892-4b8b-916a-d719c3bb071e"]},{"id":"ITEM-2","itemData":{"DOI":"10.1007/s007050050611","author":[{"dropping-particle":"","family":"Brown-Augsburger","given":"P.","non-dropping-particle":"","parse-names":false,"suffix":""},{"dropping-particle":"","family":"Vance","given":"L. M.","non-dropping-particle":"","parse-names":false,"suffix":""},{"dropping-particle":"","family":"Malcolm","given":"S. K.","non-dropping-particle":"","parse-names":false,"suffix":""},{"dropping-particle":"","family":"Hsiung","given":"H.","non-dropping-particle":"","parse-names":false,"suffix":""},{"dropping-particle":"","family":"Smith","given":"D. P.","non-dropping-particle":"","parse-names":false,"suffix":""},{"dropping-particle":"","family":"Heinz","given":"B. A.","non-dropping-particle":"","parse-names":false,"suffix":""}],"container-title":"Archives of Virology","id":"ITEM-2","issue":"8","issued":{"date-parts":[["1999","8","21"]]},"page":"1569-1585","title":"Evidence that enviroxime targets multiple components of the rhinovirus 14 replication complex","type":"article-journal","volume":"144"},"uris":["http://www.mendeley.com/documents/?uuid=5e19d181-5a45-31e5-9612-f95a53019608"]}],"mendeley":{"formattedCitation":"(152, 153)","plainTextFormattedCitation":"(152, 153)","previouslyFormattedCitation":"(152, 153)"},"properties":{"noteIndex":0},"schema":"https://github.com/citation-style-language/schema/raw/master/csl-citation.json"}</w:instrText>
      </w:r>
      <w:r w:rsidR="00D8382E" w:rsidRPr="00737D20">
        <w:rPr>
          <w:rFonts w:cstheme="minorHAnsi"/>
          <w:vertAlign w:val="superscript"/>
        </w:rPr>
        <w:fldChar w:fldCharType="separate"/>
      </w:r>
      <w:r w:rsidR="005D2ADA" w:rsidRPr="005D2ADA">
        <w:rPr>
          <w:rFonts w:cstheme="minorHAnsi"/>
          <w:noProof/>
        </w:rPr>
        <w:t>(152, 153)</w:t>
      </w:r>
      <w:r w:rsidR="00D8382E" w:rsidRPr="00737D20">
        <w:rPr>
          <w:rFonts w:cstheme="minorHAnsi"/>
          <w:vertAlign w:val="superscript"/>
        </w:rPr>
        <w:fldChar w:fldCharType="end"/>
      </w:r>
      <w:r w:rsidR="00D8382E">
        <w:rPr>
          <w:rFonts w:cstheme="minorHAnsi"/>
        </w:rPr>
        <w:t xml:space="preserve">. Mutations in the viral </w:t>
      </w:r>
      <w:r w:rsidR="00D8382E" w:rsidRPr="00737D20">
        <w:rPr>
          <w:rFonts w:cstheme="minorHAnsi"/>
        </w:rPr>
        <w:t>3A and/or 3AB</w:t>
      </w:r>
      <w:r w:rsidRPr="00737D20">
        <w:rPr>
          <w:rFonts w:cstheme="minorHAnsi"/>
        </w:rPr>
        <w:t xml:space="preserve"> proteins leads to resistance to the compound</w:t>
      </w:r>
      <w:r w:rsidRPr="00737D20">
        <w:rPr>
          <w:rFonts w:cstheme="minorHAnsi"/>
          <w:vertAlign w:val="superscript"/>
        </w:rPr>
        <w:fldChar w:fldCharType="begin" w:fldLock="1"/>
      </w:r>
      <w:r w:rsidR="00F81397">
        <w:rPr>
          <w:rFonts w:cstheme="minorHAnsi"/>
          <w:vertAlign w:val="superscript"/>
        </w:rPr>
        <w:instrText>ADDIN CSL_CITATION {"citationItems":[{"id":"ITEM-1","itemData":{"ISBN":"0022-538X","ISSN":"0022-538X","PMID":"7769678","abstract":"Enviroxime is an antiviral compound that inhibits the replication of rhinoviruses and enteroviruses. We have explored the mechanism of action of enviroxime by using poliovirus type 1 and human rhinovirus type 14 as model systems. By varying the time of drug addition to virus-infected cells, we determined that enviroxime could be added several hours postinfection without significant loss of inhibition. This suggested that the drug targeted a step involved in RNA replication or protein processing. To identify this target, we mapped 23 independent mutations in mutants that could multiply in the presence of 1 microgram of enviroxime per ml. Each of these mutants contained a single nucleotide substitution that altered one amino acid in the 3A coding region. Using oligonucleotide-directed mutagenesis of cDNA clones, we have confirmed that these single-amino-acid substitutions are sufficient to confer the resistance phenotype. In addition, we conducted two experiments to support the hypothesis that enviroxime inhibits a 3A function. First, we determined by dot blot analysis of RNA from poliovirus-infected cells that enviroxime preferentially inhibits synthesis of the viral plus strand. Second, we demonstrated that enviroxime inhibits the initiation of plus-strand RNA synthesis as measured by the addition of [32P]uridine to 3AB in poliovirus crude replication complexes. To our knowledge, this is the first evidence that 3A can be targeted by antiviral drugs. We anticipate that enviroxime will be a useful tool for investigating the natural function of the 3A protein.","author":[{"dropping-particle":"","family":"Heinz","given":"B A","non-dropping-particle":"","parse-names":false,"suffix":""},{"dropping-particle":"","family":"Vance","given":"L M","non-dropping-particle":"","parse-names":false,"suffix":""}],"container-title":"J Virol","id":"ITEM-1","issue":"7","issued":{"date-parts":[["1995"]]},"page":"4189-4197","title":"The antiviral compound enviroxime targets the 3A coding region of rhinovirus and poliovirus","type":"article-journal","volume":"69"},"uris":["http://www.mendeley.com/documents/?uuid=2ebac4f8-7892-4b8b-916a-d719c3bb071e"]},{"id":"ITEM-2","itemData":{"DOI":"10.1007/s007050050611","author":[{"dropping-particle":"","family":"Brown-Augsburger","given":"P.","non-dropping-particle":"","parse-names":false,"suffix":""},{"dropping-particle":"","family":"Vance","given":"L. M.","non-dropping-particle":"","parse-names":false,"suffix":""},{"dropping-particle":"","family":"Malcolm","given":"S. K.","non-dropping-particle":"","parse-names":false,"suffix":""},{"dropping-particle":"","family":"Hsiung","given":"H.","non-dropping-particle":"","parse-names":false,"suffix":""},{"dropping-particle":"","family":"Smith","given":"D. P.","non-dropping-particle":"","parse-names":false,"suffix":""},{"dropping-particle":"","family":"Heinz","given":"B. A.","non-dropping-particle":"","parse-names":false,"suffix":""}],"container-title":"Archives of Virology","id":"ITEM-2","issue":"8","issued":{"date-parts":[["1999","8","21"]]},"page":"1569-1585","title":"Evidence that enviroxime targets multiple components of the rhinovirus 14 replication complex","type":"article-journal","volume":"144"},"uris":["http://www.mendeley.com/documents/?uuid=5e19d181-5a45-31e5-9612-f95a53019608"]}],"mendeley":{"formattedCitation":"(152, 153)","plainTextFormattedCitation":"(152, 153)","previouslyFormattedCitation":"(152, 153)"},"properties":{"noteIndex":0},"schema":"https://github.com/citation-style-language/schema/raw/master/csl-citation.json"}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(152, 153)</w:t>
      </w:r>
      <w:r w:rsidRPr="00737D20">
        <w:rPr>
          <w:rFonts w:cstheme="minorHAnsi"/>
          <w:vertAlign w:val="superscript"/>
        </w:rPr>
        <w:fldChar w:fldCharType="end"/>
      </w:r>
      <w:r w:rsidRPr="00737D20">
        <w:rPr>
          <w:rFonts w:cstheme="minorHAnsi"/>
        </w:rPr>
        <w:t xml:space="preserve">. Enviroxime-like compounds are </w:t>
      </w:r>
      <w:r w:rsidR="00D8382E">
        <w:rPr>
          <w:rFonts w:cstheme="minorHAnsi"/>
        </w:rPr>
        <w:t>compounds with anti-viral activity that are structurally-unrelated to enviroxime, but the same mutations that confer resistence to enviroxime also confer resistance to the enviroxime-like compounds</w:t>
      </w:r>
      <w:r w:rsidR="00D8382E" w:rsidRPr="00737D20">
        <w:rPr>
          <w:rFonts w:cstheme="minorHAnsi"/>
          <w:vertAlign w:val="superscript"/>
        </w:rPr>
        <w:fldChar w:fldCharType="begin" w:fldLock="1"/>
      </w:r>
      <w:r w:rsidR="00F81397">
        <w:rPr>
          <w:rFonts w:cstheme="minorHAnsi"/>
          <w:vertAlign w:val="superscript"/>
        </w:rPr>
        <w:instrText>ADDIN CSL_CITATION {"citationItems":[{"id":"ITEM-1","itemData":{"DOI":"10.1128/JVI.02249-10","ISBN":"8142561077","ISSN":"0022-538X","PMID":"21177810","abstract":"Enviroxime is an antienterovirus compound that targets viral protein 3A and/or 3AB and suppresses a step in enterovirus replication by unknown mechanism. To date, four antienterovirus compounds, i.e., GW5074, Flt3 inhibitor II, TTP-8307, and AN-12-H5, are known to have similar mutations in the 3A protein-encoding region causing resistance to enviroxime (a G5318A [3A-Ala70Thr] mutation in poliovirus [PV]) and are considered enviroxime-like compounds. Recently, antienterovirus activity of a phosphatidylinositol 4-kinase III beta (PI4KB) inhibitor, PIK93, was reported, suggesting that PI4KB is an important host factor targetable by antienterovirus compounds (N. Y. Hsu et al., Cell 141:799-811, 2010). In this study, we analyzed the inhibitory effects of previously identified enviroxime-like compounds (GW5074 and AN-12-H5) and a newly identified antienterovirus compound, T-00127-HEV1, on phosphoinositide (PI) kinases. We found that T-00127-HEV1 inhibited PI4KB activity with a higher specificity for than other PI kinases, in contrast to GW5074, which had a broad specificity for PI kinases. In contrast, AN-12-H5 showed no inhibitory effect on PI4KB activity and only moderate inhibitory effects on PI 3-kinase activity. Small interfering RNA (siRNA) screening targeting PI kinases identified PI4KB is a target of GW5074 and T-00127-HEV1, but not of AN-12-H5, for anti-PV activity. Interestingly, T-00127-HEV1 and GW5074 did not inhibit hepatitis C virus (HCV) replication, in contrast to a strong inhibitory effect of AN-12-H5. These results suggested that PI4KB is an enterovirus-specific host factor required for the replication process and targeted by some enviroxime-like compounds (T-00127-HEV1 and GW5074) and that enviroxime-like compounds may have targets other than PI kinases for their antiviral effect.","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ournal of Virology","id":"ITEM-1","issue":"5","issued":{"date-parts":[["2011"]]},"page":"2364-2372","title":"Phosphatidylinositol 4-Kinase III Beta Is a Target of Enviroxime-Like Compounds for Antipoliovirus Activity","type":"article-journal","volume":"85"},"uris":["http://www.mendeley.com/documents/?uuid=69217192-c44a-4282-a008-70aa4516b692"]}],"mendeley":{"formattedCitation":"(154)","plainTextFormattedCitation":"(154)","previouslyFormattedCitation":"(154)"},"properties":{"noteIndex":0},"schema":"https://github.com/citation-style-language/schema/raw/master/csl-citation.json"}</w:instrText>
      </w:r>
      <w:r w:rsidR="00D8382E" w:rsidRPr="00737D20">
        <w:rPr>
          <w:rFonts w:cstheme="minorHAnsi"/>
          <w:vertAlign w:val="superscript"/>
        </w:rPr>
        <w:fldChar w:fldCharType="separate"/>
      </w:r>
      <w:r w:rsidR="005D2ADA" w:rsidRPr="005D2ADA">
        <w:rPr>
          <w:rFonts w:cstheme="minorHAnsi"/>
          <w:noProof/>
        </w:rPr>
        <w:t>(154)</w:t>
      </w:r>
      <w:r w:rsidR="00D8382E" w:rsidRPr="00737D20">
        <w:rPr>
          <w:rFonts w:cstheme="minorHAnsi"/>
          <w:vertAlign w:val="superscript"/>
        </w:rPr>
        <w:fldChar w:fldCharType="end"/>
      </w:r>
      <w:r w:rsidR="00D8382E">
        <w:rPr>
          <w:rFonts w:cstheme="minorHAnsi"/>
        </w:rPr>
        <w:t>. The enviroxime-like</w:t>
      </w:r>
      <w:r w:rsidRPr="00737D20">
        <w:rPr>
          <w:rFonts w:cstheme="minorHAnsi"/>
        </w:rPr>
        <w:t xml:space="preserve"> compounds can </w:t>
      </w:r>
      <w:r w:rsidR="00D8382E">
        <w:rPr>
          <w:rFonts w:cstheme="minorHAnsi"/>
        </w:rPr>
        <w:t>be</w:t>
      </w:r>
      <w:r w:rsidRPr="00737D20">
        <w:rPr>
          <w:rFonts w:cstheme="minorHAnsi"/>
        </w:rPr>
        <w:t xml:space="preserve"> further </w:t>
      </w:r>
      <w:r w:rsidR="00D8382E">
        <w:rPr>
          <w:rFonts w:cstheme="minorHAnsi"/>
        </w:rPr>
        <w:t>classified</w:t>
      </w:r>
      <w:r w:rsidRPr="00737D20">
        <w:rPr>
          <w:rFonts w:cstheme="minorHAnsi"/>
        </w:rPr>
        <w:t xml:space="preserve"> </w:t>
      </w:r>
      <w:r w:rsidR="00D8382E">
        <w:rPr>
          <w:rFonts w:cstheme="minorHAnsi"/>
        </w:rPr>
        <w:t>as</w:t>
      </w:r>
      <w:r w:rsidRPr="00737D20">
        <w:rPr>
          <w:rFonts w:cstheme="minorHAnsi"/>
        </w:rPr>
        <w:t xml:space="preserve"> major </w:t>
      </w:r>
      <w:r w:rsidR="00D8382E">
        <w:rPr>
          <w:rFonts w:cstheme="minorHAnsi"/>
        </w:rPr>
        <w:t>or</w:t>
      </w:r>
      <w:r w:rsidRPr="00737D20">
        <w:rPr>
          <w:rFonts w:cstheme="minorHAnsi"/>
        </w:rPr>
        <w:t xml:space="preserve"> minor </w:t>
      </w:r>
      <w:r w:rsidR="00D8382E">
        <w:rPr>
          <w:rFonts w:cstheme="minorHAnsi"/>
        </w:rPr>
        <w:t>compounds</w:t>
      </w:r>
      <w:r w:rsidRPr="00737D20">
        <w:rPr>
          <w:rFonts w:cstheme="minorHAnsi"/>
        </w:rPr>
        <w:t>, with major compounds being PI4KIIIβ inhibitors and the minor compounds being non- PI4KIIIβ inhibitors</w:t>
      </w:r>
      <w:r w:rsidRPr="00737D20">
        <w:rPr>
          <w:rFonts w:cstheme="minorHAnsi"/>
          <w:vertAlign w:val="superscript"/>
        </w:rPr>
        <w:fldChar w:fldCharType="begin" w:fldLock="1"/>
      </w:r>
      <w:r w:rsidR="00F81397">
        <w:rPr>
          <w:rFonts w:cstheme="minorHAnsi"/>
          <w:vertAlign w:val="superscript"/>
        </w:rPr>
        <w:instrText>ADDIN CSL_CITATION {"citationItems":[{"id":"ITEM-1","itemData":{"DOI":"10.1128/JVI.03546-12","ISBN":"1098-5514 (Electronic)\\r0022-538X (Linking)","ISSN":"1098-5514","PMID":"23365445","abstract":"Enviroxime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 Virol","id":"ITEM-1","issue":"8","issued":{"date-parts":[["2013"]]},"page":"4252-4260","title":"Oxysterol-binding protein family I is the target of minor enviroxime-like compounds","type":"article-journal","volume":"87"},"uris":["http://www.mendeley.com/documents/?uuid=ef852145-1678-4bd0-a2f1-d7dd3e00fe13"]}],"mendeley":{"formattedCitation":"(155)","plainTextFormattedCitation":"(155)","previouslyFormattedCitation":"(155)"},"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(155)</w:t>
      </w:r>
      <w:r w:rsidRPr="00737D20">
        <w:rPr>
          <w:rFonts w:cstheme="minorHAnsi"/>
          <w:vertAlign w:val="superscript"/>
        </w:rPr>
        <w:fldChar w:fldCharType="end"/>
      </w:r>
      <w:r w:rsidRPr="00737D20">
        <w:rPr>
          <w:rFonts w:cstheme="minorHAnsi"/>
        </w:rPr>
        <w:t>. The minor</w:t>
      </w:r>
      <w:r w:rsidR="00D8382E">
        <w:rPr>
          <w:rFonts w:cstheme="minorHAnsi"/>
        </w:rPr>
        <w:t xml:space="preserve"> enviroxime-like</w:t>
      </w:r>
      <w:r w:rsidRPr="00737D20">
        <w:rPr>
          <w:rFonts w:cstheme="minorHAnsi"/>
        </w:rPr>
        <w:t xml:space="preserve"> compound T-00127-HEV2</w:t>
      </w:r>
      <w:r w:rsidR="004C4888">
        <w:rPr>
          <w:rFonts w:cstheme="minorHAnsi"/>
        </w:rPr>
        <w:t xml:space="preserve"> (</w:t>
      </w:r>
      <w:r w:rsidR="004C4888" w:rsidRPr="00FB099D">
        <w:rPr>
          <w:rFonts w:cstheme="minorHAnsi"/>
          <w:b/>
        </w:rPr>
        <w:fldChar w:fldCharType="begin"/>
      </w:r>
      <w:r w:rsidR="004C4888" w:rsidRPr="00FB099D">
        <w:rPr>
          <w:rFonts w:cstheme="minorHAnsi"/>
          <w:b/>
        </w:rPr>
        <w:instrText xml:space="preserve"> REF _Ref530242516 \h </w:instrText>
      </w:r>
      <w:r w:rsidR="001B3703" w:rsidRPr="00FB099D">
        <w:rPr>
          <w:rFonts w:cstheme="minorHAnsi"/>
          <w:b/>
        </w:rPr>
        <w:instrText xml:space="preserve"> \* MERGEFORMAT </w:instrText>
      </w:r>
      <w:r w:rsidR="004C4888" w:rsidRPr="00FB099D">
        <w:rPr>
          <w:rFonts w:cstheme="minorHAnsi"/>
          <w:b/>
        </w:rPr>
      </w:r>
      <w:r w:rsidR="004C4888" w:rsidRPr="00FB099D">
        <w:rPr>
          <w:rFonts w:cstheme="minorHAnsi"/>
          <w:b/>
        </w:rPr>
        <w:fldChar w:fldCharType="separate"/>
      </w:r>
      <w:r w:rsidR="00E2070A" w:rsidRPr="00E2070A">
        <w:rPr>
          <w:b/>
        </w:rPr>
        <w:t xml:space="preserve">Figure </w:t>
      </w:r>
      <w:r w:rsidR="00E2070A" w:rsidRPr="00E2070A">
        <w:rPr>
          <w:b/>
          <w:noProof/>
        </w:rPr>
        <w:t>13</w:t>
      </w:r>
      <w:r w:rsidR="004C4888" w:rsidRPr="00FB099D">
        <w:rPr>
          <w:rFonts w:cstheme="minorHAnsi"/>
          <w:b/>
        </w:rPr>
        <w:fldChar w:fldCharType="end"/>
      </w:r>
      <w:r w:rsidR="004C4888">
        <w:rPr>
          <w:rFonts w:cstheme="minorHAnsi"/>
        </w:rPr>
        <w:t>)</w:t>
      </w:r>
      <w:r w:rsidRPr="00737D20">
        <w:rPr>
          <w:rFonts w:cstheme="minorHAnsi"/>
        </w:rPr>
        <w:t xml:space="preserve"> (THEV2) was</w:t>
      </w:r>
      <w:r w:rsidR="00D8382E">
        <w:rPr>
          <w:rFonts w:cstheme="minorHAnsi"/>
        </w:rPr>
        <w:t xml:space="preserve"> shown to have increased anti-poliovirus</w:t>
      </w:r>
      <w:r w:rsidRPr="00737D20">
        <w:rPr>
          <w:rFonts w:cstheme="minorHAnsi"/>
        </w:rPr>
        <w:t xml:space="preserve"> activity when OSBP was knocked down</w:t>
      </w:r>
      <w:r w:rsidR="00D8382E" w:rsidRPr="00737D20">
        <w:rPr>
          <w:rFonts w:cstheme="minorHAnsi"/>
          <w:vertAlign w:val="superscript"/>
        </w:rPr>
        <w:fldChar w:fldCharType="begin" w:fldLock="1"/>
      </w:r>
      <w:r w:rsidR="00F81397">
        <w:rPr>
          <w:rFonts w:cstheme="minorHAnsi"/>
          <w:vertAlign w:val="superscript"/>
        </w:rPr>
        <w:instrText>ADDIN CSL_CITATION {"citationItems":[{"id":"ITEM-1","itemData":{"DOI":"10.1128/JVI.03546-12","ISBN":"1098-5514 (Electronic)\\r0022-538X (Linking)","ISSN":"1098-5514","PMID":"23365445","abstract":"Enviroxime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 Virol","id":"ITEM-1","issue":"8","issued":{"date-parts":[["2013"]]},"page":"4252-4260","title":"Oxysterol-binding protein family I is the target of minor enviroxime-like compounds","type":"article-journal","volume":"87"},"uris":["http://www.mendeley.com/documents/?uuid=ef852145-1678-4bd0-a2f1-d7dd3e00fe13"]}],"mendeley":{"formattedCitation":"(155)","plainTextFormattedCitation":"(155)","previouslyFormattedCitation":"(155)"},"properties":{"noteIndex":0},"schema":"https://github.com/citation-style-language/schema/raw/master/csl-citation.json"}</w:instrText>
      </w:r>
      <w:r w:rsidR="00D8382E" w:rsidRPr="00737D20">
        <w:rPr>
          <w:rFonts w:cstheme="minorHAnsi"/>
          <w:vertAlign w:val="superscript"/>
        </w:rPr>
        <w:fldChar w:fldCharType="separate"/>
      </w:r>
      <w:r w:rsidR="005D2ADA" w:rsidRPr="005D2ADA">
        <w:rPr>
          <w:rFonts w:cstheme="minorHAnsi"/>
          <w:noProof/>
        </w:rPr>
        <w:t>(155)</w:t>
      </w:r>
      <w:r w:rsidR="00D8382E" w:rsidRPr="00737D20">
        <w:rPr>
          <w:rFonts w:cstheme="minorHAnsi"/>
          <w:vertAlign w:val="superscript"/>
        </w:rPr>
        <w:fldChar w:fldCharType="end"/>
      </w:r>
      <w:r w:rsidR="00D8382E">
        <w:rPr>
          <w:rFonts w:cstheme="minorHAnsi"/>
        </w:rPr>
        <w:t xml:space="preserve">. Further, cellular </w:t>
      </w:r>
      <w:r w:rsidRPr="00737D20">
        <w:rPr>
          <w:rFonts w:cstheme="minorHAnsi"/>
        </w:rPr>
        <w:t>tre</w:t>
      </w:r>
      <w:r w:rsidR="00D8382E">
        <w:rPr>
          <w:rFonts w:cstheme="minorHAnsi"/>
        </w:rPr>
        <w:t>atment with THEV2 le</w:t>
      </w:r>
      <w:r w:rsidRPr="00737D20">
        <w:rPr>
          <w:rFonts w:cstheme="minorHAnsi"/>
        </w:rPr>
        <w:t xml:space="preserve">d to OSBP localization </w:t>
      </w:r>
      <w:r w:rsidR="00D8382E">
        <w:rPr>
          <w:rFonts w:cstheme="minorHAnsi"/>
        </w:rPr>
        <w:t xml:space="preserve">to the Golgi, </w:t>
      </w:r>
      <w:r w:rsidRPr="00737D20">
        <w:rPr>
          <w:rFonts w:cstheme="minorHAnsi"/>
        </w:rPr>
        <w:t>similar to 25-OHC</w:t>
      </w:r>
      <w:r w:rsidR="00D8382E">
        <w:rPr>
          <w:rFonts w:cstheme="minorHAnsi"/>
        </w:rPr>
        <w:t xml:space="preserve"> treatment,</w:t>
      </w:r>
      <w:r w:rsidRPr="00737D20">
        <w:rPr>
          <w:rFonts w:cstheme="minorHAnsi"/>
        </w:rPr>
        <w:t xml:space="preserve"> and a </w:t>
      </w:r>
      <w:r w:rsidR="00D8382E">
        <w:rPr>
          <w:rFonts w:cstheme="minorHAnsi"/>
        </w:rPr>
        <w:t xml:space="preserve">corresponding </w:t>
      </w:r>
      <w:r w:rsidRPr="00737D20">
        <w:rPr>
          <w:rFonts w:cstheme="minorHAnsi"/>
        </w:rPr>
        <w:t>decrease</w:t>
      </w:r>
      <w:r w:rsidR="00D8382E">
        <w:rPr>
          <w:rFonts w:cstheme="minorHAnsi"/>
        </w:rPr>
        <w:t xml:space="preserve"> of</w:t>
      </w:r>
      <w:r w:rsidRPr="00737D20">
        <w:rPr>
          <w:rFonts w:cstheme="minorHAnsi"/>
        </w:rPr>
        <w:t xml:space="preserve"> PI4P at the Golgi</w:t>
      </w:r>
      <w:r w:rsidRPr="00737D20">
        <w:rPr>
          <w:rFonts w:cstheme="minorHAnsi"/>
          <w:vertAlign w:val="superscript"/>
        </w:rPr>
        <w:fldChar w:fldCharType="begin" w:fldLock="1"/>
      </w:r>
      <w:r w:rsidR="00F81397">
        <w:rPr>
          <w:rFonts w:cstheme="minorHAnsi"/>
          <w:vertAlign w:val="superscript"/>
        </w:rPr>
        <w:instrText>ADDIN CSL_CITATION {"citationItems":[{"id":"ITEM-1","itemData":{"DOI":"10.1128/JVI.03546-12","ISBN":"1098-5514 (Electronic)\\r0022-538X (Linking)","ISSN":"1098-5514","PMID":"23365445","abstract":"Enviroxime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 Virol","id":"ITEM-1","issue":"8","issued":{"date-parts":[["2013"]]},"page":"4252-4260","title":"Oxysterol-binding protein family I is the target of minor enviroxime-like compounds","type":"article-journal","volume":"87"},"uris":["http://www.mendeley.com/documents/?uuid=ef852145-1678-4bd0-a2f1-d7dd3e00fe13"]}],"mendeley":{"formattedCitation":"(155)","plainTextFormattedCitation":"(155)","previouslyFormattedCitation":"(155)"},"properties":{"noteIndex":0},"schema":"https://github.com/citation-style-language/schema/raw/master/csl-citation.json"}</w:instrText>
      </w:r>
      <w:r w:rsidRPr="00737D20">
        <w:rPr>
          <w:rFonts w:cstheme="minorHAnsi"/>
          <w:vertAlign w:val="superscript"/>
        </w:rPr>
        <w:fldChar w:fldCharType="separate"/>
      </w:r>
      <w:r w:rsidR="005D2ADA" w:rsidRPr="005D2ADA">
        <w:rPr>
          <w:rFonts w:cstheme="minorHAnsi"/>
          <w:noProof/>
        </w:rPr>
        <w:t>(155)</w:t>
      </w:r>
      <w:r w:rsidRPr="00737D20">
        <w:rPr>
          <w:rFonts w:cstheme="minorHAnsi"/>
          <w:vertAlign w:val="superscript"/>
        </w:rPr>
        <w:fldChar w:fldCharType="end"/>
      </w:r>
      <w:r w:rsidRPr="00737D20">
        <w:rPr>
          <w:rFonts w:cstheme="minorHAnsi"/>
        </w:rPr>
        <w:t>. Similarly, the minor compound TTP-8307</w:t>
      </w:r>
      <w:r w:rsidR="004C4888">
        <w:rPr>
          <w:rFonts w:cstheme="minorHAnsi"/>
        </w:rPr>
        <w:t xml:space="preserve"> (</w:t>
      </w:r>
      <w:r w:rsidR="004C4888" w:rsidRPr="00FB099D">
        <w:rPr>
          <w:rFonts w:cstheme="minorHAnsi"/>
          <w:b/>
        </w:rPr>
        <w:fldChar w:fldCharType="begin"/>
      </w:r>
      <w:r w:rsidR="004C4888" w:rsidRPr="00FB099D">
        <w:rPr>
          <w:rFonts w:cstheme="minorHAnsi"/>
          <w:b/>
        </w:rPr>
        <w:instrText xml:space="preserve"> REF _Ref530242516 \h </w:instrText>
      </w:r>
      <w:r w:rsidR="001B3703" w:rsidRPr="00FB099D">
        <w:rPr>
          <w:rFonts w:cstheme="minorHAnsi"/>
          <w:b/>
        </w:rPr>
        <w:instrText xml:space="preserve"> \* MERGEFORMAT </w:instrText>
      </w:r>
      <w:r w:rsidR="004C4888" w:rsidRPr="00FB099D">
        <w:rPr>
          <w:rFonts w:cstheme="minorHAnsi"/>
          <w:b/>
        </w:rPr>
      </w:r>
      <w:r w:rsidR="004C4888" w:rsidRPr="00FB099D">
        <w:rPr>
          <w:rFonts w:cstheme="minorHAnsi"/>
          <w:b/>
        </w:rPr>
        <w:fldChar w:fldCharType="separate"/>
      </w:r>
      <w:r w:rsidR="00E2070A" w:rsidRPr="00E2070A">
        <w:rPr>
          <w:b/>
        </w:rPr>
        <w:t xml:space="preserve">Figure </w:t>
      </w:r>
      <w:r w:rsidR="00E2070A" w:rsidRPr="00E2070A">
        <w:rPr>
          <w:b/>
          <w:noProof/>
        </w:rPr>
        <w:t>13</w:t>
      </w:r>
      <w:r w:rsidR="004C4888" w:rsidRPr="00FB099D">
        <w:rPr>
          <w:rFonts w:cstheme="minorHAnsi"/>
          <w:b/>
        </w:rPr>
        <w:fldChar w:fldCharType="end"/>
      </w:r>
      <w:r w:rsidR="004C4888">
        <w:rPr>
          <w:rFonts w:cstheme="minorHAnsi"/>
        </w:rPr>
        <w:t>)</w:t>
      </w:r>
      <w:r w:rsidRPr="00737D20">
        <w:rPr>
          <w:rFonts w:cstheme="minorHAnsi"/>
        </w:rPr>
        <w:t xml:space="preserve"> (TTP) was also shown to exert its anti-viral activity through the targeting of OSBP</w:t>
      </w:r>
      <w:r w:rsidRPr="00737D20">
        <w:rPr>
          <w:rFonts w:cstheme="minorHAnsi"/>
          <w:vertAlign w:val="superscript"/>
        </w:rPr>
        <w:fldChar w:fldCharType="begin" w:fldLock="1"/>
      </w:r>
      <w:r w:rsidR="00507C72">
        <w:rPr>
          <w:rFonts w:cstheme="minorHAnsi"/>
          <w:vertAlign w:val="superscript"/>
        </w:rPr>
        <w:instrText>ADDIN CSL_CITATION {"citationItems":[{"id":"ITEM-1","itemData":{"DOI":"10.1016/j.antiviral.2017.01.008","ISSN":"18729096","PMID":"28088354","abstract":"The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 M","non-dropping-particle":"van","parse-names":false,"suffix":""},{"dropping-particle":"","family":"Strating","given":"Jeroen R P M","non-dropping-particle":"","parse-names":false,"suffix":""}],"container-title":"Antiviral Research","id":"ITEM-1","issued":{"date-parts":[["2017"]]},"page":"37-44","title":"Uncovering oxysterol-binding protein (OSBP) as a target of the anti-enteroviral compound TTP-8307","type":"article-journal","volume":"140"},"uris":["http://www.mendeley.com/documents/?uuid=d39a6a30-bbc4-492d-b147-55b02455af83"]}],"mendeley":{"formattedCitation":"(156)","plainTextFormattedCitation":"(156)","previouslyFormattedCitation":"(156)"},"properties":{"noteIndex":0},"schema":"https://github.com/citation-style-language/schema/raw/master/csl-citation.json"}</w:instrText>
      </w:r>
      <w:r w:rsidRPr="00737D20">
        <w:rPr>
          <w:rFonts w:cstheme="minorHAnsi"/>
          <w:vertAlign w:val="superscript"/>
        </w:rPr>
        <w:fldChar w:fldCharType="separate"/>
      </w:r>
      <w:r w:rsidR="0041658F" w:rsidRPr="0041658F">
        <w:rPr>
          <w:rFonts w:cstheme="minorHAnsi"/>
          <w:noProof/>
        </w:rPr>
        <w:t>(156)</w:t>
      </w:r>
      <w:r w:rsidRPr="00737D20">
        <w:rPr>
          <w:rFonts w:cstheme="minorHAnsi"/>
          <w:vertAlign w:val="superscript"/>
        </w:rPr>
        <w:fldChar w:fldCharType="end"/>
      </w:r>
      <w:r w:rsidRPr="00737D20">
        <w:rPr>
          <w:rFonts w:cstheme="minorHAnsi"/>
        </w:rPr>
        <w:t xml:space="preserve">. TTP was shown to inhibit the </w:t>
      </w:r>
      <w:r w:rsidRPr="00737D20">
        <w:rPr>
          <w:rFonts w:cstheme="minorHAnsi"/>
          <w:i/>
        </w:rPr>
        <w:t xml:space="preserve">in vitro </w:t>
      </w:r>
      <w:r w:rsidRPr="00737D20">
        <w:rPr>
          <w:rFonts w:cstheme="minorHAnsi"/>
        </w:rPr>
        <w:t>cholesterol transferring ability of OSBP and</w:t>
      </w:r>
      <w:r w:rsidR="00D8382E">
        <w:rPr>
          <w:rFonts w:cstheme="minorHAnsi"/>
        </w:rPr>
        <w:t xml:space="preserve"> to</w:t>
      </w:r>
      <w:r w:rsidRPr="00737D20">
        <w:rPr>
          <w:rFonts w:cstheme="minorHAnsi"/>
        </w:rPr>
        <w:t xml:space="preserve"> cause localization of the protein to the Golgi similar to other known OSBP interacting compounds</w:t>
      </w:r>
      <w:r w:rsidRPr="00737D20">
        <w:rPr>
          <w:rFonts w:cstheme="minorHAnsi"/>
          <w:vertAlign w:val="superscript"/>
        </w:rPr>
        <w:fldChar w:fldCharType="begin" w:fldLock="1"/>
      </w:r>
      <w:r w:rsidR="00507C72">
        <w:rPr>
          <w:rFonts w:cstheme="minorHAnsi"/>
          <w:vertAlign w:val="superscript"/>
        </w:rPr>
        <w:instrText>ADDIN CSL_CITATION {"citationItems":[{"id":"ITEM-1","itemData":{"DOI":"10.1016/j.antiviral.2017.01.008","ISSN":"18729096","PMID":"28088354","abstract":"The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 M","non-dropping-particle":"van","parse-names":false,"suffix":""},{"dropping-particle":"","family":"Strating","given":"Jeroen R P M","non-dropping-particle":"","parse-names":false,"suffix":""}],"container-title":"Antiviral Research","id":"ITEM-1","issued":{"date-parts":[["2017"]]},"page":"37-44","title":"Uncovering oxysterol-binding protein (OSBP) as a target of the anti-enteroviral compound TTP-8307","type":"article-journal","volume":"140"},"uris":["http://www.mendeley.com/documents/?uuid=d39a6a30-bbc4-492d-b147-55b02455af83"]}],"mendeley":{"formattedCitation":"(156)","plainTextFormattedCitation":"(156)","previouslyFormattedCitation":"(156)"},"properties":{"noteIndex":0},"schema":"https://github.com/citation-style-language/schema/raw/master/csl-citation.json"}</w:instrText>
      </w:r>
      <w:r w:rsidRPr="00737D20">
        <w:rPr>
          <w:rFonts w:cstheme="minorHAnsi"/>
          <w:vertAlign w:val="superscript"/>
        </w:rPr>
        <w:fldChar w:fldCharType="separate"/>
      </w:r>
      <w:r w:rsidR="0041658F" w:rsidRPr="0041658F">
        <w:rPr>
          <w:rFonts w:cstheme="minorHAnsi"/>
          <w:noProof/>
        </w:rPr>
        <w:t>(156)</w:t>
      </w:r>
      <w:r w:rsidRPr="00737D20">
        <w:rPr>
          <w:rFonts w:cstheme="minorHAnsi"/>
          <w:vertAlign w:val="superscript"/>
        </w:rPr>
        <w:fldChar w:fldCharType="end"/>
      </w:r>
      <w:r w:rsidRPr="00737D20">
        <w:rPr>
          <w:rFonts w:cstheme="minorHAnsi"/>
        </w:rPr>
        <w:t xml:space="preserve">. Interestingly, overexpression of OSBP in infected cells did not lead to </w:t>
      </w:r>
      <w:r w:rsidR="00D8382E">
        <w:rPr>
          <w:rFonts w:cstheme="minorHAnsi"/>
        </w:rPr>
        <w:t xml:space="preserve">viral </w:t>
      </w:r>
      <w:r w:rsidRPr="00737D20">
        <w:rPr>
          <w:rFonts w:cstheme="minorHAnsi"/>
        </w:rPr>
        <w:t xml:space="preserve">resistance </w:t>
      </w:r>
      <w:r w:rsidR="00D8382E">
        <w:rPr>
          <w:rFonts w:cstheme="minorHAnsi"/>
        </w:rPr>
        <w:t>to</w:t>
      </w:r>
      <w:r w:rsidRPr="00737D20">
        <w:rPr>
          <w:rFonts w:cstheme="minorHAnsi"/>
        </w:rPr>
        <w:t xml:space="preserve"> the </w:t>
      </w:r>
      <w:r w:rsidR="00D8382E">
        <w:rPr>
          <w:rFonts w:cstheme="minorHAnsi"/>
        </w:rPr>
        <w:t xml:space="preserve">TTP </w:t>
      </w:r>
      <w:r w:rsidRPr="00737D20">
        <w:rPr>
          <w:rFonts w:cstheme="minorHAnsi"/>
        </w:rPr>
        <w:t>compound, suggesting this compound might also interact with other components in the viral replication pathway beyond OSBP</w:t>
      </w:r>
      <w:r w:rsidRPr="00737D20">
        <w:rPr>
          <w:rFonts w:cstheme="minorHAnsi"/>
          <w:vertAlign w:val="superscript"/>
        </w:rPr>
        <w:fldChar w:fldCharType="begin" w:fldLock="1"/>
      </w:r>
      <w:r w:rsidR="00507C72">
        <w:rPr>
          <w:rFonts w:cstheme="minorHAnsi"/>
          <w:vertAlign w:val="superscript"/>
        </w:rPr>
        <w:instrText>ADDIN CSL_CITATION {"citationItems":[{"id":"ITEM-1","itemData":{"DOI":"10.1016/j.antiviral.2017.01.008","ISSN":"18729096","PMID":"28088354","abstract":"The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 M","non-dropping-particle":"van","parse-names":false,"suffix":""},{"dropping-particle":"","family":"Strating","given":"Jeroen R P M","non-dropping-particle":"","parse-names":false,"suffix":""}],"container-title":"Antiviral Research","id":"ITEM-1","issued":{"date-parts":[["2017"]]},"page":"37-44","title":"Uncovering oxysterol-binding protein (OSBP) as a target of the anti-enteroviral compound TTP-8307","type":"article-journal","volume":"140"},"uris":["http://www.mendeley.com/documents/?uuid=d39a6a30-bbc4-492d-b147-55b02455af83"]}],"mendeley":{"formattedCitation":"(156)","plainTextFormattedCitation":"(156)","previouslyFormattedCitation":"(156)"},"properties":{"noteIndex":0},"schema":"https://github.com/citation-style-language/schema/raw/master/csl-citation.json"}</w:instrText>
      </w:r>
      <w:r w:rsidRPr="00737D20">
        <w:rPr>
          <w:rFonts w:cstheme="minorHAnsi"/>
          <w:vertAlign w:val="superscript"/>
        </w:rPr>
        <w:fldChar w:fldCharType="separate"/>
      </w:r>
      <w:r w:rsidR="0041658F" w:rsidRPr="0041658F">
        <w:rPr>
          <w:rFonts w:cstheme="minorHAnsi"/>
          <w:noProof/>
        </w:rPr>
        <w:t>(156)</w:t>
      </w:r>
      <w:r w:rsidRPr="00737D20">
        <w:rPr>
          <w:rFonts w:cstheme="minorHAnsi"/>
          <w:vertAlign w:val="superscript"/>
        </w:rPr>
        <w:fldChar w:fldCharType="end"/>
      </w:r>
      <w:r w:rsidRPr="00737D20">
        <w:rPr>
          <w:rFonts w:cstheme="minorHAnsi"/>
        </w:rPr>
        <w:t xml:space="preserve">. Further analysis of these </w:t>
      </w:r>
      <w:r w:rsidR="00D8382E">
        <w:rPr>
          <w:rFonts w:cstheme="minorHAnsi"/>
        </w:rPr>
        <w:t xml:space="preserve">THEV2 and TTP </w:t>
      </w:r>
      <w:r w:rsidRPr="00737D20">
        <w:rPr>
          <w:rFonts w:cstheme="minorHAnsi"/>
        </w:rPr>
        <w:t xml:space="preserve">compounds </w:t>
      </w:r>
      <w:r w:rsidR="00D8382E">
        <w:rPr>
          <w:rFonts w:cstheme="minorHAnsi"/>
        </w:rPr>
        <w:t>biological activity is required to define their interaction with OSBP and</w:t>
      </w:r>
      <w:r w:rsidRPr="00737D20">
        <w:rPr>
          <w:rFonts w:cstheme="minorHAnsi"/>
        </w:rPr>
        <w:t xml:space="preserve"> evaluate their </w:t>
      </w:r>
      <w:r w:rsidR="00D8382E">
        <w:rPr>
          <w:rFonts w:cstheme="minorHAnsi"/>
        </w:rPr>
        <w:t>potential efficacy as antiviral lead compounds</w:t>
      </w:r>
      <w:r w:rsidRPr="00737D20">
        <w:rPr>
          <w:rFonts w:cstheme="minorHAnsi"/>
        </w:rPr>
        <w:t>.</w:t>
      </w:r>
    </w:p>
    <w:p w:rsidR="004C4888" w:rsidRDefault="004C4888" w:rsidP="00FB099D">
      <w:pPr>
        <w:keepNext/>
        <w:jc w:val="both"/>
      </w:pPr>
      <w:r>
        <w:rPr>
          <w:b/>
          <w:noProof/>
          <w:szCs w:val="28"/>
          <w:lang w:bidi="ar-SA"/>
        </w:rPr>
        <w:lastRenderedPageBreak/>
        <w:drawing>
          <wp:inline distT="0" distB="0" distL="0" distR="0" wp14:anchorId="3ABC896E" wp14:editId="6DF1121B">
            <wp:extent cx="5394960" cy="3787264"/>
            <wp:effectExtent l="19050" t="19050" r="15240" b="2286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4960" cy="3787264"/>
                    </a:xfrm>
                    <a:prstGeom prst="rect">
                      <a:avLst/>
                    </a:prstGeom>
                    <a:noFill/>
                    <a:ln>
                      <a:solidFill>
                        <a:schemeClr val="tx1"/>
                      </a:solidFill>
                    </a:ln>
                  </pic:spPr>
                </pic:pic>
              </a:graphicData>
            </a:graphic>
          </wp:inline>
        </w:drawing>
      </w:r>
    </w:p>
    <w:p w:rsidR="004C4888" w:rsidRDefault="00A841B4" w:rsidP="00FB099D">
      <w:pPr>
        <w:pStyle w:val="Caption"/>
        <w:jc w:val="both"/>
      </w:pPr>
      <w:bookmarkStart w:id="76" w:name="_Ref530242516"/>
      <w:bookmarkStart w:id="77" w:name="_Toc530673938"/>
      <w:r w:rsidRPr="00A841B4">
        <w:t>Figure</w:t>
      </w:r>
      <w:r w:rsidR="004C4888">
        <w:t xml:space="preserve"> </w:t>
      </w:r>
      <w:fldSimple w:instr=" SEQ Figure \* ARABIC ">
        <w:r w:rsidR="00E2070A">
          <w:rPr>
            <w:noProof/>
          </w:rPr>
          <w:t>13</w:t>
        </w:r>
      </w:fldSimple>
      <w:bookmarkEnd w:id="76"/>
      <w:r w:rsidR="004C4888">
        <w:t>: Structures of minor enviroxime-like compounds that target OSBP.</w:t>
      </w:r>
      <w:bookmarkEnd w:id="77"/>
    </w:p>
    <w:p w:rsidR="004C4888" w:rsidRPr="004C4888" w:rsidRDefault="004C4888" w:rsidP="00FB099D">
      <w:pPr>
        <w:jc w:val="both"/>
      </w:pPr>
    </w:p>
    <w:p w:rsidR="00737D20" w:rsidRDefault="000C47E5" w:rsidP="00FB099D">
      <w:pPr>
        <w:pStyle w:val="Heading2"/>
      </w:pPr>
      <w:bookmarkStart w:id="78" w:name="_Toc532553090"/>
      <w:r>
        <w:t xml:space="preserve">Small Molecule </w:t>
      </w:r>
      <w:r w:rsidR="00737D20">
        <w:t>Drug Targets</w:t>
      </w:r>
      <w:bookmarkEnd w:id="78"/>
    </w:p>
    <w:p w:rsidR="00D83F31" w:rsidRPr="00D83F31" w:rsidRDefault="00FF32D7" w:rsidP="00FF32D7">
      <w:pPr>
        <w:ind w:firstLine="576"/>
        <w:jc w:val="both"/>
      </w:pPr>
      <w:r>
        <w:t>There are currently over 2300 FDA approved s</w:t>
      </w:r>
      <w:r w:rsidR="00D83F31">
        <w:t>mall molecule drugs</w:t>
      </w:r>
      <w:r>
        <w:fldChar w:fldCharType="begin" w:fldLock="1"/>
      </w:r>
      <w:r w:rsidR="006760F6">
        <w:instrText>ADDIN CSL_CITATION {"citationItems":[{"id":"ITEM-1","itemData":{"URL":"https://www.drugbank.ca/stats","accessed":{"date-parts":[["2018","11","21"]]},"id":"ITEM-1","issued":{"date-parts":[["0"]]},"title":"Statistics - DrugBank","type":"webpage"},"uris":["http://www.mendeley.com/documents/?uuid=e917698f-4678-3d36-a0b9-d6ad046e4777"]}],"mendeley":{"formattedCitation":"(157)","plainTextFormattedCitation":"(157)","previouslyFormattedCitation":"(157)"},"properties":{"noteIndex":0},"schema":"https://github.com/citation-style-language/schema/raw/master/csl-citation.json"}</w:instrText>
      </w:r>
      <w:r>
        <w:fldChar w:fldCharType="separate"/>
      </w:r>
      <w:r w:rsidRPr="00FF32D7">
        <w:rPr>
          <w:noProof/>
        </w:rPr>
        <w:t>(157)</w:t>
      </w:r>
      <w:r>
        <w:fldChar w:fldCharType="end"/>
      </w:r>
      <w:r>
        <w:t xml:space="preserve"> for a variety of targets and diseases</w:t>
      </w:r>
      <w:r w:rsidR="006760F6">
        <w:t>, which can be utilized as chemical probes to understand functions of proteins and various biological processes</w:t>
      </w:r>
      <w:r w:rsidR="006760F6">
        <w:fldChar w:fldCharType="begin" w:fldLock="1"/>
      </w:r>
      <w:r w:rsidR="00063FF8">
        <w:instrText>ADDIN CSL_CITATION {"citationItems":[{"id":"ITEM-1","itemData":{"DOI":"10.1017/CBO9781139021500.004","ISBN":"9781139021500","ISSN":"00280836","PMID":"15602550","abstract":"Small organic molecules have proven to be invaluable tools for investigating biological systems, but there is still much to learn from their use. To discover and to use more effectively new chemical tools to understand biology, strategies are needed that allow us to systematically explore 'biological-activity space'. Such strategies involve analysing both protein binding of, and phenotypic responses to, small organic molecules. The mapping of biological-activity space using small molecules is akin to mapping the stars--uncharted territory is explored using a system of coordinates that describes where each new feature lies.","author":[{"dropping-particle":"","family":"Aberle","given":"Nicholas","non-dropping-particle":"","parse-names":false,"suffix":""},{"dropping-particle":"","family":"Crews","given":"Craig M.","non-dropping-particle":"","parse-names":false,"suffix":""}],"container-title":"Chemical Genomics","id":"ITEM-1","issue":"December","issued":{"date-parts":[["2012"]]},"page":"10-25","title":"Exploring biology with small organic molecules","type":"article-journal","volume":"432"},"uris":["http://www.mendeley.com/documents/?uuid=fafd06f7-6890-43d2-83ee-954f723ed25a"]}],"mendeley":{"formattedCitation":"(158)","plainTextFormattedCitation":"(158)","previouslyFormattedCitation":"(158)"},"properties":{"noteIndex":0},"schema":"https://github.com/citation-style-language/schema/raw/master/csl-citation.json"}</w:instrText>
      </w:r>
      <w:r w:rsidR="006760F6">
        <w:fldChar w:fldCharType="separate"/>
      </w:r>
      <w:r w:rsidR="006760F6" w:rsidRPr="006760F6">
        <w:rPr>
          <w:noProof/>
        </w:rPr>
        <w:t>(158)</w:t>
      </w:r>
      <w:r w:rsidR="006760F6">
        <w:fldChar w:fldCharType="end"/>
      </w:r>
      <w:r>
        <w:t>.</w:t>
      </w:r>
      <w:r w:rsidR="006760F6">
        <w:t xml:space="preserve"> The latter chapters of this dissertation explore the cellular effects of ORPphilin inhibition of OSBP. Small molecule inhibitors to key cellular pathways</w:t>
      </w:r>
      <w:r w:rsidR="00F32EB6">
        <w:t>,</w:t>
      </w:r>
      <w:r w:rsidR="006760F6">
        <w:t xml:space="preserve"> such as the proteasome and autophagy</w:t>
      </w:r>
      <w:r w:rsidR="00F32EB6">
        <w:t>,</w:t>
      </w:r>
      <w:r w:rsidR="006760F6">
        <w:t xml:space="preserve"> are utilized to determine the fate of OSBP inhibited by these ORPphillins. The cellular processes</w:t>
      </w:r>
      <w:r w:rsidR="00F32EB6">
        <w:t>, and their small molecule inhibitors,</w:t>
      </w:r>
      <w:r w:rsidR="006760F6">
        <w:t xml:space="preserve"> that are explored in the subsequent chapters are briefly outlined in the following section.  </w:t>
      </w:r>
    </w:p>
    <w:p w:rsidR="00737D20" w:rsidRDefault="000C47E5" w:rsidP="00042529">
      <w:pPr>
        <w:pStyle w:val="Heading3"/>
      </w:pPr>
      <w:bookmarkStart w:id="79" w:name="_Ref530244867"/>
      <w:bookmarkStart w:id="80" w:name="_Toc532553091"/>
      <w:r>
        <w:t xml:space="preserve">Proteasome </w:t>
      </w:r>
      <w:r w:rsidR="00737D20">
        <w:t>Overview</w:t>
      </w:r>
      <w:bookmarkEnd w:id="79"/>
      <w:bookmarkEnd w:id="80"/>
    </w:p>
    <w:p w:rsidR="00644A7E" w:rsidRPr="00BB364B" w:rsidRDefault="00835897" w:rsidP="00FB099D">
      <w:pPr>
        <w:ind w:firstLine="720"/>
        <w:jc w:val="both"/>
        <w:rPr>
          <w:szCs w:val="28"/>
        </w:rPr>
      </w:pPr>
      <w:r>
        <w:rPr>
          <w:szCs w:val="28"/>
        </w:rPr>
        <w:t xml:space="preserve">The proteasome is a large protein complex that is responsible for degradation of cellular proteins </w:t>
      </w:r>
      <w:r w:rsidR="0009058F">
        <w:rPr>
          <w:szCs w:val="28"/>
        </w:rPr>
        <w:t>tagged by the ubiquitin</w:t>
      </w:r>
      <w:r>
        <w:rPr>
          <w:szCs w:val="28"/>
        </w:rPr>
        <w:t xml:space="preserve"> post translational modification</w:t>
      </w:r>
      <w:r w:rsidR="0009058F">
        <w:rPr>
          <w:szCs w:val="28"/>
        </w:rPr>
        <w:fldChar w:fldCharType="begin" w:fldLock="1"/>
      </w:r>
      <w:r w:rsidR="00063FF8">
        <w:rPr>
          <w:szCs w:val="28"/>
        </w:rPr>
        <w:instrText>ADDIN CSL_CITATION {"citationItems":[{"id":"ITEM-1","itemData":{"DOI":"10.1038/nrm2468","ISBN":"1471-0080 (Electronic)\\r1471-0072 (Linking)","ISSN":"14710072","PMID":"18698327","abstract":"The ubiquitin-proteasome system degrades an enormous variety of proteins that contain specific degradation signals, or 'degrons'. Besides the degradation of regulatory proteins, almost every protein suffers from sporadic biosynthetic errors or misfolding. Such aberrant proteins can be recognized and rapidly degraded by cells. Structural and functional data on a handful of degrons allow several generalizations regarding their mechanism of action. We focus on different strategies of degron recognition by the ubiquitin system, and contrast regulatory degrons that are subject to signalling-dependent modification with those that are controlled by protein folding or assembly, as frequently occurs during protein quality control.","author":[{"dropping-particle":"","family":"Ravid","given":"Tommer","non-dropping-particle":"","parse-names":false,"suffix":""},{"dropping-particle":"","family":"Hochstrasser","given":"Mark","non-dropping-particle":"","parse-names":false,"suffix":""}],"container-title":"Nature Reviews Molecular Cell Biology","id":"ITEM-1","issue":"9","issued":{"date-parts":[["2008"]]},"page":"679-689","title":"Diversity of degradation signals in the ubiquitin-proteasome system","type":"article-journal","volume":"9"},"uris":["http://www.mendeley.com/documents/?uuid=197c537d-d7ea-47ac-b96f-db8d5d543ca2"]},{"id":"ITEM-2","itemData":{"DOI":"10.1038/nrd2056","ISBN":"1474-1776 (Print)\\r1474-1776 (Linking)","ISSN":"14741776","PMID":"16816840","abstract":"Regulated protein turnover via the ubiquitin-proteasome system (UPS) underlies a wide variety of signalling pathways, from cell-cycle control and transcription to development. Recent evidence that pharmacological inhibition of the proteasome can be efficacious in the treatment of human cancers has set the stage for attempts to selectively inhibit the activities of disease-specific components of the UPS. Here, we review recent advances linking UPS components with specific human diseases, most prominently cancer and neurodegenerative disorders, and emphasize potential sites of therapeutic intervention along the regulated protein-degradation pathway.","author":[{"dropping-particle":"","family":"Nalepa","given":"Grzegorz","non-dropping-particle":"","parse-names":false,"suffix":""},{"dropping-particle":"","family":"Rolfe","given":"Mark","non-dropping-particle":"","parse-names":false,"suffix":""},{"dropping-particle":"","family":"Harper","given":"J. Wade","non-dropping-particle":"","parse-names":false,"suffix":""}],"container-title":"Nature Reviews Drug Discovery","id":"ITEM-2","issue":"7","issued":{"date-parts":[["2006"]]},"page":"596-613","title":"Drug discovery in the ubiquitin - Proteasome system","type":"article-journal","volume":"5"},"uris":["http://www.mendeley.com/documents/?uuid=a53a08e1-1b81-4229-a850-d705a97a8dfa"]}],"mendeley":{"formattedCitation":"(159, 160)","plainTextFormattedCitation":"(159, 160)","previouslyFormattedCitation":"(159, 160)"},"properties":{"noteIndex":0},"schema":"https://github.com/citation-style-language/schema/raw/master/csl-citation.json"}</w:instrText>
      </w:r>
      <w:r w:rsidR="0009058F">
        <w:rPr>
          <w:szCs w:val="28"/>
        </w:rPr>
        <w:fldChar w:fldCharType="separate"/>
      </w:r>
      <w:r w:rsidR="0009058F" w:rsidRPr="006760F6">
        <w:rPr>
          <w:noProof/>
          <w:szCs w:val="28"/>
        </w:rPr>
        <w:t>(159, 160)</w:t>
      </w:r>
      <w:r w:rsidR="0009058F">
        <w:rPr>
          <w:szCs w:val="28"/>
        </w:rPr>
        <w:fldChar w:fldCharType="end"/>
      </w:r>
      <w:r w:rsidR="0009058F">
        <w:rPr>
          <w:szCs w:val="28"/>
        </w:rPr>
        <w:t>.</w:t>
      </w:r>
      <w:r>
        <w:rPr>
          <w:szCs w:val="28"/>
        </w:rPr>
        <w:t xml:space="preserve"> </w:t>
      </w:r>
      <w:r w:rsidR="0009058F">
        <w:rPr>
          <w:szCs w:val="28"/>
        </w:rPr>
        <w:t xml:space="preserve">Addition of </w:t>
      </w:r>
      <w:r w:rsidR="0009058F">
        <w:rPr>
          <w:szCs w:val="28"/>
        </w:rPr>
        <w:lastRenderedPageBreak/>
        <w:t>p</w:t>
      </w:r>
      <w:r>
        <w:rPr>
          <w:szCs w:val="28"/>
        </w:rPr>
        <w:t>olymeriz</w:t>
      </w:r>
      <w:r w:rsidR="0009058F">
        <w:rPr>
          <w:szCs w:val="28"/>
        </w:rPr>
        <w:t>ed</w:t>
      </w:r>
      <w:r>
        <w:rPr>
          <w:szCs w:val="28"/>
        </w:rPr>
        <w:t xml:space="preserve"> ubiquitin</w:t>
      </w:r>
      <w:r w:rsidR="0009058F">
        <w:rPr>
          <w:szCs w:val="28"/>
        </w:rPr>
        <w:t xml:space="preserve"> on a protein</w:t>
      </w:r>
      <w:r>
        <w:rPr>
          <w:szCs w:val="28"/>
        </w:rPr>
        <w:t xml:space="preserve"> serves as a degradation signal to target </w:t>
      </w:r>
      <w:r w:rsidR="0009058F">
        <w:rPr>
          <w:szCs w:val="28"/>
        </w:rPr>
        <w:t>the</w:t>
      </w:r>
      <w:r>
        <w:rPr>
          <w:szCs w:val="28"/>
        </w:rPr>
        <w:t xml:space="preserve"> protein to the proteasome</w:t>
      </w:r>
      <w:r w:rsidR="0009058F">
        <w:rPr>
          <w:szCs w:val="28"/>
        </w:rPr>
        <w:fldChar w:fldCharType="begin" w:fldLock="1"/>
      </w:r>
      <w:r w:rsidR="00063FF8">
        <w:rPr>
          <w:szCs w:val="28"/>
        </w:rPr>
        <w:instrText>ADDIN CSL_CITATION {"citationItems":[{"id":"ITEM-1","itemData":{"DOI":"10.1038/nrm2468","ISBN":"1471-0080 (Electronic)\\r1471-0072 (Linking)","ISSN":"14710072","PMID":"18698327","abstract":"The ubiquitin-proteasome system degrades an enormous variety of proteins that contain specific degradation signals, or 'degrons'. Besides the degradation of regulatory proteins, almost every protein suffers from sporadic biosynthetic errors or misfolding. Such aberrant proteins can be recognized and rapidly degraded by cells. Structural and functional data on a handful of degrons allow several generalizations regarding their mechanism of action. We focus on different strategies of degron recognition by the ubiquitin system, and contrast regulatory degrons that are subject to signalling-dependent modification with those that are controlled by protein folding or assembly, as frequently occurs during protein quality control.","author":[{"dropping-particle":"","family":"Ravid","given":"Tommer","non-dropping-particle":"","parse-names":false,"suffix":""},{"dropping-particle":"","family":"Hochstrasser","given":"Mark","non-dropping-particle":"","parse-names":false,"suffix":""}],"container-title":"Nature Reviews Molecular Cell Biology","id":"ITEM-1","issue":"9","issued":{"date-parts":[["2008"]]},"page":"679-689","title":"Diversity of degradation signals in the ubiquitin-proteasome system","type":"article-journal","volume":"9"},"uris":["http://www.mendeley.com/documents/?uuid=197c537d-d7ea-47ac-b96f-db8d5d543ca2"]},{"id":"ITEM-2","itemData":{"DOI":"10.1038/nrd2056","ISBN":"1474-1776 (Print)\\r1474-1776 (Linking)","ISSN":"14741776","PMID":"16816840","abstract":"Regulated protein turnover via the ubiquitin-proteasome system (UPS) underlies a wide variety of signalling pathways, from cell-cycle control and transcription to development. Recent evidence that pharmacological inhibition of the proteasome can be efficacious in the treatment of human cancers has set the stage for attempts to selectively inhibit the activities of disease-specific components of the UPS. Here, we review recent advances linking UPS components with specific human diseases, most prominently cancer and neurodegenerative disorders, and emphasize potential sites of therapeutic intervention along the regulated protein-degradation pathway.","author":[{"dropping-particle":"","family":"Nalepa","given":"Grzegorz","non-dropping-particle":"","parse-names":false,"suffix":""},{"dropping-particle":"","family":"Rolfe","given":"Mark","non-dropping-particle":"","parse-names":false,"suffix":""},{"dropping-particle":"","family":"Harper","given":"J. Wade","non-dropping-particle":"","parse-names":false,"suffix":""}],"container-title":"Nature Reviews Drug Discovery","id":"ITEM-2","issue":"7","issued":{"date-parts":[["2006"]]},"page":"596-613","title":"Drug discovery in the ubiquitin - Proteasome system","type":"article-journal","volume":"5"},"uris":["http://www.mendeley.com/documents/?uuid=a53a08e1-1b81-4229-a850-d705a97a8dfa"]}],"mendeley":{"formattedCitation":"(159, 160)","plainTextFormattedCitation":"(159, 160)","previouslyFormattedCitation":"(159, 160)"},"properties":{"noteIndex":0},"schema":"https://github.com/citation-style-language/schema/raw/master/csl-citation.json"}</w:instrText>
      </w:r>
      <w:r w:rsidR="0009058F">
        <w:rPr>
          <w:szCs w:val="28"/>
        </w:rPr>
        <w:fldChar w:fldCharType="separate"/>
      </w:r>
      <w:r w:rsidR="0009058F" w:rsidRPr="006760F6">
        <w:rPr>
          <w:noProof/>
          <w:szCs w:val="28"/>
        </w:rPr>
        <w:t>(159, 160)</w:t>
      </w:r>
      <w:r w:rsidR="0009058F">
        <w:rPr>
          <w:szCs w:val="28"/>
        </w:rPr>
        <w:fldChar w:fldCharType="end"/>
      </w:r>
      <w:r w:rsidR="0009058F">
        <w:rPr>
          <w:szCs w:val="28"/>
        </w:rPr>
        <w:t>.</w:t>
      </w:r>
      <w:r>
        <w:rPr>
          <w:szCs w:val="28"/>
        </w:rPr>
        <w:t xml:space="preserve"> </w:t>
      </w:r>
      <w:r w:rsidR="0009058F">
        <w:rPr>
          <w:szCs w:val="28"/>
        </w:rPr>
        <w:t>Ubiquitination is performed by a</w:t>
      </w:r>
      <w:r>
        <w:rPr>
          <w:szCs w:val="28"/>
        </w:rPr>
        <w:t xml:space="preserve"> network of proteins: E1, E2, and E3</w:t>
      </w:r>
      <w:r>
        <w:rPr>
          <w:szCs w:val="28"/>
        </w:rPr>
        <w:fldChar w:fldCharType="begin" w:fldLock="1"/>
      </w:r>
      <w:r w:rsidR="00063FF8">
        <w:rPr>
          <w:szCs w:val="28"/>
        </w:rPr>
        <w:instrText>ADDIN CSL_CITATION {"citationItems":[{"id":"ITEM-1","itemData":{"DOI":"10.1038/nrm2468","ISBN":"1471-0080 (Electronic)\\r1471-0072 (Linking)","ISSN":"14710072","PMID":"18698327","abstract":"The ubiquitin-proteasome system degrades an enormous variety of proteins that contain specific degradation signals, or 'degrons'. Besides the degradation of regulatory proteins, almost every protein suffers from sporadic biosynthetic errors or misfolding. Such aberrant proteins can be recognized and rapidly degraded by cells. Structural and functional data on a handful of degrons allow several generalizations regarding their mechanism of action. We focus on different strategies of degron recognition by the ubiquitin system, and contrast regulatory degrons that are subject to signalling-dependent modification with those that are controlled by protein folding or assembly, as frequently occurs during protein quality control.","author":[{"dropping-particle":"","family":"Ravid","given":"Tommer","non-dropping-particle":"","parse-names":false,"suffix":""},{"dropping-particle":"","family":"Hochstrasser","given":"Mark","non-dropping-particle":"","parse-names":false,"suffix":""}],"container-title":"Nature Reviews Molecular Cell Biology","id":"ITEM-1","issue":"9","issued":{"date-parts":[["2008"]]},"page":"679-689","title":"Diversity of degradation signals in the ubiquitin-proteasome system","type":"article-journal","volume":"9"},"uris":["http://www.mendeley.com/documents/?uuid=197c537d-d7ea-47ac-b96f-db8d5d543ca2"]},{"id":"ITEM-2","itemData":{"DOI":"10.1038/nrd2056","ISBN":"1474-1776 (Print)\\r1474-1776 (Linking)","ISSN":"14741776","PMID":"16816840","abstract":"Regulated protein turnover via the ubiquitin-proteasome system (UPS) underlies a wide variety of signalling pathways, from cell-cycle control and transcription to development. Recent evidence that pharmacological inhibition of the proteasome can be efficacious in the treatment of human cancers has set the stage for attempts to selectively inhibit the activities of disease-specific components of the UPS. Here, we review recent advances linking UPS components with specific human diseases, most prominently cancer and neurodegenerative disorders, and emphasize potential sites of therapeutic intervention along the regulated protein-degradation pathway.","author":[{"dropping-particle":"","family":"Nalepa","given":"Grzegorz","non-dropping-particle":"","parse-names":false,"suffix":""},{"dropping-particle":"","family":"Rolfe","given":"Mark","non-dropping-particle":"","parse-names":false,"suffix":""},{"dropping-particle":"","family":"Harper","given":"J. Wade","non-dropping-particle":"","parse-names":false,"suffix":""}],"container-title":"Nature Reviews Drug Discovery","id":"ITEM-2","issue":"7","issued":{"date-parts":[["2006"]]},"page":"596-613","title":"Drug discovery in the ubiquitin - Proteasome system","type":"article-journal","volume":"5"},"uris":["http://www.mendeley.com/documents/?uuid=a53a08e1-1b81-4229-a850-d705a97a8dfa"]}],"mendeley":{"formattedCitation":"(159, 160)","plainTextFormattedCitation":"(159, 160)","previouslyFormattedCitation":"(159, 160)"},"properties":{"noteIndex":0},"schema":"https://github.com/citation-style-language/schema/raw/master/csl-citation.json"}</w:instrText>
      </w:r>
      <w:r>
        <w:rPr>
          <w:szCs w:val="28"/>
        </w:rPr>
        <w:fldChar w:fldCharType="separate"/>
      </w:r>
      <w:r w:rsidR="006760F6" w:rsidRPr="006760F6">
        <w:rPr>
          <w:noProof/>
          <w:szCs w:val="28"/>
        </w:rPr>
        <w:t>(159, 160)</w:t>
      </w:r>
      <w:r>
        <w:rPr>
          <w:szCs w:val="28"/>
        </w:rPr>
        <w:fldChar w:fldCharType="end"/>
      </w:r>
      <w:r>
        <w:rPr>
          <w:szCs w:val="28"/>
        </w:rPr>
        <w:t xml:space="preserve">. </w:t>
      </w:r>
      <w:r w:rsidR="00063FF8">
        <w:rPr>
          <w:szCs w:val="28"/>
        </w:rPr>
        <w:t xml:space="preserve">E1 proteins are </w:t>
      </w:r>
      <w:r>
        <w:rPr>
          <w:szCs w:val="28"/>
        </w:rPr>
        <w:t>ubiquitin activators</w:t>
      </w:r>
      <w:r w:rsidR="00063FF8">
        <w:rPr>
          <w:szCs w:val="28"/>
        </w:rPr>
        <w:t xml:space="preserve"> that</w:t>
      </w:r>
      <w:r w:rsidR="00807E2B">
        <w:rPr>
          <w:szCs w:val="28"/>
        </w:rPr>
        <w:t xml:space="preserve"> obtain ubiquitin and transfer it </w:t>
      </w:r>
      <w:r>
        <w:rPr>
          <w:szCs w:val="28"/>
        </w:rPr>
        <w:t>to</w:t>
      </w:r>
      <w:r w:rsidR="00807E2B">
        <w:rPr>
          <w:szCs w:val="28"/>
        </w:rPr>
        <w:t xml:space="preserve"> </w:t>
      </w:r>
      <w:r w:rsidR="00063FF8">
        <w:rPr>
          <w:szCs w:val="28"/>
        </w:rPr>
        <w:t>the E2 ubiquitin-conjugating enzymes</w:t>
      </w:r>
      <w:r w:rsidR="00063FF8">
        <w:rPr>
          <w:szCs w:val="28"/>
        </w:rPr>
        <w:fldChar w:fldCharType="begin" w:fldLock="1"/>
      </w:r>
      <w:r w:rsidR="00063FF8">
        <w:rPr>
          <w:szCs w:val="28"/>
        </w:rPr>
        <w:instrText>ADDIN CSL_CITATION {"citationItems":[{"id":"ITEM-1","itemData":{"DOI":"10.1038/nrm2468","ISBN":"1471-0080 (Electronic)\\r1471-0072 (Linking)","ISSN":"14710072","PMID":"18698327","abstract":"The ubiquitin-proteasome system degrades an enormous variety of proteins that contain specific degradation signals, or 'degrons'. Besides the degradation of regulatory proteins, almost every protein suffers from sporadic biosynthetic errors or misfolding. Such aberrant proteins can be recognized and rapidly degraded by cells. Structural and functional data on a handful of degrons allow several generalizations regarding their mechanism of action. We focus on different strategies of degron recognition by the ubiquitin system, and contrast regulatory degrons that are subject to signalling-dependent modification with those that are controlled by protein folding or assembly, as frequently occurs during protein quality control.","author":[{"dropping-particle":"","family":"Ravid","given":"Tommer","non-dropping-particle":"","parse-names":false,"suffix":""},{"dropping-particle":"","family":"Hochstrasser","given":"Mark","non-dropping-particle":"","parse-names":false,"suffix":""}],"container-title":"Nature Reviews Molecular Cell Biology","id":"ITEM-1","issue":"9","issued":{"date-parts":[["2008"]]},"page":"679-689","title":"Diversity of degradation signals in the ubiquitin-proteasome system","type":"article-journal","volume":"9"},"uris":["http://www.mendeley.com/documents/?uuid=197c537d-d7ea-47ac-b96f-db8d5d543ca2"]},{"id":"ITEM-2","itemData":{"DOI":"10.1038/nrd2056","ISBN":"1474-1776 (Print)\\r1474-1776 (Linking)","ISSN":"14741776","PMID":"16816840","abstract":"Regulated protein turnover via the ubiquitin-proteasome system (UPS) underlies a wide variety of signalling pathways, from cell-cycle control and transcription to development. Recent evidence that pharmacological inhibition of the proteasome can be efficacious in the treatment of human cancers has set the stage for attempts to selectively inhibit the activities of disease-specific components of the UPS. Here, we review recent advances linking UPS components with specific human diseases, most prominently cancer and neurodegenerative disorders, and emphasize potential sites of therapeutic intervention along the regulated protein-degradation pathway.","author":[{"dropping-particle":"","family":"Nalepa","given":"Grzegorz","non-dropping-particle":"","parse-names":false,"suffix":""},{"dropping-particle":"","family":"Rolfe","given":"Mark","non-dropping-particle":"","parse-names":false,"suffix":""},{"dropping-particle":"","family":"Harper","given":"J. Wade","non-dropping-particle":"","parse-names":false,"suffix":""}],"container-title":"Nature Reviews Drug Discovery","id":"ITEM-2","issue":"7","issued":{"date-parts":[["2006"]]},"page":"596-613","title":"Drug discovery in the ubiquitin - Proteasome system","type":"article-journal","volume":"5"},"uris":["http://www.mendeley.com/documents/?uuid=a53a08e1-1b81-4229-a850-d705a97a8dfa"]}],"mendeley":{"formattedCitation":"(159, 160)","plainTextFormattedCitation":"(159, 160)","previouslyFormattedCitation":"(159, 160)"},"properties":{"noteIndex":0},"schema":"https://github.com/citation-style-language/schema/raw/master/csl-citation.json"}</w:instrText>
      </w:r>
      <w:r w:rsidR="00063FF8">
        <w:rPr>
          <w:szCs w:val="28"/>
        </w:rPr>
        <w:fldChar w:fldCharType="separate"/>
      </w:r>
      <w:r w:rsidR="00063FF8" w:rsidRPr="006760F6">
        <w:rPr>
          <w:noProof/>
          <w:szCs w:val="28"/>
        </w:rPr>
        <w:t>(159, 160)</w:t>
      </w:r>
      <w:r w:rsidR="00063FF8">
        <w:rPr>
          <w:szCs w:val="28"/>
        </w:rPr>
        <w:fldChar w:fldCharType="end"/>
      </w:r>
      <w:r w:rsidR="00063FF8">
        <w:rPr>
          <w:szCs w:val="28"/>
        </w:rPr>
        <w:t>. The E2 enzymes complex</w:t>
      </w:r>
      <w:r w:rsidR="003A6DFE">
        <w:rPr>
          <w:szCs w:val="28"/>
        </w:rPr>
        <w:t xml:space="preserve"> with</w:t>
      </w:r>
      <w:r w:rsidR="005A2B7D">
        <w:rPr>
          <w:szCs w:val="28"/>
        </w:rPr>
        <w:t xml:space="preserve"> </w:t>
      </w:r>
      <w:r w:rsidR="00063FF8">
        <w:rPr>
          <w:szCs w:val="28"/>
        </w:rPr>
        <w:t xml:space="preserve">the E3 </w:t>
      </w:r>
      <w:r w:rsidR="00807E2B">
        <w:rPr>
          <w:szCs w:val="28"/>
        </w:rPr>
        <w:t>ubiquitin-li</w:t>
      </w:r>
      <w:r w:rsidR="00063FF8">
        <w:rPr>
          <w:szCs w:val="28"/>
        </w:rPr>
        <w:t>gating enzymes</w:t>
      </w:r>
      <w:r w:rsidR="003A6DFE">
        <w:rPr>
          <w:szCs w:val="28"/>
        </w:rPr>
        <w:t xml:space="preserve"> and</w:t>
      </w:r>
      <w:r w:rsidR="00807E2B">
        <w:rPr>
          <w:szCs w:val="28"/>
        </w:rPr>
        <w:t xml:space="preserve"> the protein substrate</w:t>
      </w:r>
      <w:r w:rsidR="00063FF8">
        <w:rPr>
          <w:szCs w:val="28"/>
        </w:rPr>
        <w:t xml:space="preserve"> </w:t>
      </w:r>
      <w:r w:rsidR="002668C9">
        <w:rPr>
          <w:szCs w:val="28"/>
        </w:rPr>
        <w:fldChar w:fldCharType="begin" w:fldLock="1"/>
      </w:r>
      <w:r w:rsidR="00063FF8">
        <w:rPr>
          <w:szCs w:val="28"/>
        </w:rPr>
        <w:instrText>ADDIN CSL_CITATION {"citationItems":[{"id":"ITEM-1","itemData":{"DOI":"10.1038/nrm2468","ISBN":"1471-0080 (Electronic)\\r1471-0072 (Linking)","ISSN":"14710072","PMID":"18698327","abstract":"The ubiquitin-proteasome system degrades an enormous variety of proteins that contain specific degradation signals, or 'degrons'. Besides the degradation of regulatory proteins, almost every protein suffers from sporadic biosynthetic errors or misfolding. Such aberrant proteins can be recognized and rapidly degraded by cells. Structural and functional data on a handful of degrons allow several generalizations regarding their mechanism of action. We focus on different strategies of degron recognition by the ubiquitin system, and contrast regulatory degrons that are subject to signalling-dependent modification with those that are controlled by protein folding or assembly, as frequently occurs during protein quality control.","author":[{"dropping-particle":"","family":"Ravid","given":"Tommer","non-dropping-particle":"","parse-names":false,"suffix":""},{"dropping-particle":"","family":"Hochstrasser","given":"Mark","non-dropping-particle":"","parse-names":false,"suffix":""}],"container-title":"Nature Reviews Molecular Cell Biology","id":"ITEM-1","issue":"9","issued":{"date-parts":[["2008"]]},"page":"679-689","title":"Diversity of degradation signals in the ubiquitin-proteasome system","type":"article-journal","volume":"9"},"uris":["http://www.mendeley.com/documents/?uuid=197c537d-d7ea-47ac-b96f-db8d5d543ca2"]},{"id":"ITEM-2","itemData":{"DOI":"10.1038/nrd2056","ISBN":"1474-1776 (Print)\\r1474-1776 (Linking)","ISSN":"14741776","PMID":"16816840","abstract":"Regulated protein turnover via the ubiquitin-proteasome system (UPS) underlies a wide variety of signalling pathways, from cell-cycle control and transcription to development. Recent evidence that pharmacological inhibition of the proteasome can be efficacious in the treatment of human cancers has set the stage for attempts to selectively inhibit the activities of disease-specific components of the UPS. Here, we review recent advances linking UPS components with specific human diseases, most prominently cancer and neurodegenerative disorders, and emphasize potential sites of therapeutic intervention along the regulated protein-degradation pathway.","author":[{"dropping-particle":"","family":"Nalepa","given":"Grzegorz","non-dropping-particle":"","parse-names":false,"suffix":""},{"dropping-particle":"","family":"Rolfe","given":"Mark","non-dropping-particle":"","parse-names":false,"suffix":""},{"dropping-particle":"","family":"Harper","given":"J. Wade","non-dropping-particle":"","parse-names":false,"suffix":""}],"container-title":"Nature Reviews Drug Discovery","id":"ITEM-2","issue":"7","issued":{"date-parts":[["2006"]]},"page":"596-613","title":"Drug discovery in the ubiquitin - Proteasome system","type":"article-journal","volume":"5"},"uris":["http://www.mendeley.com/documents/?uuid=a53a08e1-1b81-4229-a850-d705a97a8dfa"]}],"mendeley":{"formattedCitation":"(159, 160)","plainTextFormattedCitation":"(159, 160)","previouslyFormattedCitation":"(159, 160)"},"properties":{"noteIndex":0},"schema":"https://github.com/citation-style-language/schema/raw/master/csl-citation.json"}</w:instrText>
      </w:r>
      <w:r w:rsidR="002668C9">
        <w:rPr>
          <w:szCs w:val="28"/>
        </w:rPr>
        <w:fldChar w:fldCharType="separate"/>
      </w:r>
      <w:r w:rsidR="006760F6" w:rsidRPr="006760F6">
        <w:rPr>
          <w:noProof/>
          <w:szCs w:val="28"/>
        </w:rPr>
        <w:t>(159, 160)</w:t>
      </w:r>
      <w:r w:rsidR="002668C9">
        <w:rPr>
          <w:szCs w:val="28"/>
        </w:rPr>
        <w:fldChar w:fldCharType="end"/>
      </w:r>
      <w:r w:rsidR="003A6DFE">
        <w:rPr>
          <w:szCs w:val="28"/>
        </w:rPr>
        <w:t>.</w:t>
      </w:r>
      <w:r w:rsidR="00603676">
        <w:rPr>
          <w:szCs w:val="28"/>
        </w:rPr>
        <w:t xml:space="preserve"> </w:t>
      </w:r>
      <w:r w:rsidR="00063FF8">
        <w:rPr>
          <w:szCs w:val="28"/>
        </w:rPr>
        <w:t>E3 proteins are substrate selective and t</w:t>
      </w:r>
      <w:r w:rsidR="00603676">
        <w:rPr>
          <w:szCs w:val="28"/>
        </w:rPr>
        <w:t>here are more than 500 different E3 proteins</w:t>
      </w:r>
      <w:r w:rsidR="00063FF8">
        <w:rPr>
          <w:szCs w:val="28"/>
        </w:rPr>
        <w:t xml:space="preserve"> to accommodate the cellular protein substrates in need of</w:t>
      </w:r>
      <w:r w:rsidR="00603676">
        <w:rPr>
          <w:szCs w:val="28"/>
        </w:rPr>
        <w:t xml:space="preserve"> polyubiquitination</w:t>
      </w:r>
      <w:r w:rsidR="0051016F">
        <w:rPr>
          <w:szCs w:val="28"/>
        </w:rPr>
        <w:fldChar w:fldCharType="begin" w:fldLock="1"/>
      </w:r>
      <w:r w:rsidR="00063FF8">
        <w:rPr>
          <w:szCs w:val="28"/>
        </w:rPr>
        <w:instrText>ADDIN CSL_CITATION {"citationItems":[{"id":"ITEM-1","itemData":{"DOI":"10.2183/pjab/85.12","ISSN":"1349-2896","PMID":"19145068","abstract":"The proteasome is a highly sophisticated protease complex designed to carry out selective, efficient and processive hydrolysis of client proteins. It is known to collaborate with ubiquitin, which polymerizes to form a marker for regulated proteolysis in eukaryotic cells. The highly organized proteasome plays a prominent role in the control of a diverse array of basic cellular activities by rapidly and unidirectionally catalyzing biological reactions. Studies of the proteasome during the past quarter of a century have provided profound insights into its structure and functions, which has appreciably contributed to our understanding of cellular life. Many questions, however, remain to be elucidated.","author":[{"dropping-particle":"","family":"Tanaka","given":"Keiji","non-dropping-particle":"","parse-names":false,"suffix":""}],"container-title":"Proceedings of the Japan Academy. Series B, Physical and biological sciences","id":"ITEM-1","issue":"1","issued":{"date-parts":[["2009"]]},"page":"12-36","title":"The proteasome: overview of structure and functions.","type":"article-journal","volume":"85"},"uris":["http://www.mendeley.com/documents/?uuid=def7a360-a4c7-40ea-97ca-73e6d676a466"]}],"mendeley":{"formattedCitation":"(161)","plainTextFormattedCitation":"(161)","previouslyFormattedCitation":"(161)"},"properties":{"noteIndex":0},"schema":"https://github.com/citation-style-language/schema/raw/master/csl-citation.json"}</w:instrText>
      </w:r>
      <w:r w:rsidR="0051016F">
        <w:rPr>
          <w:szCs w:val="28"/>
        </w:rPr>
        <w:fldChar w:fldCharType="separate"/>
      </w:r>
      <w:r w:rsidR="006760F6" w:rsidRPr="006760F6">
        <w:rPr>
          <w:noProof/>
          <w:szCs w:val="28"/>
        </w:rPr>
        <w:t>(161)</w:t>
      </w:r>
      <w:r w:rsidR="0051016F">
        <w:rPr>
          <w:szCs w:val="28"/>
        </w:rPr>
        <w:fldChar w:fldCharType="end"/>
      </w:r>
      <w:r w:rsidR="00063FF8">
        <w:rPr>
          <w:szCs w:val="28"/>
        </w:rPr>
        <w:t xml:space="preserve">. Once </w:t>
      </w:r>
      <w:r w:rsidR="0051016F">
        <w:rPr>
          <w:szCs w:val="28"/>
        </w:rPr>
        <w:t>polyubiquitination has occurred, the protein substrate is released and is then targeted to the proteasome complex. This complex consists of one or two 19S regulatory particles (RP) that serve to remove the ubiquitin tags and unfold the protein</w:t>
      </w:r>
      <w:r w:rsidR="00063FF8">
        <w:rPr>
          <w:szCs w:val="28"/>
        </w:rPr>
        <w:fldChar w:fldCharType="begin" w:fldLock="1"/>
      </w:r>
      <w:r w:rsidR="00063FF8">
        <w:rPr>
          <w:szCs w:val="28"/>
        </w:rPr>
        <w:instrText>ADDIN CSL_CITATION {"citationItems":[{"id":"ITEM-1","itemData":{"DOI":"10.2183/pjab/85.12","ISSN":"1349-2896","PMID":"19145068","abstract":"The proteasome is a highly sophisticated protease complex designed to carry out selective, efficient and processive hydrolysis of client proteins. It is known to collaborate with ubiquitin, which polymerizes to form a marker for regulated proteolysis in eukaryotic cells. The highly organized proteasome plays a prominent role in the control of a diverse array of basic cellular activities by rapidly and unidirectionally catalyzing biological reactions. Studies of the proteasome during the past quarter of a century have provided profound insights into its structure and functions, which has appreciably contributed to our understanding of cellular life. Many questions, however, remain to be elucidated.","author":[{"dropping-particle":"","family":"Tanaka","given":"Keiji","non-dropping-particle":"","parse-names":false,"suffix":""}],"container-title":"Proceedings of the Japan Academy. Series B, Physical and biological sciences","id":"ITEM-1","issue":"1","issued":{"date-parts":[["2009"]]},"page":"12-36","title":"The proteasome: overview of structure and functions.","type":"article-journal","volume":"85"},"uris":["http://www.mendeley.com/documents/?uuid=def7a360-a4c7-40ea-97ca-73e6d676a466"]}],"mendeley":{"formattedCitation":"(161)","plainTextFormattedCitation":"(161)","previouslyFormattedCitation":"(161)"},"properties":{"noteIndex":0},"schema":"https://github.com/citation-style-language/schema/raw/master/csl-citation.json"}</w:instrText>
      </w:r>
      <w:r w:rsidR="00063FF8">
        <w:rPr>
          <w:szCs w:val="28"/>
        </w:rPr>
        <w:fldChar w:fldCharType="separate"/>
      </w:r>
      <w:r w:rsidR="00063FF8" w:rsidRPr="006760F6">
        <w:rPr>
          <w:noProof/>
          <w:szCs w:val="28"/>
        </w:rPr>
        <w:t>(161)</w:t>
      </w:r>
      <w:r w:rsidR="00063FF8">
        <w:rPr>
          <w:szCs w:val="28"/>
        </w:rPr>
        <w:fldChar w:fldCharType="end"/>
      </w:r>
      <w:r w:rsidR="00063FF8">
        <w:rPr>
          <w:szCs w:val="28"/>
        </w:rPr>
        <w:t>.</w:t>
      </w:r>
      <w:r w:rsidR="0051016F">
        <w:rPr>
          <w:szCs w:val="28"/>
        </w:rPr>
        <w:t xml:space="preserve"> </w:t>
      </w:r>
      <w:r w:rsidR="00063FF8">
        <w:rPr>
          <w:szCs w:val="28"/>
        </w:rPr>
        <w:t>The unfolded protein is f</w:t>
      </w:r>
      <w:r w:rsidR="0051016F">
        <w:rPr>
          <w:szCs w:val="28"/>
        </w:rPr>
        <w:t>ed into the 20S catalytic unit</w:t>
      </w:r>
      <w:r w:rsidR="00063FF8">
        <w:rPr>
          <w:szCs w:val="28"/>
        </w:rPr>
        <w:t xml:space="preserve"> of the proteasome</w:t>
      </w:r>
      <w:r w:rsidR="0051016F">
        <w:rPr>
          <w:szCs w:val="28"/>
        </w:rPr>
        <w:t xml:space="preserve"> which degrades the protein into peptides of 3-15 amino acids</w:t>
      </w:r>
      <w:r w:rsidR="00063FF8">
        <w:rPr>
          <w:szCs w:val="28"/>
        </w:rPr>
        <w:t>, which are further d</w:t>
      </w:r>
      <w:r w:rsidR="0051016F">
        <w:rPr>
          <w:szCs w:val="28"/>
        </w:rPr>
        <w:t>egraded by oligopeptidases and/or amino-carboxyl peptidases to generate amino acids</w:t>
      </w:r>
      <w:r w:rsidR="0051016F">
        <w:rPr>
          <w:szCs w:val="28"/>
        </w:rPr>
        <w:fldChar w:fldCharType="begin" w:fldLock="1"/>
      </w:r>
      <w:r w:rsidR="00063FF8">
        <w:rPr>
          <w:szCs w:val="28"/>
        </w:rPr>
        <w:instrText>ADDIN CSL_CITATION {"citationItems":[{"id":"ITEM-1","itemData":{"DOI":"10.2183/pjab/85.12","ISSN":"1349-2896","PMID":"19145068","abstract":"The proteasome is a highly sophisticated protease complex designed to carry out selective, efficient and processive hydrolysis of client proteins. It is known to collaborate with ubiquitin, which polymerizes to form a marker for regulated proteolysis in eukaryotic cells. The highly organized proteasome plays a prominent role in the control of a diverse array of basic cellular activities by rapidly and unidirectionally catalyzing biological reactions. Studies of the proteasome during the past quarter of a century have provided profound insights into its structure and functions, which has appreciably contributed to our understanding of cellular life. Many questions, however, remain to be elucidated.","author":[{"dropping-particle":"","family":"Tanaka","given":"Keiji","non-dropping-particle":"","parse-names":false,"suffix":""}],"container-title":"Proceedings of the Japan Academy. Series B, Physical and biological sciences","id":"ITEM-1","issue":"1","issued":{"date-parts":[["2009"]]},"page":"12-36","title":"The proteasome: overview of structure and functions.","type":"article-journal","volume":"85"},"uris":["http://www.mendeley.com/documents/?uuid=def7a360-a4c7-40ea-97ca-73e6d676a466"]}],"mendeley":{"formattedCitation":"(161)","plainTextFormattedCitation":"(161)","previouslyFormattedCitation":"(161)"},"properties":{"noteIndex":0},"schema":"https://github.com/citation-style-language/schema/raw/master/csl-citation.json"}</w:instrText>
      </w:r>
      <w:r w:rsidR="0051016F">
        <w:rPr>
          <w:szCs w:val="28"/>
        </w:rPr>
        <w:fldChar w:fldCharType="separate"/>
      </w:r>
      <w:r w:rsidR="006760F6" w:rsidRPr="006760F6">
        <w:rPr>
          <w:noProof/>
          <w:szCs w:val="28"/>
        </w:rPr>
        <w:t>(161)</w:t>
      </w:r>
      <w:r w:rsidR="0051016F">
        <w:rPr>
          <w:szCs w:val="28"/>
        </w:rPr>
        <w:fldChar w:fldCharType="end"/>
      </w:r>
      <w:r w:rsidR="0051016F">
        <w:rPr>
          <w:szCs w:val="28"/>
        </w:rPr>
        <w:t xml:space="preserve">. </w:t>
      </w:r>
      <w:r w:rsidR="00F50126">
        <w:rPr>
          <w:szCs w:val="28"/>
        </w:rPr>
        <w:t xml:space="preserve">The proteasome complex </w:t>
      </w:r>
      <w:r w:rsidR="00B152A4">
        <w:rPr>
          <w:szCs w:val="28"/>
        </w:rPr>
        <w:t>degrades ~80% of intracellular proteins</w:t>
      </w:r>
      <w:r w:rsidR="00063FF8">
        <w:rPr>
          <w:szCs w:val="28"/>
        </w:rPr>
        <w:t>,</w:t>
      </w:r>
      <w:r w:rsidR="00B152A4">
        <w:rPr>
          <w:szCs w:val="28"/>
        </w:rPr>
        <w:t xml:space="preserve"> and</w:t>
      </w:r>
      <w:r w:rsidR="00063FF8">
        <w:rPr>
          <w:szCs w:val="28"/>
        </w:rPr>
        <w:t xml:space="preserve"> the proteasome</w:t>
      </w:r>
      <w:r w:rsidR="00B152A4">
        <w:rPr>
          <w:szCs w:val="28"/>
        </w:rPr>
        <w:t xml:space="preserve"> </w:t>
      </w:r>
      <w:r w:rsidR="00F50126">
        <w:rPr>
          <w:szCs w:val="28"/>
        </w:rPr>
        <w:t>plays a vital</w:t>
      </w:r>
      <w:r w:rsidR="00B152A4">
        <w:rPr>
          <w:szCs w:val="28"/>
        </w:rPr>
        <w:t xml:space="preserve"> role </w:t>
      </w:r>
      <w:r w:rsidR="00063FF8">
        <w:rPr>
          <w:szCs w:val="28"/>
        </w:rPr>
        <w:t xml:space="preserve">in </w:t>
      </w:r>
      <w:r w:rsidR="00B152A4">
        <w:rPr>
          <w:szCs w:val="28"/>
        </w:rPr>
        <w:t xml:space="preserve">major cellular </w:t>
      </w:r>
      <w:r w:rsidR="00063FF8">
        <w:rPr>
          <w:szCs w:val="28"/>
        </w:rPr>
        <w:t>processes</w:t>
      </w:r>
      <w:r w:rsidR="00B152A4">
        <w:rPr>
          <w:szCs w:val="28"/>
        </w:rPr>
        <w:t xml:space="preserve"> such as in</w:t>
      </w:r>
      <w:r w:rsidR="00F50126">
        <w:rPr>
          <w:szCs w:val="28"/>
        </w:rPr>
        <w:t xml:space="preserve"> </w:t>
      </w:r>
      <w:r w:rsidR="00B152A4">
        <w:rPr>
          <w:szCs w:val="28"/>
        </w:rPr>
        <w:t xml:space="preserve">the </w:t>
      </w:r>
      <w:r w:rsidR="00F50126">
        <w:rPr>
          <w:szCs w:val="28"/>
        </w:rPr>
        <w:t xml:space="preserve">cell cycle, </w:t>
      </w:r>
      <w:r w:rsidR="00B152A4">
        <w:rPr>
          <w:szCs w:val="28"/>
        </w:rPr>
        <w:t xml:space="preserve">cellular stress response, protein quality control, </w:t>
      </w:r>
      <w:r w:rsidR="00F50126">
        <w:rPr>
          <w:szCs w:val="28"/>
        </w:rPr>
        <w:t>immune system</w:t>
      </w:r>
      <w:r w:rsidR="00B152A4">
        <w:rPr>
          <w:szCs w:val="28"/>
        </w:rPr>
        <w:t xml:space="preserve"> functions, and apoptosis</w:t>
      </w:r>
      <w:r w:rsidR="00B152A4">
        <w:rPr>
          <w:szCs w:val="28"/>
        </w:rPr>
        <w:fldChar w:fldCharType="begin" w:fldLock="1"/>
      </w:r>
      <w:r w:rsidR="00063FF8">
        <w:rPr>
          <w:szCs w:val="28"/>
        </w:rPr>
        <w:instrText>ADDIN CSL_CITATION {"citationItems":[{"id":"ITEM-1","itemData":{"DOI":"10.1074/mcp.M110.006924","ISBN":"1535-9484 (Electronic)\\r1535-9476 (Linking)","ISSN":"1535-9476","PMID":"21543789","abstract":"Oxidative stress has been implicated in aging and many human diseases, notably neurodegenerative disorders and various cancers. The reactive oxygen species that are generated by aerobic metabolism and environmental stressors can chemically modify proteins and alter their biological functions. Cells possess protein repair pathways to rescue oxidized proteins and restore their functions. If these repair processes fail, oxidized proteins may become cytotoxic. Cell homeostasis and viability are therefore dependent on the removal of oxidatively damaged proteins. Numerous studies have demonstrated that the proteasome plays a pivotal role in the selective recognition and degradation of oxidized proteins. Despite extensive research, oxidative stress-triggered regulation of proteasome complexes remains poorly defined. Better understanding of molecular mechanisms underlying proteasome function in response to oxidative stress will provide a basis for developing new strategies aimed at improving cell viability and recovery as well as attenuating oxidation-induced cytotoxicity associated with aging and disease. Here we highlight recent advances in the understanding of proteasome structure and function during oxidative stress and describe how cells cope with oxidative stress through proteasome-dependent degradation pathways.","author":[{"dropping-particle":"","family":"Aiken","given":"Charity T.","non-dropping-particle":"","parse-names":false,"suffix":""},{"dropping-particle":"","family":"Kaake","given":"Robyn M.","non-dropping-particle":"","parse-names":false,"suffix":""},{"dropping-particle":"","family":"Wang","given":"Xiaorong","non-dropping-particle":"","parse-names":false,"suffix":""},{"dropping-particle":"","family":"Huang","given":"Lan","non-dropping-particle":"","parse-names":false,"suffix":""}],"container-title":"Molecular &amp; Cellular Proteomics","id":"ITEM-1","issue":"5","issued":{"date-parts":[["2011"]]},"page":"R110.006924","title":"Oxidative Stress-Mediated Regulation of Proteasome Complexes","type":"article-journal","volume":"10"},"uris":["http://www.mendeley.com/documents/?uuid=67d70a8a-58a7-4184-b786-968a959406c4"]},{"id":"ITEM-2","itemData":{"DOI":"10.1152/ajplung.00156.2016","ISSN":"1040-0605","PMID":"27343191","abstract":"Kammerl IE, Meiners S. Proteasome function shapes innate and adaptive immune responses. Am J Physiol Lung Cell Mol Physiol 311: L328 –L336, 2016. First published June 24, 2016; doi:10.1152/ajplung.00156.2016.—The proteasome system degrades more than 80% of intracellular proteins into small peptides. Accordingly, the proteasome is involved in many essential cellular functions, such as protein quality control, transcription, immune responses, cell signaling, and apoptosis. Moreover, degradation products are loaded onto major histocompatibility class I molecules to communicate the intracellular protein composition to the immune system. The standard 20S proteasome core complex contains three distinct catalytic active sites that are exchanged upon stimulation with inflammatory cytokines to form the so-called immunoproteasome. Immunoproteasomes are constitutively expressed in immune cells and have different proteolytic activities compared with standard proteasomes. They are rapidly induced in parenchymal cells upon intracellular pathogen infection and are crucial for priming effective CD8 ϩ T-cell-mediated immune responses against infected cells. Beyond shaping these adaptive immune reactions, immuno-proteasomes also regulate the function of immune cells by degradation of inflam-matory and immune mediators. Accordingly, they emerge as novel regulators of innate immune responses. The recently unraveled impairment of immunoprotea-some function by environmental challenges and by genetic variations of immuno-proteasome genes might represent a currently underestimated risk factor for the development and progression of lung diseases. In particular, immunoproteasome dysfunction will dampen resolution of infections, thereby promoting exacerbations, may foster autoimmunity in chronic lung diseases, and possibly contributes to immune evasion of tumor cells. Novel pharmacological tools, such as site-specific inhibitors of the immunoproteasome, as well as activity-based probes, however, hold promises as innovative therapeutic drugs for respiratory diseases and bio-marker profiling, respectively. immunoproteasome; adaptive immunity; innate immune response; lung disease; immunoproteasome inhibitor Introducing the Proteasome System IN THE NORMAL COURSE OF A protein's lifetime, synthesis and degradation rate determine the half-life of both short-and long-lived proteins for cellular maintenance (119). The protea-some is a huge protease complex and the main protein degra-datio…","author":[{"dropping-particle":"","family":"Kammerl","given":"Ilona Elisabeth","non-dropping-particle":"","parse-names":false,"suffix":""},{"dropping-particle":"","family":"Meiners","given":"Silke","non-dropping-particle":"","parse-names":false,"suffix":""}],"container-title":"American Journal of Physiology - Lung Cellular and Molecular Physiology","id":"ITEM-2","issued":{"date-parts":[["2016"]]},"page":"ajplung.00156.2016","title":"Proteasome function shapes innate and adaptive immune responses","type":"article-journal"},"uris":["http://www.mendeley.com/documents/?uuid=582afa2b-b17f-4028-8345-21ed830f0752"]},{"id":"ITEM-3","itemData":{"DOI":"10.1007/978-1-59259-794-9_6","author":[{"dropping-particle":"","family":"Adams","given":"Julian","non-dropping-particle":"","parse-names":false,"suffix":""}],"container-title":"Proteasome Inhibitors in Cancer Therapy","id":"ITEM-3","issued":{"date-parts":[["2004"]]},"page":"77-84","publisher":"Humana Press","publisher-place":"Totowa, NJ","title":"The Proteasome in Cell-Cycle Regulation","type":"chapter"},"uris":["http://www.mendeley.com/documents/?uuid=287264e5-d3aa-378e-accd-46134486b1b3"]}],"mendeley":{"formattedCitation":"(162–164)","plainTextFormattedCitation":"(162–164)","previouslyFormattedCitation":"(162–164)"},"properties":{"noteIndex":0},"schema":"https://github.com/citation-style-language/schema/raw/master/csl-citation.json"}</w:instrText>
      </w:r>
      <w:r w:rsidR="00B152A4">
        <w:rPr>
          <w:szCs w:val="28"/>
        </w:rPr>
        <w:fldChar w:fldCharType="separate"/>
      </w:r>
      <w:r w:rsidR="006760F6" w:rsidRPr="006760F6">
        <w:rPr>
          <w:noProof/>
          <w:szCs w:val="28"/>
        </w:rPr>
        <w:t>(162–164)</w:t>
      </w:r>
      <w:r w:rsidR="00B152A4">
        <w:rPr>
          <w:szCs w:val="28"/>
        </w:rPr>
        <w:fldChar w:fldCharType="end"/>
      </w:r>
      <w:r w:rsidR="00B152A4">
        <w:rPr>
          <w:szCs w:val="28"/>
        </w:rPr>
        <w:t>.</w:t>
      </w:r>
      <w:r w:rsidR="00063FF8">
        <w:rPr>
          <w:szCs w:val="28"/>
        </w:rPr>
        <w:t xml:space="preserve"> In recent years, proteasome inhibition has been shown to have anti-cancer activity</w:t>
      </w:r>
      <w:r w:rsidR="00063FF8">
        <w:rPr>
          <w:szCs w:val="28"/>
        </w:rPr>
        <w:fldChar w:fldCharType="begin" w:fldLock="1"/>
      </w:r>
      <w:r w:rsidR="003D4B48">
        <w:rPr>
          <w:szCs w:val="28"/>
        </w:rPr>
        <w:instrText>ADDIN CSL_CITATION {"citationItems":[{"id":"ITEM-1","itemData":{"DOI":"10.1002/ijc.21805","ISBN":"0020-7136","ISSN":"00207136","PMID":"16557600","abstract":"The incidence of non-Hodgkin's lymphoma (NHL) has markedly increased in the US and other westernized countries in recent years and presents a considerable clinical challenge. NHL is divided into subtypes that follow an aggressive or indolent course. Follicular lymphoma (FL), the most common indolent subtype, and mantle cell lymphoma (MCL), an aggressive subtype that accounts for approximately 5% of cases, are generally incurable. MCL has a relatively poor prognosis, with a median survival of 3-4 years. Despite improving response rates with new agents and regimens, the lack of demonstrated improvement in overall survival in many subtypes supports the development of novel approaches, such as proteasome inhibition. Bortezomib is the first proteasome inhibitor to be evaluated in human studies. It has already been approved as second-line treatment in multiple myeloma and is now under active investigation in NHL. The US FDA has granted bortezomib fast-track designation for relapsed and refractory MCL. In vitro and in vivo studies have demonstrated single-agent activity against various lymphoid tumors, and additive or synergistic effects in combination with other agents, including standard chemotherapy drugs employed in NHL. Phase 2 clinical trials indicate that bortezomib is well tolerated and active in several NHL subtypes, with response rates of 18-60% in FL and 39-56% in MCL. A number of combination trials are currently underway with a range of standard agents. Bortezomib has the potential to play a significant role throughout the NHL treatment algorithm in the future.","author":[{"dropping-particle":"","family":"Leonard","given":"John P.","non-dropping-particle":"","parse-names":false,"suffix":""},{"dropping-particle":"","family":"Furman","given":"Richard R.","non-dropping-particle":"","parse-names":false,"suffix":""},{"dropping-particle":"","family":"Coleman","given":"Morton","non-dropping-particle":"","parse-names":false,"suffix":""}],"container-title":"International Journal of Cancer","id":"ITEM-1","issue":"5","issued":{"date-parts":[["2006"]]},"page":"971-979","title":"Proteasome inhibition with bortezomib: A new therapeutic strategy for non-Hodgkin's lymphoma","type":"article-journal","volume":"119"},"uris":["http://www.mendeley.com/documents/?uuid=c00c266b-ce02-46f6-8b8b-33fcda4a78d4"]}],"mendeley":{"formattedCitation":"(165)","plainTextFormattedCitation":"(165)","previouslyFormattedCitation":"(165)"},"properties":{"noteIndex":0},"schema":"https://github.com/citation-style-language/schema/raw/master/csl-citation.json"}</w:instrText>
      </w:r>
      <w:r w:rsidR="00063FF8">
        <w:rPr>
          <w:szCs w:val="28"/>
        </w:rPr>
        <w:fldChar w:fldCharType="separate"/>
      </w:r>
      <w:r w:rsidR="00063FF8" w:rsidRPr="00063FF8">
        <w:rPr>
          <w:noProof/>
          <w:szCs w:val="28"/>
        </w:rPr>
        <w:t>(165)</w:t>
      </w:r>
      <w:r w:rsidR="00063FF8">
        <w:rPr>
          <w:szCs w:val="28"/>
        </w:rPr>
        <w:fldChar w:fldCharType="end"/>
      </w:r>
      <w:r w:rsidR="00063FF8">
        <w:rPr>
          <w:szCs w:val="28"/>
        </w:rPr>
        <w:t xml:space="preserve"> and be a potential anti-inflammatory therapy</w:t>
      </w:r>
      <w:r w:rsidR="00063FF8">
        <w:rPr>
          <w:szCs w:val="28"/>
        </w:rPr>
        <w:fldChar w:fldCharType="begin" w:fldLock="1"/>
      </w:r>
      <w:r w:rsidR="003D4B48">
        <w:rPr>
          <w:szCs w:val="28"/>
        </w:rPr>
        <w:instrText>ADDIN CSL_CITATION {"citationItems":[{"id":"ITEM-1","itemData":{"DOI":"10.1007/s00109-003-0422-2","ISBN":"0261-4189 (Print)\\r0261-4189 (Linking)","ISSN":"09462716","PMID":"9857172","abstract":"The ubiquitin-proteasome pathway has a central role in the selective degradation of intracellular proteins. Among the key proteins modulated by the proteasome are those involved in the control of inflammatory processes, cell cycle regulation, and gene expression. Consequently proteasome inhibition is a potential treatment option for cancer and inflammatory conditions. Thus far, proof of principle has been obtained from studies in numerous animal models for a variety of human diseases including cancer, reperfusion injury, and inflammatory conditions such as rheumatoid arthritis, asthma, multiple sclerosis, and psoriasis. Two proteasome inhibitors, each representing a unique chemical class, are currently under clinical evaluation. Velcade (PS-341) is currently being evaluated in multiple phase II clinical trials for several solid tumor indications and has just entered a phase III trial for multiple myeloma. PS-519, representing another class of inhibitors, focuses on the inflammatory events following ischemia and reperfusion injury. Since proteasome inhibitors exhibit anti-inflammatory and antiproliferative effects, diseases characterized by both of these processes simultaneously, as is the case in rheumatoid arthritis or psoriasis, might also represent clinical opportunities for such drugs.","author":[{"dropping-particle":"","family":"Elliott","given":"Peter J.","non-dropping-particle":"","parse-names":false,"suffix":""},{"dropping-particle":"","family":"Zollner","given":"Thomas Matthias","non-dropping-particle":"","parse-names":false,"suffix":""},{"dropping-particle":"","family":"Boehncke","given":"Wolf Henning","non-dropping-particle":"","parse-names":false,"suffix":""}],"container-title":"Journal of Molecular Medicine","id":"ITEM-1","issue":"4","issued":{"date-parts":[["2003"]]},"page":"235-245","title":"Proteasome inhibition: A new anti-inflammatory strategy","type":"article-journal","volume":"81"},"uris":["http://www.mendeley.com/documents/?uuid=ed7789f5-a146-422d-be0a-75a910b01aff"]}],"mendeley":{"formattedCitation":"(166)","plainTextFormattedCitation":"(166)","previouslyFormattedCitation":"(166)"},"properties":{"noteIndex":0},"schema":"https://github.com/citation-style-language/schema/raw/master/csl-citation.json"}</w:instrText>
      </w:r>
      <w:r w:rsidR="00063FF8">
        <w:rPr>
          <w:szCs w:val="28"/>
        </w:rPr>
        <w:fldChar w:fldCharType="separate"/>
      </w:r>
      <w:r w:rsidR="00063FF8" w:rsidRPr="00063FF8">
        <w:rPr>
          <w:noProof/>
          <w:szCs w:val="28"/>
        </w:rPr>
        <w:t>(166)</w:t>
      </w:r>
      <w:r w:rsidR="00063FF8">
        <w:rPr>
          <w:szCs w:val="28"/>
        </w:rPr>
        <w:fldChar w:fldCharType="end"/>
      </w:r>
      <w:r w:rsidR="00063FF8">
        <w:rPr>
          <w:szCs w:val="28"/>
        </w:rPr>
        <w:t xml:space="preserve">. Inhibition of the proteasome has also advance basic cell biology </w:t>
      </w:r>
      <w:r w:rsidR="003D4B48">
        <w:rPr>
          <w:szCs w:val="28"/>
        </w:rPr>
        <w:t>through knowledge gained about the cell cycle, transcriptional response, metabolic regulation,etc</w:t>
      </w:r>
      <w:r w:rsidR="003D4B48">
        <w:rPr>
          <w:szCs w:val="28"/>
        </w:rPr>
        <w:fldChar w:fldCharType="begin" w:fldLock="1"/>
      </w:r>
      <w:r w:rsidR="005F35B5">
        <w:rPr>
          <w:szCs w:val="28"/>
        </w:rPr>
        <w:instrText>ADDIN CSL_CITATION {"citationItems":[{"id":"ITEM-1","itemData":{"DOI":"10.1083/jcb.201210077","ISBN":"1540-8140 (Electronic)\\r0021-9525 (Linking)","ISSN":"00219525","PMID":"23148232","abstract":"The proteasome is the primary site for protein degradation in mammalian cells, and proteasome inhibitors have been invaluable tools in clarifying its cellular functions. The anticancer agent bortezomib inhibits the major peptidase sites in the proteasome's 20S core particle. It is a \"blockbuster drug\" that has led to dramatic improvements in the treatment of multiple myeloma, a cancer of plasma cells. The development of proteasome inhibitors illustrates the unpredictability, frustrations, and potential rewards of drug development but also emphasizes the dependence of medical advances on basic biological research.","author":[{"dropping-particle":"","family":"Goldberg","given":"Alfred L.","non-dropping-particle":"","parse-names":false,"suffix":""}],"container-title":"Journal of Cell Biology","id":"ITEM-1","issue":"4","issued":{"date-parts":[["2012"]]},"page":"583-588","title":"Development of proteasome inhibitors as research tools and cancer drugs","type":"article-journal","volume":"199"},"uris":["http://www.mendeley.com/documents/?uuid=9f9e5706-6745-4369-b526-f27d22ca751c"]}],"mendeley":{"formattedCitation":"(167)","plainTextFormattedCitation":"(167)","previouslyFormattedCitation":"(167)"},"properties":{"noteIndex":0},"schema":"https://github.com/citation-style-language/schema/raw/master/csl-citation.json"}</w:instrText>
      </w:r>
      <w:r w:rsidR="003D4B48">
        <w:rPr>
          <w:szCs w:val="28"/>
        </w:rPr>
        <w:fldChar w:fldCharType="separate"/>
      </w:r>
      <w:r w:rsidR="003D4B48" w:rsidRPr="003D4B48">
        <w:rPr>
          <w:noProof/>
          <w:szCs w:val="28"/>
        </w:rPr>
        <w:t>(167)</w:t>
      </w:r>
      <w:r w:rsidR="003D4B48">
        <w:rPr>
          <w:szCs w:val="28"/>
        </w:rPr>
        <w:fldChar w:fldCharType="end"/>
      </w:r>
      <w:r w:rsidR="003D4B48">
        <w:rPr>
          <w:szCs w:val="28"/>
        </w:rPr>
        <w:t>.</w:t>
      </w:r>
    </w:p>
    <w:p w:rsidR="00737D20" w:rsidRDefault="0015171B" w:rsidP="00042529">
      <w:pPr>
        <w:pStyle w:val="Heading3"/>
      </w:pPr>
      <w:bookmarkStart w:id="81" w:name="_Toc532553092"/>
      <w:r w:rsidRPr="00090590">
        <w:rPr>
          <w:b/>
          <w:noProof/>
          <w:szCs w:val="28"/>
          <w:lang w:bidi="ar-SA"/>
        </w:rPr>
        <w:lastRenderedPageBreak/>
        <w:drawing>
          <wp:anchor distT="0" distB="0" distL="114300" distR="114300" simplePos="0" relativeHeight="251674624" behindDoc="1" locked="0" layoutInCell="1" allowOverlap="1" wp14:anchorId="54508B25" wp14:editId="30F6F5AA">
            <wp:simplePos x="0" y="0"/>
            <wp:positionH relativeFrom="margin">
              <wp:align>center</wp:align>
            </wp:positionH>
            <wp:positionV relativeFrom="paragraph">
              <wp:posOffset>352425</wp:posOffset>
            </wp:positionV>
            <wp:extent cx="5026025" cy="6143625"/>
            <wp:effectExtent l="19050" t="19050" r="22225" b="28575"/>
            <wp:wrapTight wrapText="bothSides">
              <wp:wrapPolygon edited="0">
                <wp:start x="-82" y="-67"/>
                <wp:lineTo x="-82" y="21633"/>
                <wp:lineTo x="21614" y="21633"/>
                <wp:lineTo x="21614" y="-67"/>
                <wp:lineTo x="-82" y="-67"/>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026025" cy="61436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37D20">
        <w:t>Proteasome Inhibitors</w:t>
      </w:r>
      <w:bookmarkEnd w:id="81"/>
    </w:p>
    <w:p w:rsidR="00090590" w:rsidRDefault="00A841B4" w:rsidP="00FB099D">
      <w:pPr>
        <w:pStyle w:val="Caption"/>
        <w:jc w:val="both"/>
      </w:pPr>
      <w:bookmarkStart w:id="82" w:name="_Ref530574731"/>
      <w:bookmarkStart w:id="83" w:name="_Toc530673939"/>
      <w:r w:rsidRPr="00A841B4">
        <w:t>Figure</w:t>
      </w:r>
      <w:r w:rsidR="00090590">
        <w:t xml:space="preserve"> </w:t>
      </w:r>
      <w:fldSimple w:instr=" SEQ Figure \* ARABIC ">
        <w:r w:rsidR="00E2070A">
          <w:rPr>
            <w:noProof/>
          </w:rPr>
          <w:t>14</w:t>
        </w:r>
      </w:fldSimple>
      <w:bookmarkEnd w:id="82"/>
      <w:r w:rsidR="00090590">
        <w:t>: Structures of Various Proteasome Inhibitors.</w:t>
      </w:r>
      <w:bookmarkEnd w:id="83"/>
    </w:p>
    <w:p w:rsidR="00090590" w:rsidRPr="00090590" w:rsidRDefault="00090590" w:rsidP="00FB099D">
      <w:pPr>
        <w:jc w:val="both"/>
      </w:pPr>
    </w:p>
    <w:p w:rsidR="00737D20" w:rsidRPr="000C47E5" w:rsidRDefault="00090590" w:rsidP="00FB099D">
      <w:pPr>
        <w:pStyle w:val="Heading4"/>
        <w:jc w:val="both"/>
        <w:rPr>
          <w:b w:val="0"/>
          <w:i/>
          <w:sz w:val="24"/>
        </w:rPr>
      </w:pPr>
      <w:r w:rsidRPr="000C47E5">
        <w:rPr>
          <w:b w:val="0"/>
          <w:i/>
          <w:sz w:val="24"/>
        </w:rPr>
        <w:lastRenderedPageBreak/>
        <w:t xml:space="preserve">Peptide aldehydes: </w:t>
      </w:r>
      <w:r w:rsidR="00737D20" w:rsidRPr="000C47E5">
        <w:rPr>
          <w:b w:val="0"/>
          <w:i/>
          <w:sz w:val="24"/>
        </w:rPr>
        <w:t>MG132</w:t>
      </w:r>
      <w:r w:rsidRPr="000C47E5">
        <w:rPr>
          <w:b w:val="0"/>
          <w:i/>
          <w:sz w:val="24"/>
        </w:rPr>
        <w:t xml:space="preserve"> &amp; ALLN</w:t>
      </w:r>
    </w:p>
    <w:p w:rsidR="00B152A4" w:rsidRPr="004D1DF7" w:rsidRDefault="004D1DF7" w:rsidP="00FB099D">
      <w:pPr>
        <w:ind w:firstLine="720"/>
        <w:jc w:val="both"/>
        <w:rPr>
          <w:szCs w:val="28"/>
        </w:rPr>
      </w:pPr>
      <w:r>
        <w:rPr>
          <w:szCs w:val="28"/>
        </w:rPr>
        <w:t>Peptide aldehydes were the first</w:t>
      </w:r>
      <w:r w:rsidR="003D4B48">
        <w:rPr>
          <w:szCs w:val="28"/>
        </w:rPr>
        <w:t xml:space="preserve"> class of</w:t>
      </w:r>
      <w:r>
        <w:rPr>
          <w:szCs w:val="28"/>
        </w:rPr>
        <w:t xml:space="preserve"> </w:t>
      </w:r>
      <w:r w:rsidR="00304040">
        <w:rPr>
          <w:szCs w:val="28"/>
        </w:rPr>
        <w:t>proteasome inhibitors to be developed</w:t>
      </w:r>
      <w:r w:rsidR="003D4B48">
        <w:rPr>
          <w:szCs w:val="28"/>
        </w:rPr>
        <w:t>,</w:t>
      </w:r>
      <w:r w:rsidR="00090590">
        <w:rPr>
          <w:szCs w:val="28"/>
        </w:rPr>
        <w:t xml:space="preserve"> and </w:t>
      </w:r>
      <w:r w:rsidR="003D4B48">
        <w:rPr>
          <w:szCs w:val="28"/>
        </w:rPr>
        <w:t xml:space="preserve">these compounds </w:t>
      </w:r>
      <w:r w:rsidR="00090590">
        <w:rPr>
          <w:szCs w:val="28"/>
        </w:rPr>
        <w:t xml:space="preserve">are widely used </w:t>
      </w:r>
      <w:r w:rsidR="003D4B48">
        <w:rPr>
          <w:szCs w:val="28"/>
        </w:rPr>
        <w:t xml:space="preserve">as research agents to inhibit the proteasome </w:t>
      </w:r>
      <w:r w:rsidR="00090590">
        <w:rPr>
          <w:szCs w:val="28"/>
        </w:rPr>
        <w:fldChar w:fldCharType="begin" w:fldLock="1"/>
      </w:r>
      <w:r w:rsidR="005F35B5">
        <w:rPr>
          <w:szCs w:val="28"/>
        </w:rPr>
        <w:instrText>ADDIN CSL_CITATION {"citationItems":[{"id":"ITEM-1","itemData":{"DOI":"10.1016/S1074-5521(01)00056-4","ISBN":"1074-5521","ISSN":"10745521","PMID":"11514224","abstract":"The 26S proteasome is a 2.4 MDa multifunctional ATP-dependent proteolytic complex, which degrades the majority of cellular polypeptides by an unusual enzyme mechanism. Several groups of proteasome inhibitors have been developed and are now widely used as research tools to study the role of the ubiquitin^ proteasome pathway in various cellular processes, and two inhibitors are now in clinical trials for treatment of multiple cancers and stroke.","author":[{"dropping-particle":"","family":"Kisselev","given":"Alexei F.","non-dropping-particle":"","parse-names":false,"suffix":""},{"dropping-particle":"","family":"Goldberg","given":"Alfred L.","non-dropping-particle":"","parse-names":false,"suffix":""}],"container-title":"Chemistry &amp; Biology","id":"ITEM-1","issue":"8","issued":{"date-parts":[["2001"]]},"page":"739-758","title":"Proteasome inhibitors: from research tools to drug candidates","type":"article-journal","volume":"8"},"uris":["http://www.mendeley.com/documents/?uuid=53dd6faa-9622-4725-a5c0-927eb53431c9"]}],"mendeley":{"formattedCitation":"(168)","plainTextFormattedCitation":"(168)","previouslyFormattedCitation":"(168)"},"properties":{"noteIndex":0},"schema":"https://github.com/citation-style-language/schema/raw/master/csl-citation.json"}</w:instrText>
      </w:r>
      <w:r w:rsidR="00090590">
        <w:rPr>
          <w:szCs w:val="28"/>
        </w:rPr>
        <w:fldChar w:fldCharType="separate"/>
      </w:r>
      <w:r w:rsidR="003D4B48" w:rsidRPr="003D4B48">
        <w:rPr>
          <w:noProof/>
          <w:szCs w:val="28"/>
        </w:rPr>
        <w:t>(168)</w:t>
      </w:r>
      <w:r w:rsidR="00090590">
        <w:rPr>
          <w:szCs w:val="28"/>
        </w:rPr>
        <w:fldChar w:fldCharType="end"/>
      </w:r>
      <w:r w:rsidR="00090590">
        <w:rPr>
          <w:szCs w:val="28"/>
        </w:rPr>
        <w:t xml:space="preserve">. In general, these inhibitors </w:t>
      </w:r>
      <w:r w:rsidR="003D4B48">
        <w:rPr>
          <w:szCs w:val="28"/>
        </w:rPr>
        <w:t xml:space="preserve">rapidly </w:t>
      </w:r>
      <w:r w:rsidR="00090590">
        <w:rPr>
          <w:szCs w:val="28"/>
        </w:rPr>
        <w:t>enter the cell</w:t>
      </w:r>
      <w:r w:rsidR="003D4B48">
        <w:rPr>
          <w:szCs w:val="28"/>
        </w:rPr>
        <w:t xml:space="preserve">, but have slow and </w:t>
      </w:r>
      <w:r w:rsidR="00090590">
        <w:rPr>
          <w:szCs w:val="28"/>
        </w:rPr>
        <w:t xml:space="preserve">reversible binding </w:t>
      </w:r>
      <w:r w:rsidR="003D4B48">
        <w:rPr>
          <w:szCs w:val="28"/>
        </w:rPr>
        <w:t>to the proteasome</w:t>
      </w:r>
      <w:r w:rsidR="003D4B48">
        <w:rPr>
          <w:szCs w:val="28"/>
        </w:rPr>
        <w:fldChar w:fldCharType="begin" w:fldLock="1"/>
      </w:r>
      <w:r w:rsidR="005F35B5">
        <w:rPr>
          <w:szCs w:val="28"/>
        </w:rPr>
        <w:instrText>ADDIN CSL_CITATION {"citationItems":[{"id":"ITEM-1","itemData":{"DOI":"10.1021/bi00154a014","ISSN":"15204995","PMID":"1356435","abstract":"The multicatalytic proteinase complex (MPC), also referred to as proteasome, is a large molecular mass intracellular particle (approximately 700 kDa), which exhibits three distinct proteolytic activities designated as chymotrypsin-like, trypsin-like, and peptidylglutamyl-peptide hydrolyzing (PGPH), all sensitive to inhibition by 3,4-dichloroisocoumarin (DCI). The presence of a component resistant to inhibition by DCI with an apparent preference toward bonds on the carboxyl side of branched-chain amino acids has also been recently established. Peptide aldehydes and peptide alpha-keto esters containing a hydrophobic residue in the P1 position have been tested as potential inhibitors of the chymotrypsin-like activity. Three peptide aldehydes (benzyloxycarbonyl)-Leu-Leu-phenylalaninal (Z-LLF-CHO), N-acetyl-Leu-Leu-norleucinal (Ac-LLnL-CHO), and N-acetyl-Leu-Leu-methioninal (Ac-LLM-CHO) were found to be slow-binding reversible inhibitors with Ki values of 0.46, 5.7, and 33 microM, respectively. The simplest kinetic model for inhibition is consistent with a mechanism involving a slow and reversible association of the enzyme with the inhibitor to form a EI complex. The aldehyde inhibitors also inhibited the trypsin-like and PGPH activities of the complex albeit with much higher Ki values than those for chymotrypsin-like activity. Z-LLF-CHO, the most selective of the three aldehydes, did not inhibit the PGPH activity at concentrations of up to 200 microM and inhibited the trypsin-like activity with a Ki approximately 2 orders of magnitude higher than that for the chymotrypsin-like activity. The activity of the DCI-resistant component was not affected by Z-LLF-CHO.(ABSTRACT TRUNCATED AT 250 WORDS)","author":[{"dropping-particle":"","family":"Vinitsky","given":"Alexander","non-dropping-particle":"","parse-names":false,"suffix":""},{"dropping-particle":"","family":"Michaud","given":"Charlene","non-dropping-particle":"","parse-names":false,"suffix":""},{"dropping-particle":"","family":"Orlowski","given":"Marian","non-dropping-particle":"","parse-names":false,"suffix":""},{"dropping-particle":"","family":"Powers","given":"James C.","non-dropping-particle":"","parse-names":false,"suffix":""}],"container-title":"Biochemistry","id":"ITEM-1","issue":"39","issued":{"date-parts":[["1992"]]},"page":"9421-9428","title":"Inhibition of the Chymotrypsin-like Activity of the Pituitary Multicatalytic Proteinase Complex","type":"article-journal","volume":"31"},"uris":["http://www.mendeley.com/documents/?uuid=d259d267-599a-41e5-8cf6-950e95daa7d6"]},{"id":"ITEM-2","itemData":{"DOI":"10.1074/jbc.271.44.27280","ISBN":"6172320173","ISSN":"00219258","PMID":"8910302","abstract":"We have studied whether various agents that inhibit purified yeast and mammalian 26 S proteasome can suppress the breakdown of different classes of proteins in Saccharomyces cerevisiae. The degradation of short-lived proteins was inhibited reversibly by peptide aldehyde inhibitors of proteasomes, carbobenzoxyl-leucinyl-leucinyl-leucinal (MG132) and carbobenzoxyl-leucinyl-leucinyl-norvalinal (MG115), in a yeast mutant with enhanced permeability, but not in wild-type strains. Lactacystin, an irreversible proteasome inhibitor, had no effect, but the beta-lactone derivative of lactacystin, which directly reacts with proteasomes, inhibited the degradation of short-lived proteins. These inhibitors also blocked the rapid ubiquitin-dependent breakdown of a beta-galactosidase fusion protein and caused accumulation of enzymatically active molecules in cells. The degradation of the bulk of cell proteins, which are long-lived molecules, was not blocked by proteasome inhibitors, but could be blocked by phenylmethylsulfonyl fluoride. This agent, which inhibits multiple vacuolar proteases, did not affect the proteasome or breakdown of short-lived proteins. These two classes of inhibitors can thus be used to distinguish the cytosolic and vacuolar proteolytic pathways and to increase the cellular content of short-lived proteins.","author":[{"dropping-particle":"","family":"Lee","given":"Do Hee","non-dropping-particle":"","parse-names":false,"suffix":""},{"dropping-particle":"","family":"Goldberg","given":"Alfred L.","non-dropping-particle":"","parse-names":false,"suffix":""}],"container-title":"Journal of Biological Chemistry","id":"ITEM-2","issue":"44","issued":{"date-parts":[["1996"]]},"page":"27280-27284","title":"Selective inhibitors of the proteasome-dependent and vacuolar pathways of protein degradation in Saccharomyces cerevisiae","type":"article-journal","volume":"271"},"uris":["http://www.mendeley.com/documents/?uuid=145bd47a-02b8-4a55-a453-162ea7b12314"]}],"mendeley":{"formattedCitation":"(169, 170)","plainTextFormattedCitation":"(169, 170)","previouslyFormattedCitation":"(169, 170)"},"properties":{"noteIndex":0},"schema":"https://github.com/citation-style-language/schema/raw/master/csl-citation.json"}</w:instrText>
      </w:r>
      <w:r w:rsidR="003D4B48">
        <w:rPr>
          <w:szCs w:val="28"/>
        </w:rPr>
        <w:fldChar w:fldCharType="separate"/>
      </w:r>
      <w:r w:rsidR="003D4B48" w:rsidRPr="003D4B48">
        <w:rPr>
          <w:noProof/>
          <w:szCs w:val="28"/>
        </w:rPr>
        <w:t>(169, 170)</w:t>
      </w:r>
      <w:r w:rsidR="003D4B48">
        <w:rPr>
          <w:szCs w:val="28"/>
        </w:rPr>
        <w:fldChar w:fldCharType="end"/>
      </w:r>
      <w:r w:rsidR="003D4B48">
        <w:rPr>
          <w:szCs w:val="28"/>
        </w:rPr>
        <w:t>. Peptide aldehydes are subject to</w:t>
      </w:r>
      <w:r w:rsidR="00090590">
        <w:rPr>
          <w:szCs w:val="28"/>
        </w:rPr>
        <w:t xml:space="preserve"> rapid oxidation into inactive forms</w:t>
      </w:r>
      <w:r w:rsidR="003D4B48">
        <w:rPr>
          <w:szCs w:val="28"/>
        </w:rPr>
        <w:t xml:space="preserve"> in the cells, and this means that proteasome inhibition can be rapidly reversed by removing the inhibitor from the cell media </w:t>
      </w:r>
      <w:r w:rsidR="00402175">
        <w:rPr>
          <w:szCs w:val="28"/>
        </w:rPr>
        <w:fldChar w:fldCharType="begin" w:fldLock="1"/>
      </w:r>
      <w:r w:rsidR="005F35B5">
        <w:rPr>
          <w:szCs w:val="28"/>
        </w:rPr>
        <w:instrText>ADDIN CSL_CITATION {"citationItems":[{"id":"ITEM-1","itemData":{"DOI":"10.1021/bi00154a014","ISSN":"15204995","PMID":"1356435","abstract":"The multicatalytic proteinase complex (MPC), also referred to as proteasome, is a large molecular mass intracellular particle (approximately 700 kDa), which exhibits three distinct proteolytic activities designated as chymotrypsin-like, trypsin-like, and peptidylglutamyl-peptide hydrolyzing (PGPH), all sensitive to inhibition by 3,4-dichloroisocoumarin (DCI). The presence of a component resistant to inhibition by DCI with an apparent preference toward bonds on the carboxyl side of branched-chain amino acids has also been recently established. Peptide aldehydes and peptide alpha-keto esters containing a hydrophobic residue in the P1 position have been tested as potential inhibitors of the chymotrypsin-like activity. Three peptide aldehydes (benzyloxycarbonyl)-Leu-Leu-phenylalaninal (Z-LLF-CHO), N-acetyl-Leu-Leu-norleucinal (Ac-LLnL-CHO), and N-acetyl-Leu-Leu-methioninal (Ac-LLM-CHO) were found to be slow-binding reversible inhibitors with Ki values of 0.46, 5.7, and 33 microM, respectively. The simplest kinetic model for inhibition is consistent with a mechanism involving a slow and reversible association of the enzyme with the inhibitor to form a EI complex. The aldehyde inhibitors also inhibited the trypsin-like and PGPH activities of the complex albeit with much higher Ki values than those for chymotrypsin-like activity. Z-LLF-CHO, the most selective of the three aldehydes, did not inhibit the PGPH activity at concentrations of up to 200 microM and inhibited the trypsin-like activity with a Ki approximately 2 orders of magnitude higher than that for the chymotrypsin-like activity. The activity of the DCI-resistant component was not affected by Z-LLF-CHO.(ABSTRACT TRUNCATED AT 250 WORDS)","author":[{"dropping-particle":"","family":"Vinitsky","given":"Alexander","non-dropping-particle":"","parse-names":false,"suffix":""},{"dropping-particle":"","family":"Michaud","given":"Charlene","non-dropping-particle":"","parse-names":false,"suffix":""},{"dropping-particle":"","family":"Orlowski","given":"Marian","non-dropping-particle":"","parse-names":false,"suffix":""},{"dropping-particle":"","family":"Powers","given":"James C.","non-dropping-particle":"","parse-names":false,"suffix":""}],"container-title":"Biochemistry","id":"ITEM-1","issue":"39","issued":{"date-parts":[["1992"]]},"page":"9421-9428","title":"Inhibition of the Chymotrypsin-like Activity of the Pituitary Multicatalytic Proteinase Complex","type":"article-journal","volume":"31"},"uris":["http://www.mendeley.com/documents/?uuid=d259d267-599a-41e5-8cf6-950e95daa7d6"]},{"id":"ITEM-2","itemData":{"DOI":"10.1074/jbc.271.44.27280","ISBN":"6172320173","ISSN":"00219258","PMID":"8910302","abstract":"We have studied whether various agents that inhibit purified yeast and mammalian 26 S proteasome can suppress the breakdown of different classes of proteins in Saccharomyces cerevisiae. The degradation of short-lived proteins was inhibited reversibly by peptide aldehyde inhibitors of proteasomes, carbobenzoxyl-leucinyl-leucinyl-leucinal (MG132) and carbobenzoxyl-leucinyl-leucinyl-norvalinal (MG115), in a yeast mutant with enhanced permeability, but not in wild-type strains. Lactacystin, an irreversible proteasome inhibitor, had no effect, but the beta-lactone derivative of lactacystin, which directly reacts with proteasomes, inhibited the degradation of short-lived proteins. These inhibitors also blocked the rapid ubiquitin-dependent breakdown of a beta-galactosidase fusion protein and caused accumulation of enzymatically active molecules in cells. The degradation of the bulk of cell proteins, which are long-lived molecules, was not blocked by proteasome inhibitors, but could be blocked by phenylmethylsulfonyl fluoride. This agent, which inhibits multiple vacuolar proteases, did not affect the proteasome or breakdown of short-lived proteins. These two classes of inhibitors can thus be used to distinguish the cytosolic and vacuolar proteolytic pathways and to increase the cellular content of short-lived proteins.","author":[{"dropping-particle":"","family":"Lee","given":"Do Hee","non-dropping-particle":"","parse-names":false,"suffix":""},{"dropping-particle":"","family":"Goldberg","given":"Alfred L.","non-dropping-particle":"","parse-names":false,"suffix":""}],"container-title":"Journal of Biological Chemistry","id":"ITEM-2","issue":"44","issued":{"date-parts":[["1996"]]},"page":"27280-27284","title":"Selective inhibitors of the proteasome-dependent and vacuolar pathways of protein degradation in Saccharomyces cerevisiae","type":"article-journal","volume":"271"},"uris":["http://www.mendeley.com/documents/?uuid=145bd47a-02b8-4a55-a453-162ea7b12314"]}],"mendeley":{"formattedCitation":"(169, 170)","plainTextFormattedCitation":"(169, 170)","previouslyFormattedCitation":"(169, 170)"},"properties":{"noteIndex":0},"schema":"https://github.com/citation-style-language/schema/raw/master/csl-citation.json"}</w:instrText>
      </w:r>
      <w:r w:rsidR="00402175">
        <w:rPr>
          <w:szCs w:val="28"/>
        </w:rPr>
        <w:fldChar w:fldCharType="separate"/>
      </w:r>
      <w:r w:rsidR="003D4B48" w:rsidRPr="003D4B48">
        <w:rPr>
          <w:noProof/>
          <w:szCs w:val="28"/>
        </w:rPr>
        <w:t>(169, 170)</w:t>
      </w:r>
      <w:r w:rsidR="00402175">
        <w:rPr>
          <w:szCs w:val="28"/>
        </w:rPr>
        <w:fldChar w:fldCharType="end"/>
      </w:r>
      <w:r w:rsidR="00402175">
        <w:rPr>
          <w:szCs w:val="28"/>
        </w:rPr>
        <w:t xml:space="preserve">. </w:t>
      </w:r>
      <w:r w:rsidR="00FB099D">
        <w:rPr>
          <w:szCs w:val="28"/>
        </w:rPr>
        <w:t>ALLN (</w:t>
      </w:r>
      <w:r w:rsidR="00FB099D" w:rsidRPr="00FB099D">
        <w:rPr>
          <w:b/>
          <w:szCs w:val="28"/>
        </w:rPr>
        <w:fldChar w:fldCharType="begin"/>
      </w:r>
      <w:r w:rsidR="00FB099D" w:rsidRPr="00FB099D">
        <w:rPr>
          <w:b/>
          <w:szCs w:val="28"/>
        </w:rPr>
        <w:instrText xml:space="preserve"> REF _Ref530574731 \h </w:instrText>
      </w:r>
      <w:r w:rsidR="00FB099D">
        <w:rPr>
          <w:b/>
          <w:szCs w:val="28"/>
        </w:rPr>
        <w:instrText xml:space="preserve"> \* MERGEFORMAT </w:instrText>
      </w:r>
      <w:r w:rsidR="00FB099D" w:rsidRPr="00FB099D">
        <w:rPr>
          <w:b/>
          <w:szCs w:val="28"/>
        </w:rPr>
      </w:r>
      <w:r w:rsidR="00FB099D" w:rsidRPr="00FB099D">
        <w:rPr>
          <w:b/>
          <w:szCs w:val="28"/>
        </w:rPr>
        <w:fldChar w:fldCharType="separate"/>
      </w:r>
      <w:r w:rsidR="00E2070A" w:rsidRPr="00E2070A">
        <w:rPr>
          <w:b/>
        </w:rPr>
        <w:t xml:space="preserve">Figure </w:t>
      </w:r>
      <w:r w:rsidR="00E2070A" w:rsidRPr="00E2070A">
        <w:rPr>
          <w:b/>
          <w:noProof/>
        </w:rPr>
        <w:t>14</w:t>
      </w:r>
      <w:r w:rsidR="00FB099D" w:rsidRPr="00FB099D">
        <w:rPr>
          <w:b/>
          <w:szCs w:val="28"/>
        </w:rPr>
        <w:fldChar w:fldCharType="end"/>
      </w:r>
      <w:r w:rsidR="009F5E7A">
        <w:rPr>
          <w:szCs w:val="28"/>
        </w:rPr>
        <w:t>, [2])</w:t>
      </w:r>
      <w:r w:rsidR="00E32406">
        <w:rPr>
          <w:szCs w:val="28"/>
        </w:rPr>
        <w:t>,</w:t>
      </w:r>
      <w:r w:rsidR="009F5E7A">
        <w:rPr>
          <w:szCs w:val="28"/>
        </w:rPr>
        <w:t xml:space="preserve"> was first described</w:t>
      </w:r>
      <w:r w:rsidR="003D4B48">
        <w:rPr>
          <w:szCs w:val="28"/>
        </w:rPr>
        <w:t xml:space="preserve"> as an inhibitor of the calcium-</w:t>
      </w:r>
      <w:r w:rsidR="009F5E7A">
        <w:rPr>
          <w:szCs w:val="28"/>
        </w:rPr>
        <w:t>dependent proteases known as calpains</w:t>
      </w:r>
      <w:r w:rsidR="009F5E7A">
        <w:rPr>
          <w:szCs w:val="28"/>
        </w:rPr>
        <w:fldChar w:fldCharType="begin" w:fldLock="1"/>
      </w:r>
      <w:r w:rsidR="005F35B5">
        <w:rPr>
          <w:szCs w:val="28"/>
        </w:rPr>
        <w:instrText>ADDIN CSL_CITATION {"citationItems":[{"id":"ITEM-1","itemData":{"ISSN":"0165-6147","PMID":"7855906","abstract":"Increasing evidence now suggests that excessive activation of the Ca(2+)-dependent protease calpain could play a key or contributory role in the pathology of a variety of disorders, including cerebral ischaemia, cataract, myocardial ischaemia, muscular dystrophy and platelet aggregation. In this review, Kevin Wang and Po-Wai Yuen discuss the evidence linking these disorders to calpain overactivation. At present, it is difficult to confirm the exact role of calpain in these disorders because of the lack of potent, selective and cell-permeable calpain inhibitors. However, given the multiple therapeutic indications for calpain, it appears that achievement of selective calpain inhibition is an important pharmacological goal.","author":[{"dropping-particle":"","family":"Wang","given":"K K","non-dropping-particle":"","parse-names":false,"suffix":""},{"dropping-particle":"","family":"Yuen","given":"P W","non-dropping-particle":"","parse-names":false,"suffix":""}],"container-title":"Trends in pharmacological sciences","id":"ITEM-1","issue":"11","issued":{"date-parts":[["1994","11"]]},"page":"412-9","title":"Calpain inhibition: an overview of its therapeutic potential.","type":"article-journal","volume":"15"},"uris":["http://www.mendeley.com/documents/?uuid=fc2ef500-0448-3ae6-88ae-28aa014bc544"]}],"mendeley":{"formattedCitation":"(171)","plainTextFormattedCitation":"(171)","previouslyFormattedCitation":"(171)"},"properties":{"noteIndex":0},"schema":"https://github.com/citation-style-language/schema/raw/master/csl-citation.json"}</w:instrText>
      </w:r>
      <w:r w:rsidR="009F5E7A">
        <w:rPr>
          <w:szCs w:val="28"/>
        </w:rPr>
        <w:fldChar w:fldCharType="separate"/>
      </w:r>
      <w:r w:rsidR="003D4B48" w:rsidRPr="003D4B48">
        <w:rPr>
          <w:noProof/>
          <w:szCs w:val="28"/>
        </w:rPr>
        <w:t>(171)</w:t>
      </w:r>
      <w:r w:rsidR="009F5E7A">
        <w:rPr>
          <w:szCs w:val="28"/>
        </w:rPr>
        <w:fldChar w:fldCharType="end"/>
      </w:r>
      <w:r w:rsidR="009F5E7A">
        <w:rPr>
          <w:szCs w:val="28"/>
        </w:rPr>
        <w:t xml:space="preserve">, but </w:t>
      </w:r>
      <w:r w:rsidR="00E32406">
        <w:rPr>
          <w:szCs w:val="28"/>
        </w:rPr>
        <w:t xml:space="preserve"> </w:t>
      </w:r>
      <w:r w:rsidR="003D4B48">
        <w:rPr>
          <w:szCs w:val="28"/>
        </w:rPr>
        <w:t xml:space="preserve">ALLN </w:t>
      </w:r>
      <w:r w:rsidR="009F5E7A">
        <w:rPr>
          <w:szCs w:val="28"/>
        </w:rPr>
        <w:t>was also shown to have proteasome inhibitor activity, al</w:t>
      </w:r>
      <w:r w:rsidR="003D4B48">
        <w:rPr>
          <w:szCs w:val="28"/>
        </w:rPr>
        <w:t>beit with ~25-fold less selectivity for the proteasome to the calpains</w:t>
      </w:r>
      <w:r w:rsidR="009F5E7A">
        <w:rPr>
          <w:szCs w:val="28"/>
        </w:rPr>
        <w:fldChar w:fldCharType="begin" w:fldLock="1"/>
      </w:r>
      <w:r w:rsidR="005F35B5">
        <w:rPr>
          <w:szCs w:val="28"/>
        </w:rPr>
        <w:instrText>ADDIN CSL_CITATION {"citationItems":[{"id":"ITEM-1","itemData":{"ISSN":"0092-8674","PMID":"8087844","abstract":"Reagents that inhibit the ubiquitin-proteasome proteolytic pathway in cells have not been available. Peptide aldehydes that inhibit major peptidase activities of the 20S and 26S proteasomes are shown to reduce the degradation of protein and ubiquitinated protein substrates by 26S particles. Unlike inhibitors of lysosomal proteolysis, these compounds inhibit the degradation of not only abnormal and short-lived polypeptides but also long-lived proteins in intact cells. We used these agents to test the importance of the proteasome in antigen presentation. When ovalbumin is introduced into the cytosol of lymphoblasts, these inhibitors block the presentation on MHC class I molecules of an ovalbumin-derived peptide by preventing its proteolytic generation. By preventing peptide production from cell proteins, these inhibitors block the assembly of class I molecules. Therefore, the proteasome catalyzes the degradation of the vast majority of cell proteins and generates most peptides presented on MHC class I molecules.","author":[{"dropping-particle":"","family":"Rock","given":"K L","non-dropping-particle":"","parse-names":false,"suffix":""},{"dropping-particle":"","family":"Gramm","given":"C","non-dropping-particle":"","parse-names":false,"suffix":""},{"dropping-particle":"","family":"Rothstein","given":"L","non-dropping-particle":"","parse-names":false,"suffix":""},{"dropping-particle":"","family":"Clark","given":"K","non-dropping-particle":"","parse-names":false,"suffix":""},{"dropping-particle":"","family":"Stein","given":"R","non-dropping-particle":"","parse-names":false,"suffix":""},{"dropping-particle":"","family":"Dick","given":"L","non-dropping-particle":"","parse-names":false,"suffix":""},{"dropping-particle":"","family":"Hwang","given":"D","non-dropping-particle":"","parse-names":false,"suffix":""},{"dropping-particle":"","family":"Goldberg","given":"A L","non-dropping-particle":"","parse-names":false,"suffix":""}],"container-title":"Cell","id":"ITEM-1","issue":"5","issued":{"date-parts":[["1994","9","9"]]},"page":"761-71","title":"Inhibitors of the proteasome block the degradation of most cell proteins and the generation of peptides presented on MHC class I molecules.","type":"article-journal","volume":"78"},"uris":["http://www.mendeley.com/documents/?uuid=c652e547-5e27-3d8e-874d-888b2cae3dcf"]},{"id":"ITEM-2","itemData":{"DOI":"10.1016/S1074-5521(01)00056-4","ISBN":"1074-5521","ISSN":"10745521","PMID":"11514224","abstract":"The 26S proteasome is a 2.4 MDa multifunctional ATP-dependent proteolytic complex, which degrades the majority of cellular polypeptides by an unusual enzyme mechanism. Several groups of proteasome inhibitors have been developed and are now widely used as research tools to study the role of the ubiquitin^ proteasome pathway in various cellular processes, and two inhibitors are now in clinical trials for treatment of multiple cancers and stroke.","author":[{"dropping-particle":"","family":"Kisselev","given":"Alexei F.","non-dropping-particle":"","parse-names":false,"suffix":""},{"dropping-particle":"","family":"Goldberg","given":"Alfred L.","non-dropping-particle":"","parse-names":false,"suffix":""}],"container-title":"Chemistry &amp; Biology","id":"ITEM-2","issue":"8","issued":{"date-parts":[["2001"]]},"page":"739-758","title":"Proteasome inhibitors: from research tools to drug candidates","type":"article-journal","volume":"8"},"uris":["http://www.mendeley.com/documents/?uuid=53dd6faa-9622-4725-a5c0-927eb53431c9"]}],"mendeley":{"formattedCitation":"(168, 172)","plainTextFormattedCitation":"(168, 172)","previouslyFormattedCitation":"(168, 172)"},"properties":{"noteIndex":0},"schema":"https://github.com/citation-style-language/schema/raw/master/csl-citation.json"}</w:instrText>
      </w:r>
      <w:r w:rsidR="009F5E7A">
        <w:rPr>
          <w:szCs w:val="28"/>
        </w:rPr>
        <w:fldChar w:fldCharType="separate"/>
      </w:r>
      <w:r w:rsidR="003D4B48" w:rsidRPr="003D4B48">
        <w:rPr>
          <w:noProof/>
          <w:szCs w:val="28"/>
        </w:rPr>
        <w:t>(168, 172)</w:t>
      </w:r>
      <w:r w:rsidR="009F5E7A">
        <w:rPr>
          <w:szCs w:val="28"/>
        </w:rPr>
        <w:fldChar w:fldCharType="end"/>
      </w:r>
      <w:r w:rsidR="00FB099D">
        <w:rPr>
          <w:szCs w:val="28"/>
        </w:rPr>
        <w:t>. In contrast, MG132 (</w:t>
      </w:r>
      <w:r w:rsidR="00FB099D" w:rsidRPr="00FB099D">
        <w:rPr>
          <w:b/>
          <w:szCs w:val="28"/>
        </w:rPr>
        <w:fldChar w:fldCharType="begin"/>
      </w:r>
      <w:r w:rsidR="00FB099D" w:rsidRPr="00FB099D">
        <w:rPr>
          <w:b/>
          <w:szCs w:val="28"/>
        </w:rPr>
        <w:instrText xml:space="preserve"> REF _Ref530574731 \h </w:instrText>
      </w:r>
      <w:r w:rsidR="00FB099D">
        <w:rPr>
          <w:b/>
          <w:szCs w:val="28"/>
        </w:rPr>
        <w:instrText xml:space="preserve"> \* MERGEFORMAT </w:instrText>
      </w:r>
      <w:r w:rsidR="00FB099D" w:rsidRPr="00FB099D">
        <w:rPr>
          <w:b/>
          <w:szCs w:val="28"/>
        </w:rPr>
      </w:r>
      <w:r w:rsidR="00FB099D" w:rsidRPr="00FB099D">
        <w:rPr>
          <w:b/>
          <w:szCs w:val="28"/>
        </w:rPr>
        <w:fldChar w:fldCharType="separate"/>
      </w:r>
      <w:r w:rsidR="00E2070A" w:rsidRPr="00E2070A">
        <w:rPr>
          <w:b/>
        </w:rPr>
        <w:t xml:space="preserve">Figure </w:t>
      </w:r>
      <w:r w:rsidR="00E2070A" w:rsidRPr="00E2070A">
        <w:rPr>
          <w:b/>
          <w:noProof/>
        </w:rPr>
        <w:t>14</w:t>
      </w:r>
      <w:r w:rsidR="00FB099D" w:rsidRPr="00FB099D">
        <w:rPr>
          <w:b/>
          <w:szCs w:val="28"/>
        </w:rPr>
        <w:fldChar w:fldCharType="end"/>
      </w:r>
      <w:r w:rsidR="009F5E7A">
        <w:rPr>
          <w:szCs w:val="28"/>
        </w:rPr>
        <w:t>, [1]</w:t>
      </w:r>
      <w:r w:rsidR="00423CB6">
        <w:rPr>
          <w:szCs w:val="28"/>
        </w:rPr>
        <w:t>), is more potent and selecti</w:t>
      </w:r>
      <w:r w:rsidR="003D4B48">
        <w:rPr>
          <w:szCs w:val="28"/>
        </w:rPr>
        <w:t>ve for the proteasome than ALLN</w:t>
      </w:r>
      <w:r w:rsidR="003D4B48">
        <w:rPr>
          <w:szCs w:val="28"/>
        </w:rPr>
        <w:fldChar w:fldCharType="begin" w:fldLock="1"/>
      </w:r>
      <w:r w:rsidR="005F35B5">
        <w:rPr>
          <w:szCs w:val="28"/>
        </w:rPr>
        <w:instrText>ADDIN CSL_CITATION {"citationItems":[{"id":"ITEM-1","itemData":{"ISSN":"0092-8674","PMID":"8087845","abstract":"We demonstrate an essential role for the proteasome complex in two proteolytic processes required for activation of the transcription factor NF-kappa B. The p105 precursor of the p50 subunit of NF-kappa B is processed in vitro by an ATP-dependent process that requires proteasomes and ubiquitin conjugation. The C-terminal region of p105 is rapidly degraded, leaving the N-terminal p50 domain. p105 processing can be blocked in intact cells with inhibitors of the proteasome or in yeast with proteasome mutants. These inhibitors also block the activation of NF-kappa B and the rapid degradation of I kappa B alpha induced by tumor necrosis factor alpha. Thus, the ubiquitin-proteasome pathway functions not only in the complete degradation of polypeptides, but also in the regulated processing of precursors into active proteins.","author":[{"dropping-particle":"","family":"Palombella","given":"V J","non-dropping-particle":"","parse-names":false,"suffix":""},{"dropping-particle":"","family":"Rando","given":"O J","non-dropping-particle":"","parse-names":false,"suffix":""},{"dropping-particle":"","family":"Goldberg","given":"A L","non-dropping-particle":"","parse-names":false,"suffix":""},{"dropping-particle":"","family":"Maniatis","given":"T","non-dropping-particle":"","parse-names":false,"suffix":""}],"container-title":"Cell","id":"ITEM-1","issue":"5","issued":{"date-parts":[["1994","9","9"]]},"page":"773-85","title":"The ubiquitin-proteasome pathway is required for processing the NF-kappa B1 precursor protein and the activation of NF-kappa B.","type":"article-journal","volume":"78"},"uris":["http://www.mendeley.com/documents/?uuid=fa840d02-2f6f-33a5-8f08-cdf0c0cb114e"]},{"id":"ITEM-2","itemData":{"ISSN":"0021-924X","PMID":"8830056","abstract":"To explore membrane-permeable synthetic inhibitors that discriminate between endogenous calpain and proteasome in cells, we examined the inhibition of profiles against calpain and proteasome in vitro and in vivo of peptidyl aldehydes possessing di-leucine and tri-leucine. The tripeptide aldehyde benzyloxycarbonyl-leucyl-leucinal (ZLLLal) strongly inhibited calpain and proteasome activities in vitro. The concentration required for 50% inhibition (IC50) of the casein-degrading activity of calpain was 1.25 microM, and the IC50s for the succinyl-leucyl-leucyl-valyl-tyrosine-4-methylcoumaryl-7-amide (Suc-LLVY-MCA)- and benzyloxycarbonyl-leucyl-leucyl-leucine-4-methylcoumaryl -7-amide (ZLLL-MCA)-degrading activities of proteasome were 850 and 100 nM, respectively. On the other hand, the synthetic dipeptide aldehyde benzyloxycarbonyl-leucyl-leucinal (ZLLal) strongly inhibited the casein degrading activity of calpain (IC50 1.20 microM), but the inhibition of proteasome was weak (IC50S for SucLLVY-MCA- and ZLLL-MCA-degrading activities were 120 and 110 microM, respectively). Thus, while calpain was inhibited by similar concentrations of ZLLal and ZLLLal, the inhibitory potencies of ZLLLal against the ZLLL-MCA- and Suc-LLVY-MCA-degrading activities in proteasome were 1,100 and 140 times stronger than those of ZLLal, respectively. To evaluate the effectiveness of these inhibitors on intracellular proteasome, the induction of neurite outgrowth in PC12 cells caused by proteasome inhibition was examined. ZLLLal and ZLLal initiated neurite outgrowth with optimal concentrations of 20 nM and 10 microM, respectively, again showing a big difference in the effective concentrations for the proteasome inhibition as in vitro. As for the effect on intracellular calpain, the concentration of ZLLLal and ZLLal required for the inhibition of the autolytic activation of calpain in rabbit erythrocytes were 100 and 100 microM or more, respectively. The almost equal inhibitory potencies of ZLLLal and ZLLal were in agreement with the inhibition of calpain in vitro. These differential effects of inhibitors against calpain and proteasome are potentially useful for identifying the functions of calpain and proteasome in cell physiology and pathology.","author":[{"dropping-particle":"","family":"Tsubuki","given":"S","non-dropping-particle":"","parse-names":false,"suffix":""},{"dropping-particle":"","family":"Saito","given":"Y","non-dropping-particle":"","parse-names":false,"suffix":""},{"dropping-particle":"","family":"Tomioka","given":"M","non-dropping-particle":"","parse-names":false,"suffix":""},{"dropping-particle":"","family":"Ito","given":"H","non-dropping-particle":"","parse-names":false,"suffix":""},{"dropping-particle":"","family":"Kawashima","given":"S","non-dropping-particle":"","parse-names":false,"suffix":""}],"container-title":"Journal of biochemistry","id":"ITEM-2","issue":"3","issued":{"date-parts":[["1996","3"]]},"page":"572-6","title":"Differential inhibition of calpain and proteasome activities by peptidyl aldehydes of di-leucine and tri-leucine.","type":"article-journal","volume":"119"},"uris":["http://www.mendeley.com/documents/?uuid=7d9f5e11-8a49-35bb-897b-d26149e08911"]}],"mendeley":{"formattedCitation":"(173, 174)","plainTextFormattedCitation":"(173, 174)","previouslyFormattedCitation":"(173, 174)"},"properties":{"noteIndex":0},"schema":"https://github.com/citation-style-language/schema/raw/master/csl-citation.json"}</w:instrText>
      </w:r>
      <w:r w:rsidR="003D4B48">
        <w:rPr>
          <w:szCs w:val="28"/>
        </w:rPr>
        <w:fldChar w:fldCharType="separate"/>
      </w:r>
      <w:r w:rsidR="003D4B48" w:rsidRPr="003D4B48">
        <w:rPr>
          <w:noProof/>
          <w:szCs w:val="28"/>
        </w:rPr>
        <w:t>(173, 174)</w:t>
      </w:r>
      <w:r w:rsidR="003D4B48">
        <w:rPr>
          <w:szCs w:val="28"/>
        </w:rPr>
        <w:fldChar w:fldCharType="end"/>
      </w:r>
      <w:r w:rsidR="003D4B48">
        <w:rPr>
          <w:szCs w:val="28"/>
        </w:rPr>
        <w:t>.</w:t>
      </w:r>
      <w:r w:rsidR="00423CB6">
        <w:rPr>
          <w:szCs w:val="28"/>
        </w:rPr>
        <w:t xml:space="preserve"> </w:t>
      </w:r>
      <w:r w:rsidR="003D4B48">
        <w:rPr>
          <w:szCs w:val="28"/>
        </w:rPr>
        <w:t>Ten-</w:t>
      </w:r>
      <w:r w:rsidR="00423CB6">
        <w:rPr>
          <w:szCs w:val="28"/>
        </w:rPr>
        <w:t>fold higher concentrations</w:t>
      </w:r>
      <w:r w:rsidR="003D4B48">
        <w:rPr>
          <w:szCs w:val="28"/>
        </w:rPr>
        <w:t xml:space="preserve"> of MG132 are required to </w:t>
      </w:r>
      <w:r w:rsidR="00423CB6">
        <w:rPr>
          <w:szCs w:val="28"/>
        </w:rPr>
        <w:t>inhibit calpains</w:t>
      </w:r>
      <w:r w:rsidR="003D4B48">
        <w:rPr>
          <w:szCs w:val="28"/>
        </w:rPr>
        <w:t xml:space="preserve"> than the proteasome</w:t>
      </w:r>
      <w:r w:rsidR="00423CB6">
        <w:rPr>
          <w:szCs w:val="28"/>
        </w:rPr>
        <w:fldChar w:fldCharType="begin" w:fldLock="1"/>
      </w:r>
      <w:r w:rsidR="005F35B5">
        <w:rPr>
          <w:szCs w:val="28"/>
        </w:rPr>
        <w:instrText>ADDIN CSL_CITATION {"citationItems":[{"id":"ITEM-1","itemData":{"ISSN":"0092-8674","PMID":"8087845","abstract":"We demonstrate an essential role for the proteasome complex in two proteolytic processes required for activation of the transcription factor NF-kappa B. The p105 precursor of the p50 subunit of NF-kappa B is processed in vitro by an ATP-dependent process that requires proteasomes and ubiquitin conjugation. The C-terminal region of p105 is rapidly degraded, leaving the N-terminal p50 domain. p105 processing can be blocked in intact cells with inhibitors of the proteasome or in yeast with proteasome mutants. These inhibitors also block the activation of NF-kappa B and the rapid degradation of I kappa B alpha induced by tumor necrosis factor alpha. Thus, the ubiquitin-proteasome pathway functions not only in the complete degradation of polypeptides, but also in the regulated processing of precursors into active proteins.","author":[{"dropping-particle":"","family":"Palombella","given":"V J","non-dropping-particle":"","parse-names":false,"suffix":""},{"dropping-particle":"","family":"Rando","given":"O J","non-dropping-particle":"","parse-names":false,"suffix":""},{"dropping-particle":"","family":"Goldberg","given":"A L","non-dropping-particle":"","parse-names":false,"suffix":""},{"dropping-particle":"","family":"Maniatis","given":"T","non-dropping-particle":"","parse-names":false,"suffix":""}],"container-title":"Cell","id":"ITEM-1","issue":"5","issued":{"date-parts":[["1994","9","9"]]},"page":"773-85","title":"The ubiquitin-proteasome pathway is required for processing the NF-kappa B1 precursor protein and the activation of NF-kappa B.","type":"article-journal","volume":"78"},"uris":["http://www.mendeley.com/documents/?uuid=fa840d02-2f6f-33a5-8f08-cdf0c0cb114e"]},{"id":"ITEM-2","itemData":{"ISSN":"0021-924X","PMID":"8830056","abstract":"To explore membrane-permeable synthetic inhibitors that discriminate between endogenous calpain and proteasome in cells, we examined the inhibition of profiles against calpain and proteasome in vitro and in vivo of peptidyl aldehydes possessing di-leucine and tri-leucine. The tripeptide aldehyde benzyloxycarbonyl-leucyl-leucinal (ZLLLal) strongly inhibited calpain and proteasome activities in vitro. The concentration required for 50% inhibition (IC50) of the casein-degrading activity of calpain was 1.25 microM, and the IC50s for the succinyl-leucyl-leucyl-valyl-tyrosine-4-methylcoumaryl-7-amide (Suc-LLVY-MCA)- and benzyloxycarbonyl-leucyl-leucyl-leucine-4-methylcoumaryl -7-amide (ZLLL-MCA)-degrading activities of proteasome were 850 and 100 nM, respectively. On the other hand, the synthetic dipeptide aldehyde benzyloxycarbonyl-leucyl-leucinal (ZLLal) strongly inhibited the casein degrading activity of calpain (IC50 1.20 microM), but the inhibition of proteasome was weak (IC50S for SucLLVY-MCA- and ZLLL-MCA-degrading activities were 120 and 110 microM, respectively). Thus, while calpain was inhibited by similar concentrations of ZLLal and ZLLLal, the inhibitory potencies of ZLLLal against the ZLLL-MCA- and Suc-LLVY-MCA-degrading activities in proteasome were 1,100 and 140 times stronger than those of ZLLal, respectively. To evaluate the effectiveness of these inhibitors on intracellular proteasome, the induction of neurite outgrowth in PC12 cells caused by proteasome inhibition was examined. ZLLLal and ZLLal initiated neurite outgrowth with optimal concentrations of 20 nM and 10 microM, respectively, again showing a big difference in the effective concentrations for the proteasome inhibition as in vitro. As for the effect on intracellular calpain, the concentration of ZLLLal and ZLLal required for the inhibition of the autolytic activation of calpain in rabbit erythrocytes were 100 and 100 microM or more, respectively. The almost equal inhibitory potencies of ZLLLal and ZLLal were in agreement with the inhibition of calpain in vitro. These differential effects of inhibitors against calpain and proteasome are potentially useful for identifying the functions of calpain and proteasome in cell physiology and pathology.","author":[{"dropping-particle":"","family":"Tsubuki","given":"S","non-dropping-particle":"","parse-names":false,"suffix":""},{"dropping-particle":"","family":"Saito","given":"Y","non-dropping-particle":"","parse-names":false,"suffix":""},{"dropping-particle":"","family":"Tomioka","given":"M","non-dropping-particle":"","parse-names":false,"suffix":""},{"dropping-particle":"","family":"Ito","given":"H","non-dropping-particle":"","parse-names":false,"suffix":""},{"dropping-particle":"","family":"Kawashima","given":"S","non-dropping-particle":"","parse-names":false,"suffix":""}],"container-title":"Journal of biochemistry","id":"ITEM-2","issue":"3","issued":{"date-parts":[["1996","3"]]},"page":"572-6","title":"Differential inhibition of calpain and proteasome activities by peptidyl aldehydes of di-leucine and tri-leucine.","type":"article-journal","volume":"119"},"uris":["http://www.mendeley.com/documents/?uuid=7d9f5e11-8a49-35bb-897b-d26149e08911"]}],"mendeley":{"formattedCitation":"(173, 174)","plainTextFormattedCitation":"(173, 174)","previouslyFormattedCitation":"(173, 174)"},"properties":{"noteIndex":0},"schema":"https://github.com/citation-style-language/schema/raw/master/csl-citation.json"}</w:instrText>
      </w:r>
      <w:r w:rsidR="00423CB6">
        <w:rPr>
          <w:szCs w:val="28"/>
        </w:rPr>
        <w:fldChar w:fldCharType="separate"/>
      </w:r>
      <w:r w:rsidR="003D4B48" w:rsidRPr="003D4B48">
        <w:rPr>
          <w:noProof/>
          <w:szCs w:val="28"/>
        </w:rPr>
        <w:t>(173, 174)</w:t>
      </w:r>
      <w:r w:rsidR="00423CB6">
        <w:rPr>
          <w:szCs w:val="28"/>
        </w:rPr>
        <w:fldChar w:fldCharType="end"/>
      </w:r>
      <w:r w:rsidR="00423CB6">
        <w:rPr>
          <w:szCs w:val="28"/>
        </w:rPr>
        <w:t>.</w:t>
      </w:r>
      <w:r w:rsidR="008F375F">
        <w:rPr>
          <w:szCs w:val="28"/>
        </w:rPr>
        <w:t xml:space="preserve"> </w:t>
      </w:r>
      <w:r w:rsidR="003D4B48">
        <w:rPr>
          <w:szCs w:val="28"/>
        </w:rPr>
        <w:t>Due its potency, commercial availability, and</w:t>
      </w:r>
      <w:r w:rsidR="00E32406">
        <w:rPr>
          <w:szCs w:val="28"/>
        </w:rPr>
        <w:t xml:space="preserve"> low cost,</w:t>
      </w:r>
      <w:r w:rsidR="003D4B48">
        <w:rPr>
          <w:szCs w:val="28"/>
        </w:rPr>
        <w:t xml:space="preserve"> MG132</w:t>
      </w:r>
      <w:r w:rsidR="00E32406">
        <w:rPr>
          <w:szCs w:val="28"/>
        </w:rPr>
        <w:t xml:space="preserve"> is </w:t>
      </w:r>
      <w:r w:rsidR="003D4B48">
        <w:rPr>
          <w:szCs w:val="28"/>
        </w:rPr>
        <w:t xml:space="preserve">a primary reagent used to study </w:t>
      </w:r>
      <w:r w:rsidR="00E32406">
        <w:rPr>
          <w:szCs w:val="28"/>
        </w:rPr>
        <w:t>proteasomal involvement</w:t>
      </w:r>
      <w:r w:rsidR="003D4B48">
        <w:rPr>
          <w:szCs w:val="28"/>
        </w:rPr>
        <w:t xml:space="preserve"> on cellular activity</w:t>
      </w:r>
      <w:r w:rsidR="00E32406">
        <w:rPr>
          <w:szCs w:val="28"/>
        </w:rPr>
        <w:fldChar w:fldCharType="begin" w:fldLock="1"/>
      </w:r>
      <w:r w:rsidR="005F35B5">
        <w:rPr>
          <w:szCs w:val="28"/>
        </w:rPr>
        <w:instrText>ADDIN CSL_CITATION {"citationItems":[{"id":"ITEM-1","itemData":{"DOI":"10.1016/S1074-5521(01)00056-4","ISBN":"1074-5521","ISSN":"10745521","PMID":"11514224","abstract":"The 26S proteasome is a 2.4 MDa multifunctional ATP-dependent proteolytic complex, which degrades the majority of cellular polypeptides by an unusual enzyme mechanism. Several groups of proteasome inhibitors have been developed and are now widely used as research tools to study the role of the ubiquitin^ proteasome pathway in various cellular processes, and two inhibitors are now in clinical trials for treatment of multiple cancers and stroke.","author":[{"dropping-particle":"","family":"Kisselev","given":"Alexei F.","non-dropping-particle":"","parse-names":false,"suffix":""},{"dropping-particle":"","family":"Goldberg","given":"Alfred L.","non-dropping-particle":"","parse-names":false,"suffix":""}],"container-title":"Chemistry &amp; Biology","id":"ITEM-1","issue":"8","issued":{"date-parts":[["2001"]]},"page":"739-758","title":"Proteasome inhibitors: from research tools to drug candidates","type":"article-journal","volume":"8"},"uris":["http://www.mendeley.com/documents/?uuid=53dd6faa-9622-4725-a5c0-927eb53431c9"]}],"mendeley":{"formattedCitation":"(168)","plainTextFormattedCitation":"(168)","previouslyFormattedCitation":"(168)"},"properties":{"noteIndex":0},"schema":"https://github.com/citation-style-language/schema/raw/master/csl-citation.json"}</w:instrText>
      </w:r>
      <w:r w:rsidR="00E32406">
        <w:rPr>
          <w:szCs w:val="28"/>
        </w:rPr>
        <w:fldChar w:fldCharType="separate"/>
      </w:r>
      <w:r w:rsidR="003D4B48" w:rsidRPr="003D4B48">
        <w:rPr>
          <w:noProof/>
          <w:szCs w:val="28"/>
        </w:rPr>
        <w:t>(168)</w:t>
      </w:r>
      <w:r w:rsidR="00E32406">
        <w:rPr>
          <w:szCs w:val="28"/>
        </w:rPr>
        <w:fldChar w:fldCharType="end"/>
      </w:r>
      <w:r w:rsidR="00E32406">
        <w:rPr>
          <w:szCs w:val="28"/>
        </w:rPr>
        <w:t>.</w:t>
      </w:r>
    </w:p>
    <w:p w:rsidR="00737D20" w:rsidRPr="000C47E5" w:rsidRDefault="00E32406" w:rsidP="00FB099D">
      <w:pPr>
        <w:pStyle w:val="Heading4"/>
        <w:jc w:val="both"/>
        <w:rPr>
          <w:b w:val="0"/>
          <w:i/>
          <w:sz w:val="24"/>
        </w:rPr>
      </w:pPr>
      <w:r w:rsidRPr="000C47E5">
        <w:rPr>
          <w:b w:val="0"/>
          <w:i/>
          <w:sz w:val="24"/>
        </w:rPr>
        <w:t>Peptide boronates</w:t>
      </w:r>
      <w:r w:rsidR="00C84028" w:rsidRPr="000C47E5">
        <w:rPr>
          <w:b w:val="0"/>
          <w:i/>
          <w:sz w:val="24"/>
        </w:rPr>
        <w:t xml:space="preserve"> and </w:t>
      </w:r>
      <w:r w:rsidR="00FF76CE" w:rsidRPr="000C47E5">
        <w:rPr>
          <w:b w:val="0"/>
          <w:i/>
          <w:sz w:val="24"/>
        </w:rPr>
        <w:t>epoxyketones</w:t>
      </w:r>
      <w:r w:rsidRPr="000C47E5">
        <w:rPr>
          <w:b w:val="0"/>
          <w:i/>
          <w:sz w:val="24"/>
        </w:rPr>
        <w:t xml:space="preserve">: </w:t>
      </w:r>
      <w:r w:rsidR="00737D20" w:rsidRPr="000C47E5">
        <w:rPr>
          <w:b w:val="0"/>
          <w:i/>
          <w:sz w:val="24"/>
        </w:rPr>
        <w:t>Bortezomib</w:t>
      </w:r>
      <w:r w:rsidR="00FF76CE" w:rsidRPr="000C47E5">
        <w:rPr>
          <w:b w:val="0"/>
          <w:i/>
          <w:sz w:val="24"/>
        </w:rPr>
        <w:t xml:space="preserve"> and Carfilzomib</w:t>
      </w:r>
    </w:p>
    <w:p w:rsidR="00737D20" w:rsidRDefault="00E32406" w:rsidP="00FB099D">
      <w:pPr>
        <w:ind w:firstLine="720"/>
        <w:jc w:val="both"/>
        <w:rPr>
          <w:szCs w:val="28"/>
        </w:rPr>
      </w:pPr>
      <w:r>
        <w:rPr>
          <w:szCs w:val="28"/>
        </w:rPr>
        <w:t>Unlike the peptide aldehydes, pe</w:t>
      </w:r>
      <w:r w:rsidR="00BB7E01">
        <w:rPr>
          <w:szCs w:val="28"/>
        </w:rPr>
        <w:t xml:space="preserve">ptide boronates are more </w:t>
      </w:r>
      <w:r w:rsidR="003D4B48">
        <w:rPr>
          <w:szCs w:val="28"/>
        </w:rPr>
        <w:t>selective for</w:t>
      </w:r>
      <w:r w:rsidR="00BB7E01">
        <w:rPr>
          <w:szCs w:val="28"/>
        </w:rPr>
        <w:t xml:space="preserve"> the proteasome compared to other cellular proteases, take longer to dissociate</w:t>
      </w:r>
      <w:r w:rsidR="003D4B48">
        <w:rPr>
          <w:szCs w:val="28"/>
        </w:rPr>
        <w:t xml:space="preserve"> from the proteasome</w:t>
      </w:r>
      <w:r w:rsidR="00BB7E01">
        <w:rPr>
          <w:szCs w:val="28"/>
        </w:rPr>
        <w:t xml:space="preserve">, and are </w:t>
      </w:r>
      <w:r w:rsidR="003D4B48">
        <w:rPr>
          <w:szCs w:val="28"/>
        </w:rPr>
        <w:t>less prone to metabolic inactivation in cells</w:t>
      </w:r>
      <w:r w:rsidR="00BB7E01">
        <w:rPr>
          <w:szCs w:val="28"/>
        </w:rPr>
        <w:fldChar w:fldCharType="begin" w:fldLock="1"/>
      </w:r>
      <w:r w:rsidR="005F35B5">
        <w:rPr>
          <w:szCs w:val="28"/>
        </w:rPr>
        <w:instrText>ADDIN CSL_CITATION {"citationItems":[{"id":"ITEM-1","itemData":{"DOI":"10.1016/S1074-5521(01)00056-4","ISBN":"1074-5521","ISSN":"10745521","PMID":"11514224","abstract":"The 26S proteasome is a 2.4 MDa multifunctional ATP-dependent proteolytic complex, which degrades the majority of cellular polypeptides by an unusual enzyme mechanism. Several groups of proteasome inhibitors have been developed and are now widely used as research tools to study the role of the ubiquitin^ proteasome pathway in various cellular processes, and two inhibitors are now in clinical trials for treatment of multiple cancers and stroke.","author":[{"dropping-particle":"","family":"Kisselev","given":"Alexei F.","non-dropping-particle":"","parse-names":false,"suffix":""},{"dropping-particle":"","family":"Goldberg","given":"Alfred L.","non-dropping-particle":"","parse-names":false,"suffix":""}],"container-title":"Chemistry &amp; Biology","id":"ITEM-1","issue":"8","issued":{"date-parts":[["2001"]]},"page":"739-758","title":"Proteasome inhibitors: from research tools to drug candidates","type":"article-journal","volume":"8"},"uris":["http://www.mendeley.com/documents/?uuid=53dd6faa-9622-4725-a5c0-927eb53431c9"]}],"mendeley":{"formattedCitation":"(168)","plainTextFormattedCitation":"(168)","previouslyFormattedCitation":"(168)"},"properties":{"noteIndex":0},"schema":"https://github.com/citation-style-language/schema/raw/master/csl-citation.json"}</w:instrText>
      </w:r>
      <w:r w:rsidR="00BB7E01">
        <w:rPr>
          <w:szCs w:val="28"/>
        </w:rPr>
        <w:fldChar w:fldCharType="separate"/>
      </w:r>
      <w:r w:rsidR="003D4B48" w:rsidRPr="003D4B48">
        <w:rPr>
          <w:noProof/>
          <w:szCs w:val="28"/>
        </w:rPr>
        <w:t>(168)</w:t>
      </w:r>
      <w:r w:rsidR="00BB7E01">
        <w:rPr>
          <w:szCs w:val="28"/>
        </w:rPr>
        <w:fldChar w:fldCharType="end"/>
      </w:r>
      <w:r w:rsidR="00BB7E01">
        <w:rPr>
          <w:szCs w:val="28"/>
        </w:rPr>
        <w:t>. Bor</w:t>
      </w:r>
      <w:r w:rsidR="00FB099D">
        <w:rPr>
          <w:szCs w:val="28"/>
        </w:rPr>
        <w:t>tezomib (</w:t>
      </w:r>
      <w:r w:rsidR="00FB099D" w:rsidRPr="00FB099D">
        <w:rPr>
          <w:b/>
          <w:szCs w:val="28"/>
        </w:rPr>
        <w:fldChar w:fldCharType="begin"/>
      </w:r>
      <w:r w:rsidR="00FB099D" w:rsidRPr="00FB099D">
        <w:rPr>
          <w:b/>
          <w:szCs w:val="28"/>
        </w:rPr>
        <w:instrText xml:space="preserve"> REF _Ref530574731 \h </w:instrText>
      </w:r>
      <w:r w:rsidR="00FB099D">
        <w:rPr>
          <w:b/>
          <w:szCs w:val="28"/>
        </w:rPr>
        <w:instrText xml:space="preserve"> \* MERGEFORMAT </w:instrText>
      </w:r>
      <w:r w:rsidR="00FB099D" w:rsidRPr="00FB099D">
        <w:rPr>
          <w:b/>
          <w:szCs w:val="28"/>
        </w:rPr>
      </w:r>
      <w:r w:rsidR="00FB099D" w:rsidRPr="00FB099D">
        <w:rPr>
          <w:b/>
          <w:szCs w:val="28"/>
        </w:rPr>
        <w:fldChar w:fldCharType="separate"/>
      </w:r>
      <w:r w:rsidR="00E2070A" w:rsidRPr="00E2070A">
        <w:rPr>
          <w:b/>
        </w:rPr>
        <w:t xml:space="preserve">Figure </w:t>
      </w:r>
      <w:r w:rsidR="00E2070A" w:rsidRPr="00E2070A">
        <w:rPr>
          <w:b/>
          <w:noProof/>
        </w:rPr>
        <w:t>14</w:t>
      </w:r>
      <w:r w:rsidR="00FB099D" w:rsidRPr="00FB099D">
        <w:rPr>
          <w:b/>
          <w:szCs w:val="28"/>
        </w:rPr>
        <w:fldChar w:fldCharType="end"/>
      </w:r>
      <w:r w:rsidR="00BB7E01">
        <w:rPr>
          <w:szCs w:val="28"/>
        </w:rPr>
        <w:t xml:space="preserve">, [3]) was the first </w:t>
      </w:r>
      <w:r w:rsidR="00E06FE2">
        <w:rPr>
          <w:szCs w:val="28"/>
        </w:rPr>
        <w:t>approved proteasome inhibitor for use as an anti-cancer treatment</w:t>
      </w:r>
      <w:r w:rsidR="00E06FE2">
        <w:rPr>
          <w:szCs w:val="28"/>
        </w:rPr>
        <w:fldChar w:fldCharType="begin" w:fldLock="1"/>
      </w:r>
      <w:r w:rsidR="005F35B5">
        <w:rPr>
          <w:szCs w:val="28"/>
        </w:rPr>
        <w:instrText>ADDIN CSL_CITATION {"citationItems":[{"id":"ITEM-1","itemData":{"DOI":"10.1634/theoncologist.8-6-508","ISBN":"1083-7159","ISSN":"1083-7159","PMID":"14657528","abstract":"Bortezomib (formerly PS-341), a promising new drug for the treatment of multiple myeloma, recently received accelerated approval from the U.S. Food and Drug Administration (FDA) for the therapy of patients with progressive myeloma after previous treatment. Two phase II studies of bortezomib used the same schedule of twice-weekly i.v. dosing for the first 2 weeks of each 3-week cycle. In a randomized study of 54 patients, two doses were compared (1.0 and 1.3 mg/m2) and objective responses occurred at both dose levels (23% versus 35%), including one complete response in each arm. In the other phase II study, 202 heavily pretreated patients (median of six prior therapies) all received the same schedule at 1.3 mg/m2. Of 188 evaluable patients, complete responses occurred in five (3%) and partial responses occurred in 47 (25%). The median duration of response was 365 days. The most clinically relevant adverse events were asthenic conditions, nausea, vomiting, diarrhea, thrombocytopenia, and a peripheral neuropathy that often was painful. This report highlights the FDA analysis supporting the accelerated approval.","author":[{"dropping-particle":"","family":"Kane","given":"R. C.","non-dropping-particle":"","parse-names":false,"suffix":""},{"dropping-particle":"","family":"Bross","given":"Peter F","non-dropping-particle":"","parse-names":false,"suffix":""},{"dropping-particle":"","family":"Farrell","given":"Ann T","non-dropping-particle":"","parse-names":false,"suffix":""},{"dropping-particle":"","family":"Pazdur","given":"Richard","non-dropping-particle":"","parse-names":false,"suffix":""}],"container-title":"The Oncologist","id":"ITEM-1","issue":"6","issued":{"date-parts":[["2003"]]},"page":"508-513","title":"Velcade: U.S. FDA Approval for the Treatment of Multiple Myeloma Progressing on Prior Therapy","type":"article-journal","volume":"8"},"uris":["http://www.mendeley.com/documents/?uuid=8d459ab3-e7f1-4fd3-ad46-5e3574633e8d"]}],"mendeley":{"formattedCitation":"(175)","plainTextFormattedCitation":"(175)","previouslyFormattedCitation":"(175)"},"properties":{"noteIndex":0},"schema":"https://github.com/citation-style-language/schema/raw/master/csl-citation.json"}</w:instrText>
      </w:r>
      <w:r w:rsidR="00E06FE2">
        <w:rPr>
          <w:szCs w:val="28"/>
        </w:rPr>
        <w:fldChar w:fldCharType="separate"/>
      </w:r>
      <w:r w:rsidR="003D4B48" w:rsidRPr="003D4B48">
        <w:rPr>
          <w:noProof/>
          <w:szCs w:val="28"/>
        </w:rPr>
        <w:t>(175)</w:t>
      </w:r>
      <w:r w:rsidR="00E06FE2">
        <w:rPr>
          <w:szCs w:val="28"/>
        </w:rPr>
        <w:fldChar w:fldCharType="end"/>
      </w:r>
      <w:r w:rsidR="005F35B5">
        <w:rPr>
          <w:szCs w:val="28"/>
        </w:rPr>
        <w:t>.</w:t>
      </w:r>
      <w:r w:rsidR="00E06FE2">
        <w:rPr>
          <w:szCs w:val="28"/>
        </w:rPr>
        <w:t xml:space="preserve"> </w:t>
      </w:r>
      <w:r w:rsidR="005F35B5">
        <w:rPr>
          <w:szCs w:val="28"/>
        </w:rPr>
        <w:t>Bortezomib</w:t>
      </w:r>
      <w:r w:rsidR="00E06FE2">
        <w:rPr>
          <w:szCs w:val="28"/>
        </w:rPr>
        <w:t xml:space="preserve"> bind</w:t>
      </w:r>
      <w:r w:rsidR="005F35B5">
        <w:rPr>
          <w:szCs w:val="28"/>
        </w:rPr>
        <w:t>s</w:t>
      </w:r>
      <w:r w:rsidR="00E06FE2">
        <w:rPr>
          <w:szCs w:val="28"/>
        </w:rPr>
        <w:t xml:space="preserve"> reversibly</w:t>
      </w:r>
      <w:r w:rsidR="005F35B5">
        <w:rPr>
          <w:szCs w:val="28"/>
        </w:rPr>
        <w:t xml:space="preserve"> to the proteasome</w:t>
      </w:r>
      <w:r w:rsidR="00E06FE2">
        <w:rPr>
          <w:szCs w:val="28"/>
        </w:rPr>
        <w:t xml:space="preserve"> but the </w:t>
      </w:r>
      <w:r w:rsidR="005F35B5">
        <w:rPr>
          <w:szCs w:val="28"/>
        </w:rPr>
        <w:t xml:space="preserve">drug-receptor complex </w:t>
      </w:r>
      <w:r w:rsidR="00E06FE2">
        <w:rPr>
          <w:szCs w:val="28"/>
        </w:rPr>
        <w:t>remains stable for several hours</w:t>
      </w:r>
      <w:r w:rsidR="00E06FE2">
        <w:rPr>
          <w:szCs w:val="28"/>
        </w:rPr>
        <w:fldChar w:fldCharType="begin" w:fldLock="1"/>
      </w:r>
      <w:r w:rsidR="005F35B5">
        <w:rPr>
          <w:szCs w:val="28"/>
        </w:rPr>
        <w:instrText>ADDIN CSL_CITATION {"citationItems":[{"id":"ITEM-1","itemData":{"DOI":"10.1016/j.str.2005.11.019","ISSN":"09692126","PMID":"16531229","abstract":"The dipeptide boronic acid bortezomib, also termed VELCADE, is a proteasome inhibitor now in use for the treatment of multiple myeloma, and its use for the treatment of other malignancies is being explored. We determined the crystal structure of the yeast 20S proteasome in complex with bortezomib to establish the specificity and binding mode of bortezomib to the proteasome's different catalytically active sites. This structure should enable the rational design of new boronic acid derivatives with improved affinities and specificities for individual active subunits.","author":[{"dropping-particle":"","family":"Groll","given":"Michael","non-dropping-particle":"","parse-names":false,"suffix":""},{"dropping-particle":"","family":"Berkers","given":"Celia R.","non-dropping-particle":"","parse-names":false,"suffix":""},{"dropping-particle":"","family":"Ploegh","given":"Hidde L.","non-dropping-particle":"","parse-names":false,"suffix":""},{"dropping-particle":"","family":"Ovaa","given":"Huib","non-dropping-particle":"","parse-names":false,"suffix":""}],"container-title":"Structure","id":"ITEM-1","issue":"3","issued":{"date-parts":[["2006","3"]]},"page":"451-456","title":"Crystal Structure of the Boronic Acid-Based Proteasome Inhibitor Bortezomib in Complex with the Yeast 20S Proteasome","type":"article-journal","volume":"14"},"uris":["http://www.mendeley.com/documents/?uuid=49b7979e-3abd-38b7-a0f3-9ceeb0665198"]},{"id":"ITEM-2","itemData":{"DOI":"10.1155/2015/172458","ISBN":"0270-7306 (Print)","ISSN":"23146141","PMID":"26579531","abstract":"&lt;p&gt; Multiple myeloma (MM) is characterized by a high capacity to induce alterations in the bone remodeling process. The increase in osteoclastogenesis and the suppression of osteoblast formation are both involved in the pathophysiology of the bone lesions in MM. The proteasome inhibitor (PI) bortezomib is the first drug designed and approved for the treatment of MM patients by targeting the proteasome. However, recently novel PIs have been developed to overcome bortezomib resistance. Interestingly, several preclinical data indicate that the proteasome complex is involved in both osteoclast and osteoblast formation. It is also evident that bortezomib either inhibits osteoclast differentiation induced by the receptor activator of nuclear factor kappa B (NF- &lt;italic&gt;κ&lt;/italic&gt; B) ligand (RANKL) or stimulates the osteoblast differentiation. Similarly, the new PIs including carfilzomib and ixazomib can inhibit bone resorption and stimulate the osteoblast differentiation. In a clinical setting, PIs restore the abnormal bone remodeling by normalizing the levels of bone turnover markers. In addition, a bone anabolic effect was described in responding MM patients treated with PIs, as demonstrated by the increase in the osteoblast number. This review summarizes the preclinical and clinical evidence on the effects of bortezomib and other new PIs on myeloma bone disease. &lt;/p&gt;","author":[{"dropping-particle":"","family":"Accardi","given":"Fabrizio","non-dropping-particle":"","parse-names":false,"suffix":""},{"dropping-particle":"","family":"Toscani","given":"Denise","non-dropping-particle":"","parse-names":false,"suffix":""},{"dropping-particle":"","family":"Bolzoni","given":"Marina","non-dropping-particle":"","parse-names":false,"suffix":""},{"dropping-particle":"","family":"Dalla Palma","given":"Benedetta","non-dropping-particle":"","parse-names":false,"suffix":""},{"dropping-particle":"","family":"Aversa","given":"Franco","non-dropping-particle":"","parse-names":false,"suffix":""},{"dropping-particle":"","family":"Giuliani","given":"Nicola","non-dropping-particle":"","parse-names":false,"suffix":""}],"container-title":"BioMed Research International","id":"ITEM-2","issued":{"date-parts":[["2015"]]},"publisher":"Hindawi Publishing Corporation","title":"Mechanism of action of bortezomib and the new proteasome inhibitors on myeloma cells and the bone microenvironment: Impact on myeloma-induced alterations of bone remodeling","type":"article-journal","volume":"2015"},"uris":["http://www.mendeley.com/documents/?uuid=1c3cdb18-df4d-4569-a6f9-201faba28070"]}],"mendeley":{"formattedCitation":"(176, 177)","plainTextFormattedCitation":"(176, 177)","previouslyFormattedCitation":"(176, 177)"},"properties":{"noteIndex":0},"schema":"https://github.com/citation-style-language/schema/raw/master/csl-citation.json"}</w:instrText>
      </w:r>
      <w:r w:rsidR="00E06FE2">
        <w:rPr>
          <w:szCs w:val="28"/>
        </w:rPr>
        <w:fldChar w:fldCharType="separate"/>
      </w:r>
      <w:r w:rsidR="003D4B48" w:rsidRPr="003D4B48">
        <w:rPr>
          <w:noProof/>
          <w:szCs w:val="28"/>
        </w:rPr>
        <w:t>(176, 177)</w:t>
      </w:r>
      <w:r w:rsidR="00E06FE2">
        <w:rPr>
          <w:szCs w:val="28"/>
        </w:rPr>
        <w:fldChar w:fldCharType="end"/>
      </w:r>
      <w:r w:rsidR="00E06FE2">
        <w:rPr>
          <w:szCs w:val="28"/>
        </w:rPr>
        <w:t>.</w:t>
      </w:r>
    </w:p>
    <w:p w:rsidR="00FF76CE" w:rsidRPr="00FF76CE" w:rsidRDefault="00FF76CE" w:rsidP="00FB099D">
      <w:pPr>
        <w:ind w:firstLine="720"/>
        <w:jc w:val="both"/>
        <w:rPr>
          <w:szCs w:val="28"/>
        </w:rPr>
      </w:pPr>
      <w:r>
        <w:rPr>
          <w:szCs w:val="28"/>
        </w:rPr>
        <w:t>Peptide epoxyketones are the most selective proteasome inhibitors due to their selective irreversible binding to only the proteasome</w:t>
      </w:r>
      <w:r w:rsidR="005F35B5">
        <w:rPr>
          <w:szCs w:val="28"/>
        </w:rPr>
        <w:fldChar w:fldCharType="begin" w:fldLock="1"/>
      </w:r>
      <w:r w:rsidR="005F35B5">
        <w:rPr>
          <w:szCs w:val="28"/>
        </w:rPr>
        <w:instrText>ADDIN CSL_CITATION {"citationItems":[{"id":"ITEM-1","itemData":{"DOI":"10.1016/S1074-5521(01)00056-4","ISBN":"1074-5521","ISSN":"10745521","PMID":"11514224","abstract":"The 26S proteasome is a 2.4 MDa multifunctional ATP-dependent proteolytic complex, which degrades the majority of cellular polypeptides by an unusual enzyme mechanism. Several groups of proteasome inhibitors have been developed and are now widely used as research tools to study the role of the ubiquitin^ proteasome pathway in various cellular processes, and two inhibitors are now in clinical trials for treatment of multiple cancers and stroke.","author":[{"dropping-particle":"","family":"Kisselev","given":"Alexei F.","non-dropping-particle":"","parse-names":false,"suffix":""},{"dropping-particle":"","family":"Goldberg","given":"Alfred L.","non-dropping-particle":"","parse-names":false,"suffix":""}],"container-title":"Chemistry &amp; Biology","id":"ITEM-1","issue":"8","issued":{"date-parts":[["2001"]]},"page":"739-758","title":"Proteasome inhibitors: from research tools to drug candidates","type":"article-journal","volume":"8"},"uris":["http://www.mendeley.com/documents/?uuid=53dd6faa-9622-4725-a5c0-927eb53431c9"]},{"id":"ITEM-2","itemData":{"DOI":"10.1155/2015/172458","ISBN":"0270-7306 (Print)","ISSN":"23146141","PMID":"26579531","abstract":"&lt;p&gt; Multiple myeloma (MM) is characterized by a high capacity to induce alterations in the bone remodeling process. The increase in osteoclastogenesis and the suppression of osteoblast formation are both involved in the pathophysiology of the bone lesions in MM. The proteasome inhibitor (PI) bortezomib is the first drug designed and approved for the treatment of MM patients by targeting the proteasome. However, recently novel PIs have been developed to overcome bortezomib resistance. Interestingly, several preclinical data indicate that the proteasome complex is involved in both osteoclast and osteoblast formation. It is also evident that bortezomib either inhibits osteoclast differentiation induced by the receptor activator of nuclear factor kappa B (NF- &lt;italic&gt;κ&lt;/italic&gt; B) ligand (RANKL) or stimulates the osteoblast differentiation. Similarly, the new PIs including carfilzomib and ixazomib can inhibit bone resorption and stimulate the osteoblast differentiation. In a clinical setting, PIs restore the abnormal bone remodeling by normalizing the levels of bone turnover markers. In addition, a bone anabolic effect was described in responding MM patients treated with PIs, as demonstrated by the increase in the osteoblast number. This review summarizes the preclinical and clinical evidence on the effects of bortezomib and other new PIs on myeloma bone disease. &lt;/p&gt;","author":[{"dropping-particle":"","family":"Accardi","given":"Fabrizio","non-dropping-particle":"","parse-names":false,"suffix":""},{"dropping-particle":"","family":"Toscani","given":"Denise","non-dropping-particle":"","parse-names":false,"suffix":""},{"dropping-particle":"","family":"Bolzoni","given":"Marina","non-dropping-particle":"","parse-names":false,"suffix":""},{"dropping-particle":"","family":"Dalla Palma","given":"Benedetta","non-dropping-particle":"","parse-names":false,"suffix":""},{"dropping-particle":"","family":"Aversa","given":"Franco","non-dropping-particle":"","parse-names":false,"suffix":""},{"dropping-particle":"","family":"Giuliani","given":"Nicola","non-dropping-particle":"","parse-names":false,"suffix":""}],"container-title":"BioMed Research International","id":"ITEM-2","issued":{"date-parts":[["2015"]]},"publisher":"Hindawi Publishing Corporation","title":"Mechanism of action of bortezomib and the new proteasome inhibitors on myeloma cells and the bone microenvironment: Impact on myeloma-induced alterations of bone remodeling","type":"article-journal","volume":"2015"},"uris":["http://www.mendeley.com/documents/?uuid=1c3cdb18-df4d-4569-a6f9-201faba28070"]}],"mendeley":{"formattedCitation":"(168, 177)","plainTextFormattedCitation":"(168, 177)","previouslyFormattedCitation":"(168, 177)"},"properties":{"noteIndex":0},"schema":"https://github.com/citation-style-language/schema/raw/master/csl-citation.json"}</w:instrText>
      </w:r>
      <w:r w:rsidR="005F35B5">
        <w:rPr>
          <w:szCs w:val="28"/>
        </w:rPr>
        <w:fldChar w:fldCharType="separate"/>
      </w:r>
      <w:r w:rsidR="005F35B5" w:rsidRPr="003D4B48">
        <w:rPr>
          <w:noProof/>
          <w:szCs w:val="28"/>
        </w:rPr>
        <w:t>(168, 177)</w:t>
      </w:r>
      <w:r w:rsidR="005F35B5">
        <w:rPr>
          <w:szCs w:val="28"/>
        </w:rPr>
        <w:fldChar w:fldCharType="end"/>
      </w:r>
      <w:r w:rsidR="005F35B5">
        <w:rPr>
          <w:szCs w:val="28"/>
        </w:rPr>
        <w:t>. The covalent modification of the proteasome</w:t>
      </w:r>
      <w:r w:rsidR="00A5670A">
        <w:rPr>
          <w:szCs w:val="28"/>
        </w:rPr>
        <w:t xml:space="preserve"> requires </w:t>
      </w:r>
      <w:r w:rsidR="005F35B5">
        <w:rPr>
          <w:szCs w:val="28"/>
        </w:rPr>
        <w:t xml:space="preserve">the </w:t>
      </w:r>
      <w:r w:rsidR="00A5670A">
        <w:rPr>
          <w:szCs w:val="28"/>
        </w:rPr>
        <w:t xml:space="preserve">generation of new </w:t>
      </w:r>
      <w:r w:rsidR="005F35B5">
        <w:rPr>
          <w:szCs w:val="28"/>
        </w:rPr>
        <w:t xml:space="preserve">proteasome </w:t>
      </w:r>
      <w:r w:rsidR="00A5670A">
        <w:rPr>
          <w:szCs w:val="28"/>
        </w:rPr>
        <w:t>subunits in order to regain function</w:t>
      </w:r>
      <w:r w:rsidR="00A5670A">
        <w:rPr>
          <w:szCs w:val="28"/>
        </w:rPr>
        <w:fldChar w:fldCharType="begin" w:fldLock="1"/>
      </w:r>
      <w:r w:rsidR="005F35B5">
        <w:rPr>
          <w:szCs w:val="28"/>
        </w:rPr>
        <w:instrText>ADDIN CSL_CITATION {"citationItems":[{"id":"ITEM-1","itemData":{"DOI":"10.1016/S1074-5521(01)00056-4","ISBN":"1074-5521","ISSN":"10745521","PMID":"11514224","abstract":"The 26S proteasome is a 2.4 MDa multifunctional ATP-dependent proteolytic complex, which degrades the majority of cellular polypeptides by an unusual enzyme mechanism. Several groups of proteasome inhibitors have been developed and are now widely used as research tools to study the role of the ubiquitin^ proteasome pathway in various cellular processes, and two inhibitors are now in clinical trials for treatment of multiple cancers and stroke.","author":[{"dropping-particle":"","family":"Kisselev","given":"Alexei F.","non-dropping-particle":"","parse-names":false,"suffix":""},{"dropping-particle":"","family":"Goldberg","given":"Alfred L.","non-dropping-particle":"","parse-names":false,"suffix":""}],"container-title":"Chemistry &amp; Biology","id":"ITEM-1","issue":"8","issued":{"date-parts":[["2001"]]},"page":"739-758","title":"Proteasome inhibitors: from research tools to drug candidates","type":"article-journal","volume":"8"},"uris":["http://www.mendeley.com/documents/?uuid=53dd6faa-9622-4725-a5c0-927eb53431c9"]},{"id":"ITEM-2","itemData":{"DOI":"10.1155/2015/172458","ISBN":"0270-7306 (Print)","ISSN":"23146141","PMID":"26579531","abstract":"&lt;p&gt; Multiple myeloma (MM) is characterized by a high capacity to induce alterations in the bone remodeling process. The increase in osteoclastogenesis and the suppression of osteoblast formation are both involved in the pathophysiology of the bone lesions in MM. The proteasome inhibitor (PI) bortezomib is the first drug designed and approved for the treatment of MM patients by targeting the proteasome. However, recently novel PIs have been developed to overcome bortezomib resistance. Interestingly, several preclinical data indicate that the proteasome complex is involved in both osteoclast and osteoblast formation. It is also evident that bortezomib either inhibits osteoclast differentiation induced by the receptor activator of nuclear factor kappa B (NF- &lt;italic&gt;κ&lt;/italic&gt; B) ligand (RANKL) or stimulates the osteoblast differentiation. Similarly, the new PIs including carfilzomib and ixazomib can inhibit bone resorption and stimulate the osteoblast differentiation. In a clinical setting, PIs restore the abnormal bone remodeling by normalizing the levels of bone turnover markers. In addition, a bone anabolic effect was described in responding MM patients treated with PIs, as demonstrated by the increase in the osteoblast number. This review summarizes the preclinical and clinical evidence on the effects of bortezomib and other new PIs on myeloma bone disease. &lt;/p&gt;","author":[{"dropping-particle":"","family":"Accardi","given":"Fabrizio","non-dropping-particle":"","parse-names":false,"suffix":""},{"dropping-particle":"","family":"Toscani","given":"Denise","non-dropping-particle":"","parse-names":false,"suffix":""},{"dropping-particle":"","family":"Bolzoni","given":"Marina","non-dropping-particle":"","parse-names":false,"suffix":""},{"dropping-particle":"","family":"Dalla Palma","given":"Benedetta","non-dropping-particle":"","parse-names":false,"suffix":""},{"dropping-particle":"","family":"Aversa","given":"Franco","non-dropping-particle":"","parse-names":false,"suffix":""},{"dropping-particle":"","family":"Giuliani","given":"Nicola","non-dropping-particle":"","parse-names":false,"suffix":""}],"container-title":"BioMed Research International","id":"ITEM-2","issued":{"date-parts":[["2015"]]},"publisher":"Hindawi Publishing Corporation","title":"Mechanism of action of bortezomib and the new proteasome inhibitors on myeloma cells and the bone microenvironment: Impact on myeloma-induced alterations of bone remodeling","type":"article-journal","volume":"2015"},"uris":["http://www.mendeley.com/documents/?uuid=1c3cdb18-df4d-4569-a6f9-201faba28070"]}],"mendeley":{"formattedCitation":"(168, 177)","plainTextFormattedCitation":"(168, 177)","previouslyFormattedCitation":"(168, 177)"},"properties":{"noteIndex":0},"schema":"https://github.com/citation-style-language/schema/raw/master/csl-citation.json"}</w:instrText>
      </w:r>
      <w:r w:rsidR="00A5670A">
        <w:rPr>
          <w:szCs w:val="28"/>
        </w:rPr>
        <w:fldChar w:fldCharType="separate"/>
      </w:r>
      <w:r w:rsidR="003D4B48" w:rsidRPr="003D4B48">
        <w:rPr>
          <w:noProof/>
          <w:szCs w:val="28"/>
        </w:rPr>
        <w:t>(168, 177)</w:t>
      </w:r>
      <w:r w:rsidR="00A5670A">
        <w:rPr>
          <w:szCs w:val="28"/>
        </w:rPr>
        <w:fldChar w:fldCharType="end"/>
      </w:r>
      <w:r w:rsidR="00FB099D">
        <w:rPr>
          <w:szCs w:val="28"/>
        </w:rPr>
        <w:t>. Carfilzomib (</w:t>
      </w:r>
      <w:r w:rsidR="00FB099D" w:rsidRPr="00FB099D">
        <w:rPr>
          <w:b/>
          <w:szCs w:val="28"/>
        </w:rPr>
        <w:fldChar w:fldCharType="begin"/>
      </w:r>
      <w:r w:rsidR="00FB099D" w:rsidRPr="00FB099D">
        <w:rPr>
          <w:b/>
          <w:szCs w:val="28"/>
        </w:rPr>
        <w:instrText xml:space="preserve"> REF _Ref530574731 \h </w:instrText>
      </w:r>
      <w:r w:rsidR="00FB099D">
        <w:rPr>
          <w:b/>
          <w:szCs w:val="28"/>
        </w:rPr>
        <w:instrText xml:space="preserve"> \* MERGEFORMAT </w:instrText>
      </w:r>
      <w:r w:rsidR="00FB099D" w:rsidRPr="00FB099D">
        <w:rPr>
          <w:b/>
          <w:szCs w:val="28"/>
        </w:rPr>
      </w:r>
      <w:r w:rsidR="00FB099D" w:rsidRPr="00FB099D">
        <w:rPr>
          <w:b/>
          <w:szCs w:val="28"/>
        </w:rPr>
        <w:fldChar w:fldCharType="separate"/>
      </w:r>
      <w:r w:rsidR="00E2070A" w:rsidRPr="00E2070A">
        <w:rPr>
          <w:b/>
        </w:rPr>
        <w:t xml:space="preserve">Figure </w:t>
      </w:r>
      <w:r w:rsidR="00E2070A" w:rsidRPr="00E2070A">
        <w:rPr>
          <w:b/>
          <w:noProof/>
        </w:rPr>
        <w:t>14</w:t>
      </w:r>
      <w:r w:rsidR="00FB099D" w:rsidRPr="00FB099D">
        <w:rPr>
          <w:b/>
          <w:szCs w:val="28"/>
        </w:rPr>
        <w:fldChar w:fldCharType="end"/>
      </w:r>
      <w:r w:rsidR="00A5670A">
        <w:rPr>
          <w:szCs w:val="28"/>
        </w:rPr>
        <w:t xml:space="preserve">, [4]), which has also been approved for anti-cancer treatment, is a </w:t>
      </w:r>
      <w:r w:rsidR="00A5670A">
        <w:rPr>
          <w:szCs w:val="28"/>
        </w:rPr>
        <w:lastRenderedPageBreak/>
        <w:t>second generation proteasome inhibitor that is a modified version of an early naturally occurring epoxyketone that has been shown to bind irreversibly to only the proteasome and not target any other cellular proteases</w:t>
      </w:r>
      <w:r w:rsidR="00A5670A">
        <w:rPr>
          <w:szCs w:val="28"/>
        </w:rPr>
        <w:fldChar w:fldCharType="begin" w:fldLock="1"/>
      </w:r>
      <w:r w:rsidR="005F35B5">
        <w:rPr>
          <w:szCs w:val="28"/>
        </w:rPr>
        <w:instrText>ADDIN CSL_CITATION {"citationItems":[{"id":"ITEM-1","itemData":{"DOI":"10.1155/2015/172458","ISBN":"0270-7306 (Print)","ISSN":"23146141","PMID":"26579531","abstract":"&lt;p&gt; Multiple myeloma (MM) is characterized by a high capacity to induce alterations in the bone remodeling process. The increase in osteoclastogenesis and the suppression of osteoblast formation are both involved in the pathophysiology of the bone lesions in MM. The proteasome inhibitor (PI) bortezomib is the first drug designed and approved for the treatment of MM patients by targeting the proteasome. However, recently novel PIs have been developed to overcome bortezomib resistance. Interestingly, several preclinical data indicate that the proteasome complex is involved in both osteoclast and osteoblast formation. It is also evident that bortezomib either inhibits osteoclast differentiation induced by the receptor activator of nuclear factor kappa B (NF- &lt;italic&gt;κ&lt;/italic&gt; B) ligand (RANKL) or stimulates the osteoblast differentiation. Similarly, the new PIs including carfilzomib and ixazomib can inhibit bone resorption and stimulate the osteoblast differentiation. In a clinical setting, PIs restore the abnormal bone remodeling by normalizing the levels of bone turnover markers. In addition, a bone anabolic effect was described in responding MM patients treated with PIs, as demonstrated by the increase in the osteoblast number. This review summarizes the preclinical and clinical evidence on the effects of bortezomib and other new PIs on myeloma bone disease. &lt;/p&gt;","author":[{"dropping-particle":"","family":"Accardi","given":"Fabrizio","non-dropping-particle":"","parse-names":false,"suffix":""},{"dropping-particle":"","family":"Toscani","given":"Denise","non-dropping-particle":"","parse-names":false,"suffix":""},{"dropping-particle":"","family":"Bolzoni","given":"Marina","non-dropping-particle":"","parse-names":false,"suffix":""},{"dropping-particle":"","family":"Dalla Palma","given":"Benedetta","non-dropping-particle":"","parse-names":false,"suffix":""},{"dropping-particle":"","family":"Aversa","given":"Franco","non-dropping-particle":"","parse-names":false,"suffix":""},{"dropping-particle":"","family":"Giuliani","given":"Nicola","non-dropping-particle":"","parse-names":false,"suffix":""}],"container-title":"BioMed Research International","id":"ITEM-1","issued":{"date-parts":[["2015"]]},"publisher":"Hindawi Publishing Corporation","title":"Mechanism of action of bortezomib and the new proteasome inhibitors on myeloma cells and the bone microenvironment: Impact on myeloma-induced alterations of bone remodeling","type":"article-journal","volume":"2015"},"uris":["http://www.mendeley.com/documents/?uuid=1c3cdb18-df4d-4569-a6f9-201faba28070"]},{"id":"ITEM-2","itemData":{"ISBN":"1052-1372 (Print)\\r1052-1372 (Linking)","ISSN":"1052-1372","PMID":"27162470","author":[{"dropping-particle":"","family":"Perel","given":"Galina","non-dropping-particle":"","parse-names":false,"suffix":""},{"dropping-particle":"","family":"Bliss","given":"Joshua","non-dropping-particle":"","parse-names":false,"suffix":""},{"dropping-particle":"","family":"Thomas","given":"Christan M","non-dropping-particle":"","parse-names":false,"suffix":""}],"container-title":"Pharmacy and Therapeutics","id":"ITEM-2","issue":"5","issued":{"date-parts":[["2016"]]},"page":"303-7","title":"Carfilzomib (Kyprolis): A Novel Proteasome Inhibitor for Relapsed And/or Refractory Multiple Myeloma.","type":"article-journal","volume":"41"},"uris":["http://www.mendeley.com/documents/?uuid=d513871b-1ae8-4101-9fcd-27b7396543a0"]}],"mendeley":{"formattedCitation":"(177, 178)","plainTextFormattedCitation":"(177, 178)","previouslyFormattedCitation":"(177, 178)"},"properties":{"noteIndex":0},"schema":"https://github.com/citation-style-language/schema/raw/master/csl-citation.json"}</w:instrText>
      </w:r>
      <w:r w:rsidR="00A5670A">
        <w:rPr>
          <w:szCs w:val="28"/>
        </w:rPr>
        <w:fldChar w:fldCharType="separate"/>
      </w:r>
      <w:r w:rsidR="003D4B48" w:rsidRPr="003D4B48">
        <w:rPr>
          <w:noProof/>
          <w:szCs w:val="28"/>
        </w:rPr>
        <w:t>(177, 178)</w:t>
      </w:r>
      <w:r w:rsidR="00A5670A">
        <w:rPr>
          <w:szCs w:val="28"/>
        </w:rPr>
        <w:fldChar w:fldCharType="end"/>
      </w:r>
      <w:r w:rsidR="00A10324">
        <w:rPr>
          <w:szCs w:val="28"/>
        </w:rPr>
        <w:t>. These more selective proteasome inhibitors are utilized to confirm the role of a suspected proteasome target identified by MG132.</w:t>
      </w:r>
    </w:p>
    <w:p w:rsidR="00000ED4" w:rsidRDefault="000C47E5" w:rsidP="00042529">
      <w:pPr>
        <w:pStyle w:val="Heading3"/>
      </w:pPr>
      <w:bookmarkStart w:id="84" w:name="_Toc532553093"/>
      <w:r>
        <w:t xml:space="preserve">Proteasomal </w:t>
      </w:r>
      <w:r w:rsidR="00737D20">
        <w:t>Degradation induced by compounds</w:t>
      </w:r>
      <w:bookmarkEnd w:id="84"/>
    </w:p>
    <w:p w:rsidR="00BB364B" w:rsidRDefault="005F35B5" w:rsidP="00FB099D">
      <w:pPr>
        <w:ind w:firstLine="720"/>
        <w:jc w:val="both"/>
        <w:rPr>
          <w:szCs w:val="28"/>
        </w:rPr>
      </w:pPr>
      <w:r>
        <w:rPr>
          <w:szCs w:val="28"/>
        </w:rPr>
        <w:t>Bioactive small molecules can induce the proteasomal degradation of cellular proteins through both direct and indirect interactions</w:t>
      </w:r>
      <w:r>
        <w:rPr>
          <w:szCs w:val="28"/>
        </w:rPr>
        <w:fldChar w:fldCharType="begin" w:fldLock="1"/>
      </w:r>
      <w:r w:rsidR="00F81397">
        <w:rPr>
          <w:szCs w:val="28"/>
        </w:rPr>
        <w:instrText>ADDIN CSL_CITATION {"citationItems":[{"id":"ITEM-1","itemData":{"DOI":"10.1016/J.BMCL.2008.07.114","ISSN":"0960-894X","abstract":"We have developed a heterobifunctional all-small molecule PROTAC (PROteolysis TArgeting Chimera) capable of inducing proteasomal degradation of the androgen receptor. This cell permeable PROTAC consists of a non-steroidal androgen receptor ligand (SARM) and the MDM2 ligand known as nutlin, connected by a PEG-based linker. The SARM–nutlin PROTAC recruits the androgen receptor to MDM2, which functions as an E3 ubiquitin ligase. This leads to the ubiquitination of the androgen receptor, and its subsequent degradation by the proteasome. Upon treatment of HeLa cells with 10μM PROTAC for 7h, we were able to observe a decrease in androgen receptor levels. This degradation is proteasome dependent, as it is mitigated in cells pre-treated with 10μM epoxomicin, a specific proteasome inhibitor. These results have implications for the potential study and treatment of various cancers with increased androgen receptor levels.","author":[{"dropping-particle":"","family":"Schneekloth","given":"Ashley R.","non-dropping-particle":"","parse-names":false,"suffix":""},{"dropping-particle":"","family":"Pucheault","given":"Mathieu","non-dropping-particle":"","parse-names":false,"suffix":""},{"dropping-particle":"","family":"Tae","given":"Hyun Seop","non-dropping-particle":"","parse-names":false,"suffix":""},{"dropping-particle":"","family":"Crews","given":"Craig M.","non-dropping-particle":"","parse-names":false,"suffix":""}],"container-title":"Bioorganic &amp; Medicinal Chemistry Letters","id":"ITEM-1","issue":"22","issued":{"date-parts":[["2008","11","15"]]},"page":"5904-5908","publisher":"Pergamon","title":"Targeted intracellular protein degradation induced by a small molecule: En route to chemical proteomics","type":"article-journal","volume":"18"},"uris":["http://www.mendeley.com/documents/?uuid=fb2f59a9-6a33-3e43-b4d8-d3bc570c9b21"]},{"id":"ITEM-2","itemData":{"DOI":"10.1016/j.chembiol.2017.05.024","ISBN":"3144548219","ISSN":"24519456","PMID":"26928661","author":[{"dropping-particle":"","family":"Cromm","given":"Philipp M.","non-dropping-particle":"","parse-names":false,"suffix":""},{"dropping-particle":"","family":"Crews","given":"Craig M.","non-dropping-particle":"","parse-names":false,"suffix":""}],"container-title":"Cell Chemical Biology","id":"ITEM-2","issue":"9","issued":{"date-parts":[["2017","9"]]},"page":"1181-1190","title":"Targeted Protein Degradation: from Chemical Biology to Drug Discovery","type":"article-journal","volume":"24"},"uris":["http://www.mendeley.com/documents/?uuid=09d19e69-22e7-4ba7-a495-6028ea7ed931"]},{"id":"ITEM-3","itemData":{"DOI":"10.1038/nchembio.625.Natural","abstract":"Cephalostatin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D","non-dropping-particle":"","parse-names":false,"suffix":""}],"id":"ITEM-3","issue":"9","issued":{"date-parts":[["2011"]]},"page":"639-647","title":"Natural products reveal cancer cell dependence on oxysterol- binding proteins","type":"article-journal","volume":"7"},"uris":["http://www.mendeley.com/documents/?uuid=738d7551-7762-4881-b322-86a5dd78671b"]},{"id":"ITEM-4","itemData":{"DOI":"10.1074/jbc.M112.384776","ISSN":"00219258","PMID":"23250754","abstract":"3β,16β,17α-Trihydroxycholest-5-en-22-one 16-O-(2-O-4-methoxybenzoyl-β-D-xylopyranosyl)-(1→3)-2-O-acetyl-α-L-arabinopyranoside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leukemia.","author":[{"dropping-particle":"","family":"Garcia-Prieto","given":"Celia","non-dropping-particle":"","parse-names":false,"suffix":""},{"dropping-particle":"","family":"Ahmed","given":"Kausar Begam Riaz","non-dropping-particle":"","parse-names":false,"suffix":""},{"dropping-particle":"","family":"Chen","given":"Zhao","non-dropping-particle":"","parse-names":false,"suffix":""},{"dropping-particle":"","family":"Zhou","given":"Yan","non-dropping-particle":"","parse-names":false,"suffix":""},{"dropping-particle":"","family":"Hammoudi","given":"Naima","non-dropping-particle":"","parse-names":false,"suffix":""},{"dropping-particle":"","family":"Kang","given":"Ying","non-dropping-particle":"","parse-names":false,"suffix":""},{"dropping-particle":"","family":"Lou","given":"Changgang","non-dropping-particle":"","parse-names":false,"suffix":""},{"dropping-particle":"","family":"Mei","given":"Yan","non-dropping-particle":"","parse-names":false,"suffix":""},{"dropping-particle":"","family":"Jin","given":"Zhendong","non-dropping-particle":"","parse-names":false,"suffix":""},{"dropping-particle":"","family":"Huang","given":"Peng","non-dropping-particle":"","parse-names":false,"suffix":""}],"container-title":"Journal of Biological Chemistry","id":"ITEM-4","issue":"5","issued":{"date-parts":[["2013","2","1"]]},"page":"3240-3250","title":"Effective killing of leukemia cells by the natural product OSW-1 through disruption of cellular calcium homeostasis","type":"article-journal","volume":"288"},"uris":["http://www.mendeley.com/documents/?uuid=cc0a9126-34f4-44d0-9c6a-6be26fc49bd6"]},{"id":"ITEM-5","itemData":{"DOI":"10.1016/j.cellsig.2010.05.022","ISBN":"1873-3913 (Electronic)\\r0898-6568 (Linking)","ISSN":"08986568","PMID":"20570726","abstract":"Sphingosine kinase 1 (SK1) is an enzyme that catalyses the phosphorylation of sphingosine to produce the bioactive lipid sphingosine 1-phosphate (S1P). We demonstrate here that FTY720 (Fingolimod™) and (S)-FTY720 vinylphosphonate are novel inhibitors of SK1 catalytic activity and induce the proteasomal degradation of this enzyme in human pulmonary artery smooth muscle cells, MCF-7 breast cancer cells and androgen-independent LNCaP-AI prostate cancer cells. Proteasomal degradation of SK1 in response to FTY720 and (S)-FTY720 vinylphosphonate is associated with the down-regulation of the androgen receptor in LNCaP-AI cells. (S)-FTY720 vinylphosphonate also induces the apoptosis of these cells. These findings indicate that SK1 is involved in protecting LNCaP-AI from apoptosis. This protection might be mediated by so-called 'inside-out' signalling by S1P, as LNCaP-AI cells exhibit increased expression of S1P2/3receptors and reduced lipid phosphate phosphatase expression (compared with androgen-sensitive LNCaP cells) thereby potentially increasing the bioavailability of S1P at S1P2/3receptors. © 2010 Elsevier Inc.","author":[{"dropping-particle":"","family":"Tonelli","given":"Francesca","non-dropping-particle":"","parse-names":false,"suffix":""},{"dropping-particle":"","family":"Lim","given":"Keng Gat","non-dropping-particle":"","parse-names":false,"suffix":""},{"dropping-particle":"","family":"Loveridge","given":"Carolyn","non-dropping-particle":"","parse-names":false,"suffix":""},{"dropping-particle":"","family":"Long","given":"Jaclyn","non-dropping-particle":"","parse-names":false,"suffix":""},{"dropping-particle":"","family":"Pitson","given":"Stuart M.","non-dropping-particle":"","parse-names":false,"suffix":""},{"dropping-particle":"","family":"Tigyi","given":"Gabor","non-dropping-particle":"","parse-names":false,"suffix":""},{"dropping-particle":"","family":"Bittman","given":"Robert","non-dropping-particle":"","parse-names":false,"suffix":""},{"dropping-particle":"","family":"Pyne","given":"Susan","non-dropping-particle":"","parse-names":false,"suffix":""},{"dropping-particle":"","family":"Pyne","given":"Nigel J.","non-dropping-particle":"","parse-names":false,"suffix":""}],"container-title":"Cellular Signalling","id":"ITEM-5","issue":"10","issued":{"date-parts":[["2010"]]},"page":"1536-1542","publisher":"Elsevier Inc.","title":"FTY720 and (S)-FTY720 vinylphosphonate inhibit sphingosine kinase 1 and promote its proteasomal degradation in human pulmonary artery smooth muscle, breast cancer and androgen-independent prostate cancer cells","type":"article-journal","volume":"22"},"uris":["http://www.mendeley.com/documents/?uuid=ae2860b8-590e-4cec-b5f1-7696703316f0"]},{"id":"ITEM-6","itemData":{"DOI":"10.1074/jbc.M610318200","ISBN":"0021-9258 (Print)\\r0021-9258 (Linking)","ISSN":"00219258","PMID":"17237497","abstract":"Sphingosine 1-phosphate (S1P), a multifunctional lipid mediator, regulates lymphocyte trafficking, vascular permeability, and angiogenesis by activation of the S1P1 receptor. This receptor is activated by FTY720-P, a phosphorylated derivative of the immunosuppressant and vasoactive compound FTY720. However, in contrast to the natural ligand S1P, FTY720-P appears to act as a functional antagonist, even though the mechanisms involved are poorly understood. In this study, we investigated the fate of endogenously expressed S1P1 receptor in agonist-activated human umbilical vein endothelial cells and human embryonic kidney 293 cells expressing green fluorescent protein-tagged S1P1. We show that FTY720-P is more potent than S1P at inducing receptor degradation. Pretreatment with an antagonist of S1P1, VPC 44116, prevented receptor internalization and degradation. FTY720-P did not induce degradation of internalization-deficient S1P1 receptor mutants. Further, small interfering RNA-mediated down-regulation of G protein-coupled receptor kinase-2 and beta-arrestins abolished FTY720-P-induced S1P1 receptor degradation. These data suggest that agonist-induced phosphorylation of S1P1 and subsequent endocytosis are required for FTY720-P-induced degradation of the receptor. S1P1 degradation is blocked by MG132, a proteasomal inhibitor. Indeed, FTY720-P strongly induced polyubiquitinylation of S1P1 receptor, whereas S1P at concentrations that induced complete internalization was not as efficient, suggesting that receptor internalization is required but not sufficient for ubiquitinylation and degradation. We propose that the ability of FTY720-P to target the S1P1 receptor to the ubiquitinylation and proteasomal degradation pathway may at least in part underlie its immunosuppressive and anti-angiogenic properties.","author":[{"dropping-particle":"","family":"Myat","given":"Lin Oo","non-dropping-particle":"","parse-names":false,"suffix":""},{"dropping-particle":"","family":"Thangada","given":"Shobha","non-dropping-particle":"","parse-names":false,"suffix":""},{"dropping-particle":"","family":"Wu","given":"Ming Tao","non-dropping-particle":"","parse-names":false,"suffix":""},{"dropping-particle":"","family":"Liu","given":"Catherine H.","non-dropping-particle":"","parse-names":false,"suffix":""},{"dropping-particle":"","family":"Macdonald","given":"Timothy L.","non-dropping-particle":"","parse-names":false,"suffix":""},{"dropping-particle":"","family":"Lynch","given":"Kevin R.","non-dropping-particle":"","parse-names":false,"suffix":""},{"dropping-particle":"","family":"Lin","given":"Chen Yong","non-dropping-particle":"","parse-names":false,"suffix":""},{"dropping-particle":"","family":"Hla","given":"Timothy","non-dropping-particle":"","parse-names":false,"suffix":""}],"container-title":"Journal of Biological Chemistry","id":"ITEM-6","issue":"12","issued":{"date-parts":[["2007"]]},"page":"9082-9089","title":"Immunosuppressive and anti-angiogenic sphingosine 1-phosphate receptor-1 agonists induce ubiquitinylation and proteasomal degradation of the receptor","type":"article-journal","volume":"282"},"uris":["http://www.mendeley.com/documents/?uuid=a6e09faa-7e09-4beb-89c8-144a0f0fc571"]},{"id":"ITEM-7","itemData":{"DOI":"10.1016/S1074-5521(01)00015-1","ISBN":"1074-5521 (Print) 1074-5521 (Linking)","ISSN":"10745521","PMID":"11306353","abstract":"Background: The Hsp90s contain a conserved pocket that binds ATP/ADP and plays an important role in the regulation of chaperone function. Occupancy of this pocket by several natural products (geldanamycin (GM) and radicicol) alters Hsp90 function and results in the degradation of a subset of proteins (i.e. steroid receptors, Her2, Raf). We have used the structural features of this pocket to design a small molecule inhibitor of Hsp90. Results: The designed small molecule PU3 competes with GM for Hsp90 binding with a relative affinity of 15-20 μM. PU3 induces degradation of proteins, including Her2, in a manner similar to GM. Furthermore, PU3 inhibits the growth of breast cancer cells causing retinoblastoma protein hypophosphorylation, G1 arrest and differentiation. Conclusions: PU3 is representative of a novel class of synthetic compounds that binds to Hsp90 and inhibits the proliferation of cancer cells. These reagents could provide a new strategy for the treatment of cancers. © 2001 Elsevier Science Ltd.","author":[{"dropping-particle":"","family":"Chiosis","given":"Gabriela","non-dropping-particle":"","parse-names":false,"suffix":""},{"dropping-particle":"","family":"Timaul","given":"Merna N.","non-dropping-particle":"","parse-names":false,"suffix":""},{"dropping-particle":"","family":"Lucas","given":"Brian","non-dropping-particle":"","parse-names":false,"suffix":""},{"dropping-particle":"","family":"Munster","given":"Pamela N.","non-dropping-particle":"","parse-names":false,"suffix":""},{"dropping-particle":"","family":"Zheng","given":"Fuzhong F.","non-dropping-particle":"","parse-names":false,"suffix":""},{"dropping-particle":"","family":"Sepp-Lorenzino","given":"Laura","non-dropping-particle":"","parse-names":false,"suffix":""},{"dropping-particle":"","family":"Rosen","given":"Neal","non-dropping-particle":"","parse-names":false,"suffix":""}],"container-title":"Chemistry and Biology","id":"ITEM-7","issue":"3","issued":{"date-parts":[["2001"]]},"page":"289-299","title":"A small molecule designed to bind to the adenine nucleotide pocket of Hsp90 causes Her2 degradation and the growth arrest and differentiation of breast cancer cells","type":"article-journal","volume":"8"},"uris":["http://www.mendeley.com/documents/?uuid=e74ea602-8bd2-44c1-8757-32f9aa8e2a3e"]}],"mendeley":{"formattedCitation":"(46, 130, 179–183)","plainTextFormattedCitation":"(46, 130, 179–183)","previouslyFormattedCitation":"(46, 130, 179–183)"},"properties":{"noteIndex":0},"schema":"https://github.com/citation-style-language/schema/raw/master/csl-citation.json"}</w:instrText>
      </w:r>
      <w:r>
        <w:rPr>
          <w:szCs w:val="28"/>
        </w:rPr>
        <w:fldChar w:fldCharType="separate"/>
      </w:r>
      <w:r w:rsidR="005D2ADA" w:rsidRPr="005D2ADA">
        <w:rPr>
          <w:noProof/>
          <w:szCs w:val="28"/>
        </w:rPr>
        <w:t>(46, 130, 179–183)</w:t>
      </w:r>
      <w:r>
        <w:rPr>
          <w:szCs w:val="28"/>
        </w:rPr>
        <w:fldChar w:fldCharType="end"/>
      </w:r>
      <w:r>
        <w:rPr>
          <w:szCs w:val="28"/>
        </w:rPr>
        <w:t>.</w:t>
      </w:r>
      <w:r w:rsidR="00595DFF">
        <w:rPr>
          <w:szCs w:val="28"/>
        </w:rPr>
        <w:t xml:space="preserve"> </w:t>
      </w:r>
      <w:r w:rsidR="00F51EDC">
        <w:rPr>
          <w:szCs w:val="28"/>
        </w:rPr>
        <w:t>Small molecule</w:t>
      </w:r>
      <w:r w:rsidR="00595DFF">
        <w:rPr>
          <w:szCs w:val="28"/>
        </w:rPr>
        <w:t xml:space="preserve"> </w:t>
      </w:r>
      <w:r w:rsidR="00F51EDC">
        <w:rPr>
          <w:szCs w:val="28"/>
        </w:rPr>
        <w:t xml:space="preserve">binding </w:t>
      </w:r>
      <w:r w:rsidR="00595DFF">
        <w:rPr>
          <w:szCs w:val="28"/>
        </w:rPr>
        <w:t xml:space="preserve">to the </w:t>
      </w:r>
      <w:r w:rsidR="00F51EDC">
        <w:rPr>
          <w:szCs w:val="28"/>
        </w:rPr>
        <w:t xml:space="preserve">Hsp90 family of chaperone proteins </w:t>
      </w:r>
      <w:r w:rsidR="00595DFF">
        <w:rPr>
          <w:szCs w:val="28"/>
        </w:rPr>
        <w:t xml:space="preserve">leads to degradation of various </w:t>
      </w:r>
      <w:r w:rsidR="00F51EDC">
        <w:rPr>
          <w:szCs w:val="28"/>
        </w:rPr>
        <w:t>proteins</w:t>
      </w:r>
      <w:r w:rsidR="00595DFF">
        <w:rPr>
          <w:szCs w:val="28"/>
        </w:rPr>
        <w:t xml:space="preserve"> due to their inability to fold properly</w:t>
      </w:r>
      <w:r w:rsidR="00F51EDC">
        <w:rPr>
          <w:szCs w:val="28"/>
        </w:rPr>
        <w:t xml:space="preserve">, including </w:t>
      </w:r>
      <w:r w:rsidR="00644A7E">
        <w:rPr>
          <w:szCs w:val="28"/>
        </w:rPr>
        <w:t>signaling proteins</w:t>
      </w:r>
      <w:r w:rsidR="00F51EDC">
        <w:rPr>
          <w:szCs w:val="28"/>
        </w:rPr>
        <w:t xml:space="preserve"> </w:t>
      </w:r>
      <w:r w:rsidR="00595DFF">
        <w:rPr>
          <w:szCs w:val="28"/>
        </w:rPr>
        <w:fldChar w:fldCharType="begin" w:fldLock="1"/>
      </w:r>
      <w:r w:rsidR="00F51EDC">
        <w:rPr>
          <w:szCs w:val="28"/>
        </w:rPr>
        <w:instrText>ADDIN CSL_CITATION {"citationItems":[{"id":"ITEM-1","itemData":{"DOI":"10.1016/S1074-5521(01)00015-1","ISBN":"1074-5521 (Print) 1074-5521 (Linking)","ISSN":"10745521","PMID":"11306353","abstract":"Background: The Hsp90s contain a conserved pocket that binds ATP/ADP and plays an important role in the regulation of chaperone function. Occupancy of this pocket by several natural products (geldanamycin (GM) and radicicol) alters Hsp90 function and results in the degradation of a subset of proteins (i.e. steroid receptors, Her2, Raf). We have used the structural features of this pocket to design a small molecule inhibitor of Hsp90. Results: The designed small molecule PU3 competes with GM for Hsp90 binding with a relative affinity of 15-20 μM. PU3 induces degradation of proteins, including Her2, in a manner similar to GM. Furthermore, PU3 inhibits the growth of breast cancer cells causing retinoblastoma protein hypophosphorylation, G1 arrest and differentiation. Conclusions: PU3 is representative of a novel class of synthetic compounds that binds to Hsp90 and inhibits the proliferation of cancer cells. These reagents could provide a new strategy for the treatment of cancers. © 2001 Elsevier Science Ltd.","author":[{"dropping-particle":"","family":"Chiosis","given":"Gabriela","non-dropping-particle":"","parse-names":false,"suffix":""},{"dropping-particle":"","family":"Timaul","given":"Merna N.","non-dropping-particle":"","parse-names":false,"suffix":""},{"dropping-particle":"","family":"Lucas","given":"Brian","non-dropping-particle":"","parse-names":false,"suffix":""},{"dropping-particle":"","family":"Munster","given":"Pamela N.","non-dropping-particle":"","parse-names":false,"suffix":""},{"dropping-particle":"","family":"Zheng","given":"Fuzhong F.","non-dropping-particle":"","parse-names":false,"suffix":""},{"dropping-particle":"","family":"Sepp-Lorenzino","given":"Laura","non-dropping-particle":"","parse-names":false,"suffix":""},{"dropping-particle":"","family":"Rosen","given":"Neal","non-dropping-particle":"","parse-names":false,"suffix":""}],"container-title":"Chemistry and Biology","id":"ITEM-1","issue":"3","issued":{"date-parts":[["2001"]]},"page":"289-299","title":"A small molecule designed to bind to the adenine nucleotide pocket of Hsp90 causes Her2 degradation and the growth arrest and differentiation of breast cancer cells","type":"article-journal","volume":"8"},"uris":["http://www.mendeley.com/documents/?uuid=e74ea602-8bd2-44c1-8757-32f9aa8e2a3e"]}],"mendeley":{"formattedCitation":"(183)","plainTextFormattedCitation":"(183)","previouslyFormattedCitation":"(183)"},"properties":{"noteIndex":0},"schema":"https://github.com/citation-style-language/schema/raw/master/csl-citation.json"}</w:instrText>
      </w:r>
      <w:r w:rsidR="00595DFF">
        <w:rPr>
          <w:szCs w:val="28"/>
        </w:rPr>
        <w:fldChar w:fldCharType="separate"/>
      </w:r>
      <w:r w:rsidRPr="005F35B5">
        <w:rPr>
          <w:noProof/>
          <w:szCs w:val="28"/>
        </w:rPr>
        <w:t>(183)</w:t>
      </w:r>
      <w:r w:rsidR="00595DFF">
        <w:rPr>
          <w:szCs w:val="28"/>
        </w:rPr>
        <w:fldChar w:fldCharType="end"/>
      </w:r>
      <w:r w:rsidR="00595DFF">
        <w:rPr>
          <w:szCs w:val="28"/>
        </w:rPr>
        <w:t xml:space="preserve">. </w:t>
      </w:r>
      <w:r w:rsidR="00000ED4" w:rsidRPr="00000ED4">
        <w:rPr>
          <w:szCs w:val="28"/>
        </w:rPr>
        <w:t>Small</w:t>
      </w:r>
      <w:r w:rsidR="00EB2789">
        <w:rPr>
          <w:szCs w:val="28"/>
        </w:rPr>
        <w:t xml:space="preserve"> molecule binding of targets that</w:t>
      </w:r>
      <w:r w:rsidR="00000ED4" w:rsidRPr="00000ED4">
        <w:rPr>
          <w:szCs w:val="28"/>
        </w:rPr>
        <w:t xml:space="preserve"> induce</w:t>
      </w:r>
      <w:r w:rsidR="00644A7E">
        <w:rPr>
          <w:szCs w:val="28"/>
        </w:rPr>
        <w:t xml:space="preserve"> proteasomal degradation of that specific </w:t>
      </w:r>
      <w:r w:rsidR="00000ED4" w:rsidRPr="00000ED4">
        <w:rPr>
          <w:szCs w:val="28"/>
        </w:rPr>
        <w:t>target</w:t>
      </w:r>
      <w:r w:rsidR="00EB2789">
        <w:rPr>
          <w:szCs w:val="28"/>
        </w:rPr>
        <w:t xml:space="preserve"> usually target enzymes or receptors</w:t>
      </w:r>
      <w:r w:rsidR="00000ED4" w:rsidRPr="00000ED4">
        <w:rPr>
          <w:szCs w:val="28"/>
        </w:rPr>
        <w:t>.</w:t>
      </w:r>
      <w:r w:rsidR="00000ED4">
        <w:rPr>
          <w:szCs w:val="28"/>
        </w:rPr>
        <w:t xml:space="preserve"> </w:t>
      </w:r>
      <w:r w:rsidR="00F51EDC">
        <w:rPr>
          <w:szCs w:val="28"/>
        </w:rPr>
        <w:t xml:space="preserve">The FTY720 </w:t>
      </w:r>
      <w:r w:rsidR="00EB2789">
        <w:rPr>
          <w:szCs w:val="28"/>
        </w:rPr>
        <w:t xml:space="preserve">small molecule </w:t>
      </w:r>
      <w:r w:rsidR="00F51EDC">
        <w:rPr>
          <w:szCs w:val="28"/>
        </w:rPr>
        <w:t>compound both inhibits and induces the proteasomal degradation of</w:t>
      </w:r>
      <w:r w:rsidR="00000ED4">
        <w:rPr>
          <w:szCs w:val="28"/>
        </w:rPr>
        <w:t xml:space="preserve"> sphingosine kinase 1 (SK1)</w:t>
      </w:r>
      <w:r w:rsidR="00F51EDC">
        <w:rPr>
          <w:szCs w:val="28"/>
        </w:rPr>
        <w:fldChar w:fldCharType="begin" w:fldLock="1"/>
      </w:r>
      <w:r w:rsidR="00F51EDC">
        <w:rPr>
          <w:szCs w:val="28"/>
        </w:rPr>
        <w:instrText>ADDIN CSL_CITATION {"citationItems":[{"id":"ITEM-1","itemData":{"DOI":"10.1016/j.cellsig.2010.05.022","ISBN":"1873-3913 (Electronic)\\r0898-6568 (Linking)","ISSN":"08986568","PMID":"20570726","abstract":"Sphingosine kinase 1 (SK1) is an enzyme that catalyses the phosphorylation of sphingosine to produce the bioactive lipid sphingosine 1-phosphate (S1P). We demonstrate here that FTY720 (Fingolimod™) and (S)-FTY720 vinylphosphonate are novel inhibitors of SK1 catalytic activity and induce the proteasomal degradation of this enzyme in human pulmonary artery smooth muscle cells, MCF-7 breast cancer cells and androgen-independent LNCaP-AI prostate cancer cells. Proteasomal degradation of SK1 in response to FTY720 and (S)-FTY720 vinylphosphonate is associated with the down-regulation of the androgen receptor in LNCaP-AI cells. (S)-FTY720 vinylphosphonate also induces the apoptosis of these cells. These findings indicate that SK1 is involved in protecting LNCaP-AI from apoptosis. This protection might be mediated by so-called 'inside-out' signalling by S1P, as LNCaP-AI cells exhibit increased expression of S1P2/3receptors and reduced lipid phosphate phosphatase expression (compared with androgen-sensitive LNCaP cells) thereby potentially increasing the bioavailability of S1P at S1P2/3receptors. © 2010 Elsevier Inc.","author":[{"dropping-particle":"","family":"Tonelli","given":"Francesca","non-dropping-particle":"","parse-names":false,"suffix":""},{"dropping-particle":"","family":"Lim","given":"Keng Gat","non-dropping-particle":"","parse-names":false,"suffix":""},{"dropping-particle":"","family":"Loveridge","given":"Carolyn","non-dropping-particle":"","parse-names":false,"suffix":""},{"dropping-particle":"","family":"Long","given":"Jaclyn","non-dropping-particle":"","parse-names":false,"suffix":""},{"dropping-particle":"","family":"Pitson","given":"Stuart M.","non-dropping-particle":"","parse-names":false,"suffix":""},{"dropping-particle":"","family":"Tigyi","given":"Gabor","non-dropping-particle":"","parse-names":false,"suffix":""},{"dropping-particle":"","family":"Bittman","given":"Robert","non-dropping-particle":"","parse-names":false,"suffix":""},{"dropping-particle":"","family":"Pyne","given":"Susan","non-dropping-particle":"","parse-names":false,"suffix":""},{"dropping-particle":"","family":"Pyne","given":"Nigel J.","non-dropping-particle":"","parse-names":false,"suffix":""}],"container-title":"Cellular Signalling","id":"ITEM-1","issue":"10","issued":{"date-parts":[["2010"]]},"page":"1536-1542","publisher":"Elsevier Inc.","title":"FTY720 and (S)-FTY720 vinylphosphonate inhibit sphingosine kinase 1 and promote its proteasomal degradation in human pulmonary artery smooth muscle, breast cancer and androgen-independent prostate cancer cells","type":"article-journal","volume":"22"},"uris":["http://www.mendeley.com/documents/?uuid=ae2860b8-590e-4cec-b5f1-7696703316f0"]},{"id":"ITEM-2","itemData":{"DOI":"10.1074/jbc.M610318200","ISBN":"0021-9258 (Print)\\r0021-9258 (Linking)","ISSN":"00219258","PMID":"17237497","abstract":"Sphingosine 1-phosphate (S1P), a multifunctional lipid mediator, regulates lymphocyte trafficking, vascular permeability, and angiogenesis by activation of the S1P1 receptor. This receptor is activated by FTY720-P, a phosphorylated derivative of the immunosuppressant and vasoactive compound FTY720. However, in contrast to the natural ligand S1P, FTY720-P appears to act as a functional antagonist, even though the mechanisms involved are poorly understood. In this study, we investigated the fate of endogenously expressed S1P1 receptor in agonist-activated human umbilical vein endothelial cells and human embryonic kidney 293 cells expressing green fluorescent protein-tagged S1P1. We show that FTY720-P is more potent than S1P at inducing receptor degradation. Pretreatment with an antagonist of S1P1, VPC 44116, prevented receptor internalization and degradation. FTY720-P did not induce degradation of internalization-deficient S1P1 receptor mutants. Further, small interfering RNA-mediated down-regulation of G protein-coupled receptor kinase-2 and beta-arrestins abolished FTY720-P-induced S1P1 receptor degradation. These data suggest that agonist-induced phosphorylation of S1P1 and subsequent endocytosis are required for FTY720-P-induced degradation of the receptor. S1P1 degradation is blocked by MG132, a proteasomal inhibitor. Indeed, FTY720-P strongly induced polyubiquitinylation of S1P1 receptor, whereas S1P at concentrations that induced complete internalization was not as efficient, suggesting that receptor internalization is required but not sufficient for ubiquitinylation and degradation. We propose that the ability of FTY720-P to target the S1P1 receptor to the ubiquitinylation and proteasomal degradation pathway may at least in part underlie its immunosuppressive and anti-angiogenic properties.","author":[{"dropping-particle":"","family":"Myat","given":"Lin Oo","non-dropping-particle":"","parse-names":false,"suffix":""},{"dropping-particle":"","family":"Thangada","given":"Shobha","non-dropping-particle":"","parse-names":false,"suffix":""},{"dropping-particle":"","family":"Wu","given":"Ming Tao","non-dropping-particle":"","parse-names":false,"suffix":""},{"dropping-particle":"","family":"Liu","given":"Catherine H.","non-dropping-particle":"","parse-names":false,"suffix":""},{"dropping-particle":"","family":"Macdonald","given":"Timothy L.","non-dropping-particle":"","parse-names":false,"suffix":""},{"dropping-particle":"","family":"Lynch","given":"Kevin R.","non-dropping-particle":"","parse-names":false,"suffix":""},{"dropping-particle":"","family":"Lin","given":"Chen Yong","non-dropping-particle":"","parse-names":false,"suffix":""},{"dropping-particle":"","family":"Hla","given":"Timothy","non-dropping-particle":"","parse-names":false,"suffix":""}],"container-title":"Journal of Biological Chemistry","id":"ITEM-2","issue":"12","issued":{"date-parts":[["2007"]]},"page":"9082-9089","title":"Immunosuppressive and anti-angiogenic sphingosine 1-phosphate receptor-1 agonists induce ubiquitinylation and proteasomal degradation of the receptor","type":"article-journal","volume":"282"},"uris":["http://www.mendeley.com/documents/?uuid=a6e09faa-7e09-4beb-89c8-144a0f0fc571"]}],"mendeley":{"formattedCitation":"(181, 182)","plainTextFormattedCitation":"(181, 182)","previouslyFormattedCitation":"(181, 182)"},"properties":{"noteIndex":0},"schema":"https://github.com/citation-style-language/schema/raw/master/csl-citation.json"}</w:instrText>
      </w:r>
      <w:r w:rsidR="00F51EDC">
        <w:rPr>
          <w:szCs w:val="28"/>
        </w:rPr>
        <w:fldChar w:fldCharType="separate"/>
      </w:r>
      <w:r w:rsidR="00F51EDC" w:rsidRPr="00F51EDC">
        <w:rPr>
          <w:noProof/>
          <w:szCs w:val="28"/>
        </w:rPr>
        <w:t>(181, 182)</w:t>
      </w:r>
      <w:r w:rsidR="00F51EDC">
        <w:rPr>
          <w:szCs w:val="28"/>
        </w:rPr>
        <w:fldChar w:fldCharType="end"/>
      </w:r>
      <w:r w:rsidR="00000ED4">
        <w:rPr>
          <w:szCs w:val="28"/>
        </w:rPr>
        <w:t>.</w:t>
      </w:r>
      <w:r w:rsidR="00595DFF">
        <w:rPr>
          <w:szCs w:val="28"/>
        </w:rPr>
        <w:t xml:space="preserve"> </w:t>
      </w:r>
      <w:r w:rsidR="00F51EDC">
        <w:rPr>
          <w:szCs w:val="28"/>
        </w:rPr>
        <w:t>C</w:t>
      </w:r>
      <w:r w:rsidR="00B95BF1">
        <w:rPr>
          <w:szCs w:val="28"/>
        </w:rPr>
        <w:t xml:space="preserve">himeric </w:t>
      </w:r>
      <w:r w:rsidR="00595DFF">
        <w:rPr>
          <w:szCs w:val="28"/>
        </w:rPr>
        <w:t xml:space="preserve">small molecules </w:t>
      </w:r>
      <w:r w:rsidR="00F51EDC">
        <w:rPr>
          <w:szCs w:val="28"/>
        </w:rPr>
        <w:t xml:space="preserve">have been developed </w:t>
      </w:r>
      <w:r w:rsidR="00595DFF">
        <w:rPr>
          <w:szCs w:val="28"/>
        </w:rPr>
        <w:t>that</w:t>
      </w:r>
      <w:r w:rsidR="00F51EDC">
        <w:rPr>
          <w:szCs w:val="28"/>
        </w:rPr>
        <w:t xml:space="preserve"> are capable of inducing the proteasomal</w:t>
      </w:r>
      <w:r w:rsidR="00595DFF">
        <w:rPr>
          <w:szCs w:val="28"/>
        </w:rPr>
        <w:t xml:space="preserve"> degradation of </w:t>
      </w:r>
      <w:r w:rsidR="00F51EDC">
        <w:rPr>
          <w:szCs w:val="28"/>
        </w:rPr>
        <w:t>select</w:t>
      </w:r>
      <w:r w:rsidR="00595DFF">
        <w:rPr>
          <w:szCs w:val="28"/>
        </w:rPr>
        <w:t xml:space="preserve"> </w:t>
      </w:r>
      <w:r w:rsidR="00B95BF1">
        <w:rPr>
          <w:szCs w:val="28"/>
        </w:rPr>
        <w:t>targets</w:t>
      </w:r>
      <w:r w:rsidR="00F51EDC">
        <w:rPr>
          <w:szCs w:val="28"/>
        </w:rPr>
        <w:fldChar w:fldCharType="begin" w:fldLock="1"/>
      </w:r>
      <w:r w:rsidR="00F51EDC">
        <w:rPr>
          <w:szCs w:val="28"/>
        </w:rPr>
        <w:instrText>ADDIN CSL_CITATION {"citationItems":[{"id":"ITEM-1","itemData":{"DOI":"10.1016/J.BMCL.2008.07.114","ISSN":"0960-894X","abstract":"We have developed a heterobifunctional all-small molecule PROTAC (PROteolysis TArgeting Chimera) capable of inducing proteasomal degradation of the androgen receptor. This cell permeable PROTAC consists of a non-steroidal androgen receptor ligand (SARM) and the MDM2 ligand known as nutlin, connected by a PEG-based linker. The SARM–nutlin PROTAC recruits the androgen receptor to MDM2, which functions as an E3 ubiquitin ligase. This leads to the ubiquitination of the androgen receptor, and its subsequent degradation by the proteasome. Upon treatment of HeLa cells with 10μM PROTAC for 7h, we were able to observe a decrease in androgen receptor levels. This degradation is proteasome dependent, as it is mitigated in cells pre-treated with 10μM epoxomicin, a specific proteasome inhibitor. These results have implications for the potential study and treatment of various cancers with increased androgen receptor levels.","author":[{"dropping-particle":"","family":"Schneekloth","given":"Ashley R.","non-dropping-particle":"","parse-names":false,"suffix":""},{"dropping-particle":"","family":"Pucheault","given":"Mathieu","non-dropping-particle":"","parse-names":false,"suffix":""},{"dropping-particle":"","family":"Tae","given":"Hyun Seop","non-dropping-particle":"","parse-names":false,"suffix":""},{"dropping-particle":"","family":"Crews","given":"Craig M.","non-dropping-particle":"","parse-names":false,"suffix":""}],"container-title":"Bioorganic &amp; Medicinal Chemistry Letters","id":"ITEM-1","issue":"22","issued":{"date-parts":[["2008","11","15"]]},"page":"5904-5908","publisher":"Pergamon","title":"Targeted intracellular protein degradation induced by a small molecule: En route to chemical proteomics","type":"article-journal","volume":"18"},"uris":["http://www.mendeley.com/documents/?uuid=fb2f59a9-6a33-3e43-b4d8-d3bc570c9b21"]},{"id":"ITEM-2","itemData":{"DOI":"10.1038/nchembio.1858","ISSN":"1552-4450","abstract":"The use of a high-affinity VHL ligand allows the development of chimeric molecules that promote the association of ERRα or RIPK2 with the VHL E3 ubiquitin ligase complex, resulting in protein degradation.","author":[{"dropping-particle":"","family":"Bondeson","given":"Daniel P","non-dropping-particle":"","parse-names":false,"suffix":""},{"dropping-particle":"","family":"Mares","given":"Alina","non-dropping-particle":"","parse-names":false,"suffix":""},{"dropping-particle":"","family":"Smith","given":"Ian E D","non-dropping-particle":"","parse-names":false,"suffix":""},{"dropping-particle":"","family":"Ko","given":"Eunhwa","non-dropping-particle":"","parse-names":false,"suffix":""},{"dropping-particle":"","family":"Campos","given":"Sebastien","non-dropping-particle":"","parse-names":false,"suffix":""},{"dropping-particle":"","family":"Miah","given":"Afjal H","non-dropping-particle":"","parse-names":false,"suffix":""},{"dropping-particle":"","family":"Mulholland","given":"Katie E","non-dropping-particle":"","parse-names":false,"suffix":""},{"dropping-particle":"","family":"Routly","given":"Natasha","non-dropping-particle":"","parse-names":false,"suffix":""},{"dropping-particle":"","family":"Buckley","given":"Dennis L","non-dropping-particle":"","parse-names":false,"suffix":""},{"dropping-particle":"","family":"Gustafson","given":"Jeffrey L","non-dropping-particle":"","parse-names":false,"suffix":""},{"dropping-particle":"","family":"Zinn","given":"Nico","non-dropping-particle":"","parse-names":false,"suffix":""},{"dropping-particle":"","family":"Grandi","given":"Paola","non-dropping-particle":"","parse-names":false,"suffix":""},{"dropping-particle":"","family":"Shimamura","given":"Satoko","non-dropping-particle":"","parse-names":false,"suffix":""},{"dropping-particle":"","family":"Bergamini","given":"Giovanna","non-dropping-particle":"","parse-names":false,"suffix":""},{"dropping-particle":"","family":"Faelth-Savitski","given":"Maria","non-dropping-particle":"","parse-names":false,"suffix":""},{"dropping-particle":"","family":"Bantscheff","given":"Marcus","non-dropping-particle":"","parse-names":false,"suffix":""},{"dropping-particle":"","family":"Cox","given":"Carly","non-dropping-particle":"","parse-names":false,"suffix":""},{"dropping-particle":"","family":"Gordon","given":"Deborah A","non-dropping-particle":"","parse-names":false,"suffix":""},{"dropping-particle":"","family":"Willard","given":"Ryan R","non-dropping-particle":"","parse-names":false,"suffix":""},{"dropping-particle":"","family":"Flanagan","given":"John J","non-dropping-particle":"","parse-names":false,"suffix":""},{"dropping-particle":"","family":"Casillas","given":"Linda N","non-dropping-particle":"","parse-names":false,"suffix":""},{"dropping-particle":"","family":"Votta","given":"Bartholomew J","non-dropping-particle":"","parse-names":false,"suffix":""},{"dropping-particle":"","family":"Besten","given":"Willem","non-dropping-particle":"den","parse-names":false,"suffix":""},{"dropping-particle":"","family":"Famm","given":"Kristoffer","non-dropping-particle":"","parse-names":false,"suffix":""},{"dropping-particle":"","family":"Kruidenier","given":"Laurens","non-dropping-particle":"","parse-names":false,"suffix":""},{"dropping-particle":"","family":"Carter","given":"Paul S","non-dropping-particle":"","parse-names":false,"suffix":""},{"dropping-particle":"","family":"Harling","given":"John D","non-dropping-particle":"","parse-names":false,"suffix":""},{"dropping-particle":"","family":"Churcher","given":"Ian","non-dropping-particle":"","parse-names":false,"suffix":""},{"dropping-particle":"","family":"Crews","given":"Craig M","non-dropping-particle":"","parse-names":false,"suffix":""}],"container-title":"Nature Chemical Biology","id":"ITEM-2","issue":"8","issued":{"date-parts":[["2015","8","10"]]},"page":"611-617","publisher":"Nature Publishing Group","title":"Catalytic in vivo protein knockdown by small-molecule PROTACs","type":"article-journal","volume":"11"},"uris":["http://www.mendeley.com/documents/?uuid=486e4d5a-fb27-3c68-9f3d-d58ef644ded0"]}],"mendeley":{"formattedCitation":"(179, 184)","plainTextFormattedCitation":"(179, 184)","previouslyFormattedCitation":"(179, 184)"},"properties":{"noteIndex":0},"schema":"https://github.com/citation-style-language/schema/raw/master/csl-citation.json"}</w:instrText>
      </w:r>
      <w:r w:rsidR="00F51EDC">
        <w:rPr>
          <w:szCs w:val="28"/>
        </w:rPr>
        <w:fldChar w:fldCharType="separate"/>
      </w:r>
      <w:r w:rsidR="00F51EDC" w:rsidRPr="005F35B5">
        <w:rPr>
          <w:noProof/>
          <w:szCs w:val="28"/>
        </w:rPr>
        <w:t>(179, 184)</w:t>
      </w:r>
      <w:r w:rsidR="00F51EDC">
        <w:rPr>
          <w:szCs w:val="28"/>
        </w:rPr>
        <w:fldChar w:fldCharType="end"/>
      </w:r>
      <w:r w:rsidR="00F51EDC">
        <w:rPr>
          <w:szCs w:val="28"/>
        </w:rPr>
        <w:t>.</w:t>
      </w:r>
      <w:r w:rsidR="00644A7E">
        <w:rPr>
          <w:szCs w:val="28"/>
        </w:rPr>
        <w:t xml:space="preserve"> </w:t>
      </w:r>
      <w:r w:rsidR="00F51EDC">
        <w:rPr>
          <w:szCs w:val="28"/>
        </w:rPr>
        <w:t xml:space="preserve">These compounds interact with the protein target but also contain a structural domains capable of recruiting </w:t>
      </w:r>
      <w:r w:rsidR="00B95BF1">
        <w:rPr>
          <w:szCs w:val="28"/>
        </w:rPr>
        <w:t>specific E3 ligase</w:t>
      </w:r>
      <w:r w:rsidR="00F51EDC">
        <w:rPr>
          <w:szCs w:val="28"/>
        </w:rPr>
        <w:t>s</w:t>
      </w:r>
      <w:r w:rsidR="00B95BF1">
        <w:rPr>
          <w:szCs w:val="28"/>
        </w:rPr>
        <w:t xml:space="preserve"> for polyubiquitination</w:t>
      </w:r>
      <w:r w:rsidR="00B95BF1">
        <w:rPr>
          <w:szCs w:val="28"/>
        </w:rPr>
        <w:fldChar w:fldCharType="begin" w:fldLock="1"/>
      </w:r>
      <w:r w:rsidR="00F51EDC">
        <w:rPr>
          <w:szCs w:val="28"/>
        </w:rPr>
        <w:instrText>ADDIN CSL_CITATION {"citationItems":[{"id":"ITEM-1","itemData":{"DOI":"10.1016/J.BMCL.2008.07.114","ISSN":"0960-894X","abstract":"We have developed a heterobifunctional all-small molecule PROTAC (PROteolysis TArgeting Chimera) capable of inducing proteasomal degradation of the androgen receptor. This cell permeable PROTAC consists of a non-steroidal androgen receptor ligand (SARM) and the MDM2 ligand known as nutlin, connected by a PEG-based linker. The SARM–nutlin PROTAC recruits the androgen receptor to MDM2, which functions as an E3 ubiquitin ligase. This leads to the ubiquitination of the androgen receptor, and its subsequent degradation by the proteasome. Upon treatment of HeLa cells with 10μM PROTAC for 7h, we were able to observe a decrease in androgen receptor levels. This degradation is proteasome dependent, as it is mitigated in cells pre-treated with 10μM epoxomicin, a specific proteasome inhibitor. These results have implications for the potential study and treatment of various cancers with increased androgen receptor levels.","author":[{"dropping-particle":"","family":"Schneekloth","given":"Ashley R.","non-dropping-particle":"","parse-names":false,"suffix":""},{"dropping-particle":"","family":"Pucheault","given":"Mathieu","non-dropping-particle":"","parse-names":false,"suffix":""},{"dropping-particle":"","family":"Tae","given":"Hyun Seop","non-dropping-particle":"","parse-names":false,"suffix":""},{"dropping-particle":"","family":"Crews","given":"Craig M.","non-dropping-particle":"","parse-names":false,"suffix":""}],"container-title":"Bioorganic &amp; Medicinal Chemistry Letters","id":"ITEM-1","issue":"22","issued":{"date-parts":[["2008","11","15"]]},"page":"5904-5908","publisher":"Pergamon","title":"Targeted intracellular protein degradation induced by a small molecule: En route to chemical proteomics","type":"article-journal","volume":"18"},"uris":["http://www.mendeley.com/documents/?uuid=fb2f59a9-6a33-3e43-b4d8-d3bc570c9b21"]},{"id":"ITEM-2","itemData":{"DOI":"10.1038/nchembio.1858","ISSN":"1552-4450","abstract":"The use of a high-affinity VHL ligand allows the development of chimeric molecules that promote the association of ERRα or RIPK2 with the VHL E3 ubiquitin ligase complex, resulting in protein degradation.","author":[{"dropping-particle":"","family":"Bondeson","given":"Daniel P","non-dropping-particle":"","parse-names":false,"suffix":""},{"dropping-particle":"","family":"Mares","given":"Alina","non-dropping-particle":"","parse-names":false,"suffix":""},{"dropping-particle":"","family":"Smith","given":"Ian E D","non-dropping-particle":"","parse-names":false,"suffix":""},{"dropping-particle":"","family":"Ko","given":"Eunhwa","non-dropping-particle":"","parse-names":false,"suffix":""},{"dropping-particle":"","family":"Campos","given":"Sebastien","non-dropping-particle":"","parse-names":false,"suffix":""},{"dropping-particle":"","family":"Miah","given":"Afjal H","non-dropping-particle":"","parse-names":false,"suffix":""},{"dropping-particle":"","family":"Mulholland","given":"Katie E","non-dropping-particle":"","parse-names":false,"suffix":""},{"dropping-particle":"","family":"Routly","given":"Natasha","non-dropping-particle":"","parse-names":false,"suffix":""},{"dropping-particle":"","family":"Buckley","given":"Dennis L","non-dropping-particle":"","parse-names":false,"suffix":""},{"dropping-particle":"","family":"Gustafson","given":"Jeffrey L","non-dropping-particle":"","parse-names":false,"suffix":""},{"dropping-particle":"","family":"Zinn","given":"Nico","non-dropping-particle":"","parse-names":false,"suffix":""},{"dropping-particle":"","family":"Grandi","given":"Paola","non-dropping-particle":"","parse-names":false,"suffix":""},{"dropping-particle":"","family":"Shimamura","given":"Satoko","non-dropping-particle":"","parse-names":false,"suffix":""},{"dropping-particle":"","family":"Bergamini","given":"Giovanna","non-dropping-particle":"","parse-names":false,"suffix":""},{"dropping-particle":"","family":"Faelth-Savitski","given":"Maria","non-dropping-particle":"","parse-names":false,"suffix":""},{"dropping-particle":"","family":"Bantscheff","given":"Marcus","non-dropping-particle":"","parse-names":false,"suffix":""},{"dropping-particle":"","family":"Cox","given":"Carly","non-dropping-particle":"","parse-names":false,"suffix":""},{"dropping-particle":"","family":"Gordon","given":"Deborah A","non-dropping-particle":"","parse-names":false,"suffix":""},{"dropping-particle":"","family":"Willard","given":"Ryan R","non-dropping-particle":"","parse-names":false,"suffix":""},{"dropping-particle":"","family":"Flanagan","given":"John J","non-dropping-particle":"","parse-names":false,"suffix":""},{"dropping-particle":"","family":"Casillas","given":"Linda N","non-dropping-particle":"","parse-names":false,"suffix":""},{"dropping-particle":"","family":"Votta","given":"Bartholomew J","non-dropping-particle":"","parse-names":false,"suffix":""},{"dropping-particle":"","family":"Besten","given":"Willem","non-dropping-particle":"den","parse-names":false,"suffix":""},{"dropping-particle":"","family":"Famm","given":"Kristoffer","non-dropping-particle":"","parse-names":false,"suffix":""},{"dropping-particle":"","family":"Kruidenier","given":"Laurens","non-dropping-particle":"","parse-names":false,"suffix":""},{"dropping-particle":"","family":"Carter","given":"Paul S","non-dropping-particle":"","parse-names":false,"suffix":""},{"dropping-particle":"","family":"Harling","given":"John D","non-dropping-particle":"","parse-names":false,"suffix":""},{"dropping-particle":"","family":"Churcher","given":"Ian","non-dropping-particle":"","parse-names":false,"suffix":""},{"dropping-particle":"","family":"Crews","given":"Craig M","non-dropping-particle":"","parse-names":false,"suffix":""}],"container-title":"Nature Chemical Biology","id":"ITEM-2","issue":"8","issued":{"date-parts":[["2015","8","10"]]},"page":"611-617","publisher":"Nature Publishing Group","title":"Catalytic in vivo protein knockdown by small-molecule PROTACs","type":"article-journal","volume":"11"},"uris":["http://www.mendeley.com/documents/?uuid=486e4d5a-fb27-3c68-9f3d-d58ef644ded0"]}],"mendeley":{"formattedCitation":"(179, 184)","plainTextFormattedCitation":"(179, 184)","previouslyFormattedCitation":"(179, 184)"},"properties":{"noteIndex":0},"schema":"https://github.com/citation-style-language/schema/raw/master/csl-citation.json"}</w:instrText>
      </w:r>
      <w:r w:rsidR="00B95BF1">
        <w:rPr>
          <w:szCs w:val="28"/>
        </w:rPr>
        <w:fldChar w:fldCharType="separate"/>
      </w:r>
      <w:r w:rsidRPr="005F35B5">
        <w:rPr>
          <w:noProof/>
          <w:szCs w:val="28"/>
        </w:rPr>
        <w:t>(179, 184)</w:t>
      </w:r>
      <w:r w:rsidR="00B95BF1">
        <w:rPr>
          <w:szCs w:val="28"/>
        </w:rPr>
        <w:fldChar w:fldCharType="end"/>
      </w:r>
      <w:r w:rsidR="00B95BF1">
        <w:rPr>
          <w:szCs w:val="28"/>
        </w:rPr>
        <w:t>.</w:t>
      </w:r>
      <w:r w:rsidR="00644A7E">
        <w:rPr>
          <w:szCs w:val="28"/>
        </w:rPr>
        <w:t xml:space="preserve"> The natural product compound OSW-1</w:t>
      </w:r>
      <w:r w:rsidR="00F51EDC">
        <w:rPr>
          <w:szCs w:val="28"/>
        </w:rPr>
        <w:t xml:space="preserve"> induces the proteasomal degradation of the OSBP protein</w:t>
      </w:r>
      <w:r w:rsidR="00F51EDC">
        <w:rPr>
          <w:szCs w:val="28"/>
        </w:rPr>
        <w:fldChar w:fldCharType="begin" w:fldLock="1"/>
      </w:r>
      <w:r w:rsidR="00C41AB3">
        <w:rPr>
          <w:szCs w:val="28"/>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rsidR="00F51EDC">
        <w:rPr>
          <w:szCs w:val="28"/>
        </w:rPr>
        <w:fldChar w:fldCharType="separate"/>
      </w:r>
      <w:r w:rsidR="00F51EDC" w:rsidRPr="00F51EDC">
        <w:rPr>
          <w:noProof/>
          <w:szCs w:val="28"/>
        </w:rPr>
        <w:t>(46)</w:t>
      </w:r>
      <w:r w:rsidR="00F51EDC">
        <w:rPr>
          <w:szCs w:val="28"/>
        </w:rPr>
        <w:fldChar w:fldCharType="end"/>
      </w:r>
      <w:r w:rsidR="00F51EDC">
        <w:rPr>
          <w:szCs w:val="28"/>
        </w:rPr>
        <w:t>. This</w:t>
      </w:r>
      <w:r w:rsidR="00644A7E">
        <w:rPr>
          <w:szCs w:val="28"/>
        </w:rPr>
        <w:t xml:space="preserve"> </w:t>
      </w:r>
      <w:r w:rsidR="00F51EDC">
        <w:rPr>
          <w:szCs w:val="28"/>
        </w:rPr>
        <w:t>is a</w:t>
      </w:r>
      <w:r w:rsidR="00644A7E">
        <w:rPr>
          <w:szCs w:val="28"/>
        </w:rPr>
        <w:t xml:space="preserve"> unique in</w:t>
      </w:r>
      <w:r w:rsidR="00F51EDC">
        <w:rPr>
          <w:szCs w:val="28"/>
        </w:rPr>
        <w:t>stance of a small molecule inducing the</w:t>
      </w:r>
      <w:r w:rsidR="00644A7E">
        <w:rPr>
          <w:szCs w:val="28"/>
        </w:rPr>
        <w:t xml:space="preserve"> proteasomal degradation of </w:t>
      </w:r>
      <w:r w:rsidR="00F51EDC">
        <w:rPr>
          <w:szCs w:val="28"/>
        </w:rPr>
        <w:t xml:space="preserve">a non-enzymatic </w:t>
      </w:r>
      <w:r w:rsidR="00644A7E">
        <w:rPr>
          <w:szCs w:val="28"/>
        </w:rPr>
        <w:t xml:space="preserve">receptor </w:t>
      </w:r>
      <w:r w:rsidR="00F51EDC">
        <w:rPr>
          <w:szCs w:val="28"/>
        </w:rPr>
        <w:t>through a direct interaction</w:t>
      </w:r>
      <w:r w:rsidR="00644A7E">
        <w:rPr>
          <w:szCs w:val="28"/>
        </w:rPr>
        <w:fldChar w:fldCharType="begin" w:fldLock="1"/>
      </w:r>
      <w:r w:rsidR="00393368">
        <w:rPr>
          <w:szCs w:val="28"/>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00644A7E">
        <w:rPr>
          <w:szCs w:val="28"/>
        </w:rPr>
        <w:fldChar w:fldCharType="separate"/>
      </w:r>
      <w:r w:rsidR="00393368" w:rsidRPr="00393368">
        <w:rPr>
          <w:noProof/>
          <w:szCs w:val="28"/>
        </w:rPr>
        <w:t>(46)</w:t>
      </w:r>
      <w:r w:rsidR="00644A7E">
        <w:rPr>
          <w:szCs w:val="28"/>
        </w:rPr>
        <w:fldChar w:fldCharType="end"/>
      </w:r>
      <w:r w:rsidR="00644A7E">
        <w:rPr>
          <w:szCs w:val="28"/>
        </w:rPr>
        <w:t>.</w:t>
      </w:r>
    </w:p>
    <w:p w:rsidR="00BB364B" w:rsidRDefault="00BB364B" w:rsidP="00042529">
      <w:pPr>
        <w:pStyle w:val="Heading3"/>
      </w:pPr>
      <w:bookmarkStart w:id="85" w:name="_Ref530244821"/>
      <w:bookmarkStart w:id="86" w:name="_Toc532553094"/>
      <w:r w:rsidRPr="00BB364B">
        <w:t>Autophagy</w:t>
      </w:r>
      <w:r>
        <w:t xml:space="preserve"> Overview</w:t>
      </w:r>
      <w:bookmarkEnd w:id="85"/>
      <w:bookmarkEnd w:id="86"/>
    </w:p>
    <w:p w:rsidR="00196EDB" w:rsidRDefault="00804220" w:rsidP="00FB099D">
      <w:pPr>
        <w:ind w:firstLine="720"/>
        <w:jc w:val="both"/>
      </w:pPr>
      <w:r>
        <w:t xml:space="preserve">Autophagy is a cellular mechanism that is designed for degradation and recycling </w:t>
      </w:r>
      <w:r w:rsidR="00C41AB3">
        <w:t>of cellular components</w:t>
      </w:r>
      <w:r w:rsidR="00C41AB3">
        <w:fldChar w:fldCharType="begin" w:fldLock="1"/>
      </w:r>
      <w:r w:rsidR="00C41AB3">
        <w:instrText>ADDIN CSL_CITATION {"citationItems":[{"id":"ITEM-1","itemData":{"DOI":"10.1016/j.ceb.2009.11.014","ISBN":"9781283222709","ISSN":"09550674","abstract":"The performance of the public services, from education and policing to health and recycling, is a matter of concern in many countries. Issues of public service efficiency, cost, and effectiveness have moved to the forefront of political debate. This book applies the latest thinking from Management and Organization Studies to the performance of public organizations in order to evaluate the merits of different mechanisms for driving improvement in the public sector. Research in Management and Organization Studies on the private sector has identified a number of 'drivers' of improved performance. Cover; Contents; List of Contributors; 1 Theories of Public Service Improvement: An Introduction; 2 Organizational Environments; 3 Regulation; 4 Strategic Planning; 5 Leadership; 6 Organizational Culture; 7 Human Resource Management; 8 Innovation; 9 Collaboration; 10 Organizational Learning; 11 Reflections on Theories of Public Service Improvement; Index.","author":[{"dropping-particle":"","family":"Yang","given":"Zhifen","non-dropping-particle":"","parse-names":false,"suffix":""},{"dropping-particle":"","family":"Klionsky","given":"Daniel J","non-dropping-particle":"","parse-names":false,"suffix":""}],"container-title":"Current Opinion in Cell Biology","id":"ITEM-1","issue":"2","issued":{"date-parts":[["2010","4"]]},"page":"124-131","title":"Mammalian autophagy: core molecular machinery and signaling regulation","type":"article-journal","volume":"22"},"uris":["http://www.mendeley.com/documents/?uuid=6705c23e-4773-4b0e-a587-03cba779d582"]}],"mendeley":{"formattedCitation":"(185)","plainTextFormattedCitation":"(185)","previouslyFormattedCitation":"(185)"},"properties":{"noteIndex":0},"schema":"https://github.com/citation-style-language/schema/raw/master/csl-citation.json"}</w:instrText>
      </w:r>
      <w:r w:rsidR="00C41AB3">
        <w:fldChar w:fldCharType="separate"/>
      </w:r>
      <w:r w:rsidR="00C41AB3" w:rsidRPr="005F35B5">
        <w:rPr>
          <w:noProof/>
        </w:rPr>
        <w:t>(185)</w:t>
      </w:r>
      <w:r w:rsidR="00C41AB3">
        <w:fldChar w:fldCharType="end"/>
      </w:r>
      <w:r w:rsidR="00C41AB3">
        <w:t xml:space="preserve">. Autophagy </w:t>
      </w:r>
      <w:r>
        <w:t xml:space="preserve">is </w:t>
      </w:r>
      <w:r w:rsidR="00C41AB3">
        <w:t xml:space="preserve">a </w:t>
      </w:r>
      <w:r>
        <w:t>highly conserved</w:t>
      </w:r>
      <w:r w:rsidR="00C41AB3">
        <w:t xml:space="preserve"> process in</w:t>
      </w:r>
      <w:r>
        <w:t xml:space="preserve"> eukaryotes which</w:t>
      </w:r>
      <w:r>
        <w:fldChar w:fldCharType="begin" w:fldLock="1"/>
      </w:r>
      <w:r w:rsidR="00F51EDC">
        <w:instrText>ADDIN CSL_CITATION {"citationItems":[{"id":"ITEM-1","itemData":{"DOI":"10.1016/j.ceb.2009.11.014","ISBN":"9781283222709","ISSN":"09550674","abstract":"The performance of the public services, from education and policing to health and recycling, is a matter of concern in many countries. Issues of public service efficiency, cost, and effectiveness have moved to the forefront of political debate. This book applies the latest thinking from Management and Organization Studies to the performance of public organizations in order to evaluate the merits of different mechanisms for driving improvement in the public sector. Research in Management and Organization Studies on the private sector has identified a number of 'drivers' of improved performance. Cover; Contents; List of Contributors; 1 Theories of Public Service Improvement: An Introduction; 2 Organizational Environments; 3 Regulation; 4 Strategic Planning; 5 Leadership; 6 Organizational Culture; 7 Human Resource Management; 8 Innovation; 9 Collaboration; 10 Organizational Learning; 11 Reflections on Theories of Public Service Improvement; Index.","author":[{"dropping-particle":"","family":"Yang","given":"Zhifen","non-dropping-particle":"","parse-names":false,"suffix":""},{"dropping-particle":"","family":"Klionsky","given":"Daniel J","non-dropping-particle":"","parse-names":false,"suffix":""}],"container-title":"Current Opinion in Cell Biology","id":"ITEM-1","issue":"2","issued":{"date-parts":[["2010","4"]]},"page":"124-131","title":"Mammalian autophagy: core molecular machinery and signaling regulation","type":"article-journal","volume":"22"},"uris":["http://www.mendeley.com/documents/?uuid=6705c23e-4773-4b0e-a587-03cba779d582"]}],"mendeley":{"formattedCitation":"(185)","plainTextFormattedCitation":"(185)","previouslyFormattedCitation":"(185)"},"properties":{"noteIndex":0},"schema":"https://github.com/citation-style-language/schema/raw/master/csl-citation.json"}</w:instrText>
      </w:r>
      <w:r>
        <w:fldChar w:fldCharType="separate"/>
      </w:r>
      <w:r w:rsidR="005F35B5" w:rsidRPr="005F35B5">
        <w:rPr>
          <w:noProof/>
        </w:rPr>
        <w:t>(185)</w:t>
      </w:r>
      <w:r>
        <w:fldChar w:fldCharType="end"/>
      </w:r>
      <w:r>
        <w:t xml:space="preserve">. There are three distinct types of autophagy but macroautophagy is the most well studied form due to its involvement with in nutrient </w:t>
      </w:r>
      <w:r w:rsidR="00C41AB3">
        <w:t>regulation</w:t>
      </w:r>
      <w:r>
        <w:t xml:space="preserve"> and cell survival</w:t>
      </w:r>
      <w:r>
        <w:fldChar w:fldCharType="begin" w:fldLock="1"/>
      </w:r>
      <w:r w:rsidR="00F51EDC">
        <w:instrText>ADDIN CSL_CITATION {"citationItems":[{"id":"ITEM-1","itemData":{"DOI":"10.1038/sj.cdd.4401765","ISSN":"1350-9047","PMID":"16247502","abstract":"Autophagy is a highly conserved process in eukaryotes in which the cytoplasm, including excess or aberrant organelles, is sequestered into double-membrane vesicles and delivered to the degradative organelle, the lysosome/vacuole, for breakdown and eventual recycling of the resulting macromolecules. This process has an important role in various biological events such as adaptation to changing environmental conditions, cellular remodeling during development and differentiation, and determination of lifespan. Auto-phagy is also involved in preventing certain types of disease, although it may contribute to some pathologies. Recent studies have identified many components that are required to drive this complicated cellular process. Auto-phagy-related genes were first identified in yeast, but homologs are found in all eukaryotes. Analyses in a range of model systems have provided huge advances toward understanding the molecular basis of autophagy. Here we review our current knowledge on the machinery and molecular mechanism of autophagy.","author":[{"dropping-particle":"","family":"Yorimitsu","given":"T","non-dropping-particle":"","parse-names":false,"suffix":""},{"dropping-particle":"","family":"Klionsky","given":"D J","non-dropping-particle":"","parse-names":false,"suffix":""}],"container-title":"Cell Death and Differentiation","id":"ITEM-1","issue":"Suppl 2","issued":{"date-parts":[["2005","11"]]},"page":"1542-1552","title":"Autophagy: molecular machinery for self-eating","type":"article-journal","volume":"12"},"uris":["http://www.mendeley.com/documents/?uuid=51789081-25d4-4a03-ac3d-5b4f941c2826"]}],"mendeley":{"formattedCitation":"(186)","plainTextFormattedCitation":"(186)","previouslyFormattedCitation":"(186)"},"properties":{"noteIndex":0},"schema":"https://github.com/citation-style-language/schema/raw/master/csl-citation.json"}</w:instrText>
      </w:r>
      <w:r>
        <w:fldChar w:fldCharType="separate"/>
      </w:r>
      <w:r w:rsidR="005F35B5" w:rsidRPr="005F35B5">
        <w:rPr>
          <w:noProof/>
        </w:rPr>
        <w:t>(186)</w:t>
      </w:r>
      <w:r>
        <w:fldChar w:fldCharType="end"/>
      </w:r>
      <w:r>
        <w:t xml:space="preserve">. The basic progression of autophagy occurs through induction and the formation of a phagosome to engulf the cargo </w:t>
      </w:r>
      <w:r>
        <w:lastRenderedPageBreak/>
        <w:t xml:space="preserve">designated for </w:t>
      </w:r>
      <w:r w:rsidR="00C41AB3">
        <w:t>recycling</w:t>
      </w:r>
      <w:r w:rsidR="00C41AB3">
        <w:fldChar w:fldCharType="begin" w:fldLock="1"/>
      </w:r>
      <w:r w:rsidR="00C41AB3">
        <w:instrText>ADDIN CSL_CITATION {"citationItems":[{"id":"ITEM-1","itemData":{"DOI":"10.1089/ars.2013.5371","ISBN":"1557-7716 (Electronic)\\r1523-0864 (Linking)","ISSN":"1523-0864","PMID":"23725295","abstract":"SIGNIFICANCE: Autophagy is a highly conserved eukaryotic cellular recycling process. Through the degradation of cytoplasmic organelles, proteins, and macromolecules, and the recycling of the breakdown products, autophagy plays important roles in cell survival and maintenance. Accordingly, dysfunction of this process contributes to the pathologies of many human diseases.\\n\\nRECENT ADVANCES: Extensive research is currently being done to better understand the process of autophagy. In this review, we describe current knowledge of the morphology, molecular mechanism, and regulation of mammalian autophagy.\\n\\nCRITICAL ISSUES: At the mechanistic and regulatory levels, there are still many unanswered questions and points of confusion that have yet to be resolved.\\n\\nFUTURE DIRECTIONS: Through further research, a more complete and accurate picture of the molecular mechanism and regulation of autophagy will not only strengthen our understanding of this significant cellular process, but will aid in the development of new treatments for human diseases in which autophagy is not functioning properly.","author":[{"dropping-particle":"","family":"Parzych","given":"Katherine R.","non-dropping-particle":"","parse-names":false,"suffix":""},{"dropping-particle":"","family":"Klionsky","given":"Daniel J.","non-dropping-particle":"","parse-names":false,"suffix":""}],"container-title":"Antioxidants &amp; Redox Signaling","id":"ITEM-1","issue":"3","issued":{"date-parts":[["2014"]]},"page":"460-473","title":"An Overview of Autophagy: Morphology, Mechanism, and Regulation","type":"article-journal","volume":"20"},"uris":["http://www.mendeley.com/documents/?uuid=e0342f77-55c9-497a-a46c-e3fc1d16ff09"]}],"mendeley":{"formattedCitation":"(187)","plainTextFormattedCitation":"(187)","previouslyFormattedCitation":"(187)"},"properties":{"noteIndex":0},"schema":"https://github.com/citation-style-language/schema/raw/master/csl-citation.json"}</w:instrText>
      </w:r>
      <w:r w:rsidR="00C41AB3">
        <w:fldChar w:fldCharType="separate"/>
      </w:r>
      <w:r w:rsidR="00C41AB3" w:rsidRPr="005F35B5">
        <w:rPr>
          <w:noProof/>
        </w:rPr>
        <w:t>(187)</w:t>
      </w:r>
      <w:r w:rsidR="00C41AB3">
        <w:fldChar w:fldCharType="end"/>
      </w:r>
      <w:r w:rsidR="00C41AB3">
        <w:t>.</w:t>
      </w:r>
      <w:r>
        <w:t xml:space="preserve"> </w:t>
      </w:r>
      <w:r w:rsidR="00C41AB3">
        <w:t xml:space="preserve">The process of </w:t>
      </w:r>
      <w:r>
        <w:t xml:space="preserve">phagosome </w:t>
      </w:r>
      <w:r w:rsidR="00C41AB3">
        <w:t xml:space="preserve">formation </w:t>
      </w:r>
      <w:r>
        <w:t xml:space="preserve">goes through </w:t>
      </w:r>
      <w:r w:rsidR="00C41AB3">
        <w:t xml:space="preserve">an </w:t>
      </w:r>
      <w:r>
        <w:t>elongation</w:t>
      </w:r>
      <w:r w:rsidR="00C41AB3">
        <w:t xml:space="preserve"> step</w:t>
      </w:r>
      <w:r>
        <w:t xml:space="preserve"> to form an autophagosome before eventually fusing with the lysosome</w:t>
      </w:r>
      <w:r>
        <w:fldChar w:fldCharType="begin" w:fldLock="1"/>
      </w:r>
      <w:r w:rsidR="00F51EDC">
        <w:instrText>ADDIN CSL_CITATION {"citationItems":[{"id":"ITEM-1","itemData":{"DOI":"10.1089/ars.2013.5371","ISBN":"1557-7716 (Electronic)\\r1523-0864 (Linking)","ISSN":"1523-0864","PMID":"23725295","abstract":"SIGNIFICANCE: Autophagy is a highly conserved eukaryotic cellular recycling process. Through the degradation of cytoplasmic organelles, proteins, and macromolecules, and the recycling of the breakdown products, autophagy plays important roles in cell survival and maintenance. Accordingly, dysfunction of this process contributes to the pathologies of many human diseases.\\n\\nRECENT ADVANCES: Extensive research is currently being done to better understand the process of autophagy. In this review, we describe current knowledge of the morphology, molecular mechanism, and regulation of mammalian autophagy.\\n\\nCRITICAL ISSUES: At the mechanistic and regulatory levels, there are still many unanswered questions and points of confusion that have yet to be resolved.\\n\\nFUTURE DIRECTIONS: Through further research, a more complete and accurate picture of the molecular mechanism and regulation of autophagy will not only strengthen our understanding of this significant cellular process, but will aid in the development of new treatments for human diseases in which autophagy is not functioning properly.","author":[{"dropping-particle":"","family":"Parzych","given":"Katherine R.","non-dropping-particle":"","parse-names":false,"suffix":""},{"dropping-particle":"","family":"Klionsky","given":"Daniel J.","non-dropping-particle":"","parse-names":false,"suffix":""}],"container-title":"Antioxidants &amp; Redox Signaling","id":"ITEM-1","issue":"3","issued":{"date-parts":[["2014"]]},"page":"460-473","title":"An Overview of Autophagy: Morphology, Mechanism, and Regulation","type":"article-journal","volume":"20"},"uris":["http://www.mendeley.com/documents/?uuid=e0342f77-55c9-497a-a46c-e3fc1d16ff09"]}],"mendeley":{"formattedCitation":"(187)","plainTextFormattedCitation":"(187)","previouslyFormattedCitation":"(187)"},"properties":{"noteIndex":0},"schema":"https://github.com/citation-style-language/schema/raw/master/csl-citation.json"}</w:instrText>
      </w:r>
      <w:r>
        <w:fldChar w:fldCharType="separate"/>
      </w:r>
      <w:r w:rsidR="005F35B5" w:rsidRPr="005F35B5">
        <w:rPr>
          <w:noProof/>
        </w:rPr>
        <w:t>(187)</w:t>
      </w:r>
      <w:r>
        <w:fldChar w:fldCharType="end"/>
      </w:r>
      <w:r>
        <w:t>.</w:t>
      </w:r>
    </w:p>
    <w:p w:rsidR="00BB364B" w:rsidRPr="00BB364B" w:rsidRDefault="00804220" w:rsidP="00FB099D">
      <w:pPr>
        <w:ind w:firstLine="720"/>
        <w:jc w:val="both"/>
      </w:pPr>
      <w:r>
        <w:t xml:space="preserve">Initiation </w:t>
      </w:r>
      <w:r w:rsidR="00C41AB3">
        <w:t xml:space="preserve">of autophagy </w:t>
      </w:r>
      <w:r>
        <w:t xml:space="preserve">occurs when </w:t>
      </w:r>
      <w:r w:rsidR="00C41AB3">
        <w:t xml:space="preserve">the </w:t>
      </w:r>
      <w:r>
        <w:t>kinase mTORC1 dissociates fr</w:t>
      </w:r>
      <w:r w:rsidR="00C41AB3">
        <w:t>om the unc-51-like kinase 1 (ULK1) induction complex</w:t>
      </w:r>
      <w:r w:rsidR="00C41AB3">
        <w:fldChar w:fldCharType="begin" w:fldLock="1"/>
      </w:r>
      <w:r w:rsidR="00E934D3">
        <w:instrText>ADDIN CSL_CITATION {"citationItems":[{"id":"ITEM-1","itemData":{"DOI":"10.1042/EBC20170021","ISBN":"1744-1358 (Electronic)\r0071-1365 (Linking)","ISSN":"0071-1365","PMID":"29233870","abstract":"Autophagy is a vital lysosomal degradation pathway that serves as a quality control mechanism. It rids the cell of damaged, toxic or excess cellular components, which if left to persist could be detrimental to the cell. It also serves as a recycling pathway to maintain protein synthesis under starvation conditions. A key initial event in autophagy is formation of the autophagosome, a unique double-membrane organelle that engulfs the cytosolic cargo destined for degradation. This step is mediated by the serine/threonine protein kinase ULK1 (unc-51-like kinase 1), which functions in a complex with at least three protein partners: FIP200 (focal adhesion kinase family interacting protein of 200 kDa), ATG (autophagy-related protein) 13 (ATG13), and ATG101. In this artcile, we focus on the regulation of the ULK1 complex during autophagy initiation. The complex pattern of upstream pathways that converge on ULK1 suggests that this complex acts as a node, converting multiple signals into autophagosome formation. Here, we review our current understanding of this regulation and in turn discuss what happens downstream, once the ULK1 complex becomes activated.","author":[{"dropping-particle":"","family":"Zachari","given":"Maria","non-dropping-particle":"","parse-names":false,"suffix":""},{"dropping-particle":"","family":"Ganley","given":"Ian G.","non-dropping-particle":"","parse-names":false,"suffix":""}],"container-title":"Essays In Biochemistry","id":"ITEM-1","issue":"6","issued":{"date-parts":[["2017"]]},"page":"585-596","title":"The mammalian ULK1 complex and autophagy initiation","type":"article-journal","volume":"61"},"uris":["http://www.mendeley.com/documents/?uuid=13c469b0-4eb5-4d1a-bdd2-df065a010eae"]}],"mendeley":{"formattedCitation":"(188)","plainTextFormattedCitation":"(188)","previouslyFormattedCitation":"(188)"},"properties":{"noteIndex":0},"schema":"https://github.com/citation-style-language/schema/raw/master/csl-citation.json"}</w:instrText>
      </w:r>
      <w:r w:rsidR="00C41AB3">
        <w:fldChar w:fldCharType="separate"/>
      </w:r>
      <w:r w:rsidR="00C41AB3" w:rsidRPr="00C41AB3">
        <w:rPr>
          <w:noProof/>
        </w:rPr>
        <w:t>(188)</w:t>
      </w:r>
      <w:r w:rsidR="00C41AB3">
        <w:fldChar w:fldCharType="end"/>
      </w:r>
      <w:r w:rsidR="00C41AB3">
        <w:t xml:space="preserve">. Once dissociated, ULK1 </w:t>
      </w:r>
      <w:r>
        <w:t>becomes activated</w:t>
      </w:r>
      <w:r w:rsidR="00C41AB3">
        <w:t>, translocating to autophagy initiation sites,</w:t>
      </w:r>
      <w:r w:rsidR="00F87923">
        <w:t xml:space="preserve"> and recruits </w:t>
      </w:r>
      <w:r w:rsidR="00C41AB3">
        <w:t>the vacuolar protein sorting 34 (VPS34) complex</w:t>
      </w:r>
      <w:r w:rsidR="00F87923">
        <w:t xml:space="preserve"> consisting of </w:t>
      </w:r>
      <w:r w:rsidR="00C41AB3">
        <w:t xml:space="preserve">Beclin-1, ATG14, and </w:t>
      </w:r>
      <w:r w:rsidR="00F87923">
        <w:t>class III phosp</w:t>
      </w:r>
      <w:r w:rsidR="00C41AB3">
        <w:t>hatidylinositol 3-kinase</w:t>
      </w:r>
      <w:r w:rsidR="00F87923">
        <w:fldChar w:fldCharType="begin" w:fldLock="1"/>
      </w:r>
      <w:r w:rsidR="00F51EDC">
        <w:instrText>ADDIN CSL_CITATION {"citationItems":[{"id":"ITEM-1","itemData":{"DOI":"10.1089/ars.2013.5371","ISBN":"1557-7716 (Electronic)\\r1523-0864 (Linking)","ISSN":"1523-0864","PMID":"23725295","abstract":"SIGNIFICANCE: Autophagy is a highly conserved eukaryotic cellular recycling process. Through the degradation of cytoplasmic organelles, proteins, and macromolecules, and the recycling of the breakdown products, autophagy plays important roles in cell survival and maintenance. Accordingly, dysfunction of this process contributes to the pathologies of many human diseases.\\n\\nRECENT ADVANCES: Extensive research is currently being done to better understand the process of autophagy. In this review, we describe current knowledge of the morphology, molecular mechanism, and regulation of mammalian autophagy.\\n\\nCRITICAL ISSUES: At the mechanistic and regulatory levels, there are still many unanswered questions and points of confusion that have yet to be resolved.\\n\\nFUTURE DIRECTIONS: Through further research, a more complete and accurate picture of the molecular mechanism and regulation of autophagy will not only strengthen our understanding of this significant cellular process, but will aid in the development of new treatments for human diseases in which autophagy is not functioning properly.","author":[{"dropping-particle":"","family":"Parzych","given":"Katherine R.","non-dropping-particle":"","parse-names":false,"suffix":""},{"dropping-particle":"","family":"Klionsky","given":"Daniel J.","non-dropping-particle":"","parse-names":false,"suffix":""}],"container-title":"Antioxidants &amp; Redox Signaling","id":"ITEM-1","issue":"3","issued":{"date-parts":[["2014"]]},"page":"460-473","title":"An Overview of Autophagy: Morphology, Mechanism, and Regulation","type":"article-journal","volume":"20"},"uris":["http://www.mendeley.com/documents/?uuid=e0342f77-55c9-497a-a46c-e3fc1d16ff09"]}],"mendeley":{"formattedCitation":"(187)","plainTextFormattedCitation":"(187)","previouslyFormattedCitation":"(187)"},"properties":{"noteIndex":0},"schema":"https://github.com/citation-style-language/schema/raw/master/csl-citation.json"}</w:instrText>
      </w:r>
      <w:r w:rsidR="00F87923">
        <w:fldChar w:fldCharType="separate"/>
      </w:r>
      <w:r w:rsidR="005F35B5" w:rsidRPr="005F35B5">
        <w:rPr>
          <w:noProof/>
        </w:rPr>
        <w:t>(187)</w:t>
      </w:r>
      <w:r w:rsidR="00F87923">
        <w:fldChar w:fldCharType="end"/>
      </w:r>
      <w:r w:rsidR="00F87923">
        <w:t xml:space="preserve">. This </w:t>
      </w:r>
      <w:r w:rsidR="00C41AB3">
        <w:t>new complex of ULK1 and recruits</w:t>
      </w:r>
      <w:r w:rsidR="00F87923">
        <w:t xml:space="preserve"> the ATG12-5-16 and ATG8-LC3 ubiquitin-like complexes to expand the phagophore until it </w:t>
      </w:r>
      <w:r w:rsidR="00C41AB3">
        <w:t xml:space="preserve">fully </w:t>
      </w:r>
      <w:r w:rsidR="00F87923">
        <w:t>mature</w:t>
      </w:r>
      <w:r w:rsidR="00C41AB3">
        <w:t>s</w:t>
      </w:r>
      <w:r w:rsidR="00C41AB3">
        <w:fldChar w:fldCharType="begin" w:fldLock="1"/>
      </w:r>
      <w:r w:rsidR="00C41AB3">
        <w:instrText>ADDIN CSL_CITATION {"citationItems":[{"id":"ITEM-1","itemData":{"DOI":"10.1089/ars.2013.5371","ISBN":"1557-7716 (Electronic)\\r1523-0864 (Linking)","ISSN":"1523-0864","PMID":"23725295","abstract":"SIGNIFICANCE: Autophagy is a highly conserved eukaryotic cellular recycling process. Through the degradation of cytoplasmic organelles, proteins, and macromolecules, and the recycling of the breakdown products, autophagy plays important roles in cell survival and maintenance. Accordingly, dysfunction of this process contributes to the pathologies of many human diseases.\\n\\nRECENT ADVANCES: Extensive research is currently being done to better understand the process of autophagy. In this review, we describe current knowledge of the morphology, molecular mechanism, and regulation of mammalian autophagy.\\n\\nCRITICAL ISSUES: At the mechanistic and regulatory levels, there are still many unanswered questions and points of confusion that have yet to be resolved.\\n\\nFUTURE DIRECTIONS: Through further research, a more complete and accurate picture of the molecular mechanism and regulation of autophagy will not only strengthen our understanding of this significant cellular process, but will aid in the development of new treatments for human diseases in which autophagy is not functioning properly.","author":[{"dropping-particle":"","family":"Parzych","given":"Katherine R.","non-dropping-particle":"","parse-names":false,"suffix":""},{"dropping-particle":"","family":"Klionsky","given":"Daniel J.","non-dropping-particle":"","parse-names":false,"suffix":""}],"container-title":"Antioxidants &amp; Redox Signaling","id":"ITEM-1","issue":"3","issued":{"date-parts":[["2014"]]},"page":"460-473","title":"An Overview of Autophagy: Morphology, Mechanism, and Regulation","type":"article-journal","volume":"20"},"uris":["http://www.mendeley.com/documents/?uuid=e0342f77-55c9-497a-a46c-e3fc1d16ff09"]}],"mendeley":{"formattedCitation":"(187)","plainTextFormattedCitation":"(187)","previouslyFormattedCitation":"(187)"},"properties":{"noteIndex":0},"schema":"https://github.com/citation-style-language/schema/raw/master/csl-citation.json"}</w:instrText>
      </w:r>
      <w:r w:rsidR="00C41AB3">
        <w:fldChar w:fldCharType="separate"/>
      </w:r>
      <w:r w:rsidR="00C41AB3" w:rsidRPr="005F35B5">
        <w:rPr>
          <w:noProof/>
        </w:rPr>
        <w:t>(187)</w:t>
      </w:r>
      <w:r w:rsidR="00C41AB3">
        <w:fldChar w:fldCharType="end"/>
      </w:r>
      <w:r w:rsidR="00C41AB3">
        <w:t>.</w:t>
      </w:r>
      <w:r w:rsidR="00F87923">
        <w:t xml:space="preserve"> </w:t>
      </w:r>
      <w:r w:rsidR="00C41AB3">
        <w:t>At this point, the autophagoasome</w:t>
      </w:r>
      <w:r w:rsidR="00F87923">
        <w:t xml:space="preserve"> closes and fuses with the lysosome</w:t>
      </w:r>
      <w:r w:rsidR="00F87923">
        <w:fldChar w:fldCharType="begin" w:fldLock="1"/>
      </w:r>
      <w:r w:rsidR="00F51EDC">
        <w:instrText>ADDIN CSL_CITATION {"citationItems":[{"id":"ITEM-1","itemData":{"DOI":"10.1089/ars.2013.5371","ISBN":"1557-7716 (Electronic)\\r1523-0864 (Linking)","ISSN":"1523-0864","PMID":"23725295","abstract":"SIGNIFICANCE: Autophagy is a highly conserved eukaryotic cellular recycling process. Through the degradation of cytoplasmic organelles, proteins, and macromolecules, and the recycling of the breakdown products, autophagy plays important roles in cell survival and maintenance. Accordingly, dysfunction of this process contributes to the pathologies of many human diseases.\\n\\nRECENT ADVANCES: Extensive research is currently being done to better understand the process of autophagy. In this review, we describe current knowledge of the morphology, molecular mechanism, and regulation of mammalian autophagy.\\n\\nCRITICAL ISSUES: At the mechanistic and regulatory levels, there are still many unanswered questions and points of confusion that have yet to be resolved.\\n\\nFUTURE DIRECTIONS: Through further research, a more complete and accurate picture of the molecular mechanism and regulation of autophagy will not only strengthen our understanding of this significant cellular process, but will aid in the development of new treatments for human diseases in which autophagy is not functioning properly.","author":[{"dropping-particle":"","family":"Parzych","given":"Katherine R.","non-dropping-particle":"","parse-names":false,"suffix":""},{"dropping-particle":"","family":"Klionsky","given":"Daniel J.","non-dropping-particle":"","parse-names":false,"suffix":""}],"container-title":"Antioxidants &amp; Redox Signaling","id":"ITEM-1","issue":"3","issued":{"date-parts":[["2014"]]},"page":"460-473","title":"An Overview of Autophagy: Morphology, Mechanism, and Regulation","type":"article-journal","volume":"20"},"uris":["http://www.mendeley.com/documents/?uuid=e0342f77-55c9-497a-a46c-e3fc1d16ff09"]}],"mendeley":{"formattedCitation":"(187)","plainTextFormattedCitation":"(187)","previouslyFormattedCitation":"(187)"},"properties":{"noteIndex":0},"schema":"https://github.com/citation-style-language/schema/raw/master/csl-citation.json"}</w:instrText>
      </w:r>
      <w:r w:rsidR="00F87923">
        <w:fldChar w:fldCharType="separate"/>
      </w:r>
      <w:r w:rsidR="005F35B5" w:rsidRPr="005F35B5">
        <w:rPr>
          <w:noProof/>
        </w:rPr>
        <w:t>(187)</w:t>
      </w:r>
      <w:r w:rsidR="00F87923">
        <w:fldChar w:fldCharType="end"/>
      </w:r>
      <w:r w:rsidR="00F87923">
        <w:t>.</w:t>
      </w:r>
    </w:p>
    <w:p w:rsidR="00BB364B" w:rsidRDefault="00BB364B" w:rsidP="00042529">
      <w:pPr>
        <w:pStyle w:val="Heading3"/>
      </w:pPr>
      <w:bookmarkStart w:id="87" w:name="_Ref530757091"/>
      <w:bookmarkStart w:id="88" w:name="_Toc532553095"/>
      <w:r>
        <w:t>Autophagy Induces and Inhibitors</w:t>
      </w:r>
      <w:bookmarkEnd w:id="87"/>
      <w:bookmarkEnd w:id="88"/>
    </w:p>
    <w:p w:rsidR="00F87923" w:rsidRDefault="00F87923" w:rsidP="00FB099D">
      <w:pPr>
        <w:ind w:firstLine="720"/>
        <w:jc w:val="both"/>
      </w:pPr>
      <w:r>
        <w:t>Rapamycin</w:t>
      </w:r>
      <w:r w:rsidR="00E819D1">
        <w:t xml:space="preserve"> (</w:t>
      </w:r>
      <w:r w:rsidR="00E819D1" w:rsidRPr="00FB099D">
        <w:rPr>
          <w:b/>
        </w:rPr>
        <w:fldChar w:fldCharType="begin"/>
      </w:r>
      <w:r w:rsidR="00E819D1" w:rsidRPr="00FB099D">
        <w:rPr>
          <w:b/>
        </w:rPr>
        <w:instrText xml:space="preserve"> REF _Ref530244345 \h </w:instrText>
      </w:r>
      <w:r w:rsidR="001B3703" w:rsidRPr="00FB099D">
        <w:rPr>
          <w:b/>
        </w:rPr>
        <w:instrText xml:space="preserve"> \* MERGEFORMAT </w:instrText>
      </w:r>
      <w:r w:rsidR="00E819D1" w:rsidRPr="00FB099D">
        <w:rPr>
          <w:b/>
        </w:rPr>
      </w:r>
      <w:r w:rsidR="00E819D1" w:rsidRPr="00FB099D">
        <w:rPr>
          <w:b/>
        </w:rPr>
        <w:fldChar w:fldCharType="separate"/>
      </w:r>
      <w:r w:rsidR="00E2070A" w:rsidRPr="00E2070A">
        <w:rPr>
          <w:b/>
        </w:rPr>
        <w:t xml:space="preserve">Figure </w:t>
      </w:r>
      <w:r w:rsidR="00E2070A" w:rsidRPr="00E2070A">
        <w:rPr>
          <w:b/>
          <w:noProof/>
        </w:rPr>
        <w:t>15</w:t>
      </w:r>
      <w:r w:rsidR="00E819D1" w:rsidRPr="00FB099D">
        <w:rPr>
          <w:b/>
        </w:rPr>
        <w:fldChar w:fldCharType="end"/>
      </w:r>
      <w:r w:rsidR="00E819D1">
        <w:t>)</w:t>
      </w:r>
      <w:r>
        <w:t xml:space="preserve"> </w:t>
      </w:r>
      <w:r w:rsidR="00E934D3">
        <w:t>is an anti-fungal</w:t>
      </w:r>
      <w:r w:rsidR="00E934D3">
        <w:fldChar w:fldCharType="begin" w:fldLock="1"/>
      </w:r>
      <w:r w:rsidR="00E934D3">
        <w:instrText>ADDIN CSL_CITATION {"citationItems":[{"id":"ITEM-1","itemData":{"DOI":"10.7164/antibiotics.28.727","ISBN":"0021-8820 (Print)\\r0021-8820 (Linking)","ISSN":"0021-8820","PMID":"1102509","abstract":"Rapamycin is a new antifungal antibiotic produced by Streptomyces hygroscopicus NRRL 5491. It was isolated from the mycelium by solvent extraction, purified by silica gel column chromatography and crystallized as a colorless solid which melts at 183 approximately to 185 degrees C and has the empirical formula C56H89NO14. From its characteristic ultraviolet absorption spectrum rapamycin can be classified as a triene. It is highly active against various Candida species, especially Candida albicans. Its activity is compared with that of amphotericin B, candicidin and nystatin.","author":[{"dropping-particle":"","family":"SEHGAL","given":"S. N.","non-dropping-particle":"","parse-names":false,"suffix":""},{"dropping-particle":"","family":"BAKER","given":"H.","non-dropping-particle":"","parse-names":false,"suffix":""},{"dropping-particle":"","family":"VÉZINA","given":"Claude","non-dropping-particle":"","parse-names":false,"suffix":""}],"container-title":"The Journal of Antibiotics","id":"ITEM-1","issue":"10","issued":{"date-parts":[["1975"]]},"page":"727-732","title":"Rapamycin (AY-22,989), a new antifungal antibiotic. II. Fermentation, isolation and characterization.","type":"article-journal","volume":"28"},"uris":["http://www.mendeley.com/documents/?uuid=3690e109-9a55-494f-915d-42715924c08a"]}],"mendeley":{"formattedCitation":"(189)","plainTextFormattedCitation":"(189)","previouslyFormattedCitation":"(189)"},"properties":{"noteIndex":0},"schema":"https://github.com/citation-style-language/schema/raw/master/csl-citation.json"}</w:instrText>
      </w:r>
      <w:r w:rsidR="00E934D3">
        <w:fldChar w:fldCharType="separate"/>
      </w:r>
      <w:r w:rsidR="00E934D3" w:rsidRPr="00E934D3">
        <w:rPr>
          <w:noProof/>
        </w:rPr>
        <w:t>(189)</w:t>
      </w:r>
      <w:r w:rsidR="00E934D3">
        <w:fldChar w:fldCharType="end"/>
      </w:r>
      <w:r w:rsidR="00E934D3">
        <w:t xml:space="preserve"> and immunosuppressive</w:t>
      </w:r>
      <w:r w:rsidR="00E934D3">
        <w:fldChar w:fldCharType="begin" w:fldLock="1"/>
      </w:r>
      <w:r w:rsidR="0013606C">
        <w:instrText>ADDIN CSL_CITATION {"citationItems":[{"id":"ITEM-1","itemData":{"DOI":"10.1146/annurev.immunol.14.1.483","ISBN":"0732-0582","ISSN":"0732-0582","PMID":"8717522","abstract":"The potent immunosuppressive drugs FK506 and rapamycin interfere with signal transduction pathways required for T cell activation and growth. The distinct inhibitory effects of these drugs on the T cell activation program are mediated through the formation of pharmacologically active complexes with members of a family of intracellular receptors termed the FK506 binding proteins (FKBPs). The FKBP12.FK506 complex specifically binds to and inhibits calcineurin, a signaling protein required for transcriptional activation of the interleukin (IL)-2 gene in response to T cell antigen receptor engagement. The FKBP12. rapamycin complex interacts with a recently defined target protein termed the mammalian target of rapamycin (mTOR). Accumulating data suggest that mTOR functions in a previously unrecognized signal transduction pathway required for the progression of IL-2-stimulated T cells from G1 into the S phase of the cell cycle. Here we review the immunopharmacology of rapamycin, with particular emphasis on the characterization of mTOR.","author":[{"dropping-particle":"","family":"Abraham","given":"Robert T.","non-dropping-particle":"","parse-names":false,"suffix":""},{"dropping-particle":"","family":"Wiederrecht","given":"Gregory J.","non-dropping-particle":"","parse-names":false,"suffix":""}],"container-title":"Annual Review of Immunology","id":"ITEM-1","issue":"1","issued":{"date-parts":[["1996"]]},"page":"483-510","title":"Immunopharmacology of Rapamycin","type":"article-journal","volume":"14"},"uris":["http://www.mendeley.com/documents/?uuid=d88fd005-6a73-4a42-95e4-599f06d1c600"]}],"mendeley":{"formattedCitation":"(190)","plainTextFormattedCitation":"(190)","previouslyFormattedCitation":"(190)"},"properties":{"noteIndex":0},"schema":"https://github.com/citation-style-language/schema/raw/master/csl-citation.json"}</w:instrText>
      </w:r>
      <w:r w:rsidR="00E934D3">
        <w:fldChar w:fldCharType="separate"/>
      </w:r>
      <w:r w:rsidR="00E934D3" w:rsidRPr="00E934D3">
        <w:rPr>
          <w:noProof/>
        </w:rPr>
        <w:t>(190)</w:t>
      </w:r>
      <w:r w:rsidR="00E934D3">
        <w:fldChar w:fldCharType="end"/>
      </w:r>
      <w:r w:rsidR="00E934D3">
        <w:t xml:space="preserve"> </w:t>
      </w:r>
      <w:r>
        <w:t>natural product</w:t>
      </w:r>
      <w:r w:rsidR="00E934D3">
        <w:t xml:space="preserve"> compound originally</w:t>
      </w:r>
      <w:r>
        <w:t xml:space="preserve"> from a soil sample bacterium in 1972</w:t>
      </w:r>
      <w:r w:rsidR="00E934D3">
        <w:fldChar w:fldCharType="begin" w:fldLock="1"/>
      </w:r>
      <w:r w:rsidR="0013606C">
        <w:instrText>ADDIN CSL_CITATION {"citationItems":[{"id":"ITEM-1","itemData":{"DOI":"10.1186/2001-1326-1-29","ISBN":"2001-1326 (Electronic)","ISSN":"2001-1326","PMID":"23369283","abstract":"Rapamycin was discovered more than thirty years ago from a soil sample from the island of Rapa Nui. It was isolated from Streptomyces hygroscopicus and initial characterization focused on its antifungal activities. Subsequent characterization showed that it has immunosuppressive properties and has been used successfully to reduce organ rejection with kidney transplantation. Rapamycin has proven to be a versatile compound with several seemingly unrelated properties, including antifungal, immunosuppressive, and anticancer. The National Cancer Institute (NCI) Developmental Therapeutics Program demonstrated that rapamycin inhibited cell growth in tumor cell lines. These observations stimulated research to explore the underlying mechanism of anti-tumor activities. Cell growth inhibition involves binding to the mammalian Target of Rapamycin (mTOR). The mTOR signaling pathway is critical to cell growth, proliferation, and survival and rapamycin inhibits these hallmark processes of cancer. Binding of growth factors activates mTOR signaling, which in turn leads to downstream phosphorylation of protein kinases, e.g., p70S6 kinase and lipid kinases in the phosphorylation of phosphoinositides. Understanding of mTOR signaling provided the biological basis for targeted chemotherapeutics development, including several rapamycin analogues for treating breast and other cancers.","author":[{"dropping-particle":"","family":"Seto","given":"Belinda","non-dropping-particle":"","parse-names":false,"suffix":""}],"container-title":"Clinical and Translational Medicine","id":"ITEM-1","issue":"1","issued":{"date-parts":[["2012"]]},"page":"29","title":"Rapamycin and mTOR: a serendipitous discovery and implications for breast cancer","type":"article-journal","volume":"1"},"uris":["http://www.mendeley.com/documents/?uuid=7d4ea018-60ef-4da5-a21b-f81da2756c59"]}],"mendeley":{"formattedCitation":"(191)","plainTextFormattedCitation":"(191)","previouslyFormattedCitation":"(191)"},"properties":{"noteIndex":0},"schema":"https://github.com/citation-style-language/schema/raw/master/csl-citation.json"}</w:instrText>
      </w:r>
      <w:r w:rsidR="00E934D3">
        <w:fldChar w:fldCharType="separate"/>
      </w:r>
      <w:r w:rsidR="00E934D3" w:rsidRPr="00E934D3">
        <w:rPr>
          <w:noProof/>
        </w:rPr>
        <w:t>(191)</w:t>
      </w:r>
      <w:r w:rsidR="00E934D3">
        <w:fldChar w:fldCharType="end"/>
      </w:r>
      <w:r w:rsidR="00E934D3">
        <w:t>.</w:t>
      </w:r>
      <w:r>
        <w:t xml:space="preserve"> </w:t>
      </w:r>
      <w:r w:rsidR="00E934D3">
        <w:t>Identifying the cellular target of rapamycin lead to the discovery of the mammalian target of</w:t>
      </w:r>
      <w:r w:rsidR="0013606C">
        <w:t xml:space="preserve"> rapamycin (mTOR) proteins</w:t>
      </w:r>
      <w:r w:rsidR="0013606C">
        <w:fldChar w:fldCharType="begin" w:fldLock="1"/>
      </w:r>
      <w:r w:rsidR="0013606C">
        <w:instrText>ADDIN CSL_CITATION {"citationItems":[{"id":"ITEM-1","itemData":{"DOI":"10.1186/2001-1326-1-29","ISBN":"2001-1326 (Electronic)","ISSN":"2001-1326","PMID":"23369283","abstract":"Rapamycin was discovered more than thirty years ago from a soil sample from the island of Rapa Nui. It was isolated from Streptomyces hygroscopicus and initial characterization focused on its antifungal activities. Subsequent characterization showed that it has immunosuppressive properties and has been used successfully to reduce organ rejection with kidney transplantation. Rapamycin has proven to be a versatile compound with several seemingly unrelated properties, including antifungal, immunosuppressive, and anticancer. The National Cancer Institute (NCI) Developmental Therapeutics Program demonstrated that rapamycin inhibited cell growth in tumor cell lines. These observations stimulated research to explore the underlying mechanism of anti-tumor activities. Cell growth inhibition involves binding to the mammalian Target of Rapamycin (mTOR). The mTOR signaling pathway is critical to cell growth, proliferation, and survival and rapamycin inhibits these hallmark processes of cancer. Binding of growth factors activates mTOR signaling, which in turn leads to downstream phosphorylation of protein kinases, e.g., p70S6 kinase and lipid kinases in the phosphorylation of phosphoinositides. Understanding of mTOR signaling provided the biological basis for targeted chemotherapeutics development, including several rapamycin analogues for treating breast and other cancers.","author":[{"dropping-particle":"","family":"Seto","given":"Belinda","non-dropping-particle":"","parse-names":false,"suffix":""}],"container-title":"Clinical and Translational Medicine","id":"ITEM-1","issue":"1","issued":{"date-parts":[["2012"]]},"page":"29","title":"Rapamycin and mTOR: a serendipitous discovery and implications for breast cancer","type":"article-journal","volume":"1"},"uris":["http://www.mendeley.com/documents/?uuid=7d4ea018-60ef-4da5-a21b-f81da2756c59"]}],"mendeley":{"formattedCitation":"(191)","plainTextFormattedCitation":"(191)","previouslyFormattedCitation":"(191)"},"properties":{"noteIndex":0},"schema":"https://github.com/citation-style-language/schema/raw/master/csl-citation.json"}</w:instrText>
      </w:r>
      <w:r w:rsidR="0013606C">
        <w:fldChar w:fldCharType="separate"/>
      </w:r>
      <w:r w:rsidR="0013606C" w:rsidRPr="0013606C">
        <w:rPr>
          <w:noProof/>
        </w:rPr>
        <w:t>(191)</w:t>
      </w:r>
      <w:r w:rsidR="0013606C">
        <w:fldChar w:fldCharType="end"/>
      </w:r>
      <w:r w:rsidR="0013606C">
        <w:t>.</w:t>
      </w:r>
      <w:r>
        <w:t xml:space="preserve"> mTOR forms two complexes</w:t>
      </w:r>
      <w:r w:rsidR="0013606C">
        <w:t xml:space="preserve"> in cells (TORC1 and </w:t>
      </w:r>
      <w:r>
        <w:t>TORC2</w:t>
      </w:r>
      <w:r w:rsidR="0013606C">
        <w:t>)</w:t>
      </w:r>
      <w:r w:rsidR="0013606C">
        <w:fldChar w:fldCharType="begin" w:fldLock="1"/>
      </w:r>
      <w:r w:rsidR="0013606C">
        <w:instrText>ADDIN CSL_CITATION {"citationItems":[{"id":"ITEM-1","itemData":{"DOI":"10.1186/2001-1326-1-29","ISBN":"2001-1326 (Electronic)","ISSN":"2001-1326","PMID":"23369283","abstract":"Rapamycin was discovered more than thirty years ago from a soil sample from the island of Rapa Nui. It was isolated from Streptomyces hygroscopicus and initial characterization focused on its antifungal activities. Subsequent characterization showed that it has immunosuppressive properties and has been used successfully to reduce organ rejection with kidney transplantation. Rapamycin has proven to be a versatile compound with several seemingly unrelated properties, including antifungal, immunosuppressive, and anticancer. The National Cancer Institute (NCI) Developmental Therapeutics Program demonstrated that rapamycin inhibited cell growth in tumor cell lines. These observations stimulated research to explore the underlying mechanism of anti-tumor activities. Cell growth inhibition involves binding to the mammalian Target of Rapamycin (mTOR). The mTOR signaling pathway is critical to cell growth, proliferation, and survival and rapamycin inhibits these hallmark processes of cancer. Binding of growth factors activates mTOR signaling, which in turn leads to downstream phosphorylation of protein kinases, e.g., p70S6 kinase and lipid kinases in the phosphorylation of phosphoinositides. Understanding of mTOR signaling provided the biological basis for targeted chemotherapeutics development, including several rapamycin analogues for treating breast and other cancers.","author":[{"dropping-particle":"","family":"Seto","given":"Belinda","non-dropping-particle":"","parse-names":false,"suffix":""}],"container-title":"Clinical and Translational Medicine","id":"ITEM-1","issue":"1","issued":{"date-parts":[["2012"]]},"page":"29","title":"Rapamycin and mTOR: a serendipitous discovery and implications for breast cancer","type":"article-journal","volume":"1"},"uris":["http://www.mendeley.com/documents/?uuid=7d4ea018-60ef-4da5-a21b-f81da2756c59"]}],"mendeley":{"formattedCitation":"(191)","plainTextFormattedCitation":"(191)","previouslyFormattedCitation":"(191)"},"properties":{"noteIndex":0},"schema":"https://github.com/citation-style-language/schema/raw/master/csl-citation.json"}</w:instrText>
      </w:r>
      <w:r w:rsidR="0013606C">
        <w:fldChar w:fldCharType="separate"/>
      </w:r>
      <w:r w:rsidR="0013606C" w:rsidRPr="0013606C">
        <w:rPr>
          <w:noProof/>
        </w:rPr>
        <w:t>(191)</w:t>
      </w:r>
      <w:r w:rsidR="0013606C">
        <w:fldChar w:fldCharType="end"/>
      </w:r>
      <w:r w:rsidR="0013606C">
        <w:t>. A</w:t>
      </w:r>
      <w:r>
        <w:t>s s</w:t>
      </w:r>
      <w:r w:rsidR="0013606C">
        <w:t>tated above, autophagy is induced</w:t>
      </w:r>
      <w:r>
        <w:t xml:space="preserve"> when the mTORC1 complex dissociates from the initiation complex</w:t>
      </w:r>
      <w:r w:rsidR="00D51FC4">
        <w:fldChar w:fldCharType="begin" w:fldLock="1"/>
      </w:r>
      <w:r w:rsidR="0013606C">
        <w:instrText>ADDIN CSL_CITATION {"citationItems":[{"id":"ITEM-1","itemData":{"DOI":"10.1186/2001-1326-1-29","ISBN":"2001-1326 (Electronic)","ISSN":"2001-1326","PMID":"23369283","abstract":"Rapamycin was discovered more than thirty years ago from a soil sample from the island of Rapa Nui. It was isolated from Streptomyces hygroscopicus and initial characterization focused on its antifungal activities. Subsequent characterization showed that it has immunosuppressive properties and has been used successfully to reduce organ rejection with kidney transplantation. Rapamycin has proven to be a versatile compound with several seemingly unrelated properties, including antifungal, immunosuppressive, and anticancer. The National Cancer Institute (NCI) Developmental Therapeutics Program demonstrated that rapamycin inhibited cell growth in tumor cell lines. These observations stimulated research to explore the underlying mechanism of anti-tumor activities. Cell growth inhibition involves binding to the mammalian Target of Rapamycin (mTOR). The mTOR signaling pathway is critical to cell growth, proliferation, and survival and rapamycin inhibits these hallmark processes of cancer. Binding of growth factors activates mTOR signaling, which in turn leads to downstream phosphorylation of protein kinases, e.g., p70S6 kinase and lipid kinases in the phosphorylation of phosphoinositides. Understanding of mTOR signaling provided the biological basis for targeted chemotherapeutics development, including several rapamycin analogues for treating breast and other cancers.","author":[{"dropping-particle":"","family":"Seto","given":"Belinda","non-dropping-particle":"","parse-names":false,"suffix":""}],"container-title":"Clinical and Translational Medicine","id":"ITEM-1","issue":"1","issued":{"date-parts":[["2012"]]},"page":"29","title":"Rapamycin and mTOR: a serendipitous discovery and implications for breast cancer","type":"article-journal","volume":"1"},"uris":["http://www.mendeley.com/documents/?uuid=7d4ea018-60ef-4da5-a21b-f81da2756c59"]}],"mendeley":{"formattedCitation":"(191)","plainTextFormattedCitation":"(191)","previouslyFormattedCitation":"(191)"},"properties":{"noteIndex":0},"schema":"https://github.com/citation-style-language/schema/raw/master/csl-citation.json"}</w:instrText>
      </w:r>
      <w:r w:rsidR="00D51FC4">
        <w:fldChar w:fldCharType="separate"/>
      </w:r>
      <w:r w:rsidR="00E934D3" w:rsidRPr="00E934D3">
        <w:rPr>
          <w:noProof/>
        </w:rPr>
        <w:t>(191)</w:t>
      </w:r>
      <w:r w:rsidR="00D51FC4">
        <w:fldChar w:fldCharType="end"/>
      </w:r>
      <w:r>
        <w:t xml:space="preserve">. Rapamycin is used </w:t>
      </w:r>
      <w:r w:rsidR="0013606C">
        <w:t xml:space="preserve">to induce </w:t>
      </w:r>
      <w:r>
        <w:t>auto</w:t>
      </w:r>
      <w:r w:rsidR="00D51FC4">
        <w:t xml:space="preserve">phagy in </w:t>
      </w:r>
      <w:r w:rsidR="0013606C">
        <w:t xml:space="preserve">cellular </w:t>
      </w:r>
      <w:r w:rsidR="00D51FC4">
        <w:t>experiments</w:t>
      </w:r>
      <w:r w:rsidR="00D51FC4">
        <w:fldChar w:fldCharType="begin" w:fldLock="1"/>
      </w:r>
      <w:r w:rsidR="0013606C">
        <w:instrText>ADDIN CSL_CITATION {"citationItems":[{"id":"ITEM-1","itemData":{"DOI":"10.1016/j.cell.2010.01.028","ISSN":"00928674","PMID":"20144757","author":[{"dropping-particle":"","family":"Mizushima","given":"Noboru","non-dropping-particle":"","parse-names":false,"suffix":""},{"dropping-particle":"","family":"Yoshimori","given":"Tamotsu","non-dropping-particle":"","parse-names":false,"suffix":""},{"dropping-particle":"","family":"Levine","given":"Beth","non-dropping-particle":"","parse-names":false,"suffix":""}],"container-title":"Cell","id":"ITEM-1","issue":"3","issued":{"date-parts":[["2010","2"]]},"page":"313-326","title":"Methods in Mammalian Autophagy Research","type":"article-journal","volume":"140"},"uris":["http://www.mendeley.com/documents/?uuid=48290ede-8557-42d6-b9cb-c55659f742fb"]},{"id":"ITEM-2","itemData":{"DOI":"10.4161/auto.5.5.8504","ISBN":"1554-8635; 1554-8627","ISSN":"15548635","PMID":"19395872","abstract":"Rapamycin is widely used as a complete inhibitor of the mTORC1 nutrient-sensitive signaling complex. Using a novel ATP-competitive inhibitor named Torin1, we have found that many mTORC1 functions that regulate cap-dependent translation and autophagy are resistant to inhibition by rapamycin.","author":[{"dropping-particle":"","family":"Thoreen","given":"Carson C.","non-dropping-particle":"","parse-names":false,"suffix":""},{"dropping-particle":"","family":"Sabatini","given":"David M.","non-dropping-particle":"","parse-names":false,"suffix":""}],"container-title":"Autophagy","id":"ITEM-2","issue":"5","issued":{"date-parts":[["2009"]]},"page":"725-726","title":"Rapamycin inhibits mTORC1, but not completely","type":"article-journal","volume":"5"},"uris":["http://www.mendeley.com/documents/?uuid=7b505749-59a5-4139-9381-4573d17b44f1"]}],"mendeley":{"formattedCitation":"(192, 193)","plainTextFormattedCitation":"(192, 193)","previouslyFormattedCitation":"(192, 193)"},"properties":{"noteIndex":0},"schema":"https://github.com/citation-style-language/schema/raw/master/csl-citation.json"}</w:instrText>
      </w:r>
      <w:r w:rsidR="00D51FC4">
        <w:fldChar w:fldCharType="separate"/>
      </w:r>
      <w:r w:rsidR="00E934D3" w:rsidRPr="00E934D3">
        <w:rPr>
          <w:noProof/>
        </w:rPr>
        <w:t>(192, 193)</w:t>
      </w:r>
      <w:r w:rsidR="00D51FC4">
        <w:fldChar w:fldCharType="end"/>
      </w:r>
      <w:r w:rsidR="00D51FC4">
        <w:t xml:space="preserve">. </w:t>
      </w:r>
      <w:r w:rsidR="0013606C">
        <w:t>In order to</w:t>
      </w:r>
      <w:r w:rsidR="00D51FC4">
        <w:t xml:space="preserve"> monitor the induction of autophagy and </w:t>
      </w:r>
      <w:r w:rsidR="0013606C">
        <w:t xml:space="preserve">the </w:t>
      </w:r>
      <w:r w:rsidR="00D51FC4">
        <w:t>autophagic flux</w:t>
      </w:r>
      <w:r w:rsidR="0013606C">
        <w:t xml:space="preserve"> triggered by rapamycin, </w:t>
      </w:r>
      <w:r w:rsidR="00D51FC4">
        <w:t>the conversion of LC3-I to LC3-II and the subsequent degradation of LC3-II</w:t>
      </w:r>
      <w:r w:rsidR="0013606C">
        <w:t xml:space="preserve"> are cellular markers of autophagy</w:t>
      </w:r>
      <w:r w:rsidR="00D51FC4">
        <w:fldChar w:fldCharType="begin" w:fldLock="1"/>
      </w:r>
      <w:r w:rsidR="0013606C">
        <w:instrText>ADDIN CSL_CITATION {"citationItems":[{"id":"ITEM-1","itemData":{"DOI":"10.1016/j.cell.2010.01.028","ISSN":"00928674","PMID":"20144757","author":[{"dropping-particle":"","family":"Mizushima","given":"Noboru","non-dropping-particle":"","parse-names":false,"suffix":""},{"dropping-particle":"","family":"Yoshimori","given":"Tamotsu","non-dropping-particle":"","parse-names":false,"suffix":""},{"dropping-particle":"","family":"Levine","given":"Beth","non-dropping-particle":"","parse-names":false,"suffix":""}],"container-title":"Cell","id":"ITEM-1","issue":"3","issued":{"date-parts":[["2010","2"]]},"page":"313-326","title":"Methods in Mammalian Autophagy Research","type":"article-journal","volume":"140"},"uris":["http://www.mendeley.com/documents/?uuid=48290ede-8557-42d6-b9cb-c55659f742fb"]},{"id":"ITEM-2","itemData":{"DOI":"10.1007/978-1-59745-157-4_4","ISSN":"1064-3745","PMID":"18425443","abstract":"Microtubule-associated protein 1A/1B-light chain 3 (LC3) is a soluble protein with a molecular mass of approximately 17 kDa that is distributed ubiquitously in mammalian tissues and cultured cells. During autophagy, autophagosomes engulf cytoplasmic components, including cytosolic proteins and organelles. Concomitantly, a cytosolic form of LC3 (LC3-I) is conjugated to phosphatidylethanolamine to form LC3-phosphatidylethanolamine conjugate (LC3-II), which is recruited to autophagosomal membranes. Autophagosomes fuse with lysosomes to form autolysosomes, and intra-autophagosomal components are degraded by lysosomal hydrolases. At the same time, LC3-II in autolysosomal lumen is degraded. Thus, lysosomal turnover of the autophagosomal marker LC3-II reflects starvation-induced autophagic activity, and detecting LC3 by immunoblotting or immunofluorescence has become a reliable method for monitoring autophagy and autophagy-related processes, including autophagic cell death. Here we describe basic protocols to assay for endogenous LC3-II by immunoblotting, immunoprecipitation, and immunofluorescence.","author":[{"dropping-particle":"","family":"Tanida","given":"Isei","non-dropping-particle":"","parse-names":false,"suffix":""},{"dropping-particle":"","family":"Ueno","given":"Takashi","non-dropping-particle":"","parse-names":false,"suffix":""},{"dropping-particle":"","family":"Kominami","given":"Eiki","non-dropping-particle":"","parse-names":false,"suffix":""}],"container-title":"Methods in molecular biology (Clifton, N.J.)","id":"ITEM-2","issued":{"date-parts":[["2008"]]},"page":"77-88","title":"LC3 and Autophagy","type":"chapter","volume":"445"},"uris":["http://www.mendeley.com/documents/?uuid=b543e679-6edf-336c-a7af-d5b8f7f720d3"]}],"mendeley":{"formattedCitation":"(192, 194)","plainTextFormattedCitation":"(192, 194)","previouslyFormattedCitation":"(192, 194)"},"properties":{"noteIndex":0},"schema":"https://github.com/citation-style-language/schema/raw/master/csl-citation.json"}</w:instrText>
      </w:r>
      <w:r w:rsidR="00D51FC4">
        <w:fldChar w:fldCharType="separate"/>
      </w:r>
      <w:r w:rsidR="00E934D3" w:rsidRPr="00E934D3">
        <w:rPr>
          <w:noProof/>
        </w:rPr>
        <w:t>(192, 194)</w:t>
      </w:r>
      <w:r w:rsidR="00D51FC4">
        <w:fldChar w:fldCharType="end"/>
      </w:r>
      <w:r w:rsidR="00D51FC4">
        <w:t>. In addition to LC3 monitoring,</w:t>
      </w:r>
      <w:r w:rsidR="005A31B8">
        <w:t xml:space="preserve"> which is an indicator of early autophagy,</w:t>
      </w:r>
      <w:r w:rsidR="0013606C">
        <w:t xml:space="preserve"> the protein</w:t>
      </w:r>
      <w:r w:rsidR="00D51FC4">
        <w:t xml:space="preserve"> p62 is </w:t>
      </w:r>
      <w:r w:rsidR="005A31B8">
        <w:t xml:space="preserve">selectively </w:t>
      </w:r>
      <w:r w:rsidR="0013606C">
        <w:t>degraded</w:t>
      </w:r>
      <w:r w:rsidR="005A31B8">
        <w:t xml:space="preserve"> during autophagy</w:t>
      </w:r>
      <w:r w:rsidR="0013606C">
        <w:t>,</w:t>
      </w:r>
      <w:r w:rsidR="005A31B8">
        <w:t xml:space="preserve"> and</w:t>
      </w:r>
      <w:r w:rsidR="0013606C">
        <w:t xml:space="preserve"> p62 degradation is a marker of</w:t>
      </w:r>
      <w:r w:rsidR="005A31B8">
        <w:t xml:space="preserve"> autophagic flux</w:t>
      </w:r>
      <w:r w:rsidR="005A31B8">
        <w:fldChar w:fldCharType="begin" w:fldLock="1"/>
      </w:r>
      <w:r w:rsidR="0013606C">
        <w:instrText>ADDIN CSL_CITATION {"citationItems":[{"id":"ITEM-1","itemData":{"DOI":"10.1016/j.cell.2010.01.028","ISSN":"00928674","PMID":"20144757","author":[{"dropping-particle":"","family":"Mizushima","given":"Noboru","non-dropping-particle":"","parse-names":false,"suffix":""},{"dropping-particle":"","family":"Yoshimori","given":"Tamotsu","non-dropping-particle":"","parse-names":false,"suffix":""},{"dropping-particle":"","family":"Levine","given":"Beth","non-dropping-particle":"","parse-names":false,"suffix":""}],"container-title":"Cell","id":"ITEM-1","issue":"3","issued":{"date-parts":[["2010","2"]]},"page":"313-326","title":"Methods in Mammalian Autophagy Research","type":"article-journal","volume":"140"},"uris":["http://www.mendeley.com/documents/?uuid=48290ede-8557-42d6-b9cb-c55659f742fb"]}],"mendeley":{"formattedCitation":"(192)","plainTextFormattedCitation":"(192)","previouslyFormattedCitation":"(192)"},"properties":{"noteIndex":0},"schema":"https://github.com/citation-style-language/schema/raw/master/csl-citation.json"}</w:instrText>
      </w:r>
      <w:r w:rsidR="005A31B8">
        <w:fldChar w:fldCharType="separate"/>
      </w:r>
      <w:r w:rsidR="00E934D3" w:rsidRPr="00E934D3">
        <w:rPr>
          <w:noProof/>
        </w:rPr>
        <w:t>(192)</w:t>
      </w:r>
      <w:r w:rsidR="005A31B8">
        <w:fldChar w:fldCharType="end"/>
      </w:r>
      <w:r w:rsidR="005A31B8">
        <w:t>.</w:t>
      </w:r>
      <w:r w:rsidR="00D51FC4">
        <w:t xml:space="preserve"> Another common </w:t>
      </w:r>
      <w:r w:rsidR="0013606C">
        <w:t>reagent used</w:t>
      </w:r>
      <w:r w:rsidR="00D51FC4">
        <w:t xml:space="preserve"> to measure autophagic flux is </w:t>
      </w:r>
      <w:r w:rsidR="0013606C">
        <w:t xml:space="preserve">the </w:t>
      </w:r>
      <w:r w:rsidR="00D51FC4">
        <w:t>inhibitor</w:t>
      </w:r>
      <w:r w:rsidR="0013606C">
        <w:t xml:space="preserve"> compound</w:t>
      </w:r>
      <w:r w:rsidR="00D51FC4">
        <w:t xml:space="preserve"> chloroquine</w:t>
      </w:r>
      <w:r w:rsidR="0013606C">
        <w:t xml:space="preserve"> (CQ)</w:t>
      </w:r>
      <w:r w:rsidR="00E819D1">
        <w:t xml:space="preserve"> </w:t>
      </w:r>
      <w:r w:rsidR="00E819D1" w:rsidRPr="00FB099D">
        <w:t>(</w:t>
      </w:r>
      <w:r w:rsidR="00E819D1" w:rsidRPr="00FB099D">
        <w:rPr>
          <w:b/>
        </w:rPr>
        <w:fldChar w:fldCharType="begin"/>
      </w:r>
      <w:r w:rsidR="00E819D1" w:rsidRPr="00FB099D">
        <w:rPr>
          <w:b/>
        </w:rPr>
        <w:instrText xml:space="preserve"> REF _Ref530244345 \h </w:instrText>
      </w:r>
      <w:r w:rsidR="001B3703" w:rsidRPr="00FB099D">
        <w:rPr>
          <w:b/>
        </w:rPr>
        <w:instrText xml:space="preserve"> \* MERGEFORMAT </w:instrText>
      </w:r>
      <w:r w:rsidR="00E819D1" w:rsidRPr="00FB099D">
        <w:rPr>
          <w:b/>
        </w:rPr>
      </w:r>
      <w:r w:rsidR="00E819D1" w:rsidRPr="00FB099D">
        <w:rPr>
          <w:b/>
        </w:rPr>
        <w:fldChar w:fldCharType="separate"/>
      </w:r>
      <w:r w:rsidR="00E2070A" w:rsidRPr="00E2070A">
        <w:rPr>
          <w:b/>
        </w:rPr>
        <w:t xml:space="preserve">Figure </w:t>
      </w:r>
      <w:r w:rsidR="00E2070A" w:rsidRPr="00E2070A">
        <w:rPr>
          <w:b/>
          <w:noProof/>
        </w:rPr>
        <w:t>15</w:t>
      </w:r>
      <w:r w:rsidR="00E819D1" w:rsidRPr="00FB099D">
        <w:rPr>
          <w:b/>
        </w:rPr>
        <w:fldChar w:fldCharType="end"/>
      </w:r>
      <w:r w:rsidR="00E819D1">
        <w:t>)</w:t>
      </w:r>
      <w:r w:rsidR="0013606C" w:rsidRPr="0013606C">
        <w:t xml:space="preserve"> </w:t>
      </w:r>
      <w:r w:rsidR="0013606C">
        <w:fldChar w:fldCharType="begin" w:fldLock="1"/>
      </w:r>
      <w:r w:rsidR="0013606C">
        <w:instrText>ADDIN CSL_CITATION {"citationItems":[{"id":"ITEM-1","itemData":{"DOI":"10.1016/j.cell.2010.01.028","ISSN":"00928674","PMID":"20144757","author":[{"dropping-particle":"","family":"Mizushima","given":"Noboru","non-dropping-particle":"","parse-names":false,"suffix":""},{"dropping-particle":"","family":"Yoshimori","given":"Tamotsu","non-dropping-particle":"","parse-names":false,"suffix":""},{"dropping-particle":"","family":"Levine","given":"Beth","non-dropping-particle":"","parse-names":false,"suffix":""}],"container-title":"Cell","id":"ITEM-1","issue":"3","issued":{"date-parts":[["2010","2"]]},"page":"313-326","title":"Methods in Mammalian Autophagy Research","type":"article-journal","volume":"140"},"uris":["http://www.mendeley.com/documents/?uuid=48290ede-8557-42d6-b9cb-c55659f742fb"]}],"mendeley":{"formattedCitation":"(192)","plainTextFormattedCitation":"(192)","previouslyFormattedCitation":"(192)"},"properties":{"noteIndex":0},"schema":"https://github.com/citation-style-language/schema/raw/master/csl-citation.json"}</w:instrText>
      </w:r>
      <w:r w:rsidR="0013606C">
        <w:fldChar w:fldCharType="separate"/>
      </w:r>
      <w:r w:rsidR="0013606C" w:rsidRPr="00E934D3">
        <w:rPr>
          <w:noProof/>
        </w:rPr>
        <w:t>(192)</w:t>
      </w:r>
      <w:r w:rsidR="0013606C">
        <w:fldChar w:fldCharType="end"/>
      </w:r>
      <w:r w:rsidR="0013606C">
        <w:t>.</w:t>
      </w:r>
      <w:r w:rsidR="00D51FC4">
        <w:t xml:space="preserve"> </w:t>
      </w:r>
      <w:r w:rsidR="0013606C">
        <w:t>CQ blocks the fusion of</w:t>
      </w:r>
      <w:r w:rsidR="00D51FC4">
        <w:t xml:space="preserve"> the</w:t>
      </w:r>
      <w:r w:rsidR="0013606C">
        <w:t xml:space="preserve"> autophagasome with the</w:t>
      </w:r>
      <w:r w:rsidR="00D51FC4">
        <w:t xml:space="preserve"> lysosome</w:t>
      </w:r>
      <w:r w:rsidR="005A31B8">
        <w:t xml:space="preserve"> and </w:t>
      </w:r>
      <w:r w:rsidR="0013606C">
        <w:t xml:space="preserve">this </w:t>
      </w:r>
      <w:r w:rsidR="0013606C">
        <w:lastRenderedPageBreak/>
        <w:t>prevents</w:t>
      </w:r>
      <w:r w:rsidR="005A31B8">
        <w:t xml:space="preserve"> the </w:t>
      </w:r>
      <w:r w:rsidR="0013606C">
        <w:t xml:space="preserve">autophagocytic degradation of proteins, including the proteins used as markers of induction of autophagy </w:t>
      </w:r>
      <w:r w:rsidR="00D51FC4">
        <w:fldChar w:fldCharType="begin" w:fldLock="1"/>
      </w:r>
      <w:r w:rsidR="0011215B">
        <w:instrText>ADDIN CSL_CITATION {"citationItems":[{"id":"ITEM-1","itemData":{"DOI":"10.1080/15548627.2018.1474314","ISSN":"15548635","PMID":"29940786","abstract":"AbstractMacroautophagy/autophagy is a conserved transport pathway where targeted structures are sequestered by phagophores, which mature into autophagosomes, and then delivered into lysosomes for degradation. Autophagy is involved in the pathophysiology of numerous diseases and its modulation is beneficial for the outcome of numerous specific diseases. Several lysosomal inhibitors such as bafilomycin A1 (BafA1), protease inhibitors and chloroquine (CQ), have been used interchangeably to block autophagy in in vitro experiments assuming that they all primarily block lysosomal degradation. Among them, only CQ and its derivate hydroxychloroquine (HCQ) are FDA-approved drugs and are thus currently the principal compounds used in clinical trials aimed to treat tumors through autophagy inhibition. However, the precise mechanism of how CQ blocks autophagy remains to be firmly demonstrated. In this study, we focus on how CQ inhibits autophagy and directly compare its effects to those of BafA1. We show that CQ main...","author":[{"dropping-particle":"","family":"Mauthe","given":"Mario","non-dropping-particle":"","parse-names":false,"suffix":""},{"dropping-particle":"","family":"Orhon","given":"Idil","non-dropping-particle":"","parse-names":false,"suffix":""},{"dropping-particle":"","family":"Rocchi","given":"Cecilia","non-dropping-particle":"","parse-names":false,"suffix":""},{"dropping-particle":"","family":"Zhou","given":"Xingdong","non-dropping-particle":"","parse-names":false,"suffix":""},{"dropping-particle":"","family":"Luhr","given":"Morten","non-dropping-particle":"","parse-names":false,"suffix":""},{"dropping-particle":"","family":"Hijlkema","given":"Kerst Jan","non-dropping-particle":"","parse-names":false,"suffix":""},{"dropping-particle":"","family":"Coppes","given":"Robert P.","non-dropping-particle":"","parse-names":false,"suffix":""},{"dropping-particle":"","family":"Engedal","given":"Nikolai","non-dropping-particle":"","parse-names":false,"suffix":""},{"dropping-particle":"","family":"Mari","given":"Muriel","non-dropping-particle":"","parse-names":false,"suffix":""},{"dropping-particle":"","family":"Reggiori","given":"Fulvio","non-dropping-particle":"","parse-names":false,"suffix":""}],"container-title":"Autophagy","id":"ITEM-1","issue":"8","issued":{"date-parts":[["2018"]]},"page":"1435-1455","publisher":"Taylor &amp; Francis","title":"Chloroquine inhibits autophagic flux by decreasing autophagosome-lysosome fusion","type":"article-journal","volume":"14"},"uris":["http://www.mendeley.com/documents/?uuid=c18a6c52-3bbd-40c8-8bdd-fab7a777a9d5"]}],"mendeley":{"formattedCitation":"(195)","plainTextFormattedCitation":"(195)","previouslyFormattedCitation":"(195)"},"properties":{"noteIndex":0},"schema":"https://github.com/citation-style-language/schema/raw/master/csl-citation.json"}</w:instrText>
      </w:r>
      <w:r w:rsidR="00D51FC4">
        <w:fldChar w:fldCharType="separate"/>
      </w:r>
      <w:r w:rsidR="0013606C" w:rsidRPr="0013606C">
        <w:rPr>
          <w:noProof/>
        </w:rPr>
        <w:t>(195)</w:t>
      </w:r>
      <w:r w:rsidR="00D51FC4">
        <w:fldChar w:fldCharType="end"/>
      </w:r>
      <w:r w:rsidR="00D51FC4">
        <w:t>.</w:t>
      </w:r>
    </w:p>
    <w:p w:rsidR="004C4888" w:rsidRDefault="004C4888" w:rsidP="00FB099D">
      <w:pPr>
        <w:keepNext/>
        <w:jc w:val="both"/>
      </w:pPr>
      <w:r>
        <w:rPr>
          <w:noProof/>
          <w:lang w:bidi="ar-SA"/>
        </w:rPr>
        <w:drawing>
          <wp:inline distT="0" distB="0" distL="0" distR="0" wp14:anchorId="0D3B51D4" wp14:editId="37BEE80A">
            <wp:extent cx="2743200" cy="4276705"/>
            <wp:effectExtent l="19050" t="19050" r="19050" b="1016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0" cy="4276705"/>
                    </a:xfrm>
                    <a:prstGeom prst="rect">
                      <a:avLst/>
                    </a:prstGeom>
                    <a:noFill/>
                    <a:ln>
                      <a:solidFill>
                        <a:schemeClr val="tx1"/>
                      </a:solidFill>
                    </a:ln>
                  </pic:spPr>
                </pic:pic>
              </a:graphicData>
            </a:graphic>
          </wp:inline>
        </w:drawing>
      </w:r>
    </w:p>
    <w:p w:rsidR="004C4888" w:rsidRPr="00F87923" w:rsidRDefault="00A841B4" w:rsidP="00FB099D">
      <w:pPr>
        <w:pStyle w:val="Caption"/>
        <w:jc w:val="both"/>
      </w:pPr>
      <w:bookmarkStart w:id="89" w:name="_Ref530244345"/>
      <w:bookmarkStart w:id="90" w:name="_Toc530673940"/>
      <w:r w:rsidRPr="00A841B4">
        <w:t>Figure</w:t>
      </w:r>
      <w:r w:rsidR="004C4888">
        <w:t xml:space="preserve"> </w:t>
      </w:r>
      <w:fldSimple w:instr=" SEQ Figure \* ARABIC ">
        <w:r w:rsidR="00E2070A">
          <w:rPr>
            <w:noProof/>
          </w:rPr>
          <w:t>15</w:t>
        </w:r>
      </w:fldSimple>
      <w:bookmarkEnd w:id="89"/>
      <w:r w:rsidR="004C4888">
        <w:t>: Structures of an Autophagy Induce and Inhibitor.</w:t>
      </w:r>
      <w:bookmarkEnd w:id="90"/>
    </w:p>
    <w:p w:rsidR="005A31B8" w:rsidRDefault="00BB364B" w:rsidP="00042529">
      <w:pPr>
        <w:pStyle w:val="Heading3"/>
      </w:pPr>
      <w:bookmarkStart w:id="91" w:name="_Ref530746562"/>
      <w:bookmarkStart w:id="92" w:name="_Toc532553096"/>
      <w:r>
        <w:t>Cycloheximide</w:t>
      </w:r>
      <w:bookmarkEnd w:id="91"/>
      <w:bookmarkEnd w:id="92"/>
    </w:p>
    <w:p w:rsidR="00D159E6" w:rsidRDefault="005A31B8" w:rsidP="00FB099D">
      <w:pPr>
        <w:ind w:firstLine="720"/>
        <w:jc w:val="both"/>
      </w:pPr>
      <w:r>
        <w:t>Cycloheximide</w:t>
      </w:r>
      <w:r w:rsidR="004C4888">
        <w:t xml:space="preserve"> (</w:t>
      </w:r>
      <w:r w:rsidR="004C4888" w:rsidRPr="00FB099D">
        <w:rPr>
          <w:b/>
        </w:rPr>
        <w:fldChar w:fldCharType="begin"/>
      </w:r>
      <w:r w:rsidR="004C4888" w:rsidRPr="00FB099D">
        <w:rPr>
          <w:b/>
        </w:rPr>
        <w:instrText xml:space="preserve"> REF _Ref530242825 \h </w:instrText>
      </w:r>
      <w:r w:rsidR="001B3703" w:rsidRPr="00FB099D">
        <w:rPr>
          <w:b/>
        </w:rPr>
        <w:instrText xml:space="preserve"> \* MERGEFORMAT </w:instrText>
      </w:r>
      <w:r w:rsidR="004C4888" w:rsidRPr="00FB099D">
        <w:rPr>
          <w:b/>
        </w:rPr>
      </w:r>
      <w:r w:rsidR="004C4888" w:rsidRPr="00FB099D">
        <w:rPr>
          <w:b/>
        </w:rPr>
        <w:fldChar w:fldCharType="separate"/>
      </w:r>
      <w:r w:rsidR="00E2070A" w:rsidRPr="00E2070A">
        <w:rPr>
          <w:b/>
        </w:rPr>
        <w:t xml:space="preserve">Figure </w:t>
      </w:r>
      <w:r w:rsidR="00E2070A" w:rsidRPr="00E2070A">
        <w:rPr>
          <w:b/>
          <w:noProof/>
        </w:rPr>
        <w:t>16</w:t>
      </w:r>
      <w:r w:rsidR="004C4888" w:rsidRPr="00FB099D">
        <w:rPr>
          <w:b/>
        </w:rPr>
        <w:fldChar w:fldCharType="end"/>
      </w:r>
      <w:r w:rsidR="004C4888">
        <w:t>)</w:t>
      </w:r>
      <w:r>
        <w:t xml:space="preserve"> (CHX)</w:t>
      </w:r>
      <w:r w:rsidR="0013606C">
        <w:t>, originally isolated from bacteria,</w:t>
      </w:r>
      <w:r>
        <w:t xml:space="preserve"> is a</w:t>
      </w:r>
      <w:r w:rsidR="0013606C">
        <w:t>n</w:t>
      </w:r>
      <w:r>
        <w:t xml:space="preserve"> inhibitor </w:t>
      </w:r>
      <w:r w:rsidR="0013606C">
        <w:t>of</w:t>
      </w:r>
      <w:r>
        <w:t xml:space="preserve"> eukaryotic protein synthesis</w:t>
      </w:r>
      <w:r>
        <w:fldChar w:fldCharType="begin" w:fldLock="1"/>
      </w:r>
      <w:r w:rsidR="0013606C">
        <w:instrText>ADDIN CSL_CITATION {"citationItems":[{"id":"ITEM-1","itemData":{"DOI":"10.1038/nchembio.304","ISSN":"1552-4450","abstract":"The external morphology is described, illustrated and compared with that of the congeners. A note on the habitat of P. lais is appended","author":[{"dropping-particle":"","family":"Schneider-Poetsch","given":"Tilman","non-dropping-particle":"","parse-names":false,"suffix":""},{"dropping-particle":"","family":"Ju","given":"Jianhua","non-dropping-particle":"","parse-names":false,"suffix":""},{"dropping-particle":"","family":"Eyler","given":"Daniel E","non-dropping-particle":"","parse-names":false,"suffix":""},{"dropping-particle":"","family":"Dang","given":"Yongjun","non-dropping-particle":"","parse-names":false,"suffix":""},{"dropping-particle":"","family":"Bhat","given":"Shridhar","non-dropping-particle":"","parse-names":false,"suffix":""},{"dropping-particle":"","family":"Merrick","given":"William C","non-dropping-particle":"","parse-names":false,"suffix":""},{"dropping-particle":"","family":"Green","given":"Rachel","non-dropping-particle":"","parse-names":false,"suffix":""},{"dropping-particle":"","family":"Shen","given":"Ben","non-dropping-particle":"","parse-names":false,"suffix":""},{"dropping-particle":"","family":"Liu","given":"Jun O","non-dropping-particle":"","parse-names":false,"suffix":""}],"container-title":"Nature Chemical Biology","id":"ITEM-1","issue":"3","issued":{"date-parts":[["2010","3"]]},"page":"209-217","title":"Inhibition of eukaryotic translation elongation by cycloheximide and lactimidomycin","type":"article-journal","volume":"6"},"uris":["http://www.mendeley.com/documents/?uuid=a24e24cb-d123-494f-ad22-be2413f9f434","http://www.mendeley.com/documents/?uuid=b04f0740-5aef-40cc-9f71-27d8cfe07001"]}],"mendeley":{"formattedCitation":"(196)","plainTextFormattedCitation":"(196)","previouslyFormattedCitation":"(196)"},"properties":{"noteIndex":0},"schema":"https://github.com/citation-style-language/schema/raw/master/csl-citation.json"}</w:instrText>
      </w:r>
      <w:r>
        <w:fldChar w:fldCharType="separate"/>
      </w:r>
      <w:r w:rsidR="0013606C" w:rsidRPr="0013606C">
        <w:rPr>
          <w:noProof/>
        </w:rPr>
        <w:t>(196)</w:t>
      </w:r>
      <w:r>
        <w:fldChar w:fldCharType="end"/>
      </w:r>
      <w:r>
        <w:t xml:space="preserve">. CHX has </w:t>
      </w:r>
      <w:r w:rsidR="0013606C">
        <w:t>b</w:t>
      </w:r>
      <w:r>
        <w:t>lock</w:t>
      </w:r>
      <w:r w:rsidR="0013606C">
        <w:t>s</w:t>
      </w:r>
      <w:r>
        <w:t xml:space="preserve"> the elongation phase of translation by binding to the ribosome and inhibits the </w:t>
      </w:r>
      <w:r w:rsidR="0011215B">
        <w:t xml:space="preserve">eEF2-mediated </w:t>
      </w:r>
      <w:r>
        <w:t>translocation step</w:t>
      </w:r>
      <w:r w:rsidR="00671534">
        <w:t xml:space="preserve"> from the A to the P site</w:t>
      </w:r>
      <w:r>
        <w:fldChar w:fldCharType="begin" w:fldLock="1"/>
      </w:r>
      <w:r w:rsidR="00671534">
        <w:instrText>ADDIN CSL_CITATION {"citationItems":[{"id":"ITEM-1","itemData":{"ISSN":"0021-9258","PMID":"5541758","author":[{"dropping-particle":"","family":"Obrig","given":"T G","non-dropping-particle":"","parse-names":false,"suffix":""},{"dropping-particle":"","family":"Culp","given":"W J","non-dropping-particle":"","parse-names":false,"suffix":""},{"dropping-particle":"","family":"McKeehan","given":"W L","non-dropping-particle":"","parse-names":false,"suffix":""},{"dropping-particle":"","family":"Hardesty","given":"Boyd","non-dropping-particle":"","parse-names":false,"suffix":""}],"container-title":"The Journal of biological chemistry","id":"ITEM-1","issue":"1","issued":{"date-parts":[["1971","1","10"]]},"page":"174-81","title":"The mechanism by which cycloheximide and related glutarimide antibiotics inhibit peptide synthesis on reticulocyte ribosomes.","type":"article-journal","volume":"246"},"uris":["http://www.mendeley.com/documents/?uuid=97a78bca-8ad7-4cf5-9e87-59235144a7ef","http://www.mendeley.com/documents/?uuid=3963e2b2-bae4-4f67-89b6-41e02207650a"]},{"id":"ITEM-2","itemData":{"DOI":"10.1038/nchembio.304","ISSN":"1552-4450","abstract":"The external morphology is described, illustrated and compared with that of the congeners. A note on the habitat of P. lais is appended","author":[{"dropping-particle":"","family":"Schneider-Poetsch","given":"Tilman","non-dropping-particle":"","parse-names":false,"suffix":""},{"dropping-particle":"","family":"Ju","given":"Jianhua","non-dropping-particle":"","parse-names":false,"suffix":""},{"dropping-particle":"","family":"Eyler","given":"Daniel E","non-dropping-particle":"","parse-names":false,"suffix":""},{"dropping-particle":"","family":"Dang","given":"Yongjun","non-dropping-particle":"","parse-names":false,"suffix":""},{"dropping-particle":"","family":"Bhat","given":"Shridhar","non-dropping-particle":"","parse-names":false,"suffix":""},{"dropping-particle":"","family":"Merrick","given":"William C","non-dropping-particle":"","parse-names":false,"suffix":""},{"dropping-particle":"","family":"Green","given":"Rachel","non-dropping-particle":"","parse-names":false,"suffix":""},{"dropping-particle":"","family":"Shen","given":"Ben","non-dropping-particle":"","parse-names":false,"suffix":""},{"dropping-particle":"","family":"Liu","given":"Jun O","non-dropping-particle":"","parse-names":false,"suffix":""}],"container-title":"Nature Chemical Biology","id":"ITEM-2","issue":"3","issued":{"date-parts":[["2010","3"]]},"page":"209-217","title":"Inhibition of eukaryotic translation elongation by cycloheximide and lactimidomycin","type":"article-journal","volume":"6"},"uris":["http://www.mendeley.com/documents/?uuid=b04f0740-5aef-40cc-9f71-27d8cfe07001"]}],"mendeley":{"formattedCitation":"(196, 197)","plainTextFormattedCitation":"(196, 197)","previouslyFormattedCitation":"(196, 197)"},"properties":{"noteIndex":0},"schema":"https://github.com/citation-style-language/schema/raw/master/csl-citation.json"}</w:instrText>
      </w:r>
      <w:r>
        <w:fldChar w:fldCharType="separate"/>
      </w:r>
      <w:r w:rsidR="0011215B" w:rsidRPr="0011215B">
        <w:rPr>
          <w:noProof/>
        </w:rPr>
        <w:t>(196, 197)</w:t>
      </w:r>
      <w:r>
        <w:fldChar w:fldCharType="end"/>
      </w:r>
      <w:r>
        <w:t xml:space="preserve">. </w:t>
      </w:r>
      <w:r w:rsidR="0011215B">
        <w:t xml:space="preserve">The exact mechanism of </w:t>
      </w:r>
      <w:r>
        <w:t xml:space="preserve">CHX </w:t>
      </w:r>
      <w:r w:rsidR="00671534">
        <w:t xml:space="preserve">translation inhibition </w:t>
      </w:r>
      <w:r w:rsidR="0011215B">
        <w:t>is still unknown</w:t>
      </w:r>
      <w:r w:rsidR="00671534">
        <w:t>,</w:t>
      </w:r>
      <w:r w:rsidR="0011215B">
        <w:t xml:space="preserve"> but it is thought that CHX </w:t>
      </w:r>
      <w:r w:rsidR="00671534">
        <w:t xml:space="preserve">requires a </w:t>
      </w:r>
      <w:r>
        <w:t>deacylated tRNA bound to the E site of the ribosome</w:t>
      </w:r>
      <w:r w:rsidR="00671534">
        <w:t xml:space="preserve"> in order to exert its effects</w:t>
      </w:r>
      <w:r w:rsidR="00727F12">
        <w:fldChar w:fldCharType="begin" w:fldLock="1"/>
      </w:r>
      <w:r w:rsidR="0013606C">
        <w:instrText>ADDIN CSL_CITATION {"citationItems":[{"id":"ITEM-1","itemData":{"DOI":"10.1101/gad.1040803","ISBN":"0890-9369 (Print)","ISSN":"08909369","PMID":"12533507","abstract":"Reconstitution of translation elongation from purified components confirmed that ribosomes that assembled on the Cricket paralysis virus intercistronic internal ribosomal entry site (IRES) without the involvement of initiation factors or initiator tRNA were active in elongation and are, therefore, true initiation complexes. The first elongation cycle occurred without peptide bond formation on 80S ribosomes that did not contain tRNA in the P site. It required elongation factors 1A and 2 and A site-cognate aminoacylated tRNA. Cycloheximide arrested ribosomes on the IRES only after two cycles of elongation, when the first deacylated tRNA reached the E-site after translocation from the A-site.","author":[{"dropping-particle":"V.","family":"Pestova","given":"Tatyana","non-dropping-particle":"","parse-names":false,"suffix":""},{"dropping-particle":"","family":"Hellen","given":"Christopher U.T.","non-dropping-particle":"","parse-names":false,"suffix":""}],"container-title":"Genes and Development","id":"ITEM-1","issue":"2","issued":{"date-parts":[["2003"]]},"page":"181-186","title":"Translation elongation after assembly of ribosomes on the Cricket paralysis virus internal ribosomal entry site without initiation factors or initiator tRNA","type":"article-journal","volume":"17"},"uris":["http://www.mendeley.com/documents/?uuid=bfc76741-6ea7-4d33-be77-5e4dcda5c71f","http://www.mendeley.com/documents/?uuid=a6e52861-7df9-41aa-8683-fedc717a7b7c"]},{"id":"ITEM-2","itemData":{"DOI":"10.1038/nchembio.304","ISSN":"1552-4450","abstract":"The external morphology is described, illustrated and compared with that of the congeners. A note on the habitat of P. lais is appended","author":[{"dropping-particle":"","family":"Schneider-Poetsch","given":"Tilman","non-dropping-particle":"","parse-names":false,"suffix":""},{"dropping-particle":"","family":"Ju","given":"Jianhua","non-dropping-particle":"","parse-names":false,"suffix":""},{"dropping-particle":"","family":"Eyler","given":"Daniel E","non-dropping-particle":"","parse-names":false,"suffix":""},{"dropping-particle":"","family":"Dang","given":"Yongjun","non-dropping-particle":"","parse-names":false,"suffix":""},{"dropping-particle":"","family":"Bhat","given":"Shridhar","non-dropping-particle":"","parse-names":false,"suffix":""},{"dropping-particle":"","family":"Merrick","given":"William C","non-dropping-particle":"","parse-names":false,"suffix":""},{"dropping-particle":"","family":"Green","given":"Rachel","non-dropping-particle":"","parse-names":false,"suffix":""},{"dropping-particle":"","family":"Shen","given":"Ben","non-dropping-particle":"","parse-names":false,"suffix":""},{"dropping-particle":"","family":"Liu","given":"Jun O","non-dropping-particle":"","parse-names":false,"suffix":""}],"container-title":"Nature Chemical Biology","id":"ITEM-2","issue":"3","issued":{"date-parts":[["2010","3"]]},"page":"209-217","title":"Inhibition of eukaryotic translation elongation by cycloheximide and lactimidomycin","type":"article-journal","volume":"6"},"uris":["http://www.mendeley.com/documents/?uuid=b04f0740-5aef-40cc-9f71-27d8cfe07001","http://www.mendeley.com/documents/?uuid=a24e24cb-d123-494f-ad22-be2413f9f434"]}],"mendeley":{"formattedCitation":"(196, 198)","plainTextFormattedCitation":"(196, 198)","previouslyFormattedCitation":"(196, 198)"},"properties":{"noteIndex":0},"schema":"https://github.com/citation-style-language/schema/raw/master/csl-citation.json"}</w:instrText>
      </w:r>
      <w:r w:rsidR="00727F12">
        <w:fldChar w:fldCharType="separate"/>
      </w:r>
      <w:r w:rsidR="0013606C" w:rsidRPr="0013606C">
        <w:rPr>
          <w:noProof/>
        </w:rPr>
        <w:t>(196, 198)</w:t>
      </w:r>
      <w:r w:rsidR="00727F12">
        <w:fldChar w:fldCharType="end"/>
      </w:r>
      <w:r>
        <w:t>. Due to this ability to inhibit protein synthesis, CHX is used</w:t>
      </w:r>
      <w:r w:rsidR="00671534">
        <w:t xml:space="preserve"> as a cellular reagent</w:t>
      </w:r>
      <w:r>
        <w:t xml:space="preserve"> to determine the half-life of proteins </w:t>
      </w:r>
      <w:r w:rsidR="00671534">
        <w:t>in cells</w:t>
      </w:r>
      <w:r>
        <w:fldChar w:fldCharType="begin" w:fldLock="1"/>
      </w:r>
      <w:r w:rsidR="0013606C">
        <w:instrText>ADDIN CSL_CITATION {"citationItems":[{"id":"ITEM-1","itemData":{"DOI":"10.3791/53975","ISBN":"1940-087X (Electronic)\r1940-087X (Linking)","ISSN":"1940-087X","PMID":"27167179","abstract":"Regulation of protein abundance is crucial to virtually every cellular process. Protein abundance reflects the integration of the rates of protein synthesis and protein degradation. Many assays reporting on protein abundance (e.g., single-time point western blotting, flow cytometry, fluorescence microscopy, or growth-based reporter assays) do not allow discrimination of the relative effects of translation and proteolysis on protein levels. This article describes the use of cycloheximide chase followed by western blotting to specifically analyze protein degradation in the model unicellular eukaryote, Saccharomyces cerevisiae (budding yeast). In this procedure, yeast cells are incubated in the presence of the translational inhibitor cycloheximide. Aliquots of cells are collected immediately after and at specific time points following addition of cycloheximide. Cells are lysed, and the lysates are separated by polyacrylamide gel electrophoresis for western blot analysis of protein abundance at each time point. The cycloheximide chase procedure permits visualization of the degradation kinetics of the steady state population of a variety of cellular proteins. The procedure may be used to investigate the genetic requirements for and environmental influences on protein degradation.","author":[{"dropping-particle":"","family":"Buchanan","given":"Bryce W.","non-dropping-particle":"","parse-names":false,"suffix":""},{"dropping-particle":"","family":"Lloyd","given":"Michael E.","non-dropping-particle":"","parse-names":false,"suffix":""},{"dropping-particle":"","family":"Engle","given":"Sarah M.","non-dropping-particle":"","parse-names":false,"suffix":""},{"dropping-particle":"","family":"Rubenstein","given":"Eric M.","non-dropping-particle":"","parse-names":false,"suffix":""}],"container-title":"Journal of Visualized Experiments","id":"ITEM-1","issue":"110","issued":{"date-parts":[["2016"]]},"page":"1-9","title":"Cycloheximide Chase Analysis of Protein Degradation in &amp;lt;em&amp;gt;Saccharomyces cerevisiae&amp;lt;/em&amp;gt;","type":"article-journal"},"uris":["http://www.mendeley.com/documents/?uuid=8f4dba36-ed14-481d-849e-5d8c7714de81","http://www.mendeley.com/documents/?uuid=4865f367-4cb4-4816-a75a-2b78739ff1db"]}],"mendeley":{"formattedCitation":"(199)","plainTextFormattedCitation":"(199)","previouslyFormattedCitation":"(199)"},"properties":{"noteIndex":0},"schema":"https://github.com/citation-style-language/schema/raw/master/csl-citation.json"}</w:instrText>
      </w:r>
      <w:r>
        <w:fldChar w:fldCharType="separate"/>
      </w:r>
      <w:r w:rsidR="0013606C" w:rsidRPr="0013606C">
        <w:rPr>
          <w:noProof/>
        </w:rPr>
        <w:t>(199)</w:t>
      </w:r>
      <w:r>
        <w:fldChar w:fldCharType="end"/>
      </w:r>
      <w:r>
        <w:t>.</w:t>
      </w:r>
    </w:p>
    <w:p w:rsidR="004C4888" w:rsidRDefault="004C4888" w:rsidP="00FB099D">
      <w:pPr>
        <w:keepNext/>
        <w:jc w:val="both"/>
      </w:pPr>
      <w:r w:rsidRPr="004C4888">
        <w:rPr>
          <w:noProof/>
          <w:lang w:bidi="ar-SA"/>
        </w:rPr>
        <w:lastRenderedPageBreak/>
        <w:drawing>
          <wp:inline distT="0" distB="0" distL="0" distR="0" wp14:anchorId="31D8A00D" wp14:editId="5E80D316">
            <wp:extent cx="2286000" cy="1735481"/>
            <wp:effectExtent l="19050" t="19050" r="19050" b="171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0" cy="1735481"/>
                    </a:xfrm>
                    <a:prstGeom prst="rect">
                      <a:avLst/>
                    </a:prstGeom>
                    <a:noFill/>
                    <a:ln>
                      <a:solidFill>
                        <a:schemeClr val="tx1"/>
                      </a:solidFill>
                    </a:ln>
                  </pic:spPr>
                </pic:pic>
              </a:graphicData>
            </a:graphic>
          </wp:inline>
        </w:drawing>
      </w:r>
    </w:p>
    <w:p w:rsidR="00196EDB" w:rsidRDefault="00A841B4" w:rsidP="00FB099D">
      <w:pPr>
        <w:pStyle w:val="Caption"/>
        <w:jc w:val="both"/>
      </w:pPr>
      <w:bookmarkStart w:id="93" w:name="_Ref530242825"/>
      <w:bookmarkStart w:id="94" w:name="_Toc530673941"/>
      <w:r w:rsidRPr="00A841B4">
        <w:t>Figure</w:t>
      </w:r>
      <w:r w:rsidR="004C4888">
        <w:t xml:space="preserve"> </w:t>
      </w:r>
      <w:fldSimple w:instr=" SEQ Figure \* ARABIC ">
        <w:r w:rsidR="00E2070A">
          <w:rPr>
            <w:noProof/>
          </w:rPr>
          <w:t>16</w:t>
        </w:r>
      </w:fldSimple>
      <w:bookmarkEnd w:id="93"/>
      <w:r w:rsidR="004C4888">
        <w:t>: Structure of Cycloheximide.</w:t>
      </w:r>
      <w:bookmarkEnd w:id="94"/>
    </w:p>
    <w:p w:rsidR="00196EDB" w:rsidRDefault="00196EDB" w:rsidP="00FB099D">
      <w:pPr>
        <w:ind w:firstLine="720"/>
        <w:jc w:val="both"/>
      </w:pPr>
    </w:p>
    <w:p w:rsidR="00196EDB" w:rsidRDefault="00196EDB" w:rsidP="00FB099D">
      <w:pPr>
        <w:ind w:firstLine="720"/>
        <w:jc w:val="both"/>
      </w:pPr>
    </w:p>
    <w:p w:rsidR="00196EDB" w:rsidRDefault="00196EDB" w:rsidP="00FB099D">
      <w:pPr>
        <w:ind w:firstLine="720"/>
        <w:jc w:val="both"/>
      </w:pPr>
    </w:p>
    <w:p w:rsidR="00196EDB" w:rsidRDefault="00196EDB" w:rsidP="00FB099D">
      <w:pPr>
        <w:ind w:firstLine="720"/>
        <w:jc w:val="both"/>
      </w:pPr>
    </w:p>
    <w:p w:rsidR="00E819D1" w:rsidRDefault="00E819D1" w:rsidP="00FB099D">
      <w:pPr>
        <w:ind w:firstLine="720"/>
        <w:jc w:val="both"/>
      </w:pPr>
    </w:p>
    <w:p w:rsidR="00E819D1" w:rsidRDefault="00E819D1" w:rsidP="00FB099D">
      <w:pPr>
        <w:ind w:firstLine="720"/>
        <w:jc w:val="both"/>
      </w:pPr>
    </w:p>
    <w:p w:rsidR="0015171B" w:rsidRDefault="0015171B" w:rsidP="00FB099D">
      <w:pPr>
        <w:ind w:firstLine="720"/>
        <w:jc w:val="both"/>
      </w:pPr>
    </w:p>
    <w:p w:rsidR="0015171B" w:rsidRDefault="0015171B" w:rsidP="00FB099D">
      <w:pPr>
        <w:ind w:firstLine="720"/>
        <w:jc w:val="both"/>
      </w:pPr>
    </w:p>
    <w:p w:rsidR="0015171B" w:rsidRDefault="0015171B" w:rsidP="00FB099D">
      <w:pPr>
        <w:ind w:firstLine="720"/>
        <w:jc w:val="both"/>
      </w:pPr>
    </w:p>
    <w:p w:rsidR="0015171B" w:rsidRDefault="0015171B" w:rsidP="00FB099D">
      <w:pPr>
        <w:ind w:firstLine="720"/>
        <w:jc w:val="both"/>
      </w:pPr>
    </w:p>
    <w:p w:rsidR="0015171B" w:rsidRDefault="0015171B" w:rsidP="00FB099D">
      <w:pPr>
        <w:ind w:firstLine="720"/>
        <w:jc w:val="both"/>
      </w:pPr>
    </w:p>
    <w:p w:rsidR="0015171B" w:rsidRDefault="0015171B" w:rsidP="00FB099D">
      <w:pPr>
        <w:ind w:firstLine="720"/>
        <w:jc w:val="both"/>
      </w:pPr>
    </w:p>
    <w:p w:rsidR="0015171B" w:rsidRDefault="0015171B" w:rsidP="00FB099D">
      <w:pPr>
        <w:ind w:firstLine="720"/>
        <w:jc w:val="both"/>
      </w:pPr>
    </w:p>
    <w:p w:rsidR="0015171B" w:rsidRDefault="0015171B" w:rsidP="00FB099D">
      <w:pPr>
        <w:ind w:firstLine="720"/>
        <w:jc w:val="both"/>
      </w:pPr>
    </w:p>
    <w:p w:rsidR="0015171B" w:rsidRDefault="0015171B" w:rsidP="00FB099D">
      <w:pPr>
        <w:ind w:firstLine="720"/>
        <w:jc w:val="both"/>
      </w:pPr>
    </w:p>
    <w:p w:rsidR="00FB099D" w:rsidRDefault="00FB099D" w:rsidP="00D777D3">
      <w:pPr>
        <w:jc w:val="both"/>
      </w:pPr>
    </w:p>
    <w:p w:rsidR="00E819D1" w:rsidRPr="00BB364B" w:rsidRDefault="00E819D1" w:rsidP="00FB099D">
      <w:pPr>
        <w:ind w:firstLine="720"/>
        <w:jc w:val="both"/>
      </w:pPr>
    </w:p>
    <w:p w:rsidR="006C43EC" w:rsidRDefault="006C43EC" w:rsidP="00E87672">
      <w:pPr>
        <w:pStyle w:val="Heading1"/>
      </w:pPr>
      <w:bookmarkStart w:id="95" w:name="_Ref530754809"/>
      <w:bookmarkStart w:id="96" w:name="_Toc532553097"/>
      <w:r w:rsidRPr="00737D20">
        <w:lastRenderedPageBreak/>
        <w:t>Chapter 2: Persistent Reduction of Oxysterol-binding Protein Caused by Compound Treatment Induces P</w:t>
      </w:r>
      <w:r w:rsidR="000326F6">
        <w:t>rophylactic Anti-Viral Activity</w:t>
      </w:r>
      <w:bookmarkEnd w:id="95"/>
      <w:bookmarkEnd w:id="96"/>
    </w:p>
    <w:p w:rsidR="0047178D" w:rsidRDefault="00417666" w:rsidP="00E87672">
      <w:pPr>
        <w:ind w:firstLine="432"/>
        <w:jc w:val="both"/>
      </w:pPr>
      <w:r>
        <w:t>The following chapter is partially taken from the publication in ACS Chemical Biology by the author of this dissertation:</w:t>
      </w:r>
      <w:r w:rsidRPr="00417666">
        <w:t xml:space="preserve"> Persistent, Multi-Generational Reduction of Oxysterol-Binding Protein Caused by Compound Treatment Induces Prophylactic Anti-Viral Activity</w:t>
      </w:r>
      <w:r>
        <w:t xml:space="preserve">. This was a collaborative work that consists of the following authors: </w:t>
      </w:r>
      <w:r w:rsidRPr="00417666">
        <w:t>Brett L. Roberts, Zachary C. Severance, Ryan C. Bensen, Anh T. Le, Naga Rama Kothapalli, Juan I. Nuñez, Hongyan Ma, Si Wu, Shawna J. Standke, Zhibo Yang, William J. Reddig, Earl L.</w:t>
      </w:r>
      <w:r>
        <w:t xml:space="preserve"> Blewett, Anthony W. G. Burgett. </w:t>
      </w:r>
    </w:p>
    <w:p w:rsidR="00550618" w:rsidRDefault="0047178D" w:rsidP="00E87672">
      <w:pPr>
        <w:ind w:firstLine="432"/>
        <w:jc w:val="both"/>
      </w:pPr>
      <w:r>
        <w:t xml:space="preserve">Mr. </w:t>
      </w:r>
      <w:r w:rsidR="00E87672">
        <w:t>Zachary</w:t>
      </w:r>
      <w:r>
        <w:t xml:space="preserve"> Severance conducted </w:t>
      </w:r>
      <w:r w:rsidR="00550618">
        <w:t>the experiments in</w:t>
      </w:r>
      <w:r w:rsidR="00E23A6C">
        <w:t xml:space="preserve"> </w:t>
      </w:r>
      <w:r w:rsidR="00E23A6C" w:rsidRPr="00E23A6C">
        <w:rPr>
          <w:b/>
        </w:rPr>
        <w:fldChar w:fldCharType="begin"/>
      </w:r>
      <w:r w:rsidR="00E23A6C" w:rsidRPr="00E23A6C">
        <w:rPr>
          <w:b/>
        </w:rPr>
        <w:instrText xml:space="preserve"> REF _Ref532554289 \h </w:instrText>
      </w:r>
      <w:r w:rsidR="00E23A6C" w:rsidRPr="00E23A6C">
        <w:rPr>
          <w:b/>
        </w:rPr>
      </w:r>
      <w:r w:rsidR="00E23A6C" w:rsidRPr="00E23A6C">
        <w:rPr>
          <w:b/>
        </w:rPr>
        <w:instrText xml:space="preserve"> \* MERGEFORMAT </w:instrText>
      </w:r>
      <w:r w:rsidR="00E23A6C" w:rsidRPr="00E23A6C">
        <w:rPr>
          <w:b/>
        </w:rPr>
        <w:fldChar w:fldCharType="separate"/>
      </w:r>
      <w:r w:rsidR="00E2070A" w:rsidRPr="00E2070A">
        <w:rPr>
          <w:b/>
        </w:rPr>
        <w:t xml:space="preserve">Figure </w:t>
      </w:r>
      <w:r w:rsidR="00E2070A" w:rsidRPr="00E2070A">
        <w:rPr>
          <w:b/>
          <w:noProof/>
        </w:rPr>
        <w:t>17</w:t>
      </w:r>
      <w:r w:rsidR="00E23A6C" w:rsidRPr="00E23A6C">
        <w:rPr>
          <w:b/>
        </w:rPr>
        <w:fldChar w:fldCharType="end"/>
      </w:r>
      <w:r w:rsidR="00550618">
        <w:t xml:space="preserve">, </w:t>
      </w:r>
      <w:r w:rsidR="00550618">
        <w:fldChar w:fldCharType="begin"/>
      </w:r>
      <w:r w:rsidR="00550618">
        <w:instrText xml:space="preserve"> REF _Ref530125940 \h </w:instrText>
      </w:r>
      <w:r w:rsidR="00E87672">
        <w:instrText xml:space="preserve"> \* MERGEFORMAT </w:instrText>
      </w:r>
      <w:r w:rsidR="00550618">
        <w:fldChar w:fldCharType="separate"/>
      </w:r>
      <w:r w:rsidR="00E2070A" w:rsidRPr="00A841B4">
        <w:rPr>
          <w:b/>
        </w:rPr>
        <w:t>Figure</w:t>
      </w:r>
      <w:r w:rsidR="00E2070A" w:rsidRPr="002D46ED">
        <w:rPr>
          <w:b/>
        </w:rPr>
        <w:t xml:space="preserve"> </w:t>
      </w:r>
      <w:r w:rsidR="00E2070A">
        <w:rPr>
          <w:b/>
          <w:noProof/>
        </w:rPr>
        <w:t>18</w:t>
      </w:r>
      <w:r w:rsidR="00550618">
        <w:fldChar w:fldCharType="end"/>
      </w:r>
      <w:r w:rsidR="00550618">
        <w:t xml:space="preserve">, </w:t>
      </w:r>
      <w:r w:rsidR="00550618" w:rsidRPr="00550618">
        <w:rPr>
          <w:b/>
        </w:rPr>
        <w:fldChar w:fldCharType="begin"/>
      </w:r>
      <w:r w:rsidR="00550618" w:rsidRPr="00550618">
        <w:rPr>
          <w:b/>
        </w:rPr>
        <w:instrText xml:space="preserve"> REF _Ref530131535 \h </w:instrText>
      </w:r>
      <w:r w:rsidR="00550618">
        <w:rPr>
          <w:b/>
        </w:rPr>
        <w:instrText xml:space="preserve"> \* MERGEFORMAT </w:instrText>
      </w:r>
      <w:r w:rsidR="00550618" w:rsidRPr="00550618">
        <w:rPr>
          <w:b/>
        </w:rPr>
      </w:r>
      <w:r w:rsidR="00550618" w:rsidRPr="00550618">
        <w:rPr>
          <w:b/>
        </w:rPr>
        <w:fldChar w:fldCharType="separate"/>
      </w:r>
      <w:r w:rsidR="00E2070A" w:rsidRPr="00E2070A">
        <w:rPr>
          <w:b/>
        </w:rPr>
        <w:t xml:space="preserve">Figure </w:t>
      </w:r>
      <w:r w:rsidR="00E2070A" w:rsidRPr="00E2070A">
        <w:rPr>
          <w:b/>
          <w:noProof/>
        </w:rPr>
        <w:t>19</w:t>
      </w:r>
      <w:r w:rsidR="00550618" w:rsidRPr="00550618">
        <w:rPr>
          <w:b/>
        </w:rPr>
        <w:fldChar w:fldCharType="end"/>
      </w:r>
      <w:r w:rsidR="00550618">
        <w:t xml:space="preserve"> and </w:t>
      </w:r>
      <w:r w:rsidR="00550618" w:rsidRPr="00550618">
        <w:rPr>
          <w:b/>
        </w:rPr>
        <w:fldChar w:fldCharType="begin"/>
      </w:r>
      <w:r w:rsidR="00550618" w:rsidRPr="00550618">
        <w:rPr>
          <w:b/>
        </w:rPr>
        <w:instrText xml:space="preserve"> REF _Ref530053889 \h </w:instrText>
      </w:r>
      <w:r w:rsidR="00550618">
        <w:rPr>
          <w:b/>
        </w:rPr>
        <w:instrText xml:space="preserve"> \* MERGEFORMAT </w:instrText>
      </w:r>
      <w:r w:rsidR="00550618" w:rsidRPr="00550618">
        <w:rPr>
          <w:b/>
        </w:rPr>
      </w:r>
      <w:r w:rsidR="00550618" w:rsidRPr="00550618">
        <w:rPr>
          <w:b/>
        </w:rPr>
        <w:fldChar w:fldCharType="separate"/>
      </w:r>
      <w:r w:rsidR="00E2070A" w:rsidRPr="00E2070A">
        <w:rPr>
          <w:b/>
        </w:rPr>
        <w:t xml:space="preserve">Figure </w:t>
      </w:r>
      <w:r w:rsidR="00E2070A" w:rsidRPr="00E2070A">
        <w:rPr>
          <w:b/>
          <w:noProof/>
        </w:rPr>
        <w:t>22</w:t>
      </w:r>
      <w:r w:rsidR="00550618" w:rsidRPr="00550618">
        <w:rPr>
          <w:b/>
        </w:rPr>
        <w:fldChar w:fldCharType="end"/>
      </w:r>
      <w:r w:rsidR="00550618">
        <w:t xml:space="preserve"> using the HEK293 and HeLa cell lines.</w:t>
      </w:r>
    </w:p>
    <w:p w:rsidR="00550618" w:rsidRDefault="00550618" w:rsidP="00E87672">
      <w:pPr>
        <w:ind w:firstLine="432"/>
        <w:jc w:val="both"/>
      </w:pPr>
      <w:r>
        <w:t>Mr. Ryan Bensen conducted the experiments in</w:t>
      </w:r>
      <w:r w:rsidR="00E23A6C">
        <w:t xml:space="preserve"> </w:t>
      </w:r>
      <w:r w:rsidR="00E23A6C" w:rsidRPr="00E23A6C">
        <w:rPr>
          <w:b/>
        </w:rPr>
        <w:fldChar w:fldCharType="begin"/>
      </w:r>
      <w:r w:rsidR="00E23A6C" w:rsidRPr="00E23A6C">
        <w:rPr>
          <w:b/>
        </w:rPr>
        <w:instrText xml:space="preserve"> REF _Ref532554289 \h </w:instrText>
      </w:r>
      <w:r w:rsidR="00E23A6C" w:rsidRPr="00E23A6C">
        <w:rPr>
          <w:b/>
        </w:rPr>
      </w:r>
      <w:r w:rsidR="00E23A6C">
        <w:rPr>
          <w:b/>
        </w:rPr>
        <w:instrText xml:space="preserve"> \* MERGEFORMAT </w:instrText>
      </w:r>
      <w:r w:rsidR="00E23A6C" w:rsidRPr="00E23A6C">
        <w:rPr>
          <w:b/>
        </w:rPr>
        <w:fldChar w:fldCharType="separate"/>
      </w:r>
      <w:r w:rsidR="00E2070A" w:rsidRPr="00E2070A">
        <w:rPr>
          <w:b/>
        </w:rPr>
        <w:t xml:space="preserve">Figure </w:t>
      </w:r>
      <w:r w:rsidR="00E2070A" w:rsidRPr="00E2070A">
        <w:rPr>
          <w:b/>
          <w:noProof/>
        </w:rPr>
        <w:t>17</w:t>
      </w:r>
      <w:r w:rsidR="00E23A6C" w:rsidRPr="00E23A6C">
        <w:rPr>
          <w:b/>
        </w:rPr>
        <w:fldChar w:fldCharType="end"/>
      </w:r>
      <w:r>
        <w:t xml:space="preserve">, </w:t>
      </w:r>
      <w:r>
        <w:fldChar w:fldCharType="begin"/>
      </w:r>
      <w:r>
        <w:instrText xml:space="preserve"> REF _Ref530125940 \h </w:instrText>
      </w:r>
      <w:r w:rsidR="00E87672">
        <w:instrText xml:space="preserve"> \* MERGEFORMAT </w:instrText>
      </w:r>
      <w:r>
        <w:fldChar w:fldCharType="separate"/>
      </w:r>
      <w:r w:rsidR="00E2070A" w:rsidRPr="00A841B4">
        <w:rPr>
          <w:b/>
        </w:rPr>
        <w:t>Figure</w:t>
      </w:r>
      <w:r w:rsidR="00E2070A" w:rsidRPr="002D46ED">
        <w:rPr>
          <w:b/>
        </w:rPr>
        <w:t xml:space="preserve"> </w:t>
      </w:r>
      <w:r w:rsidR="00E2070A">
        <w:rPr>
          <w:b/>
          <w:noProof/>
        </w:rPr>
        <w:t>18</w:t>
      </w:r>
      <w:r>
        <w:fldChar w:fldCharType="end"/>
      </w:r>
      <w:r>
        <w:t xml:space="preserve">, </w:t>
      </w:r>
      <w:r w:rsidRPr="00550618">
        <w:rPr>
          <w:b/>
        </w:rPr>
        <w:fldChar w:fldCharType="begin"/>
      </w:r>
      <w:r w:rsidRPr="00550618">
        <w:rPr>
          <w:b/>
        </w:rPr>
        <w:instrText xml:space="preserve"> REF _Ref530053889 \h </w:instrText>
      </w:r>
      <w:r>
        <w:rPr>
          <w:b/>
        </w:rPr>
        <w:instrText xml:space="preserve"> \* MERGEFORMAT </w:instrText>
      </w:r>
      <w:r w:rsidRPr="00550618">
        <w:rPr>
          <w:b/>
        </w:rPr>
      </w:r>
      <w:r w:rsidRPr="00550618">
        <w:rPr>
          <w:b/>
        </w:rPr>
        <w:fldChar w:fldCharType="separate"/>
      </w:r>
      <w:r w:rsidR="00E2070A" w:rsidRPr="00E2070A">
        <w:rPr>
          <w:b/>
        </w:rPr>
        <w:t xml:space="preserve">Figure </w:t>
      </w:r>
      <w:r w:rsidR="00E2070A" w:rsidRPr="00E2070A">
        <w:rPr>
          <w:b/>
          <w:noProof/>
        </w:rPr>
        <w:t>22</w:t>
      </w:r>
      <w:r w:rsidRPr="00550618">
        <w:rPr>
          <w:b/>
        </w:rPr>
        <w:fldChar w:fldCharType="end"/>
      </w:r>
      <w:r>
        <w:t xml:space="preserve"> and </w:t>
      </w:r>
      <w:r w:rsidRPr="00550618">
        <w:rPr>
          <w:b/>
        </w:rPr>
        <w:fldChar w:fldCharType="begin"/>
      </w:r>
      <w:r w:rsidRPr="00550618">
        <w:rPr>
          <w:b/>
        </w:rPr>
        <w:instrText xml:space="preserve"> REF _Ref530137180 \h </w:instrText>
      </w:r>
      <w:r>
        <w:rPr>
          <w:b/>
        </w:rPr>
        <w:instrText xml:space="preserve"> \* MERGEFORMAT </w:instrText>
      </w:r>
      <w:r w:rsidRPr="00550618">
        <w:rPr>
          <w:b/>
        </w:rPr>
      </w:r>
      <w:r w:rsidRPr="00550618">
        <w:rPr>
          <w:b/>
        </w:rPr>
        <w:fldChar w:fldCharType="separate"/>
      </w:r>
      <w:r w:rsidR="00E2070A" w:rsidRPr="00E2070A">
        <w:rPr>
          <w:b/>
        </w:rPr>
        <w:t xml:space="preserve">Figure </w:t>
      </w:r>
      <w:r w:rsidR="00E2070A" w:rsidRPr="00E2070A">
        <w:rPr>
          <w:b/>
          <w:noProof/>
        </w:rPr>
        <w:t>23</w:t>
      </w:r>
      <w:r w:rsidRPr="00550618">
        <w:rPr>
          <w:b/>
        </w:rPr>
        <w:fldChar w:fldCharType="end"/>
      </w:r>
      <w:r>
        <w:t xml:space="preserve"> using the HCT116 cell line.</w:t>
      </w:r>
    </w:p>
    <w:p w:rsidR="00550618" w:rsidRDefault="00550618" w:rsidP="00E87672">
      <w:pPr>
        <w:ind w:firstLine="432"/>
        <w:jc w:val="both"/>
        <w:rPr>
          <w:b/>
        </w:rPr>
      </w:pPr>
      <w:r>
        <w:t xml:space="preserve">Ms. Hongyan Ma conducted the bottom up proteomic </w:t>
      </w:r>
      <w:r w:rsidR="00787CDA">
        <w:t>MS</w:t>
      </w:r>
      <w:r>
        <w:t xml:space="preserve"> experiment in </w:t>
      </w:r>
      <w:r w:rsidRPr="00550618">
        <w:rPr>
          <w:b/>
        </w:rPr>
        <w:fldChar w:fldCharType="begin"/>
      </w:r>
      <w:r w:rsidRPr="00550618">
        <w:rPr>
          <w:b/>
        </w:rPr>
        <w:instrText xml:space="preserve"> REF _Ref530131535 \h </w:instrText>
      </w:r>
      <w:r>
        <w:rPr>
          <w:b/>
        </w:rPr>
        <w:instrText xml:space="preserve"> \* MERGEFORMAT </w:instrText>
      </w:r>
      <w:r w:rsidRPr="00550618">
        <w:rPr>
          <w:b/>
        </w:rPr>
      </w:r>
      <w:r w:rsidRPr="00550618">
        <w:rPr>
          <w:b/>
        </w:rPr>
        <w:fldChar w:fldCharType="separate"/>
      </w:r>
      <w:r w:rsidR="00E2070A" w:rsidRPr="00E2070A">
        <w:rPr>
          <w:b/>
        </w:rPr>
        <w:t xml:space="preserve">Figure </w:t>
      </w:r>
      <w:r w:rsidR="00E2070A" w:rsidRPr="00E2070A">
        <w:rPr>
          <w:b/>
          <w:noProof/>
        </w:rPr>
        <w:t>19</w:t>
      </w:r>
      <w:r w:rsidRPr="00550618">
        <w:rPr>
          <w:b/>
        </w:rPr>
        <w:fldChar w:fldCharType="end"/>
      </w:r>
    </w:p>
    <w:p w:rsidR="00550618" w:rsidRDefault="00550618" w:rsidP="00E87672">
      <w:pPr>
        <w:ind w:firstLine="432"/>
        <w:jc w:val="both"/>
        <w:rPr>
          <w:b/>
        </w:rPr>
      </w:pPr>
      <w:r>
        <w:t xml:space="preserve">Ms. Shawna Standke conducted the LCMS and SCMS experiments in </w:t>
      </w:r>
      <w:r w:rsidRPr="00550618">
        <w:rPr>
          <w:b/>
        </w:rPr>
        <w:fldChar w:fldCharType="begin"/>
      </w:r>
      <w:r w:rsidRPr="00550618">
        <w:rPr>
          <w:b/>
        </w:rPr>
        <w:instrText xml:space="preserve"> REF _Ref530137180 \h </w:instrText>
      </w:r>
      <w:r>
        <w:rPr>
          <w:b/>
        </w:rPr>
        <w:instrText xml:space="preserve"> \* MERGEFORMAT </w:instrText>
      </w:r>
      <w:r w:rsidRPr="00550618">
        <w:rPr>
          <w:b/>
        </w:rPr>
      </w:r>
      <w:r w:rsidRPr="00550618">
        <w:rPr>
          <w:b/>
        </w:rPr>
        <w:fldChar w:fldCharType="separate"/>
      </w:r>
      <w:r w:rsidR="00E2070A" w:rsidRPr="00E2070A">
        <w:rPr>
          <w:b/>
        </w:rPr>
        <w:t xml:space="preserve">Figure </w:t>
      </w:r>
      <w:r w:rsidR="00E2070A" w:rsidRPr="00E2070A">
        <w:rPr>
          <w:b/>
          <w:noProof/>
        </w:rPr>
        <w:t>23</w:t>
      </w:r>
      <w:r w:rsidRPr="00550618">
        <w:rPr>
          <w:b/>
        </w:rPr>
        <w:fldChar w:fldCharType="end"/>
      </w:r>
      <w:r>
        <w:rPr>
          <w:b/>
        </w:rPr>
        <w:t>.</w:t>
      </w:r>
    </w:p>
    <w:p w:rsidR="00417666" w:rsidRPr="00417666" w:rsidRDefault="00550618" w:rsidP="00E87672">
      <w:pPr>
        <w:ind w:firstLine="432"/>
        <w:jc w:val="both"/>
      </w:pPr>
      <w:r>
        <w:t xml:space="preserve">Dr. Earl Blewett conducted the anti-viral experiments in </w:t>
      </w:r>
      <w:r w:rsidRPr="00787CDA">
        <w:rPr>
          <w:b/>
        </w:rPr>
        <w:fldChar w:fldCharType="begin"/>
      </w:r>
      <w:r w:rsidRPr="00787CDA">
        <w:rPr>
          <w:b/>
        </w:rPr>
        <w:instrText xml:space="preserve"> REF _Ref530053675 \h </w:instrText>
      </w:r>
      <w:r w:rsidR="00787CDA">
        <w:rPr>
          <w:b/>
        </w:rPr>
        <w:instrText xml:space="preserve"> \* MERGEFORMAT </w:instrText>
      </w:r>
      <w:r w:rsidRPr="00787CDA">
        <w:rPr>
          <w:b/>
        </w:rPr>
      </w:r>
      <w:r w:rsidRPr="00787CDA">
        <w:rPr>
          <w:b/>
        </w:rPr>
        <w:fldChar w:fldCharType="separate"/>
      </w:r>
      <w:r w:rsidR="00E2070A" w:rsidRPr="00E2070A">
        <w:rPr>
          <w:b/>
        </w:rPr>
        <w:t xml:space="preserve">Figure </w:t>
      </w:r>
      <w:r w:rsidR="00E2070A" w:rsidRPr="00E2070A">
        <w:rPr>
          <w:b/>
          <w:noProof/>
        </w:rPr>
        <w:t>24</w:t>
      </w:r>
      <w:r w:rsidRPr="00787CDA">
        <w:rPr>
          <w:b/>
        </w:rPr>
        <w:fldChar w:fldCharType="end"/>
      </w:r>
      <w:r w:rsidR="00787CDA">
        <w:rPr>
          <w:b/>
        </w:rPr>
        <w:t>.</w:t>
      </w:r>
      <w:r w:rsidR="00417666">
        <w:t xml:space="preserve"> </w:t>
      </w:r>
    </w:p>
    <w:p w:rsidR="00DD6015" w:rsidRPr="00DD6015" w:rsidRDefault="00DD6015" w:rsidP="00DD6015">
      <w:pPr>
        <w:pStyle w:val="ListParagraph"/>
        <w:keepNext/>
        <w:numPr>
          <w:ilvl w:val="0"/>
          <w:numId w:val="31"/>
        </w:numPr>
        <w:contextualSpacing w:val="0"/>
        <w:jc w:val="both"/>
        <w:outlineLvl w:val="1"/>
        <w:rPr>
          <w:rFonts w:asciiTheme="majorHAnsi" w:hAnsiTheme="majorHAnsi"/>
          <w:b/>
          <w:bCs/>
          <w:iCs/>
          <w:vanish/>
          <w:szCs w:val="28"/>
        </w:rPr>
      </w:pPr>
    </w:p>
    <w:p w:rsidR="00DD6015" w:rsidRDefault="00DD6015" w:rsidP="00DD6015">
      <w:pPr>
        <w:pStyle w:val="Heading2"/>
      </w:pPr>
      <w:bookmarkStart w:id="97" w:name="_Toc532553098"/>
      <w:r>
        <w:t>Abstract</w:t>
      </w:r>
      <w:bookmarkEnd w:id="97"/>
    </w:p>
    <w:p w:rsidR="00DD6015" w:rsidRPr="00DD6015" w:rsidRDefault="00072BA0" w:rsidP="00072BA0">
      <w:pPr>
        <w:ind w:firstLine="576"/>
        <w:jc w:val="both"/>
      </w:pPr>
      <w:r>
        <w:t xml:space="preserve">Oyxsterol-binding protein (OSBP) is the founding member of a highly conserved protein family found among eukaryotes that transports cholesterol and lipids among cellular membranes to maintain lipid homeostasis. OSBP has been implicated as a necessary host factor for viral replication among a wide variety of viruses, especially enteroviruses. The natural product OSW-1 has anti-viral properties due to its selective inhibition of OSBP function. We have discovered that short-non lethal doses of OSW-1 followed by removal of the compound can induce ~90% reduction of OSBP protein levels for multiple days in a variety of cell lines. We have termed these </w:t>
      </w:r>
      <w:r>
        <w:lastRenderedPageBreak/>
        <w:t>experiments “washouts” and have shown that the persistent effect of the initial treatment is not due to residual compound</w:t>
      </w:r>
      <w:r w:rsidR="007B3A0D">
        <w:t xml:space="preserve"> lingering in the cells. The </w:t>
      </w:r>
      <w:r w:rsidR="00F47F31">
        <w:t>“washout effect”</w:t>
      </w:r>
      <w:r w:rsidR="007B3A0D">
        <w:t xml:space="preserve"> occurs in all cell lines tested, and can occur within as little as 45 minutes of exposure at near sub nanomolar doses. As expected, continual treatment of cells with OSW-1 leads to lowered viral titers of two clinically isolated enteroviruses. Surprisingly, washout treated cells showed anti-viral activity towards the viruses, despite the compound being removed from the cells 24 hours prior to infection. Our results show that OSW-1 could be a powerful new prophylactic anti-enteroviral by repressing the host protein, OSBP, for multiple days without noted toxicity.        </w:t>
      </w:r>
      <w:r>
        <w:t xml:space="preserve">       </w:t>
      </w:r>
    </w:p>
    <w:p w:rsidR="002E233D" w:rsidRPr="002E233D" w:rsidRDefault="002E233D" w:rsidP="00FB099D">
      <w:pPr>
        <w:pStyle w:val="ListParagraph"/>
        <w:numPr>
          <w:ilvl w:val="0"/>
          <w:numId w:val="8"/>
        </w:numPr>
        <w:jc w:val="both"/>
        <w:rPr>
          <w:rFonts w:cstheme="minorHAnsi"/>
          <w:b/>
          <w:vanish/>
        </w:rPr>
      </w:pPr>
    </w:p>
    <w:p w:rsidR="002D46ED" w:rsidRPr="002D46ED" w:rsidRDefault="002D46ED" w:rsidP="00FB099D">
      <w:pPr>
        <w:pStyle w:val="Heading2"/>
        <w:rPr>
          <w:sz w:val="22"/>
        </w:rPr>
      </w:pPr>
      <w:bookmarkStart w:id="98" w:name="_Toc532553099"/>
      <w:r w:rsidRPr="002D46ED">
        <w:t>Introduction</w:t>
      </w:r>
      <w:bookmarkEnd w:id="98"/>
    </w:p>
    <w:p w:rsidR="00143875" w:rsidRDefault="00D45056" w:rsidP="00FB099D">
      <w:pPr>
        <w:ind w:firstLine="720"/>
        <w:jc w:val="both"/>
        <w:rPr>
          <w:rFonts w:cstheme="minorHAnsi"/>
        </w:rPr>
      </w:pPr>
      <w:r>
        <w:rPr>
          <w:rFonts w:cstheme="minorHAnsi"/>
        </w:rPr>
        <w:t>OSBP is a lipid transport protein that is able to bridge the ER and Golgi using its various targeting domains in order to exchange cholesterol for PI4P</w:t>
      </w:r>
      <w:r w:rsidR="00F81397">
        <w:rPr>
          <w:rFonts w:cstheme="minorHAnsi"/>
        </w:rPr>
        <w:fldChar w:fldCharType="begin" w:fldLock="1"/>
      </w:r>
      <w:r w:rsidR="00F62D85">
        <w:rPr>
          <w:rFonts w:cstheme="minorHAnsi"/>
        </w:rPr>
        <w:instrText>ADDIN CSL_CITATION {"citationItems":[{"id":"ITEM-1","itemData":{"DOI":"10.1016/j.cell.2013.09.056","ISBN":"1097-4172 (Electronic)$\\$r0092-8674 (Linking)","ISSN":"00928674","PMID":"24209621","abstract":"Summary Several proteins at endoplasmic reticulum (ER)-Golgi membrane contact sites contain a PH domain that interacts with the Golgi phosphoinositide PI(4)P, a FFAT motif that interacts with the ER protein VAP-A, and a lipid transfer domain. This architecture suggests the ability to both tether organelles and transport lipids between them. We show that in oxysterol binding protein (OSBP) these two activities are coupled by a four-step cycle. Membrane tethering by the PH domain and the FFAT motif enables sterol transfer by the lipid transfer domain (ORD), followed by back transfer of PI(4)P by the ORD. Finally, PI(4)P is hydrolyzed in cis by the ER protein Sac1. The energy provided by PI(4)P hydrolysis drives sterol transfer and allows negative feedback when PI(4)P becomes limiting. Other lipid transfer proteins are tethered by the same mechanism. Thus, OSBP-mediated back transfer of PI(4)P might coordinate the transfer of other lipid species at the ER-Golgi interface. {©} 2013 Elsevier Inc.","author":[{"dropping-particle":"","family":"Mesmin","given":"Bruno","non-dropping-particle":"","parse-names":false,"suffix":""},{"dropping-particle":"","family":"Bigay","given":"Joëlle","non-dropping-particle":"","parse-names":false,"suffix":""},{"dropping-particle":"","family":"Moser Von Filseck","given":"Joachim","non-dropping-particle":"","parse-names":false,"suffix":""},{"dropping-particle":"","family":"Lacas-Gervais","given":"Sandra","non-dropping-particle":"","parse-names":false,"suffix":""},{"dropping-particle":"","family":"Drin","given":"Guillaume","non-dropping-particle":"","parse-names":false,"suffix":""},{"dropping-particle":"","family":"Antonny","given":"Bruno","non-dropping-particle":"","parse-names":false,"suffix":""}],"container-title":"Cell","id":"ITEM-1","issue":"4","issued":{"date-parts":[["2013"]]},"title":"A four-step cycle driven by PI(4)P hydrolysis directs sterol/PI(4)P exchange by the ER-Golgi Tether OSBP","type":"article-journal","volume":"155"},"uris":["http://www.mendeley.com/documents/?uuid=1f022887-7488-4e31-acec-03e43f3244ee"]},{"id":"ITEM-2","itemData":{"DOI":"10.15252/embj.201796687","ISSN":"0261-4189","PMID":"28978670","abstract":"The network of proteins that orchestrate the distribution of cholesterol among cellular organelles is not fully characterized. We previously proposed that oxysterol-binding protein (OSBP) drives cholesterol/PI4P exchange at contact sites between the endoplas-mic reticulum (ER) and the trans-Golgi network (TGN). Using the inhibitor OSW-1, we report here that the sole activity of endoge-nous OSBP makes a major contribution to cholesterol distribution, lipid order, and PI4P turnover in living cells. Blocking OSBP causes accumulation of sterols at ER/lipid droplets at the expense of TGN, thereby reducing the gradient of lipid order along the secretory pathway. OSBP consumes about half of the total cellular pool of PI4P, a consumption that depends on the amount of cholesterol to be transported. Inhibiting the spatially restricted PI4-kinase PI4KIIIb triggers large periodic traveling waves of PI4P across the TGN. These waves are cadenced by long-range PI4P production by PI4KIIa and PI4P consumption by OSBP. Collectively, these data indicate a massive spatiotemporal coupling between cholesterol transport and PI4P turnover via OSBP and PI4-kinases to control the lipid composition of subcellular membranes.","author":[{"dropping-particle":"","family":"Mesmin","given":"Bruno","non-dropping-particle":"","parse-names":false,"suffix":""},{"dropping-particle":"","family":"Bigay","given":"Joëlle","non-dropping-particle":"","parse-names":false,"suffix":""},{"dropping-particle":"","family":"Polidori","given":"Joël","non-dropping-particle":"","parse-names":false,"suffix":""},{"dropping-particle":"","family":"Jamecna","given":"Denisa","non-dropping-particle":"","parse-names":false,"suffix":""},{"dropping-particle":"","family":"Lacas‐Gervais","given":"Sandra","non-dropping-particle":"","parse-names":false,"suffix":""},{"dropping-particle":"","family":"Antonny","given":"Bruno","non-dropping-particle":"","parse-names":false,"suffix":""}],"container-title":"The EMBO Journal","id":"ITEM-2","issue":"21","issued":{"date-parts":[["2017"]]},"page":"e201796687","title":"Sterol transfer, PI4P consumption, and control of membrane lipid order by endogenous OSBP","type":"article-journal","volume":"36"},"uris":["http://www.mendeley.com/documents/?uuid=30aea0bb-1cad-43ea-9e50-5dbf30cc77be"]}],"mendeley":{"formattedCitation":"(35, 36)","plainTextFormattedCitation":"(35, 36)","previouslyFormattedCitation":"(35, 36)"},"properties":{"noteIndex":0},"schema":"https://github.com/citation-style-language/schema/raw/master/csl-citation.json"}</w:instrText>
      </w:r>
      <w:r w:rsidR="00F81397">
        <w:rPr>
          <w:rFonts w:cstheme="minorHAnsi"/>
        </w:rPr>
        <w:fldChar w:fldCharType="separate"/>
      </w:r>
      <w:r w:rsidR="00F81397" w:rsidRPr="00F81397">
        <w:rPr>
          <w:rFonts w:cstheme="minorHAnsi"/>
          <w:noProof/>
        </w:rPr>
        <w:t>(35, 36)</w:t>
      </w:r>
      <w:r w:rsidR="00F81397">
        <w:rPr>
          <w:rFonts w:cstheme="minorHAnsi"/>
        </w:rPr>
        <w:fldChar w:fldCharType="end"/>
      </w:r>
      <w:r>
        <w:rPr>
          <w:rFonts w:cstheme="minorHAnsi"/>
        </w:rPr>
        <w:t xml:space="preserve"> (see section 1.3.1 </w:t>
      </w:r>
      <w:r w:rsidRPr="005B4DAC">
        <w:rPr>
          <w:rFonts w:cstheme="minorHAnsi"/>
          <w:b/>
        </w:rPr>
        <w:fldChar w:fldCharType="begin"/>
      </w:r>
      <w:r w:rsidRPr="005B4DAC">
        <w:rPr>
          <w:rFonts w:cstheme="minorHAnsi"/>
          <w:b/>
        </w:rPr>
        <w:instrText xml:space="preserve"> REF _Ref530661904 \h </w:instrText>
      </w:r>
      <w:r w:rsidR="005B4DAC">
        <w:rPr>
          <w:rFonts w:cstheme="minorHAnsi"/>
          <w:b/>
        </w:rPr>
        <w:instrText xml:space="preserve"> \* MERGEFORMAT </w:instrText>
      </w:r>
      <w:r w:rsidRPr="005B4DAC">
        <w:rPr>
          <w:rFonts w:cstheme="minorHAnsi"/>
          <w:b/>
        </w:rPr>
      </w:r>
      <w:r w:rsidRPr="005B4DAC">
        <w:rPr>
          <w:rFonts w:cstheme="minorHAnsi"/>
          <w:b/>
        </w:rPr>
        <w:fldChar w:fldCharType="separate"/>
      </w:r>
      <w:r w:rsidR="00E2070A" w:rsidRPr="00E2070A">
        <w:rPr>
          <w:b/>
        </w:rPr>
        <w:t>OSBP</w:t>
      </w:r>
      <w:r w:rsidRPr="005B4DAC">
        <w:rPr>
          <w:rFonts w:cstheme="minorHAnsi"/>
          <w:b/>
        </w:rPr>
        <w:fldChar w:fldCharType="end"/>
      </w:r>
      <w:r>
        <w:rPr>
          <w:rFonts w:cstheme="minorHAnsi"/>
        </w:rPr>
        <w:t>). The closest homolog of OSBP, ORP4, shares significant sequence similarity (</w:t>
      </w:r>
      <w:r>
        <w:rPr>
          <w:rFonts w:cstheme="minorHAnsi"/>
        </w:rPr>
        <w:fldChar w:fldCharType="begin"/>
      </w:r>
      <w:r>
        <w:rPr>
          <w:rFonts w:cstheme="minorHAnsi"/>
        </w:rPr>
        <w:instrText xml:space="preserve"> REF _Ref530126023 \h  \* MERGEFORMAT </w:instrText>
      </w:r>
      <w:r>
        <w:rPr>
          <w:rFonts w:cstheme="minorHAnsi"/>
        </w:rPr>
      </w:r>
      <w:r>
        <w:rPr>
          <w:rFonts w:cstheme="minorHAnsi"/>
        </w:rPr>
        <w:fldChar w:fldCharType="separate"/>
      </w:r>
      <w:r w:rsidR="00E2070A" w:rsidRPr="00E2070A">
        <w:rPr>
          <w:b/>
        </w:rPr>
        <w:t>Figure</w:t>
      </w:r>
      <w:r w:rsidR="00E2070A">
        <w:t xml:space="preserve"> </w:t>
      </w:r>
      <w:r w:rsidR="00E2070A" w:rsidRPr="00E2070A">
        <w:rPr>
          <w:b/>
          <w:noProof/>
        </w:rPr>
        <w:t>34</w:t>
      </w:r>
      <w:r>
        <w:rPr>
          <w:rFonts w:cstheme="minorHAnsi"/>
        </w:rPr>
        <w:fldChar w:fldCharType="end"/>
      </w:r>
      <w:r w:rsidRPr="002D46ED">
        <w:rPr>
          <w:rFonts w:cstheme="minorHAnsi"/>
        </w:rPr>
        <w:t>) but has select tissue expression and performs different biological functions</w:t>
      </w:r>
      <w:r w:rsidR="00F62D85">
        <w:rPr>
          <w:rFonts w:cstheme="minorHAnsi"/>
        </w:rPr>
        <w:fldChar w:fldCharType="begin" w:fldLock="1"/>
      </w:r>
      <w:r w:rsidR="00F62D85">
        <w:rPr>
          <w:rFonts w:cstheme="minorHAnsi"/>
        </w:rPr>
        <w:instrText>ADDIN CSL_CITATION {"citationItems":[{"id":"ITEM-1","itemData":{"DOI":"10.1074/jbc.M011259200","ISSN":"00219258","PMID":"11278871","abstract":"We are interested in understanding the possible function(s) of the oxysterol-binding proteins in mediating oxysterol cytotoxicity in the retina. In this study we describe the cloning, localization, and biological activity of a novel oxysterol-binding protein (OSBP2), and complete the molecular characterization of the previously known OSBP1. Both OSBP genes contain 14 exons and have similar exon sizes and splice sites suggesting they may have arisen from a gene duplication event. OSBP1 is located in chromosome 11q12.1, and OSBP2 is located in 22q12. At the protein level they share 63% overall similarity and although they have unique N termini, both have similar pleckstrin homology domains within the N terminus region. Northern blot analyses indicate that OSBP1 is broadly expressed in human and monkey tissues. OSBP2 is detected mainly in retina, testis, and fetal liver. Western blot analysis using peptide antibodies specific to OSBP1 and OSBP2 detected the proteins in different subcellular fractions in the retinal monkey tissue. OSBP1 is detected mainly in the soluble or cytosolic fraction and nuclei whereas OSBP2 is detected exclusively in the detergent soluble fraction suggesting association with membranes. Immunohistochemical localization of OSBP1 and OSBP2 in the monkey retina placed these two proteins in similar but distinct areas of the inner retina. OSBP2 was found to bind 7-ketocholesterol but to have very little affinity for cholesterol or 25-hydroxycholesterol.","author":[{"dropping-particle":"","family":"Moreira","given":"Ernesto F.","non-dropping-particle":"","parse-names":false,"suffix":""},{"dropping-particle":"","family":"Jaworski","given":"Cynthia","non-dropping-particle":"","parse-names":false,"suffix":""},{"dropping-particle":"","family":"Li","given":"Aiguo","non-dropping-particle":"","parse-names":false,"suffix":""},{"dropping-particle":"","family":"Rodriguez","given":"Ignacio R.","non-dropping-particle":"","parse-names":false,"suffix":""}],"container-title":"Journal of Biological Chemistry","id":"ITEM-1","issue":"21","issued":{"date-parts":[["2001"]]},"page":"18570-18578","title":"Molecular and Biochemical Characterization of a Novel Oxysterol-binding Protein (OSBP2) Highly Expressed in Retina","type":"article-journal","volume":"276"},"uris":["http://www.mendeley.com/documents/?uuid=df23666d-b2d2-48d5-aefb-e9a97558d6ec"]},{"id":"ITEM-2","itemData":{"DOI":"10.1038/ncomms12702","ISBN":"2041-1723 (Electronic) 2041-1723 (Linking)","ISSN":"20411723","PMID":"27581363","abstract":"Metabolic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CD3ɛ, Gαq/11 and PLCβ3 into a complex that activates PLCβ3. PLCβ3 catalyzes IP3 production in T-ALL as opposed to PLCγ1 in normal T-cells. Up-regulation of ORP4L thus results in a switch in the enzyme responsible for IP3-induced endoplasmic reticulum Ca(2+)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PLCβ3 activation, resulting in an increase of mitochondrial respiration for cell survival. Targeting ORP4L might represent a promising approach for T-ALL treatment.","author":[{"dropping-particle":"","family":"Zhong","given":"Wenbin","non-dropping-particle":"","parse-names":false,"suffix":""},{"dropping-particle":"","family":"Yi","given":"Qing","non-dropping-particle":"","parse-names":false,"suffix":""},{"dropping-particle":"","family":"Xu","given":"Bing","non-dropping-particle":"","parse-names":false,"suffix":""},{"dropping-particle":"","family":"Li","given":"Shiqian","non-dropping-particle":"","parse-names":false,"suffix":""},{"dropping-particle":"","family":"Wang","given":"Tong","non-dropping-particle":"","parse-names":false,"suffix":""},{"dropping-particle":"","family":"Liu","given":"Fupei","non-dropping-particle":"","parse-names":false,"suffix":""},{"dropping-particle":"","family":"Zhu","given":"Biying","non-dropping-particle":"","parse-names":false,"suffix":""},{"dropping-particle":"","family":"Hoffmann","given":"Peter R.","non-dropping-particle":"","parse-names":false,"suffix":""},{"dropping-particle":"","family":"Ji","given":"Guangju","non-dropping-particle":"","parse-names":false,"suffix":""},{"dropping-particle":"","family":"Lei","given":"Pingsheng","non-dropping-particle":"","parse-names":false,"suffix":""},{"dropping-particle":"","family":"Li","given":"Guoping","non-dropping-particle":"","parse-names":false,"suffix":""},{"dropping-particle":"","family":"Li","given":"Jiwei","non-dropping-particle":"","parse-names":false,"suffix":""},{"dropping-particle":"","family":"Li","given":"Jian","non-dropping-particle":"","parse-names":false,"suffix":""},{"dropping-particle":"","family":"Olkkonen","given":"Vesa M.","non-dropping-particle":"","parse-names":false,"suffix":""},{"dropping-particle":"","family":"Yan","given":"Daoguang","non-dropping-particle":"","parse-names":false,"suffix":""}],"container-title":"Nature Communications","id":"ITEM-2","issued":{"date-parts":[["2016"]]},"page":"1-14","publisher":"Nature Publishing Group","title":"ORP4L is essential for T-cell acute lymphoblastic leukemia cell survival","type":"article-journal","volume":"7"},"uris":["http://www.mendeley.com/documents/?uuid=4b829fa5-078a-4bb6-b33f-741001f11c41"]}],"mendeley":{"formattedCitation":"(44, 54)","plainTextFormattedCitation":"(44, 54)","previouslyFormattedCitation":"(44, 54)"},"properties":{"noteIndex":0},"schema":"https://github.com/citation-style-language/schema/raw/master/csl-citation.json"}</w:instrText>
      </w:r>
      <w:r w:rsidR="00F62D85">
        <w:rPr>
          <w:rFonts w:cstheme="minorHAnsi"/>
        </w:rPr>
        <w:fldChar w:fldCharType="separate"/>
      </w:r>
      <w:r w:rsidR="00F62D85" w:rsidRPr="00F62D85">
        <w:rPr>
          <w:rFonts w:cstheme="minorHAnsi"/>
          <w:noProof/>
        </w:rPr>
        <w:t>(44, 54)</w:t>
      </w:r>
      <w:r w:rsidR="00F62D85">
        <w:rPr>
          <w:rFonts w:cstheme="minorHAnsi"/>
        </w:rPr>
        <w:fldChar w:fldCharType="end"/>
      </w:r>
      <w:r>
        <w:rPr>
          <w:rFonts w:cstheme="minorHAnsi"/>
        </w:rPr>
        <w:t xml:space="preserve"> (see section 1.3.2 </w:t>
      </w:r>
      <w:r w:rsidRPr="005B4DAC">
        <w:rPr>
          <w:rFonts w:cstheme="minorHAnsi"/>
          <w:b/>
        </w:rPr>
        <w:fldChar w:fldCharType="begin"/>
      </w:r>
      <w:r w:rsidRPr="005B4DAC">
        <w:rPr>
          <w:rFonts w:cstheme="minorHAnsi"/>
          <w:b/>
        </w:rPr>
        <w:instrText xml:space="preserve"> REF _Ref530661994 \h </w:instrText>
      </w:r>
      <w:r w:rsidR="005B4DAC">
        <w:rPr>
          <w:rFonts w:cstheme="minorHAnsi"/>
          <w:b/>
        </w:rPr>
        <w:instrText xml:space="preserve"> \* MERGEFORMAT </w:instrText>
      </w:r>
      <w:r w:rsidRPr="005B4DAC">
        <w:rPr>
          <w:rFonts w:cstheme="minorHAnsi"/>
          <w:b/>
        </w:rPr>
      </w:r>
      <w:r w:rsidRPr="005B4DAC">
        <w:rPr>
          <w:rFonts w:cstheme="minorHAnsi"/>
          <w:b/>
        </w:rPr>
        <w:fldChar w:fldCharType="separate"/>
      </w:r>
      <w:r w:rsidR="00E2070A" w:rsidRPr="00E2070A">
        <w:rPr>
          <w:b/>
        </w:rPr>
        <w:t>ORP4</w:t>
      </w:r>
      <w:r w:rsidRPr="005B4DAC">
        <w:rPr>
          <w:rFonts w:cstheme="minorHAnsi"/>
          <w:b/>
        </w:rPr>
        <w:fldChar w:fldCharType="end"/>
      </w:r>
      <w:r>
        <w:rPr>
          <w:rFonts w:cstheme="minorHAnsi"/>
        </w:rPr>
        <w:t xml:space="preserve">). </w:t>
      </w:r>
      <w:r w:rsidR="00143875">
        <w:rPr>
          <w:rFonts w:cstheme="minorHAnsi"/>
        </w:rPr>
        <w:t>OSBP is known to be involved with various cellular signaling pathways</w:t>
      </w:r>
      <w:r w:rsidR="00F62D85">
        <w:rPr>
          <w:rFonts w:cstheme="minorHAnsi"/>
        </w:rPr>
        <w:fldChar w:fldCharType="begin" w:fldLock="1"/>
      </w:r>
      <w:r w:rsidR="00F62D85">
        <w:rPr>
          <w:rFonts w:cstheme="minorHAnsi"/>
        </w:rPr>
        <w:instrText>ADDIN CSL_CITATION {"citationItems":[{"id":"ITEM-1","itemData":{"DOI":"10.1126/science.1107710","ISSN":"0036-8075","PMID":"15746430","abstract":"Oxysterol-binding protein (OSBP) is the founding member of a family of sterol-binding proteins implicated in vesicle transport, lipid metabolism, and signal transduction. Here, OSBP was found to function as a cholesterol-binding scaffolding protein coordinating the activity of two phosphatases to control the extracellular signal-regulated kinase (ERK) signaling pathway. Cytosolic OSBP formed a approximately 440-kilodalton oligomer with a member of the PTPPBS family of tyrosine phosphatases, the serine/threonine phosphatase PP2A, and cholesterol. This oligomer had dual specific phosphatase activity for phosphorylated ERK (pERK). When cell cholesterol was lowered, the oligomer disassembled and the level of pERK rose. The oligomer also disassembled when exposed to oxysterols. Increasing the amount of OSBP oligomer rendered cells resistant to the effects of cholesterol depletion and decreased the basal level of pERK. Thus, cholesterol functions through its interaction with OSBP outside of membranes to regulate the assembly of an oligomeric phosphatase that controls a key signaling pathway in the cell.","author":[{"dropping-particle":"","family":"Wang","given":"Ping-Yuan","non-dropping-particle":"","parse-names":false,"suffix":""},{"dropping-particle":"","family":"Weng","given":"Jian","non-dropping-particle":"","parse-names":false,"suffix":""},{"dropping-particle":"","family":"Anderson","given":"Richard G W","non-dropping-particle":"","parse-names":false,"suffix":""}],"container-title":"Science (New York, N.Y.)","id":"ITEM-1","issue":"5714","issued":{"date-parts":[["2005"]]},"page":"1472-1476","title":"OSBP is a cholesterol-regulated scaffolding protein in control of ERK 1/2 activation.","type":"article-journal","volume":"307"},"uris":["http://www.mendeley.com/documents/?uuid=5d80aa99-2bda-4702-ab3d-c5e8c11646f2"]},{"id":"ITEM-2","itemData":{"DOI":"10.1074/jbc.M710092200","ISSN":"00219258","PMID":"18230613","abstract":"Endothelial dysfunction plays a central role in diabetic vascular disease, but its molecular bases are not completely defined. We showed previously that the actin-binding protein proflin-1 was increased in the diabetic endothelium and that attenuated expression of profilin-1 protected against atherosclerosis. Also 7-ketocholesterol up-regulated profilin-1 in endothelial cells via transcriptional mechanisms. The present study addressed the pathways responsible for profilin-1 gene expression in 7-ketocholesterol-stimulated endothelial cells and in the diabetic aorta. In luciferase reporter assays, the response to 7-ketocholesterol within the 5'-flanking region of profilin-1 was dependent on a single STAT response element. In aortic endothelial cells, 7-ketocholesterol enhanced STAT3 activation, which required JAK2 and tyrosine 394 phosphorylation of oxysterol-binding protein-1. These changes were recapitulated in the aorta of diabetic rats. Also 7-ketocholesterol in cultured endothelial cells and diabetes in the aorta elicited the recruitment of STAT3 and relevant coregulatory factors to the oxysterol-responsive region of the profilin-1 promoter. These events were required for profilin-1 up-regulation. These studies identify a previously unrecognized oxysterol-binding protein-mediated mode of activation of STAT3 that controls the expression of the proatherogenic protein profilin-1 in response to 7-ketocholesterol and the diabetic milieu.","author":[{"dropping-particle":"","family":"Romeo","given":"Giulio R.","non-dropping-particle":"","parse-names":false,"suffix":""},{"dropping-particle":"","family":"Kazlauskas","given":"Andrius","non-dropping-particle":"","parse-names":false,"suffix":""}],"container-title":"Journal of Biological Chemistry","id":"ITEM-2","issue":"15","issued":{"date-parts":[["2008"]]},"page":"9595-9605","title":"Oxysterol and diabetes activate STAT3 and control endothelial expression of profilin-1 via OSBP1","type":"article-journal","volume":"283"},"uris":["http://www.mendeley.com/documents/?uuid=83c79f22-6d43-4b80-97d8-4f14cb7f7ff4"]}],"mendeley":{"formattedCitation":"(39, 40)","plainTextFormattedCitation":"(39, 40)","previouslyFormattedCitation":"(39, 40)"},"properties":{"noteIndex":0},"schema":"https://github.com/citation-style-language/schema/raw/master/csl-citation.json"}</w:instrText>
      </w:r>
      <w:r w:rsidR="00F62D85">
        <w:rPr>
          <w:rFonts w:cstheme="minorHAnsi"/>
        </w:rPr>
        <w:fldChar w:fldCharType="separate"/>
      </w:r>
      <w:r w:rsidR="00F62D85" w:rsidRPr="00F62D85">
        <w:rPr>
          <w:rFonts w:cstheme="minorHAnsi"/>
          <w:noProof/>
        </w:rPr>
        <w:t>(39, 40)</w:t>
      </w:r>
      <w:r w:rsidR="00F62D85">
        <w:rPr>
          <w:rFonts w:cstheme="minorHAnsi"/>
        </w:rPr>
        <w:fldChar w:fldCharType="end"/>
      </w:r>
      <w:r w:rsidR="00143875">
        <w:rPr>
          <w:rFonts w:cstheme="minorHAnsi"/>
        </w:rPr>
        <w:t xml:space="preserve"> (see section 1.3.1.1 </w:t>
      </w:r>
      <w:r w:rsidR="00143875" w:rsidRPr="005B4DAC">
        <w:rPr>
          <w:rFonts w:cstheme="minorHAnsi"/>
          <w:b/>
        </w:rPr>
        <w:fldChar w:fldCharType="begin"/>
      </w:r>
      <w:r w:rsidR="00143875" w:rsidRPr="005B4DAC">
        <w:rPr>
          <w:rFonts w:cstheme="minorHAnsi"/>
          <w:b/>
        </w:rPr>
        <w:instrText xml:space="preserve"> REF _Ref530662438 \h  \* MERGEFORMAT </w:instrText>
      </w:r>
      <w:r w:rsidR="00143875" w:rsidRPr="005B4DAC">
        <w:rPr>
          <w:rFonts w:cstheme="minorHAnsi"/>
          <w:b/>
        </w:rPr>
      </w:r>
      <w:r w:rsidR="00143875" w:rsidRPr="005B4DAC">
        <w:rPr>
          <w:rFonts w:cstheme="minorHAnsi"/>
          <w:b/>
        </w:rPr>
        <w:fldChar w:fldCharType="separate"/>
      </w:r>
      <w:r w:rsidR="00E2070A" w:rsidRPr="00E2070A">
        <w:rPr>
          <w:b/>
        </w:rPr>
        <w:t>Cell Signaling Role</w:t>
      </w:r>
      <w:r w:rsidR="00143875" w:rsidRPr="005B4DAC">
        <w:rPr>
          <w:rFonts w:cstheme="minorHAnsi"/>
          <w:b/>
        </w:rPr>
        <w:fldChar w:fldCharType="end"/>
      </w:r>
      <w:r w:rsidR="00143875">
        <w:rPr>
          <w:rFonts w:cstheme="minorHAnsi"/>
        </w:rPr>
        <w:t>) while ORP4 has roles in cellular proliferation</w:t>
      </w:r>
      <w:r w:rsidR="00F62D85">
        <w:rPr>
          <w:rFonts w:cstheme="minorHAnsi"/>
        </w:rPr>
        <w:fldChar w:fldCharType="begin" w:fldLock="1"/>
      </w:r>
      <w:r w:rsidR="00F62D85">
        <w:rPr>
          <w:rFonts w:cstheme="minorHAnsi"/>
        </w:rPr>
        <w:instrText>ADDIN CSL_CITATION {"citationItems":[{"id":"ITEM-1","itemData":{"DOI":"10.1074/jbc.M114.571216","ISBN":"9024924324","ISSN":"1083351X","PMID":"24742681","abstract":"Oxysterol-binding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Chemistry","id":"ITEM-1","issue":"22","issued":{"date-parts":[["2014"]]},"page":"15705-15717","title":"Oxysterol-binding protein (OSBP)-related protein 4 (ORP4) is essential for cell proliferation and survival","type":"article-journal","volume":"289"},"uris":["http://www.mendeley.com/documents/?uuid=69e80f92-9587-4c32-b5d3-c1560da16ba1"]}],"mendeley":{"formattedCitation":"(17)","plainTextFormattedCitation":"(17)","previouslyFormattedCitation":"(17)"},"properties":{"noteIndex":0},"schema":"https://github.com/citation-style-language/schema/raw/master/csl-citation.json"}</w:instrText>
      </w:r>
      <w:r w:rsidR="00F62D85">
        <w:rPr>
          <w:rFonts w:cstheme="minorHAnsi"/>
        </w:rPr>
        <w:fldChar w:fldCharType="separate"/>
      </w:r>
      <w:r w:rsidR="00F62D85" w:rsidRPr="00F62D85">
        <w:rPr>
          <w:rFonts w:cstheme="minorHAnsi"/>
          <w:noProof/>
        </w:rPr>
        <w:t>(17)</w:t>
      </w:r>
      <w:r w:rsidR="00F62D85">
        <w:rPr>
          <w:rFonts w:cstheme="minorHAnsi"/>
        </w:rPr>
        <w:fldChar w:fldCharType="end"/>
      </w:r>
      <w:r w:rsidR="00143875">
        <w:rPr>
          <w:rFonts w:cstheme="minorHAnsi"/>
        </w:rPr>
        <w:t xml:space="preserve"> (see section 1.3.2.3 </w:t>
      </w:r>
      <w:r w:rsidR="00143875" w:rsidRPr="005B4DAC">
        <w:rPr>
          <w:rFonts w:cstheme="minorHAnsi"/>
          <w:b/>
        </w:rPr>
        <w:fldChar w:fldCharType="begin"/>
      </w:r>
      <w:r w:rsidR="00143875" w:rsidRPr="005B4DAC">
        <w:rPr>
          <w:rFonts w:cstheme="minorHAnsi"/>
          <w:b/>
        </w:rPr>
        <w:instrText xml:space="preserve"> REF _Ref530662629 \h  \* MERGEFORMAT </w:instrText>
      </w:r>
      <w:r w:rsidR="00143875" w:rsidRPr="005B4DAC">
        <w:rPr>
          <w:rFonts w:cstheme="minorHAnsi"/>
          <w:b/>
        </w:rPr>
      </w:r>
      <w:r w:rsidR="00143875" w:rsidRPr="005B4DAC">
        <w:rPr>
          <w:rFonts w:cstheme="minorHAnsi"/>
          <w:b/>
        </w:rPr>
        <w:fldChar w:fldCharType="separate"/>
      </w:r>
      <w:r w:rsidR="00E2070A" w:rsidRPr="00E2070A">
        <w:rPr>
          <w:b/>
        </w:rPr>
        <w:t>Role in Cellular Proliferation</w:t>
      </w:r>
      <w:r w:rsidR="00143875" w:rsidRPr="005B4DAC">
        <w:rPr>
          <w:rFonts w:cstheme="minorHAnsi"/>
          <w:b/>
        </w:rPr>
        <w:fldChar w:fldCharType="end"/>
      </w:r>
      <w:r w:rsidR="00143875">
        <w:rPr>
          <w:rFonts w:cstheme="minorHAnsi"/>
        </w:rPr>
        <w:t>). Despite the knowledge of OSBP/ORP4s role in specific cellular functions, close to nothing is known about their regulation within cells.</w:t>
      </w:r>
    </w:p>
    <w:p w:rsidR="00BF2E36" w:rsidRDefault="00143875" w:rsidP="00FB099D">
      <w:pPr>
        <w:ind w:firstLine="720"/>
        <w:jc w:val="both"/>
        <w:rPr>
          <w:rFonts w:cstheme="minorHAnsi"/>
        </w:rPr>
      </w:pPr>
      <w:r>
        <w:rPr>
          <w:rFonts w:cstheme="minorHAnsi"/>
        </w:rPr>
        <w:t xml:space="preserve">The natural product OSW-1 is a selective </w:t>
      </w:r>
      <w:r w:rsidR="00235164">
        <w:rPr>
          <w:rFonts w:cstheme="minorHAnsi"/>
        </w:rPr>
        <w:t xml:space="preserve">inhibitor of both OSBP and ORP4, which </w:t>
      </w:r>
      <w:r w:rsidR="005B4DAC">
        <w:rPr>
          <w:rFonts w:cstheme="minorHAnsi"/>
        </w:rPr>
        <w:t>can induce proteasomal dependent degradation of OSBP over time</w:t>
      </w:r>
      <w:r w:rsidR="00F62D85">
        <w:rPr>
          <w:rFonts w:cstheme="minorHAnsi"/>
        </w:rPr>
        <w:fldChar w:fldCharType="begin" w:fldLock="1"/>
      </w:r>
      <w:r w:rsidR="00F62D85">
        <w:rPr>
          <w:rFonts w:cstheme="minorHAnsi"/>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00F62D85">
        <w:rPr>
          <w:rFonts w:cstheme="minorHAnsi"/>
        </w:rPr>
        <w:fldChar w:fldCharType="separate"/>
      </w:r>
      <w:r w:rsidR="00F62D85" w:rsidRPr="00F62D85">
        <w:rPr>
          <w:rFonts w:cstheme="minorHAnsi"/>
          <w:noProof/>
        </w:rPr>
        <w:t>(46)</w:t>
      </w:r>
      <w:r w:rsidR="00F62D85">
        <w:rPr>
          <w:rFonts w:cstheme="minorHAnsi"/>
        </w:rPr>
        <w:fldChar w:fldCharType="end"/>
      </w:r>
      <w:r w:rsidR="005B4DAC">
        <w:rPr>
          <w:rFonts w:cstheme="minorHAnsi"/>
        </w:rPr>
        <w:t xml:space="preserve"> (see section 1.5.1 </w:t>
      </w:r>
      <w:r w:rsidR="005B4DAC" w:rsidRPr="005B4DAC">
        <w:rPr>
          <w:rFonts w:cstheme="minorHAnsi"/>
          <w:b/>
        </w:rPr>
        <w:fldChar w:fldCharType="begin"/>
      </w:r>
      <w:r w:rsidR="005B4DAC" w:rsidRPr="005B4DAC">
        <w:rPr>
          <w:rFonts w:cstheme="minorHAnsi"/>
          <w:b/>
        </w:rPr>
        <w:instrText xml:space="preserve"> REF _Ref530663375 \h  \* MERGEFORMAT </w:instrText>
      </w:r>
      <w:r w:rsidR="005B4DAC" w:rsidRPr="005B4DAC">
        <w:rPr>
          <w:rFonts w:cstheme="minorHAnsi"/>
          <w:b/>
        </w:rPr>
      </w:r>
      <w:r w:rsidR="005B4DAC" w:rsidRPr="005B4DAC">
        <w:rPr>
          <w:rFonts w:cstheme="minorHAnsi"/>
          <w:b/>
        </w:rPr>
        <w:fldChar w:fldCharType="separate"/>
      </w:r>
      <w:r w:rsidR="00E2070A" w:rsidRPr="00E2070A">
        <w:rPr>
          <w:b/>
        </w:rPr>
        <w:t>OSW-1</w:t>
      </w:r>
      <w:r w:rsidR="005B4DAC" w:rsidRPr="005B4DAC">
        <w:rPr>
          <w:rFonts w:cstheme="minorHAnsi"/>
          <w:b/>
        </w:rPr>
        <w:fldChar w:fldCharType="end"/>
      </w:r>
      <w:r w:rsidR="005B4DAC">
        <w:rPr>
          <w:rFonts w:cstheme="minorHAnsi"/>
        </w:rPr>
        <w:t>)</w:t>
      </w:r>
      <w:r w:rsidR="00235164">
        <w:rPr>
          <w:rFonts w:cstheme="minorHAnsi"/>
        </w:rPr>
        <w:t>. The effect of OSW-1 on ORP4 is not known, but it can be speculated that ORP4 is also degraded in a similar manner due to OSBP and ORP4 having dimerization domains</w:t>
      </w:r>
      <w:r w:rsidR="00F62D85">
        <w:rPr>
          <w:rFonts w:cstheme="minorHAnsi"/>
        </w:rPr>
        <w:fldChar w:fldCharType="begin" w:fldLock="1"/>
      </w:r>
      <w:r w:rsidR="00F62D85">
        <w:rPr>
          <w:rFonts w:cstheme="minorHAnsi"/>
        </w:rPr>
        <w:instrText>ADDIN CSL_CITATION {"citationItems":[{"id":"ITEM-1","itemData":{"DOI":"10.1042/0264-6021:3610461","ISBN":"0264-6021 (Print)\\r0264-6021 (Linking)","ISSN":"02646021","PMID":"11802775","abstract":"Oxysterol-binding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author":[{"dropping-particle":"","family":"WANG","given":"Cheng","non-dropping-particle":"","parse-names":false,"suffix":""},{"dropping-particle":"","family":"JeBAILEY","given":"Lellean","non-dropping-particle":"","parse-names":false,"suffix":""},{"dropping-particle":"","family":"RIDGWAY","given":"Neale D.","non-dropping-particle":"","parse-names":false,"suffix":""}],"container-title":"Biochemical Journal","id":"ITEM-1","issue":"3","issued":{"date-parts":[["2002","2","1"]]},"page":"461","title":"Oxysterol-binding-protein (OSBP)-related protein 4 binds25-hydroxycholesterol and interacts with vimentin intermediate filaments","type":"article-journal","volume":"361"},"uris":["http://www.mendeley.com/documents/?uuid=cedfa320-07de-40ce-b2d3-c1f3abc9db40"]}],"mendeley":{"formattedCitation":"(12)","plainTextFormattedCitation":"(12)","previouslyFormattedCitation":"(12)"},"properties":{"noteIndex":0},"schema":"https://github.com/citation-style-language/schema/raw/master/csl-citation.json"}</w:instrText>
      </w:r>
      <w:r w:rsidR="00F62D85">
        <w:rPr>
          <w:rFonts w:cstheme="minorHAnsi"/>
        </w:rPr>
        <w:fldChar w:fldCharType="separate"/>
      </w:r>
      <w:r w:rsidR="00F62D85" w:rsidRPr="00F62D85">
        <w:rPr>
          <w:rFonts w:cstheme="minorHAnsi"/>
          <w:noProof/>
        </w:rPr>
        <w:t>(12)</w:t>
      </w:r>
      <w:r w:rsidR="00F62D85">
        <w:rPr>
          <w:rFonts w:cstheme="minorHAnsi"/>
        </w:rPr>
        <w:fldChar w:fldCharType="end"/>
      </w:r>
      <w:r w:rsidR="00235164">
        <w:rPr>
          <w:rFonts w:cstheme="minorHAnsi"/>
        </w:rPr>
        <w:t xml:space="preserve"> (see section 1.3.2.2 </w:t>
      </w:r>
      <w:r w:rsidR="00235164" w:rsidRPr="00235164">
        <w:rPr>
          <w:rFonts w:cstheme="minorHAnsi"/>
          <w:b/>
        </w:rPr>
        <w:fldChar w:fldCharType="begin"/>
      </w:r>
      <w:r w:rsidR="00235164" w:rsidRPr="00235164">
        <w:rPr>
          <w:rFonts w:cstheme="minorHAnsi"/>
          <w:b/>
        </w:rPr>
        <w:instrText xml:space="preserve"> REF _Ref530663770 \h  \* MERGEFORMAT </w:instrText>
      </w:r>
      <w:r w:rsidR="00235164" w:rsidRPr="00235164">
        <w:rPr>
          <w:rFonts w:cstheme="minorHAnsi"/>
          <w:b/>
        </w:rPr>
      </w:r>
      <w:r w:rsidR="00235164" w:rsidRPr="00235164">
        <w:rPr>
          <w:rFonts w:cstheme="minorHAnsi"/>
          <w:b/>
        </w:rPr>
        <w:fldChar w:fldCharType="separate"/>
      </w:r>
      <w:r w:rsidR="00E2070A" w:rsidRPr="00E2070A">
        <w:rPr>
          <w:b/>
        </w:rPr>
        <w:t>Ligand Binding and Cellular Localization</w:t>
      </w:r>
      <w:r w:rsidR="00235164" w:rsidRPr="00235164">
        <w:rPr>
          <w:rFonts w:cstheme="minorHAnsi"/>
          <w:b/>
        </w:rPr>
        <w:fldChar w:fldCharType="end"/>
      </w:r>
      <w:r w:rsidR="00235164">
        <w:rPr>
          <w:rFonts w:cstheme="minorHAnsi"/>
        </w:rPr>
        <w:t xml:space="preserve">). The mechanism of how OSW-1 induces the degradation of OSBP, and the duration of the degradation remains a mystery. </w:t>
      </w:r>
      <w:r>
        <w:rPr>
          <w:rFonts w:cstheme="minorHAnsi"/>
        </w:rPr>
        <w:t xml:space="preserve"> </w:t>
      </w:r>
      <w:r w:rsidR="00D45056">
        <w:rPr>
          <w:rFonts w:cstheme="minorHAnsi"/>
        </w:rPr>
        <w:t xml:space="preserve"> </w:t>
      </w:r>
    </w:p>
    <w:p w:rsidR="002D46ED" w:rsidRPr="002D46ED" w:rsidRDefault="00235164" w:rsidP="00FB099D">
      <w:pPr>
        <w:ind w:firstLine="720"/>
        <w:jc w:val="both"/>
        <w:rPr>
          <w:rFonts w:cstheme="minorHAnsi"/>
        </w:rPr>
      </w:pPr>
      <w:r>
        <w:rPr>
          <w:rFonts w:cstheme="minorHAnsi"/>
        </w:rPr>
        <w:lastRenderedPageBreak/>
        <w:t>OSBP, and to a lesser extent ORP4, have been implicated as a necessary host protein required for viral replication</w:t>
      </w:r>
      <w:r w:rsidR="00F62D85">
        <w:rPr>
          <w:rFonts w:cstheme="minorHAnsi"/>
        </w:rPr>
        <w:fldChar w:fldCharType="begin" w:fldLock="1"/>
      </w:r>
      <w:r w:rsidR="00F62D85">
        <w:rPr>
          <w:rFonts w:cstheme="minorHAnsi"/>
        </w:rPr>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mendeley":{"formattedCitation":"(81)","plainTextFormattedCitation":"(81)","previouslyFormattedCitation":"(81)"},"properties":{"noteIndex":0},"schema":"https://github.com/citation-style-language/schema/raw/master/csl-citation.json"}</w:instrText>
      </w:r>
      <w:r w:rsidR="00F62D85">
        <w:rPr>
          <w:rFonts w:cstheme="minorHAnsi"/>
        </w:rPr>
        <w:fldChar w:fldCharType="separate"/>
      </w:r>
      <w:r w:rsidR="00F62D85" w:rsidRPr="00F62D85">
        <w:rPr>
          <w:rFonts w:cstheme="minorHAnsi"/>
          <w:noProof/>
        </w:rPr>
        <w:t>(81)</w:t>
      </w:r>
      <w:r w:rsidR="00F62D85">
        <w:rPr>
          <w:rFonts w:cstheme="minorHAnsi"/>
        </w:rPr>
        <w:fldChar w:fldCharType="end"/>
      </w:r>
      <w:r>
        <w:rPr>
          <w:rFonts w:cstheme="minorHAnsi"/>
        </w:rPr>
        <w:t xml:space="preserve"> (see section 1.4.1 </w:t>
      </w:r>
      <w:r w:rsidRPr="00235164">
        <w:rPr>
          <w:rFonts w:cstheme="minorHAnsi"/>
          <w:b/>
        </w:rPr>
        <w:fldChar w:fldCharType="begin"/>
      </w:r>
      <w:r w:rsidRPr="00235164">
        <w:rPr>
          <w:rFonts w:cstheme="minorHAnsi"/>
          <w:b/>
        </w:rPr>
        <w:instrText xml:space="preserve"> REF _Ref530663965 \h </w:instrText>
      </w:r>
      <w:r>
        <w:rPr>
          <w:rFonts w:cstheme="minorHAnsi"/>
          <w:b/>
        </w:rPr>
        <w:instrText xml:space="preserve"> \* MERGEFORMAT </w:instrText>
      </w:r>
      <w:r w:rsidRPr="00235164">
        <w:rPr>
          <w:rFonts w:cstheme="minorHAnsi"/>
          <w:b/>
        </w:rPr>
      </w:r>
      <w:r w:rsidRPr="00235164">
        <w:rPr>
          <w:rFonts w:cstheme="minorHAnsi"/>
          <w:b/>
        </w:rPr>
        <w:fldChar w:fldCharType="separate"/>
      </w:r>
      <w:r w:rsidR="00E2070A" w:rsidRPr="00E2070A">
        <w:rPr>
          <w:b/>
        </w:rPr>
        <w:t>OSBP Function in Virus Replication</w:t>
      </w:r>
      <w:r w:rsidRPr="00235164">
        <w:rPr>
          <w:rFonts w:cstheme="minorHAnsi"/>
          <w:b/>
        </w:rPr>
        <w:fldChar w:fldCharType="end"/>
      </w:r>
      <w:r>
        <w:rPr>
          <w:rFonts w:cstheme="minorHAnsi"/>
        </w:rPr>
        <w:t xml:space="preserve">). OSBP has been shown to be essential for </w:t>
      </w:r>
      <w:r>
        <w:rPr>
          <w:rFonts w:cstheme="minorHAnsi"/>
          <w:i/>
        </w:rPr>
        <w:t xml:space="preserve">Enterovirus </w:t>
      </w:r>
      <w:r>
        <w:rPr>
          <w:rFonts w:cstheme="minorHAnsi"/>
        </w:rPr>
        <w:t>replication, which are major public</w:t>
      </w:r>
      <w:r w:rsidR="00ED0A16">
        <w:rPr>
          <w:rFonts w:cstheme="minorHAnsi"/>
        </w:rPr>
        <w:t xml:space="preserve"> health menace</w:t>
      </w:r>
      <w:r w:rsidR="00F62D85">
        <w:rPr>
          <w:rFonts w:cstheme="minorHAnsi"/>
        </w:rPr>
        <w:fldChar w:fldCharType="begin" w:fldLock="1"/>
      </w:r>
      <w:r w:rsidR="00F62D85">
        <w:rPr>
          <w:rFonts w:cstheme="minorHAnsi"/>
        </w:rPr>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id":"ITEM-2","itemData":{"DOI":"10.1016/j.antiviral.2015.02.013","ISSN":"01663542","author":[{"dropping-particle":"","family":"Albulescu","given":"Lucian","non-dropping-particle":"","parse-names":false,"suffix":""},{"dropping-particle":"","family":"Strating","given":"Jeroen R.P.M.","non-dropping-particle":"","parse-names":false,"suffix":""},{"dropping-particle":"","family":"Thibaut","given":"Hendrik Jan","non-dropping-particle":"","parse-names":false,"suffix":""},{"dropping-particle":"Van Der","family":"Linden","given":"Lonneke","non-dropping-particle":"","parse-names":false,"suffix":""},{"dropping-particle":"","family":"Shair","given":"Matthew D.","non-dropping-particle":"","parse-names":false,"suffix":""},{"dropping-particle":"","family":"Neyts","given":"Johan","non-dropping-particle":"","parse-names":false,"suffix":""},{"dropping-particle":"","family":"Kuppeveld","given":"Frank J.M.","non-dropping-particle":"van","parse-names":false,"suffix":""}],"container-title":"Antiviral Research","id":"ITEM-2","issued":{"date-parts":[["2015"]]},"page":"110-114","publisher":"Elsevier B.V.","title":"Broad-range inhibition of enterovirus replication by OSW-1, a natural compound targeting OSBP","type":"article-journal","volume":"117"},"uris":["http://www.mendeley.com/documents/?uuid=a8e5b343-7cc9-4cc8-aca5-d1dc4c99b364"]}],"mendeley":{"formattedCitation":"(81, 82)","plainTextFormattedCitation":"(81, 82)","previouslyFormattedCitation":"(81, 82)"},"properties":{"noteIndex":0},"schema":"https://github.com/citation-style-language/schema/raw/master/csl-citation.json"}</w:instrText>
      </w:r>
      <w:r w:rsidR="00F62D85">
        <w:rPr>
          <w:rFonts w:cstheme="minorHAnsi"/>
        </w:rPr>
        <w:fldChar w:fldCharType="separate"/>
      </w:r>
      <w:r w:rsidR="00F62D85" w:rsidRPr="00F62D85">
        <w:rPr>
          <w:rFonts w:cstheme="minorHAnsi"/>
          <w:noProof/>
        </w:rPr>
        <w:t>(81, 82)</w:t>
      </w:r>
      <w:r w:rsidR="00F62D85">
        <w:rPr>
          <w:rFonts w:cstheme="minorHAnsi"/>
        </w:rPr>
        <w:fldChar w:fldCharType="end"/>
      </w:r>
      <w:r>
        <w:rPr>
          <w:rFonts w:cstheme="minorHAnsi"/>
        </w:rPr>
        <w:t xml:space="preserve"> (see section 1.4.1.2</w:t>
      </w:r>
      <w:r w:rsidR="00ED0A16">
        <w:rPr>
          <w:rFonts w:cstheme="minorHAnsi"/>
        </w:rPr>
        <w:t xml:space="preserve"> </w:t>
      </w:r>
      <w:r w:rsidR="00ED0A16" w:rsidRPr="00ED0A16">
        <w:rPr>
          <w:rFonts w:cstheme="minorHAnsi"/>
        </w:rPr>
        <w:fldChar w:fldCharType="begin"/>
      </w:r>
      <w:r w:rsidR="00ED0A16" w:rsidRPr="00ED0A16">
        <w:rPr>
          <w:rFonts w:cstheme="minorHAnsi"/>
        </w:rPr>
        <w:instrText xml:space="preserve"> REF _Ref530664219 \h  \* MERGEFORMAT </w:instrText>
      </w:r>
      <w:r w:rsidR="00ED0A16" w:rsidRPr="00ED0A16">
        <w:rPr>
          <w:rFonts w:cstheme="minorHAnsi"/>
        </w:rPr>
      </w:r>
      <w:r w:rsidR="00ED0A16" w:rsidRPr="00ED0A16">
        <w:rPr>
          <w:rFonts w:cstheme="minorHAnsi"/>
        </w:rPr>
        <w:fldChar w:fldCharType="separate"/>
      </w:r>
      <w:r w:rsidR="00E2070A" w:rsidRPr="00E2070A">
        <w:rPr>
          <w:b/>
        </w:rPr>
        <w:t>Enteroviruses</w:t>
      </w:r>
      <w:r w:rsidR="00ED0A16" w:rsidRPr="00ED0A16">
        <w:rPr>
          <w:rFonts w:cstheme="minorHAnsi"/>
        </w:rPr>
        <w:fldChar w:fldCharType="end"/>
      </w:r>
      <w:r>
        <w:rPr>
          <w:rFonts w:cstheme="minorHAnsi"/>
        </w:rPr>
        <w:t>).</w:t>
      </w:r>
      <w:r w:rsidR="00ED0A16">
        <w:rPr>
          <w:rFonts w:cstheme="minorHAnsi"/>
        </w:rPr>
        <w:t xml:space="preserve"> OSW-1 has been confirmed as an anti-viral compounds through its inhibition of OSBP</w:t>
      </w:r>
      <w:r w:rsidR="00F62D85">
        <w:rPr>
          <w:rFonts w:cstheme="minorHAnsi"/>
        </w:rPr>
        <w:fldChar w:fldCharType="begin" w:fldLock="1"/>
      </w:r>
      <w:r w:rsidR="00F62D85">
        <w:rPr>
          <w:rFonts w:cstheme="minorHAnsi"/>
        </w:rPr>
        <w:instrText>ADDIN CSL_CITATION {"citationItems":[{"id":"ITEM-1","itemData":{"DOI":"10.1016/j.antiviral.2015.02.013","ISSN":"01663542","author":[{"dropping-particle":"","family":"Albulescu","given":"Lucian","non-dropping-particle":"","parse-names":false,"suffix":""},{"dropping-particle":"","family":"Strating","given":"Jeroen R.P.M.","non-dropping-particle":"","parse-names":false,"suffix":""},{"dropping-particle":"","family":"Thibaut","given":"Hendrik Jan","non-dropping-particle":"","parse-names":false,"suffix":""},{"dropping-particle":"Van Der","family":"Linden","given":"Lonneke","non-dropping-particle":"","parse-names":false,"suffix":""},{"dropping-particle":"","family":"Shair","given":"Matthew D.","non-dropping-particle":"","parse-names":false,"suffix":""},{"dropping-particle":"","family":"Neyts","given":"Johan","non-dropping-particle":"","parse-names":false,"suffix":""},{"dropping-particle":"","family":"Kuppeveld","given":"Frank J.M.","non-dropping-particle":"van","parse-names":false,"suffix":""}],"container-title":"Antiviral Research","id":"ITEM-1","issued":{"date-parts":[["2015"]]},"page":"110-114","publisher":"Elsevier B.V.","title":"Broad-range inhibition of enterovirus replication by OSW-1, a natural compound targeting OSBP","type":"article-journal","volume":"117"},"uris":["http://www.mendeley.com/documents/?uuid=a8e5b343-7cc9-4cc8-aca5-d1dc4c99b364"]}],"mendeley":{"formattedCitation":"(82)","plainTextFormattedCitation":"(82)","previouslyFormattedCitation":"(82)"},"properties":{"noteIndex":0},"schema":"https://github.com/citation-style-language/schema/raw/master/csl-citation.json"}</w:instrText>
      </w:r>
      <w:r w:rsidR="00F62D85">
        <w:rPr>
          <w:rFonts w:cstheme="minorHAnsi"/>
        </w:rPr>
        <w:fldChar w:fldCharType="separate"/>
      </w:r>
      <w:r w:rsidR="00F62D85" w:rsidRPr="00F62D85">
        <w:rPr>
          <w:rFonts w:cstheme="minorHAnsi"/>
          <w:noProof/>
        </w:rPr>
        <w:t>(82)</w:t>
      </w:r>
      <w:r w:rsidR="00F62D85">
        <w:rPr>
          <w:rFonts w:cstheme="minorHAnsi"/>
        </w:rPr>
        <w:fldChar w:fldCharType="end"/>
      </w:r>
      <w:r w:rsidR="00ED0A16">
        <w:rPr>
          <w:rFonts w:cstheme="minorHAnsi"/>
        </w:rPr>
        <w:t xml:space="preserve"> (see section 1.5.1 </w:t>
      </w:r>
      <w:r w:rsidR="00ED0A16" w:rsidRPr="005B4DAC">
        <w:rPr>
          <w:rFonts w:cstheme="minorHAnsi"/>
          <w:b/>
        </w:rPr>
        <w:fldChar w:fldCharType="begin"/>
      </w:r>
      <w:r w:rsidR="00ED0A16" w:rsidRPr="005B4DAC">
        <w:rPr>
          <w:rFonts w:cstheme="minorHAnsi"/>
          <w:b/>
        </w:rPr>
        <w:instrText xml:space="preserve"> REF _Ref530663375 \h  \* MERGEFORMAT </w:instrText>
      </w:r>
      <w:r w:rsidR="00ED0A16" w:rsidRPr="005B4DAC">
        <w:rPr>
          <w:rFonts w:cstheme="minorHAnsi"/>
          <w:b/>
        </w:rPr>
      </w:r>
      <w:r w:rsidR="00ED0A16" w:rsidRPr="005B4DAC">
        <w:rPr>
          <w:rFonts w:cstheme="minorHAnsi"/>
          <w:b/>
        </w:rPr>
        <w:fldChar w:fldCharType="separate"/>
      </w:r>
      <w:r w:rsidR="00E2070A" w:rsidRPr="00E2070A">
        <w:rPr>
          <w:b/>
        </w:rPr>
        <w:t>OSW-1</w:t>
      </w:r>
      <w:r w:rsidR="00ED0A16" w:rsidRPr="005B4DAC">
        <w:rPr>
          <w:rFonts w:cstheme="minorHAnsi"/>
          <w:b/>
        </w:rPr>
        <w:fldChar w:fldCharType="end"/>
      </w:r>
      <w:r w:rsidR="00ED0A16">
        <w:rPr>
          <w:rFonts w:cstheme="minorHAnsi"/>
        </w:rPr>
        <w:t xml:space="preserve">). </w:t>
      </w:r>
      <w:r w:rsidR="005557F5">
        <w:rPr>
          <w:rFonts w:cstheme="minorHAnsi"/>
        </w:rPr>
        <w:t xml:space="preserve">This </w:t>
      </w:r>
      <w:r w:rsidR="002D46ED" w:rsidRPr="002D46ED">
        <w:rPr>
          <w:rFonts w:cstheme="minorHAnsi"/>
        </w:rPr>
        <w:t xml:space="preserve">suggests that OSW-1 could be a potential therapeutic for </w:t>
      </w:r>
      <w:r w:rsidR="002D46ED" w:rsidRPr="002D46ED">
        <w:rPr>
          <w:rFonts w:cstheme="minorHAnsi"/>
          <w:i/>
        </w:rPr>
        <w:t xml:space="preserve">Enterovirus </w:t>
      </w:r>
      <w:r w:rsidR="002D46ED" w:rsidRPr="002D46ED">
        <w:rPr>
          <w:rFonts w:cstheme="minorHAnsi"/>
        </w:rPr>
        <w:t>species due to the degradation of a host protein that has been shown not to influence cell survival.</w:t>
      </w:r>
    </w:p>
    <w:p w:rsidR="002D46ED" w:rsidRPr="002D46ED" w:rsidRDefault="002D46ED" w:rsidP="00FB099D">
      <w:pPr>
        <w:ind w:firstLine="720"/>
        <w:jc w:val="both"/>
        <w:rPr>
          <w:b/>
          <w:sz w:val="22"/>
          <w:szCs w:val="28"/>
        </w:rPr>
      </w:pPr>
      <w:r w:rsidRPr="002D46ED">
        <w:rPr>
          <w:rFonts w:cstheme="minorHAnsi"/>
        </w:rPr>
        <w:t xml:space="preserve">Herein we describe the discovery that the treatment of mammalian cells with a single, non-toxic dose of the </w:t>
      </w:r>
      <w:r w:rsidR="007A587E">
        <w:rPr>
          <w:rFonts w:cstheme="minorHAnsi"/>
        </w:rPr>
        <w:t>OSW-1 compound</w:t>
      </w:r>
      <w:r w:rsidRPr="002D46ED">
        <w:rPr>
          <w:rFonts w:cstheme="minorHAnsi"/>
        </w:rPr>
        <w:t xml:space="preserve"> induces a significant reduction of OSBP protein levels that lasts for several days after the brief exposure to the compound. The reduction of OSBP levels remains even after the intracellular </w:t>
      </w:r>
      <w:r w:rsidR="005C1A59">
        <w:rPr>
          <w:rFonts w:cstheme="minorHAnsi"/>
        </w:rPr>
        <w:t xml:space="preserve">soluble </w:t>
      </w:r>
      <w:r w:rsidR="007A587E">
        <w:rPr>
          <w:rFonts w:cstheme="minorHAnsi"/>
        </w:rPr>
        <w:t>OSW-1 compound</w:t>
      </w:r>
      <w:r w:rsidRPr="002D46ED">
        <w:rPr>
          <w:rFonts w:cstheme="minorHAnsi"/>
        </w:rPr>
        <w:t xml:space="preserve"> concentrations have dropped to undetectable levels, and these cells have undergone multiple rounds of cell division. Triggering the persistent reduction of OSBP levels with the </w:t>
      </w:r>
      <w:r w:rsidR="007A587E">
        <w:rPr>
          <w:rFonts w:cstheme="minorHAnsi"/>
        </w:rPr>
        <w:t>OSW-1 compound</w:t>
      </w:r>
      <w:r w:rsidRPr="002D46ED">
        <w:rPr>
          <w:rFonts w:cstheme="minorHAnsi"/>
        </w:rPr>
        <w:t xml:space="preserve"> reduces the replication of two Enterovirus pathogens 24 hours after the compound is removed from the cell media. The inhibition of viral replication by triggering the reduction of a required host protein through small molecule treatment could be a new modality of anti-viral prophylaxis and potential therapeutic development.</w:t>
      </w:r>
    </w:p>
    <w:p w:rsidR="002D46ED" w:rsidRDefault="002D46ED" w:rsidP="00FB099D">
      <w:pPr>
        <w:pStyle w:val="Heading2"/>
      </w:pPr>
      <w:bookmarkStart w:id="99" w:name="_Toc532553100"/>
      <w:r>
        <w:t>Results</w:t>
      </w:r>
      <w:bookmarkEnd w:id="99"/>
    </w:p>
    <w:p w:rsidR="002D46ED" w:rsidRPr="002D46ED" w:rsidRDefault="002D46ED" w:rsidP="00042529">
      <w:pPr>
        <w:pStyle w:val="Heading3"/>
        <w:rPr>
          <w:sz w:val="22"/>
          <w:szCs w:val="28"/>
        </w:rPr>
      </w:pPr>
      <w:bookmarkStart w:id="100" w:name="_Toc532553101"/>
      <w:r w:rsidRPr="002D46ED">
        <w:t xml:space="preserve">Constant </w:t>
      </w:r>
      <w:r w:rsidR="007A587E">
        <w:t>OSW-1 compound</w:t>
      </w:r>
      <w:r w:rsidRPr="002D46ED">
        <w:t xml:space="preserve"> treatment leads to a differential time dependent reduction of OSBP and ORP4 protein levels.</w:t>
      </w:r>
      <w:bookmarkEnd w:id="100"/>
    </w:p>
    <w:p w:rsidR="002D46ED" w:rsidRPr="008977E4" w:rsidRDefault="00C479D6" w:rsidP="004578F9">
      <w:pPr>
        <w:ind w:firstLine="720"/>
        <w:jc w:val="both"/>
        <w:rPr>
          <w:rFonts w:cstheme="minorHAnsi"/>
          <w:b/>
        </w:rPr>
      </w:pPr>
      <w:r>
        <w:rPr>
          <w:rFonts w:cstheme="minorHAnsi"/>
        </w:rPr>
        <w:t xml:space="preserve">The </w:t>
      </w:r>
      <w:r w:rsidR="007A587E">
        <w:rPr>
          <w:rFonts w:cstheme="minorHAnsi"/>
        </w:rPr>
        <w:t>OSW-1 compound</w:t>
      </w:r>
      <w:r w:rsidR="002D46ED" w:rsidRPr="002D46ED">
        <w:rPr>
          <w:rFonts w:cstheme="minorHAnsi"/>
        </w:rPr>
        <w:t xml:space="preserve"> binds </w:t>
      </w:r>
      <w:r>
        <w:rPr>
          <w:rFonts w:cstheme="minorHAnsi"/>
        </w:rPr>
        <w:t xml:space="preserve">to </w:t>
      </w:r>
      <w:r w:rsidR="002D46ED" w:rsidRPr="002D46ED">
        <w:rPr>
          <w:rFonts w:cstheme="minorHAnsi"/>
        </w:rPr>
        <w:t>both OSBP and ORP4 with similar affinity</w:t>
      </w:r>
      <w:r w:rsidRPr="002D46ED">
        <w:rPr>
          <w:rFonts w:cstheme="minorHAnsi"/>
          <w:vertAlign w:val="superscript"/>
        </w:rPr>
        <w:fldChar w:fldCharType="begin" w:fldLock="1"/>
      </w:r>
      <w:r>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Pr="002D46ED">
        <w:rPr>
          <w:rFonts w:cstheme="minorHAnsi"/>
          <w:vertAlign w:val="superscript"/>
        </w:rPr>
        <w:fldChar w:fldCharType="separate"/>
      </w:r>
      <w:r w:rsidRPr="00393368">
        <w:rPr>
          <w:rFonts w:cstheme="minorHAnsi"/>
          <w:noProof/>
        </w:rPr>
        <w:t>(46)</w:t>
      </w:r>
      <w:r w:rsidRPr="002D46ED">
        <w:rPr>
          <w:rFonts w:cstheme="minorHAnsi"/>
          <w:vertAlign w:val="superscript"/>
        </w:rPr>
        <w:fldChar w:fldCharType="end"/>
      </w:r>
      <w:r>
        <w:rPr>
          <w:rFonts w:cstheme="minorHAnsi"/>
        </w:rPr>
        <w:t>.</w:t>
      </w:r>
      <w:r w:rsidR="002D46ED" w:rsidRPr="002D46ED">
        <w:rPr>
          <w:rFonts w:cstheme="minorHAnsi"/>
        </w:rPr>
        <w:t xml:space="preserve"> </w:t>
      </w:r>
      <w:r>
        <w:rPr>
          <w:rFonts w:cstheme="minorHAnsi"/>
        </w:rPr>
        <w:t xml:space="preserve">Additionally, </w:t>
      </w:r>
      <w:r w:rsidR="007A587E">
        <w:rPr>
          <w:rFonts w:cstheme="minorHAnsi"/>
        </w:rPr>
        <w:t>OSW-1 compound</w:t>
      </w:r>
      <w:r>
        <w:rPr>
          <w:rFonts w:cstheme="minorHAnsi"/>
        </w:rPr>
        <w:t xml:space="preserve"> treatment of cells is reported to cause</w:t>
      </w:r>
      <w:r w:rsidR="00BA7CB4">
        <w:rPr>
          <w:rFonts w:cstheme="minorHAnsi"/>
        </w:rPr>
        <w:t xml:space="preserve"> a loss of OSBP </w:t>
      </w:r>
      <w:r w:rsidR="002D46ED" w:rsidRPr="002D46ED">
        <w:rPr>
          <w:rFonts w:cstheme="minorHAnsi"/>
        </w:rPr>
        <w:t>in a time dependent manner</w:t>
      </w:r>
      <w:r w:rsidR="002D46ED" w:rsidRPr="002D46ED">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002D46ED" w:rsidRPr="002D46ED">
        <w:rPr>
          <w:rFonts w:cstheme="minorHAnsi"/>
          <w:vertAlign w:val="superscript"/>
        </w:rPr>
        <w:fldChar w:fldCharType="separate"/>
      </w:r>
      <w:r w:rsidR="00393368" w:rsidRPr="00393368">
        <w:rPr>
          <w:rFonts w:cstheme="minorHAnsi"/>
          <w:noProof/>
        </w:rPr>
        <w:t>(46)</w:t>
      </w:r>
      <w:r w:rsidR="002D46ED" w:rsidRPr="002D46ED">
        <w:rPr>
          <w:rFonts w:cstheme="minorHAnsi"/>
          <w:vertAlign w:val="superscript"/>
        </w:rPr>
        <w:fldChar w:fldCharType="end"/>
      </w:r>
      <w:r w:rsidR="005557F5">
        <w:rPr>
          <w:rFonts w:cstheme="minorHAnsi"/>
        </w:rPr>
        <w:t>,</w:t>
      </w:r>
      <w:r w:rsidR="00BA7CB4">
        <w:rPr>
          <w:rFonts w:cstheme="minorHAnsi"/>
        </w:rPr>
        <w:t xml:space="preserve"> but </w:t>
      </w:r>
      <w:r w:rsidR="002D46ED" w:rsidRPr="002D46ED">
        <w:rPr>
          <w:rFonts w:cstheme="minorHAnsi"/>
        </w:rPr>
        <w:t>effects</w:t>
      </w:r>
      <w:r w:rsidR="00BA7CB4">
        <w:rPr>
          <w:rFonts w:cstheme="minorHAnsi"/>
        </w:rPr>
        <w:t xml:space="preserve"> of OSW-1 treatment</w:t>
      </w:r>
      <w:r w:rsidR="002D46ED" w:rsidRPr="002D46ED">
        <w:rPr>
          <w:rFonts w:cstheme="minorHAnsi"/>
        </w:rPr>
        <w:t xml:space="preserve"> on the </w:t>
      </w:r>
      <w:r w:rsidR="00BA7CB4">
        <w:rPr>
          <w:rFonts w:cstheme="minorHAnsi"/>
        </w:rPr>
        <w:t>pro-proliferation</w:t>
      </w:r>
      <w:r w:rsidR="002D46ED" w:rsidRPr="002D46ED">
        <w:rPr>
          <w:rFonts w:cstheme="minorHAnsi"/>
        </w:rPr>
        <w:t xml:space="preserve"> </w:t>
      </w:r>
      <w:r w:rsidR="00852EEF">
        <w:rPr>
          <w:rFonts w:cstheme="minorHAnsi"/>
        </w:rPr>
        <w:t xml:space="preserve">protein </w:t>
      </w:r>
      <w:r w:rsidR="002D46ED" w:rsidRPr="002D46ED">
        <w:rPr>
          <w:rFonts w:cstheme="minorHAnsi"/>
        </w:rPr>
        <w:t xml:space="preserve">ORP4 </w:t>
      </w:r>
      <w:r w:rsidR="00BA7CB4">
        <w:rPr>
          <w:rFonts w:cstheme="minorHAnsi"/>
        </w:rPr>
        <w:t>are</w:t>
      </w:r>
      <w:r w:rsidR="002D46ED" w:rsidRPr="002D46ED">
        <w:rPr>
          <w:rFonts w:cstheme="minorHAnsi"/>
        </w:rPr>
        <w:t xml:space="preserve"> unknown. 1 nM </w:t>
      </w:r>
      <w:r w:rsidR="007A587E">
        <w:rPr>
          <w:rFonts w:cstheme="minorHAnsi"/>
        </w:rPr>
        <w:t>OSW-1 compound</w:t>
      </w:r>
      <w:r w:rsidR="002D46ED" w:rsidRPr="002D46ED">
        <w:rPr>
          <w:rFonts w:cstheme="minorHAnsi"/>
        </w:rPr>
        <w:t xml:space="preserve"> treatment showed &gt;90% reduction of OSBP levels after 24 </w:t>
      </w:r>
      <w:r w:rsidR="002D46ED" w:rsidRPr="002D46ED">
        <w:rPr>
          <w:rFonts w:cstheme="minorHAnsi"/>
        </w:rPr>
        <w:lastRenderedPageBreak/>
        <w:t>hours while also showing an average of ~50% reduction of ORP4 levels duri</w:t>
      </w:r>
      <w:r w:rsidR="004B00E4">
        <w:rPr>
          <w:rFonts w:cstheme="minorHAnsi"/>
        </w:rPr>
        <w:t>ng the same time frame (</w:t>
      </w:r>
      <w:r w:rsidR="008977E4" w:rsidRPr="008977E4">
        <w:rPr>
          <w:rFonts w:cstheme="minorHAnsi"/>
          <w:b/>
        </w:rPr>
        <w:fldChar w:fldCharType="begin"/>
      </w:r>
      <w:r w:rsidR="008977E4" w:rsidRPr="008977E4">
        <w:rPr>
          <w:rFonts w:cstheme="minorHAnsi"/>
          <w:b/>
        </w:rPr>
        <w:instrText xml:space="preserve"> REF _Ref532554289 \h </w:instrText>
      </w:r>
      <w:r w:rsidR="008977E4" w:rsidRPr="008977E4">
        <w:rPr>
          <w:rFonts w:cstheme="minorHAnsi"/>
          <w:b/>
        </w:rPr>
      </w:r>
      <w:r w:rsidR="008977E4" w:rsidRPr="008977E4">
        <w:rPr>
          <w:rFonts w:cstheme="minorHAnsi"/>
          <w:b/>
        </w:rPr>
        <w:instrText xml:space="preserve"> \* MERGEFORMAT </w:instrText>
      </w:r>
      <w:r w:rsidR="008977E4" w:rsidRPr="008977E4">
        <w:rPr>
          <w:rFonts w:cstheme="minorHAnsi"/>
          <w:b/>
        </w:rPr>
        <w:fldChar w:fldCharType="separate"/>
      </w:r>
      <w:r w:rsidR="00E2070A" w:rsidRPr="00E2070A">
        <w:rPr>
          <w:b/>
        </w:rPr>
        <w:t xml:space="preserve">Figure </w:t>
      </w:r>
      <w:r w:rsidR="00E2070A" w:rsidRPr="00E2070A">
        <w:rPr>
          <w:b/>
          <w:noProof/>
        </w:rPr>
        <w:t>17</w:t>
      </w:r>
      <w:r w:rsidR="008977E4" w:rsidRPr="008977E4">
        <w:rPr>
          <w:rFonts w:cstheme="minorHAnsi"/>
          <w:b/>
        </w:rPr>
        <w:fldChar w:fldCharType="end"/>
      </w:r>
      <w:r w:rsidR="002D46ED" w:rsidRPr="00A841B4">
        <w:rPr>
          <w:rFonts w:cstheme="minorHAnsi"/>
          <w:b/>
        </w:rPr>
        <w:t>A</w:t>
      </w:r>
      <w:r w:rsidR="002D46ED" w:rsidRPr="002D46ED">
        <w:rPr>
          <w:rFonts w:cstheme="minorHAnsi"/>
        </w:rPr>
        <w:t xml:space="preserve">). This result, as far as we are aware, is not only the first instance where cellular levels of ORP4 protein have been analyzed after treatment with </w:t>
      </w:r>
      <w:r w:rsidR="007A587E">
        <w:rPr>
          <w:rFonts w:cstheme="minorHAnsi"/>
        </w:rPr>
        <w:t>OSW-1 compound</w:t>
      </w:r>
      <w:r w:rsidR="005557F5">
        <w:rPr>
          <w:rFonts w:cstheme="minorHAnsi"/>
        </w:rPr>
        <w:t>,</w:t>
      </w:r>
      <w:r w:rsidR="002D46ED" w:rsidRPr="002D46ED">
        <w:rPr>
          <w:rFonts w:cstheme="minorHAnsi"/>
        </w:rPr>
        <w:t xml:space="preserve"> but also the first to show ORP4 is lost in a similar manner as OSBP. Although novel, this event is not surprising since prolong exposure to the </w:t>
      </w:r>
      <w:r w:rsidR="007A587E">
        <w:rPr>
          <w:rFonts w:cstheme="minorHAnsi"/>
        </w:rPr>
        <w:t>OSW-1 compound</w:t>
      </w:r>
      <w:r w:rsidR="002D46ED" w:rsidRPr="002D46ED">
        <w:rPr>
          <w:rFonts w:cstheme="minorHAnsi"/>
        </w:rPr>
        <w:t xml:space="preserve"> has been reported to lead to apoptosis</w:t>
      </w:r>
      <w:r w:rsidR="002D46ED" w:rsidRPr="002D46ED">
        <w:rPr>
          <w:rFonts w:cstheme="minorHAnsi"/>
          <w:vertAlign w:val="superscript"/>
        </w:rPr>
        <w:fldChar w:fldCharType="begin" w:fldLock="1"/>
      </w:r>
      <w:r w:rsidR="00F62D85">
        <w:rPr>
          <w:rFonts w:cstheme="minorHAnsi"/>
          <w:vertAlign w:val="superscript"/>
        </w:rPr>
        <w:instrText>ADDIN CSL_CITATION {"citationItems":[{"id":"ITEM-1","itemData":{"DOI":"10.3892/mmr.2013.1366","ISBN":"1355255001036","ISSN":"1791-2997","PMID":"42012058","abstract":"Purpose: The main objective of this paper is to analyse the influence of environmental factors on entrepreneurship at the Spanish regional level, using institutional economics as the theoretical framework for the research. Additionally, this work aims to emphasize how environmental conditions have different effects according to the gender of entrepreneurs. Design/methodology/approach: Regional panel data (19 Spanish regions and the 2006-2009 period) from the Global Entrepreneurship Monitor (GEM), specifically from the Spanish National Expert Survey (NES) for environmental conditions and the GEM Adult Population Survey (APS) for entrepreneurial activity were analysed within a fixed effects model with panel corrected standard errors. Findings: The main findings of the study indicate that both informal (cultural and social norms, perception of opportunities to start-up and entrepreneur social image) and formal factors (intellectual property rights) influence entrepreneurship, but the informal are more determinant than the formal. Concerning the gender issues, informal and formal institutions are also determinant, but female entrepreneurship is significantly associated with the women's support to start-up, whereas primary and higher education are associated only with male entrepreneurial activity. Research limitations/implications: The results of the research should be interpreted carefully, because the availability of data constrained the analysis to a time period that is not reflective of the economic cycle; on the contrary, the data correspond to a period of recession, and thus the results cannot be generalized. Also, the study could extend the analysed period and compare the obtained results with international data, considering the global number of participant countries in the GEM Project. Originality/value: The study provides a methodology to analyse the environmental factors for new firm creation at a regional level, combining GEM data and institutional economics. © Emerald Group Publishing Limited.","author":[{"dropping-particle":"","family":"JIN","given":"JICHUN","non-dropping-particle":"","parse-names":false,"suffix":""},{"dropping-particle":"","family":"JIN","given":"XINGLIN","non-dropping-particle":"","parse-names":false,"suffix":""},{"dropping-particle":"","family":"QIAN","given":"CHANGSHI","non-dropping-particle":"","parse-names":false,"suffix":""},{"dropping-particle":"","family":"RUAN","given":"YANG","non-dropping-particle":"","parse-names":false,"suffix":""},{"dropping-particle":"","family":"JIANG","given":"HAO","non-dropping-particle":"","parse-names":false,"suffix":""}],"container-title":"Molecular Medicine Reports","id":"ITEM-1","issue":"5","issued":{"date-parts":[["2013","5"]]},"page":"1646-1650","title":"Signaling network of OSW-1-induced apoptosis and necroptosis in hepatocellular carcinoma","type":"article-journal","volume":"7"},"uris":["http://www.mendeley.com/documents/?uuid=5c64f89e-8c7f-41d3-9a27-bfe3ef34bcc2"]},{"id":"ITEM-2","itemData":{"DOI":"10.1124/mol.105.015826.Apoptosis","ISSN":"0026-895X","PMID":"16183855","abstract":"OSW-1 is a new member of cholestane saponin family, which is cytotoxic against several types of malignant cells. We reported herein that OSW-1 induced apoptosis of mammalian cells in a concentration- and time-dependent manner. The drug-induced apoptosis was mediated through the mitochondrial pathway, involving the cleavage of Bcl-2. This drug-induced Bcl-2 cleavage in Chinese hamster ovary (CHO) cells could be suppressed either by dominant-negative caspase-8 or by a caspase-8 inhibitor, suggesting that the Bcl-2 cleavage is dependent on caspase-8. In contrast, the Bcl-2 cleavage was independent of caspase-3 activity. The inhibition of caspase-8 activity also resulted in the reduction of apoptotic cells, indicating that Bcl-2 cleavage induced by caspase-8 promotes the progression of apoptosis. The involvement of the caspase-8 activity in the processes of the OSW-1-induced apoptosis was further examined by using caspase-8-deficient Jurkat T cells. It was found that the caspase-8-deficient cells were resistant to OSW-1-induced Bcl-2 cleavage or apoptosis. Furthermore, the small subunit of caspase-8 was found to interact with Bcl-2 as determined by yeast two-hybrid and coimmunoprecipitation assays. Overexpression of caspase-8 small subunit reduced the cleavage of Bcl-2 and inhibited the apoptosis induced by OSW-1. Taken together, these results demonstrate that OSW-1 is capable of inducing apoptosis in mammalian cells, in which the caspase-8-dependent cleavage of Bcl-2 plays an important role.","author":[{"dropping-particle":"","family":"Zhu","given":"Jianbei","non-dropping-particle":"","parse-names":false,"suffix":""},{"dropping-particle":"","family":"Xiong","given":"Lei","non-dropping-particle":"","parse-names":false,"suffix":""},{"dropping-particle":"","family":"Yu","given":"Biao","non-dropping-particle":"","parse-names":false,"suffix":""},{"dropping-particle":"","family":"Wu","given":"Jiarui","non-dropping-particle":"","parse-names":false,"suffix":""}],"container-title":"Molecular pharmacology","id":"ITEM-2","issue":"6","issued":{"date-parts":[["2005"]]},"page":"1831-1838","title":"Apoptosis induced by a new member of saponin family is mediated through caspase-8-dependent cleavage of Bcl-2.","type":"article-journal","volume":"68"},"uris":["http://www.mendeley.com/documents/?uuid=e85f458d-279a-42c9-b0e3-db0fe130c145"]}],"mendeley":{"formattedCitation":"(200, 201)","plainTextFormattedCitation":"(200, 201)","previouslyFormattedCitation":"(200, 201)"},"properties":{"noteIndex":0},"schema":"https://github.com/citation-style-language/schema/raw/master/csl-citation.json"}</w:instrText>
      </w:r>
      <w:r w:rsidR="002D46ED" w:rsidRPr="002D46ED">
        <w:rPr>
          <w:rFonts w:cstheme="minorHAnsi"/>
          <w:vertAlign w:val="superscript"/>
        </w:rPr>
        <w:fldChar w:fldCharType="separate"/>
      </w:r>
      <w:r w:rsidR="00F62D85" w:rsidRPr="00F62D85">
        <w:rPr>
          <w:rFonts w:cstheme="minorHAnsi"/>
          <w:noProof/>
        </w:rPr>
        <w:t>(200, 201)</w:t>
      </w:r>
      <w:r w:rsidR="002D46ED" w:rsidRPr="002D46ED">
        <w:rPr>
          <w:rFonts w:cstheme="minorHAnsi"/>
          <w:vertAlign w:val="superscript"/>
        </w:rPr>
        <w:fldChar w:fldCharType="end"/>
      </w:r>
      <w:r w:rsidR="002D46ED" w:rsidRPr="002D46ED">
        <w:rPr>
          <w:rFonts w:cstheme="minorHAnsi"/>
        </w:rPr>
        <w:t>, mitochondrial dysfunction</w:t>
      </w:r>
      <w:r w:rsidR="002D46ED" w:rsidRPr="002D46ED">
        <w:rPr>
          <w:rFonts w:cstheme="minorHAnsi"/>
          <w:vertAlign w:val="superscript"/>
        </w:rPr>
        <w:fldChar w:fldCharType="begin" w:fldLock="1"/>
      </w:r>
      <w:r w:rsidR="00F81397">
        <w:rPr>
          <w:rFonts w:cstheme="minorHAnsi"/>
          <w:vertAlign w:val="superscript"/>
        </w:rPr>
        <w:instrText>ADDIN CSL_CITATION {"citationItems":[{"id":"ITEM-1","itemData":{"DOI":"10.1074/jbc.M112.384776","ISSN":"00219258","PMID":"23250754","abstract":"3β,16β,17α-Trihydroxycholest-5-en-22-one 16-O-(2-O-4-methoxybenzoyl-β-D-xylopyranosyl)-(1→3)-2-O-acetyl-α-L-arabinopyranoside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leukemia.","author":[{"dropping-particle":"","family":"Garcia-Prieto","given":"Celia","non-dropping-particle":"","parse-names":false,"suffix":""},{"dropping-particle":"","family":"Ahmed","given":"Kausar Begam Riaz","non-dropping-particle":"","parse-names":false,"suffix":""},{"dropping-particle":"","family":"Chen","given":"Zhao","non-dropping-particle":"","parse-names":false,"suffix":""},{"dropping-particle":"","family":"Zhou","given":"Yan","non-dropping-particle":"","parse-names":false,"suffix":""},{"dropping-particle":"","family":"Hammoudi","given":"Naima","non-dropping-particle":"","parse-names":false,"suffix":""},{"dropping-particle":"","family":"Kang","given":"Ying","non-dropping-particle":"","parse-names":false,"suffix":""},{"dropping-particle":"","family":"Lou","given":"Changgang","non-dropping-particle":"","parse-names":false,"suffix":""},{"dropping-particle":"","family":"Mei","given":"Yan","non-dropping-particle":"","parse-names":false,"suffix":""},{"dropping-particle":"","family":"Jin","given":"Zhendong","non-dropping-particle":"","parse-names":false,"suffix":""},{"dropping-particle":"","family":"Huang","given":"Peng","non-dropping-particle":"","parse-names":false,"suffix":""}],"container-title":"Journal of Biological Chemistry","id":"ITEM-1","issue":"5","issued":{"date-parts":[["2013","2","1"]]},"page":"3240-3250","title":"Effective killing of leukemia cells by the natural product OSW-1 through disruption of cellular calcium homeostasis","type":"article-journal","volume":"288"},"uris":["http://www.mendeley.com/documents/?uuid=cc0a9126-34f4-44d0-9c6a-6be26fc49bd6"]}],"mendeley":{"formattedCitation":"(130)","plainTextFormattedCitation":"(130)","previouslyFormattedCitation":"(130)"},"properties":{"noteIndex":0},"schema":"https://github.com/citation-style-language/schema/raw/master/csl-citation.json"}</w:instrText>
      </w:r>
      <w:r w:rsidR="002D46ED" w:rsidRPr="002D46ED">
        <w:rPr>
          <w:rFonts w:cstheme="minorHAnsi"/>
          <w:vertAlign w:val="superscript"/>
        </w:rPr>
        <w:fldChar w:fldCharType="separate"/>
      </w:r>
      <w:r w:rsidR="005D2ADA" w:rsidRPr="005D2ADA">
        <w:rPr>
          <w:rFonts w:cstheme="minorHAnsi"/>
          <w:noProof/>
        </w:rPr>
        <w:t>(130)</w:t>
      </w:r>
      <w:r w:rsidR="002D46ED" w:rsidRPr="002D46ED">
        <w:rPr>
          <w:rFonts w:cstheme="minorHAnsi"/>
          <w:vertAlign w:val="superscript"/>
        </w:rPr>
        <w:fldChar w:fldCharType="end"/>
      </w:r>
      <w:r w:rsidR="002D46ED" w:rsidRPr="002D46ED">
        <w:rPr>
          <w:rFonts w:cstheme="minorHAnsi"/>
        </w:rPr>
        <w:t>, and intracellular calcium release</w:t>
      </w:r>
      <w:r w:rsidR="002D46ED" w:rsidRPr="002D46ED">
        <w:rPr>
          <w:rFonts w:cstheme="minorHAnsi"/>
          <w:vertAlign w:val="superscript"/>
        </w:rPr>
        <w:fldChar w:fldCharType="begin" w:fldLock="1"/>
      </w:r>
      <w:r w:rsidR="00F81397">
        <w:rPr>
          <w:rFonts w:cstheme="minorHAnsi"/>
          <w:vertAlign w:val="superscript"/>
        </w:rPr>
        <w:instrText>ADDIN CSL_CITATION {"citationItems":[{"id":"ITEM-1","itemData":{"DOI":"10.1074/jbc.M112.384776","ISSN":"00219258","PMID":"23250754","abstract":"3β,16β,17α-Trihydroxycholest-5-en-22-one 16-O-(2-O-4-methoxybenzoyl-β-D-xylopyranosyl)-(1→3)-2-O-acetyl-α-L-arabinopyranoside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leukemia.","author":[{"dropping-particle":"","family":"Garcia-Prieto","given":"Celia","non-dropping-particle":"","parse-names":false,"suffix":""},{"dropping-particle":"","family":"Ahmed","given":"Kausar Begam Riaz","non-dropping-particle":"","parse-names":false,"suffix":""},{"dropping-particle":"","family":"Chen","given":"Zhao","non-dropping-particle":"","parse-names":false,"suffix":""},{"dropping-particle":"","family":"Zhou","given":"Yan","non-dropping-particle":"","parse-names":false,"suffix":""},{"dropping-particle":"","family":"Hammoudi","given":"Naima","non-dropping-particle":"","parse-names":false,"suffix":""},{"dropping-particle":"","family":"Kang","given":"Ying","non-dropping-particle":"","parse-names":false,"suffix":""},{"dropping-particle":"","family":"Lou","given":"Changgang","non-dropping-particle":"","parse-names":false,"suffix":""},{"dropping-particle":"","family":"Mei","given":"Yan","non-dropping-particle":"","parse-names":false,"suffix":""},{"dropping-particle":"","family":"Jin","given":"Zhendong","non-dropping-particle":"","parse-names":false,"suffix":""},{"dropping-particle":"","family":"Huang","given":"Peng","non-dropping-particle":"","parse-names":false,"suffix":""}],"container-title":"Journal of Biological Chemistry","id":"ITEM-1","issue":"5","issued":{"date-parts":[["2013","2","1"]]},"page":"3240-3250","title":"Effective killing of leukemia cells by the natural product OSW-1 through disruption of cellular calcium homeostasis","type":"article-journal","volume":"288"},"uris":["http://www.mendeley.com/documents/?uuid=cc0a9126-34f4-44d0-9c6a-6be26fc49bd6"]}],"mendeley":{"formattedCitation":"(130)","plainTextFormattedCitation":"(130)","previouslyFormattedCitation":"(130)"},"properties":{"noteIndex":0},"schema":"https://github.com/citation-style-language/schema/raw/master/csl-citation.json"}</w:instrText>
      </w:r>
      <w:r w:rsidR="002D46ED" w:rsidRPr="002D46ED">
        <w:rPr>
          <w:rFonts w:cstheme="minorHAnsi"/>
          <w:vertAlign w:val="superscript"/>
        </w:rPr>
        <w:fldChar w:fldCharType="separate"/>
      </w:r>
      <w:r w:rsidR="005D2ADA" w:rsidRPr="005D2ADA">
        <w:rPr>
          <w:rFonts w:cstheme="minorHAnsi"/>
          <w:noProof/>
        </w:rPr>
        <w:t>(130)</w:t>
      </w:r>
      <w:r w:rsidR="002D46ED" w:rsidRPr="002D46ED">
        <w:rPr>
          <w:rFonts w:cstheme="minorHAnsi"/>
          <w:vertAlign w:val="superscript"/>
        </w:rPr>
        <w:fldChar w:fldCharType="end"/>
      </w:r>
      <w:r w:rsidR="002D46ED" w:rsidRPr="002D46ED">
        <w:rPr>
          <w:rFonts w:cstheme="minorHAnsi"/>
        </w:rPr>
        <w:t>, which are consistent with ORP4 functions</w:t>
      </w:r>
      <w:r w:rsidR="002D46ED" w:rsidRPr="002D46ED">
        <w:rPr>
          <w:rFonts w:cstheme="minorHAnsi"/>
          <w:vertAlign w:val="superscript"/>
        </w:rPr>
        <w:fldChar w:fldCharType="begin" w:fldLock="1"/>
      </w:r>
      <w:r w:rsidR="00393368">
        <w:rPr>
          <w:rFonts w:cstheme="minorHAnsi"/>
          <w:vertAlign w:val="superscript"/>
        </w:rPr>
        <w:instrText>ADDIN CSL_CITATION {"citationItems":[{"id":"ITEM-1","itemData":{"DOI":"10.1038/ncomms12702","ISBN":"2041-1723 (Electronic) 2041-1723 (Linking)","ISSN":"20411723","PMID":"27581363","abstract":"Metabolic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CD3ɛ, Gαq/11 and PLCβ3 into a complex that activates PLCβ3. PLCβ3 catalyzes IP3 production in T-ALL as opposed to PLCγ1 in normal T-cells. Up-regulation of ORP4L thus results in a switch in the enzyme responsible for IP3-induced endoplasmic reticulum Ca(2+)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PLCβ3 activation, resulting in an increase of mitochondrial respiration for cell survival. Targeting ORP4L might represent a promising approach for T-ALL treatment.","author":[{"dropping-particle":"","family":"Zhong","given":"Wenbin","non-dropping-particle":"","parse-names":false,"suffix":""},{"dropping-particle":"","family":"Yi","given":"Qing","non-dropping-particle":"","parse-names":false,"suffix":""},{"dropping-particle":"","family":"Xu","given":"Bing","non-dropping-particle":"","parse-names":false,"suffix":""},{"dropping-particle":"","family":"Li","given":"Shiqian","non-dropping-particle":"","parse-names":false,"suffix":""},{"dropping-particle":"","family":"Wang","given":"Tong","non-dropping-particle":"","parse-names":false,"suffix":""},{"dropping-particle":"","family":"Liu","given":"Fupei","non-dropping-particle":"","parse-names":false,"suffix":""},{"dropping-particle":"","family":"Zhu","given":"Biying","non-dropping-particle":"","parse-names":false,"suffix":""},{"dropping-particle":"","family":"Hoffmann","given":"Peter R.","non-dropping-particle":"","parse-names":false,"suffix":""},{"dropping-particle":"","family":"Ji","given":"Guangju","non-dropping-particle":"","parse-names":false,"suffix":""},{"dropping-particle":"","family":"Lei","given":"Pingsheng","non-dropping-particle":"","parse-names":false,"suffix":""},{"dropping-particle":"","family":"Li","given":"Guoping","non-dropping-particle":"","parse-names":false,"suffix":""},{"dropping-particle":"","family":"Li","given":"Jiwei","non-dropping-particle":"","parse-names":false,"suffix":""},{"dropping-particle":"","family":"Li","given":"Jian","non-dropping-particle":"","parse-names":false,"suffix":""},{"dropping-particle":"","family":"Olkkonen","given":"Vesa M.","non-dropping-particle":"","parse-names":false,"suffix":""},{"dropping-particle":"","family":"Yan","given":"Daoguang","non-dropping-particle":"","parse-names":false,"suffix":""}],"container-title":"Nature Communications","id":"ITEM-1","issued":{"date-parts":[["2016"]]},"page":"1-14","publisher":"Nature Publishing Group","title":"ORP4L is essential for T-cell acute lymphoblastic leukemia cell survival","type":"article-journal","volume":"7"},"uris":["http://www.mendeley.com/documents/?uuid=4b829fa5-078a-4bb6-b33f-741001f11c41"]},{"id":"ITEM-2","itemData":{"DOI":"10.1161/CIRCRESAHA.116.309603","ISSN":"15244571","PMID":"27729467","abstract":"© 2016 American Heart Association, Inc. Rationale: Macrophage survival within the arterial wall is a central factor contributing to atherogenesis. Oxysterols, major components of oxidized low-density lipoprotein, exert cytotoxic effects on macrophages. Objective: To determine whether oxysterol-binding protein-related protein 4 L (ORP4L), an oxysterol-binding protein, affects macrophage survival and the pathogenesis of atherosclerosis. Methods and Results: By hiring cell biological approaches and ORP4L - /- mice, we show that ORP4L coexpresses with and forms a complex with Gα q/11 and phospholipase C (PLC)-β3 in macrophages. ORP4L facilitates G-protein-coupled ligand-induced PLCβ3 activation, IP 3 production, and Ca 2+ release from the endoplasmic reticulum. Through this mechanism, ORP4L sustains antiapoptotic Bcl-XL expression through Ca 2+ -mediated c-AMP responsive element binding protein transcriptional regulation and thus protects macrophages from apoptosis. Excessive stimulation with the oxysterol 25-hydroxycholesterol disassembles the ORP4L/Gα q/11 /PLCβ3 complexes, resulting in reduced PLCβ3 activity, IP 3 production, and Ca 2+ release, as well as decreased Bcl-XL expression and increased apoptosis. Overexpression of ORP4L counteracts these oxysterol-induced defects. Mice lacking ORP4L exhibit increased apoptosis of macrophages in atherosclerotic lesions and a reduced lesion size. Conclusions: ORP4L is crucial for macrophage survival. It counteracts the cytotoxicity of oxysterols/oxidized low-density lipoprotein to protect macrophage from apoptosis, thus playing an important role in the development of atherosclerosis.","author":[{"dropping-particle":"","family":"Zhong","given":"Wenbin","non-dropping-particle":"","parse-names":false,"suffix":""},{"dropping-particle":"","family":"Pan","given":"Guoping","non-dropping-particle":"","parse-names":false,"suffix":""},{"dropping-particle":"","family":"Wang","given":"Lin","non-dropping-particle":"","parse-names":false,"suffix":""},{"dropping-particle":"","family":"Li","given":"Shiqian","non-dropping-particle":"","parse-names":false,"suffix":""},{"dropping-particle":"","family":"Ou","given":"Jingsong","non-dropping-particle":"","parse-names":false,"suffix":""},{"dropping-particle":"","family":"Xu","given":"Mengyang","non-dropping-particle":"","parse-names":false,"suffix":""},{"dropping-particle":"","family":"Li","given":"Jiwei","non-dropping-particle":"","parse-names":false,"suffix":""},{"dropping-particle":"","family":"Zhu","given":"Biying","non-dropping-particle":"","parse-names":false,"suffix":""},{"dropping-particle":"","family":"Cao","given":"Xiuye","non-dropping-particle":"","parse-names":false,"suffix":""},{"dropping-particle":"","family":"Ma","given":"Hongling","non-dropping-particle":"","parse-names":false,"suffix":""},{"dropping-particle":"","family":"Li","given":"Chaowen","non-dropping-particle":"","parse-names":false,"suffix":""},{"dropping-particle":"","family":"Xu","given":"Jun","non-dropping-particle":"","parse-names":false,"suffix":""},{"dropping-particle":"","family":"Olkkonen","given":"Vesa M.","non-dropping-particle":"","parse-names":false,"suffix":""},{"dropping-particle":"","family":"Staels","given":"Bart","non-dropping-particle":"","parse-names":false,"suffix":""},{"dropping-particle":"","family":"Yan","given":"Daoguang","non-dropping-particle":"","parse-names":false,"suffix":""}],"container-title":"Circulation Research","id":"ITEM-2","issue":"12","issued":{"date-parts":[["2016"]]},"page":"1296-1312","title":"ORP4L Facilitates Macrophage Survival via G-Protein-Coupled Signaling","type":"article-journal","volume":"119"},"uris":["http://www.mendeley.com/documents/?uuid=8d33535c-3788-43ae-ad6b-32c909272c41"]}],"mendeley":{"formattedCitation":"(48, 54)","plainTextFormattedCitation":"(48, 54)","previouslyFormattedCitation":"(48, 54)"},"properties":{"noteIndex":0},"schema":"https://github.com/citation-style-language/schema/raw/master/csl-citation.json"}</w:instrText>
      </w:r>
      <w:r w:rsidR="002D46ED" w:rsidRPr="002D46ED">
        <w:rPr>
          <w:rFonts w:cstheme="minorHAnsi"/>
          <w:vertAlign w:val="superscript"/>
        </w:rPr>
        <w:fldChar w:fldCharType="separate"/>
      </w:r>
      <w:r w:rsidR="00393368" w:rsidRPr="00393368">
        <w:rPr>
          <w:rFonts w:cstheme="minorHAnsi"/>
          <w:noProof/>
        </w:rPr>
        <w:t>(48, 54)</w:t>
      </w:r>
      <w:r w:rsidR="002D46ED" w:rsidRPr="002D46ED">
        <w:rPr>
          <w:rFonts w:cstheme="minorHAnsi"/>
          <w:vertAlign w:val="superscript"/>
        </w:rPr>
        <w:fldChar w:fldCharType="end"/>
      </w:r>
      <w:r w:rsidR="002D46ED" w:rsidRPr="002D46ED">
        <w:rPr>
          <w:rFonts w:cstheme="minorHAnsi"/>
        </w:rPr>
        <w:t xml:space="preserve"> and suggest</w:t>
      </w:r>
      <w:r w:rsidR="005557F5">
        <w:rPr>
          <w:rFonts w:cstheme="minorHAnsi"/>
        </w:rPr>
        <w:t>s</w:t>
      </w:r>
      <w:r w:rsidR="002D46ED" w:rsidRPr="002D46ED">
        <w:rPr>
          <w:rFonts w:cstheme="minorHAnsi"/>
        </w:rPr>
        <w:t xml:space="preserve"> the anti-cancer activity of the </w:t>
      </w:r>
      <w:r w:rsidR="007A587E">
        <w:rPr>
          <w:rFonts w:cstheme="minorHAnsi"/>
        </w:rPr>
        <w:t>OSW-1 compound</w:t>
      </w:r>
      <w:r w:rsidR="002D46ED" w:rsidRPr="002D46ED">
        <w:rPr>
          <w:rFonts w:cstheme="minorHAnsi"/>
        </w:rPr>
        <w:t xml:space="preserve"> is through ORP4 targeting and degradation rather than OSBP disruption.</w:t>
      </w:r>
    </w:p>
    <w:p w:rsidR="002D46ED" w:rsidRPr="00E23A6C" w:rsidRDefault="002D46ED" w:rsidP="004578F9">
      <w:pPr>
        <w:ind w:firstLine="720"/>
        <w:jc w:val="both"/>
        <w:rPr>
          <w:rFonts w:cstheme="minorHAnsi"/>
          <w:b/>
        </w:rPr>
      </w:pPr>
      <w:r w:rsidRPr="002D46ED">
        <w:rPr>
          <w:rFonts w:cstheme="minorHAnsi"/>
        </w:rPr>
        <w:t>Since knockdown of ORP4 was shown to cause cell growth arrest in multiple cells that were used in the initial experiment</w:t>
      </w:r>
      <w:r w:rsidRPr="002D46ED">
        <w:rPr>
          <w:rFonts w:cstheme="minorHAnsi"/>
          <w:vertAlign w:val="superscript"/>
        </w:rPr>
        <w:fldChar w:fldCharType="begin" w:fldLock="1"/>
      </w:r>
      <w:r w:rsidR="00DE076B">
        <w:rPr>
          <w:rFonts w:cstheme="minorHAnsi"/>
          <w:vertAlign w:val="superscript"/>
        </w:rPr>
        <w:instrText>ADDIN CSL_CITATION {"citationItems":[{"id":"ITEM-1","itemData":{"DOI":"10.1074/jbc.M114.571216","ISBN":"9024924324","ISSN":"1083351X","PMID":"24742681","abstract":"Oxysterol-binding protein (OSBP) and OSBP-related proteins (ORPs) comprise a large gene family with sterol/lipid transport and regulatory activities. ORP4 (OSBP2) is a closely related paralogue of OSBP, but its function is unknown. Here we show that ORP4 binds similar sterol and lipid ligands as OSBP and other ORPs but is uniquely required for the proliferation and survival of cultured cells. Recombinant ORP4L and a variant without a pleckstrin homology (PH) domain (ORP4S) bind 25-hydroxycholesterol and extract and transfer cholesterol between liposomes. Two conserved histidine residues in the OSBP homology domain ORP4 are essential for binding phosphatidylinositol 4-phosphate but not sterols. The PH domain of ORP4L also binds phosphatidylinositol 4-phosphate in the Golgi apparatus. However, in the context of ORP4L, the PH domain is required for normal organization of the vimentin network. Unlike OSBP, RNAi silencing of all ORP4 variants (including a partial PH domain truncation termed ORP4M) in HEK293 and HeLa cells resulted in growth arrest but not cell death. ORP4 silencing in non-transformed intestinal epithelial cells (IEC)-18 caused apoptosis characterized by caspase 3 and poly(ADP-ribose) polymerase processing, DNA cleavage, and JNK phosphorylation. IEC-18 transformed with oncogenic H-Ras have increased expression of ORP4L and ORP4S proteins and are resistant to the growth-inhibitory effects of ORP4 silencing. Results suggest that ORP4 promotes the survival of rapidly proliferating cells.","author":[{"dropping-particle":"","family":"Charman","given":"Mark","non-dropping-particle":"","parse-names":false,"suffix":""},{"dropping-particle":"","family":"Colbourne","given":"Terry R.","non-dropping-particle":"","parse-names":false,"suffix":""},{"dropping-particle":"","family":"Pietrangelo","given":"Antonietta","non-dropping-particle":"","parse-names":false,"suffix":""},{"dropping-particle":"","family":"Kreplak","given":"Laurent","non-dropping-particle":"","parse-names":false,"suffix":""},{"dropping-particle":"","family":"Ridgway","given":"Neale D.","non-dropping-particle":"","parse-names":false,"suffix":""}],"container-title":"Journal of Biological Chemistry","id":"ITEM-1","issue":"22","issued":{"date-parts":[["2014"]]},"page":"15705-15717","title":"Oxysterol-binding protein (OSBP)-related protein 4 (ORP4) is essential for cell proliferation and survival","type":"article-journal","volume":"289"},"uris":["http://www.mendeley.com/documents/?uuid=69e80f92-9587-4c32-b5d3-c1560da16ba1"]}],"mendeley":{"formattedCitation":"(17)","plainTextFormattedCitation":"(17)","previouslyFormattedCitation":"(17)"},"properties":{"noteIndex":0},"schema":"https://github.com/citation-style-language/schema/raw/master/csl-citation.json"}</w:instrText>
      </w:r>
      <w:r w:rsidRPr="002D46ED">
        <w:rPr>
          <w:rFonts w:cstheme="minorHAnsi"/>
          <w:vertAlign w:val="superscript"/>
        </w:rPr>
        <w:fldChar w:fldCharType="separate"/>
      </w:r>
      <w:r w:rsidR="00423910" w:rsidRPr="00423910">
        <w:rPr>
          <w:rFonts w:cstheme="minorHAnsi"/>
          <w:noProof/>
        </w:rPr>
        <w:t>(17)</w:t>
      </w:r>
      <w:r w:rsidRPr="002D46ED">
        <w:rPr>
          <w:rFonts w:cstheme="minorHAnsi"/>
          <w:vertAlign w:val="superscript"/>
        </w:rPr>
        <w:fldChar w:fldCharType="end"/>
      </w:r>
      <w:r w:rsidRPr="002D46ED">
        <w:rPr>
          <w:rFonts w:cstheme="minorHAnsi"/>
        </w:rPr>
        <w:t xml:space="preserve">, continual treatment with </w:t>
      </w:r>
      <w:r w:rsidR="007A587E">
        <w:rPr>
          <w:rFonts w:cstheme="minorHAnsi"/>
        </w:rPr>
        <w:t>OSW-1 compound</w:t>
      </w:r>
      <w:r w:rsidRPr="002D46ED">
        <w:rPr>
          <w:rFonts w:cstheme="minorHAnsi"/>
        </w:rPr>
        <w:t xml:space="preserve"> was not desirable. Our results indicated that the degree to which both OSBP and ORP4 are affected by the compound after 24 hour</w:t>
      </w:r>
      <w:r w:rsidR="00FF721A">
        <w:rPr>
          <w:rFonts w:cstheme="minorHAnsi"/>
        </w:rPr>
        <w:t>s is</w:t>
      </w:r>
      <w:r w:rsidR="00D02FE2">
        <w:rPr>
          <w:rFonts w:cstheme="minorHAnsi"/>
        </w:rPr>
        <w:t xml:space="preserve"> vastly different (</w:t>
      </w:r>
      <w:r w:rsidR="008977E4" w:rsidRPr="008977E4">
        <w:rPr>
          <w:rFonts w:cstheme="minorHAnsi"/>
          <w:b/>
        </w:rPr>
        <w:fldChar w:fldCharType="begin"/>
      </w:r>
      <w:r w:rsidR="008977E4" w:rsidRPr="008977E4">
        <w:rPr>
          <w:rFonts w:cstheme="minorHAnsi"/>
          <w:b/>
        </w:rPr>
        <w:instrText xml:space="preserve"> REF _Ref532554289 \h </w:instrText>
      </w:r>
      <w:r w:rsidR="008977E4" w:rsidRPr="008977E4">
        <w:rPr>
          <w:rFonts w:cstheme="minorHAnsi"/>
          <w:b/>
        </w:rPr>
      </w:r>
      <w:r w:rsidR="008977E4" w:rsidRPr="008977E4">
        <w:rPr>
          <w:rFonts w:cstheme="minorHAnsi"/>
          <w:b/>
        </w:rPr>
        <w:instrText xml:space="preserve"> \* MERGEFORMAT </w:instrText>
      </w:r>
      <w:r w:rsidR="008977E4" w:rsidRPr="008977E4">
        <w:rPr>
          <w:rFonts w:cstheme="minorHAnsi"/>
          <w:b/>
        </w:rPr>
        <w:fldChar w:fldCharType="separate"/>
      </w:r>
      <w:r w:rsidR="00E2070A" w:rsidRPr="00E2070A">
        <w:rPr>
          <w:b/>
        </w:rPr>
        <w:t xml:space="preserve">Figure </w:t>
      </w:r>
      <w:r w:rsidR="00E2070A" w:rsidRPr="00E2070A">
        <w:rPr>
          <w:b/>
          <w:noProof/>
        </w:rPr>
        <w:t>17</w:t>
      </w:r>
      <w:r w:rsidR="008977E4" w:rsidRPr="008977E4">
        <w:rPr>
          <w:rFonts w:cstheme="minorHAnsi"/>
          <w:b/>
        </w:rPr>
        <w:fldChar w:fldCharType="end"/>
      </w:r>
      <w:r w:rsidRPr="00A841B4">
        <w:rPr>
          <w:rFonts w:cstheme="minorHAnsi"/>
          <w:b/>
        </w:rPr>
        <w:t>A</w:t>
      </w:r>
      <w:r w:rsidRPr="002D46ED">
        <w:rPr>
          <w:rFonts w:cstheme="minorHAnsi"/>
        </w:rPr>
        <w:t>)</w:t>
      </w:r>
      <w:r w:rsidR="00FF721A">
        <w:rPr>
          <w:rFonts w:cstheme="minorHAnsi"/>
        </w:rPr>
        <w:t>,</w:t>
      </w:r>
      <w:r w:rsidRPr="002D46ED">
        <w:rPr>
          <w:rFonts w:cstheme="minorHAnsi"/>
        </w:rPr>
        <w:t xml:space="preserve"> so we determined if there was a differential loss of the proteins over time. We found that treatment wit</w:t>
      </w:r>
      <w:r w:rsidR="00FF721A">
        <w:rPr>
          <w:rFonts w:cstheme="minorHAnsi"/>
        </w:rPr>
        <w:t xml:space="preserve">h 1 nM of the </w:t>
      </w:r>
      <w:r w:rsidR="007A587E">
        <w:rPr>
          <w:rFonts w:cstheme="minorHAnsi"/>
        </w:rPr>
        <w:t>OSW-1 compound</w:t>
      </w:r>
      <w:r w:rsidR="00FF721A">
        <w:rPr>
          <w:rFonts w:cstheme="minorHAnsi"/>
        </w:rPr>
        <w:t xml:space="preserve"> le</w:t>
      </w:r>
      <w:r w:rsidRPr="002D46ED">
        <w:rPr>
          <w:rFonts w:cstheme="minorHAnsi"/>
        </w:rPr>
        <w:t xml:space="preserve">d to significant loss of </w:t>
      </w:r>
      <w:r w:rsidR="00FF721A">
        <w:rPr>
          <w:rFonts w:cstheme="minorHAnsi"/>
        </w:rPr>
        <w:t>OSBP in all cell lines tested at</w:t>
      </w:r>
      <w:r w:rsidRPr="002D46ED">
        <w:rPr>
          <w:rFonts w:cstheme="minorHAnsi"/>
        </w:rPr>
        <w:t xml:space="preserve"> 6 hours, with levels continuing to drop up until the 24-hour time </w:t>
      </w:r>
      <w:r w:rsidR="00D02FE2">
        <w:rPr>
          <w:rFonts w:cstheme="minorHAnsi"/>
        </w:rPr>
        <w:t>point (</w:t>
      </w:r>
      <w:r w:rsidR="008977E4" w:rsidRPr="008977E4">
        <w:rPr>
          <w:rFonts w:cstheme="minorHAnsi"/>
          <w:b/>
        </w:rPr>
        <w:fldChar w:fldCharType="begin"/>
      </w:r>
      <w:r w:rsidR="008977E4" w:rsidRPr="008977E4">
        <w:rPr>
          <w:rFonts w:cstheme="minorHAnsi"/>
          <w:b/>
        </w:rPr>
        <w:instrText xml:space="preserve"> REF _Ref532554289 \h </w:instrText>
      </w:r>
      <w:r w:rsidR="008977E4" w:rsidRPr="008977E4">
        <w:rPr>
          <w:rFonts w:cstheme="minorHAnsi"/>
          <w:b/>
        </w:rPr>
      </w:r>
      <w:r w:rsidR="008977E4" w:rsidRPr="008977E4">
        <w:rPr>
          <w:rFonts w:cstheme="minorHAnsi"/>
          <w:b/>
        </w:rPr>
        <w:instrText xml:space="preserve"> \* MERGEFORMAT </w:instrText>
      </w:r>
      <w:r w:rsidR="008977E4" w:rsidRPr="008977E4">
        <w:rPr>
          <w:rFonts w:cstheme="minorHAnsi"/>
          <w:b/>
        </w:rPr>
        <w:fldChar w:fldCharType="separate"/>
      </w:r>
      <w:r w:rsidR="00E2070A" w:rsidRPr="00E2070A">
        <w:rPr>
          <w:b/>
        </w:rPr>
        <w:t xml:space="preserve">Figure </w:t>
      </w:r>
      <w:r w:rsidR="00E2070A" w:rsidRPr="00E2070A">
        <w:rPr>
          <w:b/>
          <w:noProof/>
        </w:rPr>
        <w:t>17</w:t>
      </w:r>
      <w:r w:rsidR="008977E4" w:rsidRPr="008977E4">
        <w:rPr>
          <w:rFonts w:cstheme="minorHAnsi"/>
          <w:b/>
        </w:rPr>
        <w:fldChar w:fldCharType="end"/>
      </w:r>
      <w:r w:rsidRPr="00A841B4">
        <w:rPr>
          <w:rFonts w:cstheme="minorHAnsi"/>
          <w:b/>
        </w:rPr>
        <w:t>B</w:t>
      </w:r>
      <w:r w:rsidRPr="002D46ED">
        <w:rPr>
          <w:rFonts w:cstheme="minorHAnsi"/>
        </w:rPr>
        <w:t xml:space="preserve">). In contrast, ORP4 levels are more variable overall, but do not show significant loss in </w:t>
      </w:r>
      <w:r w:rsidR="00E076CA">
        <w:rPr>
          <w:rFonts w:cstheme="minorHAnsi"/>
        </w:rPr>
        <w:t>most</w:t>
      </w:r>
      <w:r w:rsidRPr="002D46ED">
        <w:rPr>
          <w:rFonts w:cstheme="minorHAnsi"/>
        </w:rPr>
        <w:t xml:space="preserve"> of the cell lines tested </w:t>
      </w:r>
      <w:r w:rsidR="00D02FE2">
        <w:rPr>
          <w:rFonts w:cstheme="minorHAnsi"/>
        </w:rPr>
        <w:t>until the 24-hour point (</w:t>
      </w:r>
      <w:r w:rsidR="008977E4" w:rsidRPr="008977E4">
        <w:rPr>
          <w:rFonts w:cstheme="minorHAnsi"/>
          <w:b/>
        </w:rPr>
        <w:fldChar w:fldCharType="begin"/>
      </w:r>
      <w:r w:rsidR="008977E4" w:rsidRPr="008977E4">
        <w:rPr>
          <w:rFonts w:cstheme="minorHAnsi"/>
          <w:b/>
        </w:rPr>
        <w:instrText xml:space="preserve"> REF _Ref532554289 \h </w:instrText>
      </w:r>
      <w:r w:rsidR="008977E4" w:rsidRPr="008977E4">
        <w:rPr>
          <w:rFonts w:cstheme="minorHAnsi"/>
          <w:b/>
        </w:rPr>
      </w:r>
      <w:r w:rsidR="008977E4" w:rsidRPr="008977E4">
        <w:rPr>
          <w:rFonts w:cstheme="minorHAnsi"/>
          <w:b/>
        </w:rPr>
        <w:instrText xml:space="preserve"> \* MERGEFORMAT </w:instrText>
      </w:r>
      <w:r w:rsidR="008977E4" w:rsidRPr="008977E4">
        <w:rPr>
          <w:rFonts w:cstheme="minorHAnsi"/>
          <w:b/>
        </w:rPr>
        <w:fldChar w:fldCharType="separate"/>
      </w:r>
      <w:r w:rsidR="00E2070A" w:rsidRPr="00E2070A">
        <w:rPr>
          <w:b/>
        </w:rPr>
        <w:t xml:space="preserve">Figure </w:t>
      </w:r>
      <w:r w:rsidR="00E2070A" w:rsidRPr="00E2070A">
        <w:rPr>
          <w:b/>
          <w:noProof/>
        </w:rPr>
        <w:t>17</w:t>
      </w:r>
      <w:r w:rsidR="008977E4" w:rsidRPr="008977E4">
        <w:rPr>
          <w:rFonts w:cstheme="minorHAnsi"/>
          <w:b/>
        </w:rPr>
        <w:fldChar w:fldCharType="end"/>
      </w:r>
      <w:r w:rsidRPr="00A841B4">
        <w:rPr>
          <w:rFonts w:cstheme="minorHAnsi"/>
          <w:b/>
        </w:rPr>
        <w:t>B</w:t>
      </w:r>
      <w:r w:rsidRPr="002D46ED">
        <w:rPr>
          <w:rFonts w:cstheme="minorHAnsi"/>
        </w:rPr>
        <w:t>).</w:t>
      </w:r>
    </w:p>
    <w:p w:rsidR="008977E4" w:rsidRDefault="00E87672" w:rsidP="00FB099D">
      <w:pPr>
        <w:pStyle w:val="Caption"/>
        <w:jc w:val="both"/>
      </w:pPr>
      <w:bookmarkStart w:id="101" w:name="_Ref530053784"/>
      <w:bookmarkStart w:id="102" w:name="_Toc530673942"/>
      <w:r>
        <w:rPr>
          <w:noProof/>
          <w:lang w:bidi="ar-SA"/>
        </w:rPr>
        <w:lastRenderedPageBreak/>
        <w:drawing>
          <wp:inline distT="0" distB="0" distL="0" distR="0" wp14:anchorId="0F2ECDF5" wp14:editId="119FF71D">
            <wp:extent cx="5394960" cy="2852875"/>
            <wp:effectExtent l="19050" t="19050" r="15240" b="241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4960" cy="2852875"/>
                    </a:xfrm>
                    <a:prstGeom prst="rect">
                      <a:avLst/>
                    </a:prstGeom>
                    <a:noFill/>
                    <a:ln>
                      <a:solidFill>
                        <a:schemeClr val="tx1"/>
                      </a:solidFill>
                    </a:ln>
                  </pic:spPr>
                </pic:pic>
              </a:graphicData>
            </a:graphic>
          </wp:inline>
        </w:drawing>
      </w:r>
    </w:p>
    <w:p w:rsidR="008977E4" w:rsidRPr="008977E4" w:rsidRDefault="008977E4" w:rsidP="008977E4"/>
    <w:p w:rsidR="002D46ED" w:rsidRDefault="00A841B4" w:rsidP="00FB099D">
      <w:pPr>
        <w:pStyle w:val="Caption"/>
        <w:jc w:val="both"/>
        <w:rPr>
          <w:b w:val="0"/>
        </w:rPr>
      </w:pPr>
      <w:bookmarkStart w:id="103" w:name="_Ref532554289"/>
      <w:r w:rsidRPr="00A841B4">
        <w:t>Figure</w:t>
      </w:r>
      <w:r w:rsidR="002D46ED">
        <w:t xml:space="preserve"> </w:t>
      </w:r>
      <w:fldSimple w:instr=" SEQ Figure \* ARABIC ">
        <w:r w:rsidR="00E2070A">
          <w:rPr>
            <w:noProof/>
          </w:rPr>
          <w:t>17</w:t>
        </w:r>
      </w:fldSimple>
      <w:bookmarkEnd w:id="101"/>
      <w:bookmarkEnd w:id="103"/>
      <w:r w:rsidR="002D46ED" w:rsidRPr="00B02F62">
        <w:t xml:space="preserve">: Continual </w:t>
      </w:r>
      <w:r w:rsidR="007A587E">
        <w:t>OSW-1 compound</w:t>
      </w:r>
      <w:r w:rsidR="002D46ED" w:rsidRPr="00B02F62">
        <w:t xml:space="preserve"> treatment leads to differential loss of OSBP and ORP4.</w:t>
      </w:r>
      <w:r w:rsidR="002D46ED" w:rsidRPr="008B5E18">
        <w:rPr>
          <w:b w:val="0"/>
        </w:rPr>
        <w:t xml:space="preserve"> (A) 1 nM of OSW-1 for 24 hours shows significant loss of both OSBP and ORP4. (B) 1 nM of OSW-1 shows significant loss of OSBP after 4 hrs of treatment with continuing loss up to 24 hrs while ORP4 does not show significant loss until after 12 hrs. All values are mean </w:t>
      </w:r>
      <w:r w:rsidR="002D46ED" w:rsidRPr="008B5E18">
        <w:rPr>
          <w:rFonts w:cstheme="minorHAnsi"/>
          <w:b w:val="0"/>
        </w:rPr>
        <w:t>±</w:t>
      </w:r>
      <w:r w:rsidR="002D46ED" w:rsidRPr="008B5E18">
        <w:rPr>
          <w:b w:val="0"/>
        </w:rPr>
        <w:t xml:space="preserve"> SD (n=3).</w:t>
      </w:r>
      <w:r w:rsidR="004B00E4">
        <w:rPr>
          <w:b w:val="0"/>
        </w:rPr>
        <w:t xml:space="preserve"> HCT116 and HEK293 treatments and analysis were done by Mr. Ryan </w:t>
      </w:r>
      <w:r w:rsidR="00BE3671">
        <w:rPr>
          <w:b w:val="0"/>
        </w:rPr>
        <w:t>Bensen</w:t>
      </w:r>
      <w:r w:rsidR="004B00E4">
        <w:rPr>
          <w:b w:val="0"/>
        </w:rPr>
        <w:t xml:space="preserve"> and Mr. Zach Severance. (Full blots in </w:t>
      </w:r>
      <w:r w:rsidR="004B00E4" w:rsidRPr="00A841B4">
        <w:fldChar w:fldCharType="begin"/>
      </w:r>
      <w:r w:rsidR="004B00E4" w:rsidRPr="00A841B4">
        <w:instrText xml:space="preserve"> REF _Ref530125529 \h  \* MERGEFORMAT </w:instrText>
      </w:r>
      <w:r w:rsidR="004B00E4" w:rsidRPr="00A841B4">
        <w:fldChar w:fldCharType="separate"/>
      </w:r>
      <w:r w:rsidR="00E2070A" w:rsidRPr="00A841B4">
        <w:t>Figure</w:t>
      </w:r>
      <w:r w:rsidR="00E2070A">
        <w:t xml:space="preserve"> </w:t>
      </w:r>
      <w:r w:rsidR="00E2070A">
        <w:rPr>
          <w:noProof/>
        </w:rPr>
        <w:t>35</w:t>
      </w:r>
      <w:r w:rsidR="004B00E4" w:rsidRPr="00A841B4">
        <w:fldChar w:fldCharType="end"/>
      </w:r>
      <w:r w:rsidR="004B00E4" w:rsidRPr="00A841B4">
        <w:t xml:space="preserve">, </w:t>
      </w:r>
      <w:r w:rsidR="004B00E4" w:rsidRPr="00A841B4">
        <w:fldChar w:fldCharType="begin"/>
      </w:r>
      <w:r w:rsidR="004B00E4" w:rsidRPr="00A841B4">
        <w:instrText xml:space="preserve"> REF _Ref530125532 \h  \* MERGEFORMAT </w:instrText>
      </w:r>
      <w:r w:rsidR="004B00E4" w:rsidRPr="00A841B4">
        <w:fldChar w:fldCharType="separate"/>
      </w:r>
      <w:r w:rsidR="00E2070A" w:rsidRPr="00A841B4">
        <w:t>Figure</w:t>
      </w:r>
      <w:r w:rsidR="00E2070A">
        <w:t xml:space="preserve"> </w:t>
      </w:r>
      <w:r w:rsidR="00E2070A">
        <w:rPr>
          <w:noProof/>
        </w:rPr>
        <w:t>36</w:t>
      </w:r>
      <w:r w:rsidR="004B00E4" w:rsidRPr="00A841B4">
        <w:fldChar w:fldCharType="end"/>
      </w:r>
      <w:r w:rsidR="004B00E4" w:rsidRPr="00A841B4">
        <w:t xml:space="preserve"> &amp; </w:t>
      </w:r>
      <w:r w:rsidR="004B00E4" w:rsidRPr="00A841B4">
        <w:fldChar w:fldCharType="begin"/>
      </w:r>
      <w:r w:rsidR="004B00E4" w:rsidRPr="00A841B4">
        <w:instrText xml:space="preserve"> REF _Ref530125534 \h  \* MERGEFORMAT </w:instrText>
      </w:r>
      <w:r w:rsidR="004B00E4" w:rsidRPr="00A841B4">
        <w:fldChar w:fldCharType="separate"/>
      </w:r>
      <w:r w:rsidR="00E2070A" w:rsidRPr="00A841B4">
        <w:t>Figure</w:t>
      </w:r>
      <w:r w:rsidR="00E2070A">
        <w:t xml:space="preserve"> </w:t>
      </w:r>
      <w:r w:rsidR="00E2070A">
        <w:rPr>
          <w:noProof/>
        </w:rPr>
        <w:t>37</w:t>
      </w:r>
      <w:r w:rsidR="004B00E4" w:rsidRPr="00A841B4">
        <w:fldChar w:fldCharType="end"/>
      </w:r>
      <w:r w:rsidR="00893BA7">
        <w:rPr>
          <w:b w:val="0"/>
        </w:rPr>
        <w:t>)</w:t>
      </w:r>
      <w:bookmarkEnd w:id="102"/>
    </w:p>
    <w:p w:rsidR="002D46ED" w:rsidRPr="002D46ED" w:rsidRDefault="002D46ED" w:rsidP="00FB099D">
      <w:pPr>
        <w:jc w:val="both"/>
      </w:pPr>
    </w:p>
    <w:p w:rsidR="002D46ED" w:rsidRPr="002D46ED" w:rsidRDefault="00E076CA" w:rsidP="00042529">
      <w:pPr>
        <w:pStyle w:val="Heading3"/>
        <w:rPr>
          <w:sz w:val="22"/>
          <w:szCs w:val="28"/>
        </w:rPr>
      </w:pPr>
      <w:bookmarkStart w:id="104" w:name="_Toc532553102"/>
      <w:r>
        <w:t>Short, non-toxic</w:t>
      </w:r>
      <w:r w:rsidR="002D46ED" w:rsidRPr="002D46ED">
        <w:t xml:space="preserve"> doses of </w:t>
      </w:r>
      <w:r w:rsidR="007A587E">
        <w:t>OSW-1 compound</w:t>
      </w:r>
      <w:r w:rsidR="002D46ED" w:rsidRPr="002D46ED">
        <w:t xml:space="preserve"> leads to prolonged OSBP loss in multiple cell lines up to 72 hours after compound has been removed</w:t>
      </w:r>
      <w:bookmarkEnd w:id="104"/>
    </w:p>
    <w:p w:rsidR="002D46ED" w:rsidRPr="004578F9" w:rsidRDefault="002D46ED" w:rsidP="004578F9">
      <w:pPr>
        <w:ind w:firstLine="720"/>
        <w:jc w:val="both"/>
        <w:rPr>
          <w:rFonts w:cstheme="minorHAnsi"/>
          <w:b/>
        </w:rPr>
      </w:pPr>
      <w:r>
        <w:rPr>
          <w:rFonts w:cstheme="minorHAnsi"/>
        </w:rPr>
        <w:t>Following up on the differe</w:t>
      </w:r>
      <w:r w:rsidR="00D02FE2">
        <w:rPr>
          <w:rFonts w:cstheme="minorHAnsi"/>
        </w:rPr>
        <w:t xml:space="preserve">ntial loss of </w:t>
      </w:r>
      <w:r w:rsidR="00852EEF">
        <w:rPr>
          <w:rFonts w:cstheme="minorHAnsi"/>
        </w:rPr>
        <w:t>OSBP over ORP4</w:t>
      </w:r>
      <w:r w:rsidR="00D02FE2">
        <w:rPr>
          <w:rFonts w:cstheme="minorHAnsi"/>
        </w:rPr>
        <w:t xml:space="preserve"> (</w:t>
      </w:r>
      <w:r w:rsidR="004578F9" w:rsidRPr="004578F9">
        <w:rPr>
          <w:rFonts w:cstheme="minorHAnsi"/>
          <w:b/>
        </w:rPr>
        <w:fldChar w:fldCharType="begin"/>
      </w:r>
      <w:r w:rsidR="004578F9" w:rsidRPr="004578F9">
        <w:rPr>
          <w:rFonts w:cstheme="minorHAnsi"/>
          <w:b/>
        </w:rPr>
        <w:instrText xml:space="preserve"> REF _Ref532554289 \h </w:instrText>
      </w:r>
      <w:r w:rsidR="004578F9" w:rsidRPr="004578F9">
        <w:rPr>
          <w:rFonts w:cstheme="minorHAnsi"/>
          <w:b/>
        </w:rPr>
      </w:r>
      <w:r w:rsidR="004578F9" w:rsidRPr="004578F9">
        <w:rPr>
          <w:rFonts w:cstheme="minorHAnsi"/>
          <w:b/>
        </w:rPr>
        <w:instrText xml:space="preserve"> \* MERGEFORMAT </w:instrText>
      </w:r>
      <w:r w:rsidR="004578F9" w:rsidRPr="004578F9">
        <w:rPr>
          <w:rFonts w:cstheme="minorHAnsi"/>
          <w:b/>
        </w:rPr>
        <w:fldChar w:fldCharType="separate"/>
      </w:r>
      <w:r w:rsidR="00E2070A" w:rsidRPr="00E2070A">
        <w:rPr>
          <w:b/>
        </w:rPr>
        <w:t xml:space="preserve">Figure </w:t>
      </w:r>
      <w:r w:rsidR="00E2070A" w:rsidRPr="00E2070A">
        <w:rPr>
          <w:b/>
          <w:noProof/>
        </w:rPr>
        <w:t>17</w:t>
      </w:r>
      <w:r w:rsidR="004578F9" w:rsidRPr="004578F9">
        <w:rPr>
          <w:rFonts w:cstheme="minorHAnsi"/>
          <w:b/>
        </w:rPr>
        <w:fldChar w:fldCharType="end"/>
      </w:r>
      <w:r w:rsidR="00FF721A" w:rsidRPr="00A841B4">
        <w:rPr>
          <w:rFonts w:cstheme="minorHAnsi"/>
          <w:b/>
        </w:rPr>
        <w:t>B</w:t>
      </w:r>
      <w:r w:rsidR="00FF721A">
        <w:rPr>
          <w:rFonts w:cstheme="minorHAnsi"/>
        </w:rPr>
        <w:t xml:space="preserve">), we </w:t>
      </w:r>
      <w:r>
        <w:rPr>
          <w:rFonts w:cstheme="minorHAnsi"/>
        </w:rPr>
        <w:t>determine</w:t>
      </w:r>
      <w:r w:rsidR="00FF721A">
        <w:rPr>
          <w:rFonts w:cstheme="minorHAnsi"/>
        </w:rPr>
        <w:t>d</w:t>
      </w:r>
      <w:r>
        <w:rPr>
          <w:rFonts w:cstheme="minorHAnsi"/>
        </w:rPr>
        <w:t xml:space="preserve"> the persistence of OSBP loss after 6 hours of </w:t>
      </w:r>
      <w:r w:rsidR="007A587E">
        <w:rPr>
          <w:rFonts w:cstheme="minorHAnsi"/>
        </w:rPr>
        <w:t>OSW-1 compound</w:t>
      </w:r>
      <w:r>
        <w:rPr>
          <w:rFonts w:cstheme="minorHAnsi"/>
        </w:rPr>
        <w:t xml:space="preserve"> treatment</w:t>
      </w:r>
      <w:r w:rsidR="00FF721A">
        <w:rPr>
          <w:rFonts w:cstheme="minorHAnsi"/>
        </w:rPr>
        <w:t>, which le</w:t>
      </w:r>
      <w:r>
        <w:rPr>
          <w:rFonts w:cstheme="minorHAnsi"/>
        </w:rPr>
        <w:t xml:space="preserve">d to an </w:t>
      </w:r>
      <w:r w:rsidR="00E076CA">
        <w:rPr>
          <w:rFonts w:cstheme="minorHAnsi"/>
        </w:rPr>
        <w:t>unexpected</w:t>
      </w:r>
      <w:r>
        <w:rPr>
          <w:rFonts w:cstheme="minorHAnsi"/>
        </w:rPr>
        <w:t xml:space="preserve"> discovery. Initial results showed that 6-hour treatment followed by removal of the compound </w:t>
      </w:r>
      <w:r w:rsidR="00E076CA">
        <w:rPr>
          <w:rFonts w:cstheme="minorHAnsi"/>
        </w:rPr>
        <w:t>led to lower</w:t>
      </w:r>
      <w:r>
        <w:rPr>
          <w:rFonts w:cstheme="minorHAnsi"/>
        </w:rPr>
        <w:t xml:space="preserve"> OSBP protein</w:t>
      </w:r>
      <w:r w:rsidR="00E076CA">
        <w:rPr>
          <w:rFonts w:cstheme="minorHAnsi"/>
        </w:rPr>
        <w:t xml:space="preserve"> levels with </w:t>
      </w:r>
      <w:r w:rsidR="00BF0412">
        <w:rPr>
          <w:rFonts w:cstheme="minorHAnsi"/>
        </w:rPr>
        <w:t>diminishing</w:t>
      </w:r>
      <w:r w:rsidR="00E076CA">
        <w:rPr>
          <w:rFonts w:cstheme="minorHAnsi"/>
        </w:rPr>
        <w:t xml:space="preserve"> signal</w:t>
      </w:r>
      <w:r w:rsidR="00BF0412">
        <w:rPr>
          <w:rFonts w:cstheme="minorHAnsi"/>
        </w:rPr>
        <w:t xml:space="preserve"> </w:t>
      </w:r>
      <w:r>
        <w:rPr>
          <w:rFonts w:cstheme="minorHAnsi"/>
        </w:rPr>
        <w:t xml:space="preserve">up to 4 hours post removal at which point OSBP protein was below 10% </w:t>
      </w:r>
      <w:r w:rsidR="00852EEF">
        <w:rPr>
          <w:rFonts w:cstheme="minorHAnsi"/>
        </w:rPr>
        <w:t xml:space="preserve">of the DMSO control </w:t>
      </w:r>
      <w:r>
        <w:rPr>
          <w:rFonts w:cstheme="minorHAnsi"/>
        </w:rPr>
        <w:t>in HEK293 cells (</w:t>
      </w:r>
      <w:r w:rsidR="005A6116" w:rsidRPr="00A841B4">
        <w:rPr>
          <w:rFonts w:cstheme="minorHAnsi"/>
          <w:b/>
        </w:rPr>
        <w:fldChar w:fldCharType="begin"/>
      </w:r>
      <w:r w:rsidR="005A6116" w:rsidRPr="00A841B4">
        <w:rPr>
          <w:rFonts w:cstheme="minorHAnsi"/>
          <w:b/>
        </w:rPr>
        <w:instrText xml:space="preserve"> REF _Ref530131409 \h </w:instrText>
      </w:r>
      <w:r w:rsidR="001B3703" w:rsidRPr="00A841B4">
        <w:rPr>
          <w:rFonts w:cstheme="minorHAnsi"/>
          <w:b/>
        </w:rPr>
        <w:instrText xml:space="preserve"> \* MERGEFORMAT </w:instrText>
      </w:r>
      <w:r w:rsidR="005A6116" w:rsidRPr="00A841B4">
        <w:rPr>
          <w:rFonts w:cstheme="minorHAnsi"/>
          <w:b/>
        </w:rPr>
      </w:r>
      <w:r w:rsidR="005A6116" w:rsidRPr="00A841B4">
        <w:rPr>
          <w:rFonts w:cstheme="minorHAnsi"/>
          <w:b/>
        </w:rPr>
        <w:fldChar w:fldCharType="separate"/>
      </w:r>
      <w:r w:rsidR="00E2070A" w:rsidRPr="00E2070A">
        <w:rPr>
          <w:b/>
        </w:rPr>
        <w:t xml:space="preserve">Figure </w:t>
      </w:r>
      <w:r w:rsidR="00E2070A" w:rsidRPr="00E2070A">
        <w:rPr>
          <w:b/>
          <w:noProof/>
        </w:rPr>
        <w:t>39</w:t>
      </w:r>
      <w:r w:rsidR="005A6116" w:rsidRPr="00A841B4">
        <w:rPr>
          <w:rFonts w:cstheme="minorHAnsi"/>
          <w:b/>
        </w:rPr>
        <w:fldChar w:fldCharType="end"/>
      </w:r>
      <w:r w:rsidR="005A6116" w:rsidRPr="00A841B4">
        <w:rPr>
          <w:rFonts w:cstheme="minorHAnsi"/>
          <w:b/>
        </w:rPr>
        <w:t>A</w:t>
      </w:r>
      <w:r>
        <w:rPr>
          <w:rFonts w:cstheme="minorHAnsi"/>
        </w:rPr>
        <w:t xml:space="preserve">). A more prolonged recovery time tracking </w:t>
      </w:r>
      <w:r w:rsidR="00852EEF">
        <w:rPr>
          <w:rFonts w:cstheme="minorHAnsi"/>
        </w:rPr>
        <w:t xml:space="preserve">experiment </w:t>
      </w:r>
      <w:r>
        <w:rPr>
          <w:rFonts w:cstheme="minorHAnsi"/>
        </w:rPr>
        <w:t>(0-24 hours post compound removal) showed no recovery of the protein (</w:t>
      </w:r>
      <w:r w:rsidR="005A6116" w:rsidRPr="00A841B4">
        <w:rPr>
          <w:rFonts w:cstheme="minorHAnsi"/>
          <w:b/>
        </w:rPr>
        <w:fldChar w:fldCharType="begin"/>
      </w:r>
      <w:r w:rsidR="005A6116" w:rsidRPr="00A841B4">
        <w:rPr>
          <w:rFonts w:cstheme="minorHAnsi"/>
          <w:b/>
        </w:rPr>
        <w:instrText xml:space="preserve"> REF _Ref530131409 \h </w:instrText>
      </w:r>
      <w:r w:rsidR="001B3703" w:rsidRPr="00A841B4">
        <w:rPr>
          <w:rFonts w:cstheme="minorHAnsi"/>
          <w:b/>
        </w:rPr>
        <w:instrText xml:space="preserve"> \* MERGEFORMAT </w:instrText>
      </w:r>
      <w:r w:rsidR="005A6116" w:rsidRPr="00A841B4">
        <w:rPr>
          <w:rFonts w:cstheme="minorHAnsi"/>
          <w:b/>
        </w:rPr>
      </w:r>
      <w:r w:rsidR="005A6116" w:rsidRPr="00A841B4">
        <w:rPr>
          <w:rFonts w:cstheme="minorHAnsi"/>
          <w:b/>
        </w:rPr>
        <w:fldChar w:fldCharType="separate"/>
      </w:r>
      <w:r w:rsidR="00E2070A" w:rsidRPr="00E2070A">
        <w:rPr>
          <w:b/>
        </w:rPr>
        <w:t xml:space="preserve">Figure </w:t>
      </w:r>
      <w:r w:rsidR="00E2070A" w:rsidRPr="00E2070A">
        <w:rPr>
          <w:b/>
          <w:noProof/>
        </w:rPr>
        <w:t>39</w:t>
      </w:r>
      <w:r w:rsidR="005A6116" w:rsidRPr="00A841B4">
        <w:rPr>
          <w:rFonts w:cstheme="minorHAnsi"/>
          <w:b/>
        </w:rPr>
        <w:fldChar w:fldCharType="end"/>
      </w:r>
      <w:r w:rsidR="005A6116" w:rsidRPr="00A841B4">
        <w:rPr>
          <w:rFonts w:cstheme="minorHAnsi"/>
          <w:b/>
        </w:rPr>
        <w:t>B</w:t>
      </w:r>
      <w:r>
        <w:rPr>
          <w:rFonts w:cstheme="minorHAnsi"/>
        </w:rPr>
        <w:t xml:space="preserve">). To rule out any possibility of remaining </w:t>
      </w:r>
      <w:r w:rsidR="007A587E">
        <w:rPr>
          <w:rFonts w:cstheme="minorHAnsi"/>
        </w:rPr>
        <w:t>OSW-1 compound</w:t>
      </w:r>
      <w:r>
        <w:rPr>
          <w:rFonts w:cstheme="minorHAnsi"/>
        </w:rPr>
        <w:t>, a standard procedure was implemented</w:t>
      </w:r>
      <w:r w:rsidR="00BF0412">
        <w:rPr>
          <w:rFonts w:cstheme="minorHAnsi"/>
        </w:rPr>
        <w:t xml:space="preserve"> which is termed </w:t>
      </w:r>
      <w:r>
        <w:rPr>
          <w:rFonts w:cstheme="minorHAnsi"/>
        </w:rPr>
        <w:t xml:space="preserve">washout experiments. </w:t>
      </w:r>
      <w:r w:rsidRPr="00C35BF8">
        <w:rPr>
          <w:rFonts w:cstheme="minorHAnsi"/>
        </w:rPr>
        <w:t xml:space="preserve">In the </w:t>
      </w:r>
      <w:r w:rsidR="007A587E">
        <w:rPr>
          <w:rFonts w:cstheme="minorHAnsi"/>
        </w:rPr>
        <w:lastRenderedPageBreak/>
        <w:t>OSW-1 compound</w:t>
      </w:r>
      <w:r w:rsidR="00BF0412">
        <w:rPr>
          <w:rFonts w:cstheme="minorHAnsi"/>
        </w:rPr>
        <w:t xml:space="preserve"> washout experiments: 1) m</w:t>
      </w:r>
      <w:r w:rsidRPr="00C35BF8">
        <w:rPr>
          <w:rFonts w:cstheme="minorHAnsi"/>
        </w:rPr>
        <w:t xml:space="preserve">edia containing </w:t>
      </w:r>
      <w:r w:rsidR="007A587E">
        <w:rPr>
          <w:rFonts w:cstheme="minorHAnsi"/>
        </w:rPr>
        <w:t>OSW-1 compound</w:t>
      </w:r>
      <w:r w:rsidRPr="00C35BF8">
        <w:rPr>
          <w:rFonts w:cstheme="minorHAnsi"/>
        </w:rPr>
        <w:t xml:space="preserve"> is added to cells;</w:t>
      </w:r>
      <w:r>
        <w:rPr>
          <w:rFonts w:cstheme="minorHAnsi"/>
        </w:rPr>
        <w:t xml:space="preserve"> 2) at the specified time</w:t>
      </w:r>
      <w:r w:rsidRPr="00C35BF8">
        <w:rPr>
          <w:rFonts w:cstheme="minorHAnsi"/>
        </w:rPr>
        <w:t xml:space="preserve">, the compound-containing media is removed; 3) the cells are gently washed three times in complete media to remove any residual </w:t>
      </w:r>
      <w:r w:rsidR="007A587E">
        <w:rPr>
          <w:rFonts w:cstheme="minorHAnsi"/>
        </w:rPr>
        <w:t>OSW-1 compound</w:t>
      </w:r>
      <w:r w:rsidRPr="00C35BF8">
        <w:rPr>
          <w:rFonts w:cstheme="minorHAnsi"/>
        </w:rPr>
        <w:t>;</w:t>
      </w:r>
      <w:r w:rsidR="00BF0412">
        <w:rPr>
          <w:rFonts w:cstheme="minorHAnsi"/>
        </w:rPr>
        <w:t xml:space="preserve"> and,</w:t>
      </w:r>
      <w:r w:rsidRPr="00C35BF8">
        <w:rPr>
          <w:rFonts w:cstheme="minorHAnsi"/>
        </w:rPr>
        <w:t xml:space="preserve"> 4) the cells are reincubated and recover from treatment in compound-free media for the indicated period of times pos</w:t>
      </w:r>
      <w:r>
        <w:rPr>
          <w:rFonts w:cstheme="minorHAnsi"/>
        </w:rPr>
        <w:t>t-washout (pWO)</w:t>
      </w:r>
      <w:r w:rsidRPr="00C35BF8">
        <w:rPr>
          <w:rFonts w:cstheme="minorHAnsi"/>
        </w:rPr>
        <w:t>.</w:t>
      </w:r>
      <w:r>
        <w:rPr>
          <w:rFonts w:cstheme="minorHAnsi"/>
        </w:rPr>
        <w:t xml:space="preserve"> Using the OSW-1 washout experiments, we found that 1 nM </w:t>
      </w:r>
      <w:r w:rsidR="007A587E">
        <w:rPr>
          <w:rFonts w:cstheme="minorHAnsi"/>
        </w:rPr>
        <w:t>OSW-1 compound</w:t>
      </w:r>
      <w:r>
        <w:rPr>
          <w:rFonts w:cstheme="minorHAnsi"/>
        </w:rPr>
        <w:t xml:space="preserve"> treatment for</w:t>
      </w:r>
      <w:r w:rsidR="00FF721A">
        <w:rPr>
          <w:rFonts w:cstheme="minorHAnsi"/>
        </w:rPr>
        <w:t xml:space="preserve"> 6 hours followed by washout le</w:t>
      </w:r>
      <w:r>
        <w:rPr>
          <w:rFonts w:cstheme="minorHAnsi"/>
        </w:rPr>
        <w:t xml:space="preserve">d to 90% reduced OSBP levels for multiple days (48-72 hrs) after the compound has been removed </w:t>
      </w:r>
      <w:r w:rsidR="005A6116">
        <w:rPr>
          <w:rFonts w:cstheme="minorHAnsi"/>
        </w:rPr>
        <w:t>in multiple cell lines (</w:t>
      </w:r>
      <w:r w:rsidR="005A6116" w:rsidRPr="005A6116">
        <w:rPr>
          <w:rFonts w:cstheme="minorHAnsi"/>
        </w:rPr>
        <w:fldChar w:fldCharType="begin"/>
      </w:r>
      <w:r w:rsidR="005A6116" w:rsidRPr="005A6116">
        <w:rPr>
          <w:rFonts w:cstheme="minorHAnsi"/>
        </w:rPr>
        <w:instrText xml:space="preserve"> REF _Ref530125940 \h  \* MERGEFORMAT </w:instrText>
      </w:r>
      <w:r w:rsidR="005A6116" w:rsidRPr="005A6116">
        <w:rPr>
          <w:rFonts w:cstheme="minorHAnsi"/>
        </w:rPr>
      </w:r>
      <w:r w:rsidR="005A6116" w:rsidRPr="005A6116">
        <w:rPr>
          <w:rFonts w:cstheme="minorHAnsi"/>
        </w:rPr>
        <w:fldChar w:fldCharType="separate"/>
      </w:r>
      <w:r w:rsidR="00E2070A" w:rsidRPr="00A841B4">
        <w:rPr>
          <w:b/>
        </w:rPr>
        <w:t>Figure</w:t>
      </w:r>
      <w:r w:rsidR="00E2070A" w:rsidRPr="00E2070A">
        <w:t xml:space="preserve"> </w:t>
      </w:r>
      <w:r w:rsidR="00E2070A">
        <w:rPr>
          <w:b/>
          <w:noProof/>
        </w:rPr>
        <w:t>18</w:t>
      </w:r>
      <w:r w:rsidR="005A6116" w:rsidRPr="005A6116">
        <w:rPr>
          <w:rFonts w:cstheme="minorHAnsi"/>
        </w:rPr>
        <w:fldChar w:fldCharType="end"/>
      </w:r>
      <w:r>
        <w:rPr>
          <w:rFonts w:cstheme="minorHAnsi"/>
        </w:rPr>
        <w:t>).</w:t>
      </w:r>
      <w:r w:rsidR="00852EEF">
        <w:rPr>
          <w:rFonts w:cstheme="minorHAnsi"/>
        </w:rPr>
        <w:t xml:space="preserve"> In contrast, the taxol control treatment </w:t>
      </w:r>
      <w:r w:rsidR="005C2E87">
        <w:rPr>
          <w:rFonts w:cstheme="minorHAnsi"/>
        </w:rPr>
        <w:t>had no effect on OSBP protein levels (</w:t>
      </w:r>
      <w:r w:rsidR="005C2E87">
        <w:rPr>
          <w:rFonts w:cstheme="minorHAnsi"/>
        </w:rPr>
        <w:fldChar w:fldCharType="begin"/>
      </w:r>
      <w:r w:rsidR="005C2E87">
        <w:rPr>
          <w:rFonts w:cstheme="minorHAnsi"/>
        </w:rPr>
        <w:instrText xml:space="preserve"> REF _Ref530125940 \h </w:instrText>
      </w:r>
      <w:r w:rsidR="005C2E87">
        <w:rPr>
          <w:rFonts w:cstheme="minorHAnsi"/>
        </w:rPr>
      </w:r>
      <w:r w:rsidR="004578F9">
        <w:rPr>
          <w:rFonts w:cstheme="minorHAnsi"/>
        </w:rPr>
        <w:instrText xml:space="preserve"> \* MERGEFORMAT </w:instrText>
      </w:r>
      <w:r w:rsidR="005C2E87">
        <w:rPr>
          <w:rFonts w:cstheme="minorHAnsi"/>
        </w:rPr>
        <w:fldChar w:fldCharType="separate"/>
      </w:r>
      <w:r w:rsidR="00E2070A" w:rsidRPr="00A841B4">
        <w:rPr>
          <w:b/>
        </w:rPr>
        <w:t>Figure</w:t>
      </w:r>
      <w:r w:rsidR="00E2070A" w:rsidRPr="002D46ED">
        <w:rPr>
          <w:b/>
        </w:rPr>
        <w:t xml:space="preserve"> </w:t>
      </w:r>
      <w:r w:rsidR="00E2070A">
        <w:rPr>
          <w:b/>
          <w:noProof/>
        </w:rPr>
        <w:t>18</w:t>
      </w:r>
      <w:r w:rsidR="005C2E87">
        <w:rPr>
          <w:rFonts w:cstheme="minorHAnsi"/>
        </w:rPr>
        <w:fldChar w:fldCharType="end"/>
      </w:r>
      <w:r w:rsidR="005C2E87">
        <w:rPr>
          <w:rFonts w:cstheme="minorHAnsi"/>
        </w:rPr>
        <w:t xml:space="preserve">). </w:t>
      </w:r>
    </w:p>
    <w:p w:rsidR="005A6116" w:rsidRDefault="005900AF" w:rsidP="00FB099D">
      <w:pPr>
        <w:spacing w:line="240" w:lineRule="auto"/>
        <w:jc w:val="both"/>
        <w:rPr>
          <w:b/>
        </w:rPr>
      </w:pPr>
      <w:bookmarkStart w:id="105" w:name="_Ref530053641"/>
      <w:r w:rsidRPr="00570C3B">
        <w:rPr>
          <w:rFonts w:cstheme="minorHAnsi"/>
          <w:noProof/>
          <w:lang w:bidi="ar-SA"/>
        </w:rPr>
        <w:drawing>
          <wp:anchor distT="0" distB="0" distL="114300" distR="114300" simplePos="0" relativeHeight="251724800" behindDoc="1" locked="0" layoutInCell="1" allowOverlap="1" wp14:anchorId="40D7D579" wp14:editId="332556CE">
            <wp:simplePos x="0" y="0"/>
            <wp:positionH relativeFrom="margin">
              <wp:posOffset>9525</wp:posOffset>
            </wp:positionH>
            <wp:positionV relativeFrom="paragraph">
              <wp:posOffset>241935</wp:posOffset>
            </wp:positionV>
            <wp:extent cx="5394960" cy="3151505"/>
            <wp:effectExtent l="19050" t="19050" r="15240" b="10795"/>
            <wp:wrapTight wrapText="bothSides">
              <wp:wrapPolygon edited="0">
                <wp:start x="-76" y="-131"/>
                <wp:lineTo x="-76" y="21543"/>
                <wp:lineTo x="21585" y="21543"/>
                <wp:lineTo x="21585" y="-131"/>
                <wp:lineTo x="-76" y="-131"/>
              </wp:wrapPolygon>
            </wp:wrapTight>
            <wp:docPr id="9" name="Picture 3">
              <a:extLst xmlns:a="http://schemas.openxmlformats.org/drawingml/2006/main">
                <a:ext uri="{FF2B5EF4-FFF2-40B4-BE49-F238E27FC236}">
                  <a16:creationId xmlns:a16="http://schemas.microsoft.com/office/drawing/2014/main" id="{34EF51D8-6921-4A37-92FF-0BAB563FB2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4EF51D8-6921-4A37-92FF-0BAB563FB207}"/>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94960" cy="3151505"/>
                    </a:xfrm>
                    <a:prstGeom prst="rect">
                      <a:avLst/>
                    </a:prstGeom>
                    <a:ln>
                      <a:solidFill>
                        <a:schemeClr val="tx1"/>
                      </a:solidFill>
                    </a:ln>
                  </pic:spPr>
                </pic:pic>
              </a:graphicData>
            </a:graphic>
          </wp:anchor>
        </w:drawing>
      </w:r>
    </w:p>
    <w:p w:rsidR="002D46ED" w:rsidRDefault="00A841B4" w:rsidP="00FB099D">
      <w:pPr>
        <w:spacing w:line="240" w:lineRule="auto"/>
        <w:jc w:val="both"/>
        <w:rPr>
          <w:sz w:val="22"/>
          <w:szCs w:val="28"/>
        </w:rPr>
      </w:pPr>
      <w:bookmarkStart w:id="106" w:name="_Ref530125940"/>
      <w:bookmarkStart w:id="107" w:name="_Toc530673943"/>
      <w:r w:rsidRPr="00A841B4">
        <w:rPr>
          <w:b/>
        </w:rPr>
        <w:t>Figure</w:t>
      </w:r>
      <w:r w:rsidR="002D46ED" w:rsidRPr="002D46ED">
        <w:rPr>
          <w:b/>
        </w:rPr>
        <w:t xml:space="preserve"> </w:t>
      </w:r>
      <w:r w:rsidR="002D46ED" w:rsidRPr="002D46ED">
        <w:rPr>
          <w:b/>
        </w:rPr>
        <w:fldChar w:fldCharType="begin"/>
      </w:r>
      <w:r w:rsidR="002D46ED" w:rsidRPr="002D46ED">
        <w:rPr>
          <w:b/>
        </w:rPr>
        <w:instrText xml:space="preserve"> SEQ Figure \* ARABIC </w:instrText>
      </w:r>
      <w:r w:rsidR="002D46ED" w:rsidRPr="002D46ED">
        <w:rPr>
          <w:b/>
        </w:rPr>
        <w:fldChar w:fldCharType="separate"/>
      </w:r>
      <w:r w:rsidR="00E2070A">
        <w:rPr>
          <w:b/>
          <w:noProof/>
        </w:rPr>
        <w:t>18</w:t>
      </w:r>
      <w:r w:rsidR="002D46ED" w:rsidRPr="002D46ED">
        <w:rPr>
          <w:b/>
        </w:rPr>
        <w:fldChar w:fldCharType="end"/>
      </w:r>
      <w:bookmarkEnd w:id="105"/>
      <w:bookmarkEnd w:id="106"/>
      <w:r w:rsidR="002D46ED" w:rsidRPr="002D46ED">
        <w:rPr>
          <w:b/>
        </w:rPr>
        <w:t xml:space="preserve">: Short, non-lethal doses of </w:t>
      </w:r>
      <w:r w:rsidR="007A587E">
        <w:rPr>
          <w:b/>
        </w:rPr>
        <w:t>OSW-1 compound</w:t>
      </w:r>
      <w:r w:rsidR="002D46ED" w:rsidRPr="002D46ED">
        <w:rPr>
          <w:b/>
        </w:rPr>
        <w:t xml:space="preserve"> leads to prolonged OSBP loss in multiple cell lines up to 72 hours after compound has been removed. </w:t>
      </w:r>
      <w:r w:rsidR="002D46ED" w:rsidRPr="002D46ED">
        <w:t xml:space="preserve">All cells tested were subjected to 1 nM </w:t>
      </w:r>
      <w:r w:rsidR="007A587E">
        <w:t>OSW-1 compound</w:t>
      </w:r>
      <w:r w:rsidR="002D46ED" w:rsidRPr="002D46ED">
        <w:t>, 1 nM Taxol, or DMSO treatment for 6 hours followed by washout and lysed at</w:t>
      </w:r>
      <w:r w:rsidR="002D46ED" w:rsidRPr="004B00E4">
        <w:t xml:space="preserve"> the indicated pWO time. All values are mean </w:t>
      </w:r>
      <w:r w:rsidR="002D46ED" w:rsidRPr="004B00E4">
        <w:rPr>
          <w:rFonts w:cstheme="minorHAnsi"/>
        </w:rPr>
        <w:t>±</w:t>
      </w:r>
      <w:r w:rsidR="002D46ED" w:rsidRPr="004B00E4">
        <w:t xml:space="preserve"> SD (n=3).</w:t>
      </w:r>
      <w:r w:rsidR="004B00E4" w:rsidRPr="004B00E4">
        <w:t xml:space="preserve"> HCT116 and HEK293 treatments and analysis were done by Mr. Ryan </w:t>
      </w:r>
      <w:r w:rsidR="00BE3671">
        <w:t>Bensen</w:t>
      </w:r>
      <w:r w:rsidR="004B00E4" w:rsidRPr="004B00E4">
        <w:t xml:space="preserve"> and Mr. </w:t>
      </w:r>
      <w:r w:rsidR="00E87672">
        <w:t>Zachary</w:t>
      </w:r>
      <w:r w:rsidR="004B00E4" w:rsidRPr="004B00E4">
        <w:t xml:space="preserve"> Severance.</w:t>
      </w:r>
      <w:r w:rsidR="004B00E4">
        <w:t xml:space="preserve"> (Full blots in </w:t>
      </w:r>
      <w:r w:rsidR="004B00E4">
        <w:fldChar w:fldCharType="begin"/>
      </w:r>
      <w:r w:rsidR="004B00E4">
        <w:instrText xml:space="preserve"> REF _Ref530125982 \h </w:instrText>
      </w:r>
      <w:r w:rsidR="001B3703">
        <w:instrText xml:space="preserve"> \* MERGEFORMAT </w:instrText>
      </w:r>
      <w:r w:rsidR="004B00E4">
        <w:fldChar w:fldCharType="separate"/>
      </w:r>
      <w:r w:rsidR="00E2070A" w:rsidRPr="00E2070A">
        <w:rPr>
          <w:b/>
        </w:rPr>
        <w:t>Figure</w:t>
      </w:r>
      <w:r w:rsidR="00E2070A">
        <w:t xml:space="preserve"> </w:t>
      </w:r>
      <w:r w:rsidR="00E2070A" w:rsidRPr="00E2070A">
        <w:rPr>
          <w:b/>
          <w:noProof/>
        </w:rPr>
        <w:t>38</w:t>
      </w:r>
      <w:r w:rsidR="004B00E4">
        <w:fldChar w:fldCharType="end"/>
      </w:r>
      <w:r w:rsidR="004B00E4">
        <w:t>)</w:t>
      </w:r>
      <w:bookmarkEnd w:id="107"/>
    </w:p>
    <w:p w:rsidR="004B00E4" w:rsidRPr="002D46ED" w:rsidRDefault="004B00E4" w:rsidP="00FB099D">
      <w:pPr>
        <w:spacing w:line="240" w:lineRule="auto"/>
        <w:jc w:val="both"/>
        <w:rPr>
          <w:sz w:val="22"/>
          <w:szCs w:val="28"/>
        </w:rPr>
      </w:pPr>
    </w:p>
    <w:p w:rsidR="00C51A26" w:rsidRPr="002D46ED" w:rsidRDefault="00C51A26" w:rsidP="00042529">
      <w:pPr>
        <w:pStyle w:val="Heading3"/>
        <w:rPr>
          <w:sz w:val="22"/>
          <w:szCs w:val="28"/>
        </w:rPr>
      </w:pPr>
      <w:bookmarkStart w:id="108" w:name="_Toc532553103"/>
      <w:r w:rsidRPr="002D46ED">
        <w:lastRenderedPageBreak/>
        <w:t xml:space="preserve">Loss of OSBP due to </w:t>
      </w:r>
      <w:r w:rsidR="00025183" w:rsidRPr="002D46ED">
        <w:t>OSW-1 washout</w:t>
      </w:r>
      <w:r w:rsidRPr="002D46ED">
        <w:t xml:space="preserve"> is not an artifact</w:t>
      </w:r>
      <w:bookmarkEnd w:id="108"/>
    </w:p>
    <w:p w:rsidR="008E71B2" w:rsidRPr="008E71B2" w:rsidRDefault="00C51A26" w:rsidP="004578F9">
      <w:pPr>
        <w:ind w:firstLine="720"/>
        <w:jc w:val="both"/>
        <w:rPr>
          <w:rFonts w:cstheme="minorHAnsi"/>
          <w:i/>
        </w:rPr>
      </w:pPr>
      <w:r>
        <w:rPr>
          <w:rFonts w:cstheme="minorHAnsi"/>
        </w:rPr>
        <w:t>To confirm that OSBP levels were reduced due to cellular mechanisms</w:t>
      </w:r>
      <w:r w:rsidR="00FF721A">
        <w:rPr>
          <w:rFonts w:cstheme="minorHAnsi"/>
        </w:rPr>
        <w:t>,</w:t>
      </w:r>
      <w:r>
        <w:rPr>
          <w:rFonts w:cstheme="minorHAnsi"/>
        </w:rPr>
        <w:t xml:space="preserve"> we performed a series of experiments to eliminate possible artifacts. First, to make sure that loss of OSBP was not due to the </w:t>
      </w:r>
      <w:r w:rsidR="005C2E87">
        <w:rPr>
          <w:rFonts w:cstheme="minorHAnsi"/>
        </w:rPr>
        <w:t xml:space="preserve">freeze thaw (AC) </w:t>
      </w:r>
      <w:r>
        <w:rPr>
          <w:rFonts w:cstheme="minorHAnsi"/>
        </w:rPr>
        <w:t>lysis</w:t>
      </w:r>
      <w:r w:rsidR="005C2E87">
        <w:rPr>
          <w:rFonts w:cstheme="minorHAnsi"/>
        </w:rPr>
        <w:t xml:space="preserve"> procedure, </w:t>
      </w:r>
      <w:r w:rsidR="00FE133B">
        <w:rPr>
          <w:rFonts w:cstheme="minorHAnsi"/>
        </w:rPr>
        <w:t xml:space="preserve">a chemical lysis with </w:t>
      </w:r>
      <w:r w:rsidR="005C2E87">
        <w:rPr>
          <w:rFonts w:cstheme="minorHAnsi"/>
        </w:rPr>
        <w:t xml:space="preserve">mammalian protein extraction reagent (Mper) lysis method was </w:t>
      </w:r>
      <w:r w:rsidR="005A6116">
        <w:rPr>
          <w:rFonts w:cstheme="minorHAnsi"/>
        </w:rPr>
        <w:t>used</w:t>
      </w:r>
      <w:r w:rsidR="00E3745F">
        <w:rPr>
          <w:rFonts w:cstheme="minorHAnsi"/>
        </w:rPr>
        <w:t xml:space="preserve"> </w:t>
      </w:r>
      <w:r w:rsidR="005A4334">
        <w:rPr>
          <w:rFonts w:cstheme="minorHAnsi"/>
        </w:rPr>
        <w:t>due to its ability to extract ~25% more protein</w:t>
      </w:r>
      <w:r w:rsidR="005A4334">
        <w:rPr>
          <w:rFonts w:cstheme="minorHAnsi"/>
        </w:rPr>
        <w:fldChar w:fldCharType="begin" w:fldLock="1"/>
      </w:r>
      <w:r w:rsidR="0057639C">
        <w:rPr>
          <w:rFonts w:cstheme="minorHAnsi"/>
        </w:rPr>
        <w:instrText>ADDIN CSL_CITATION {"citationItems":[{"id":"ITEM-1","itemData":{"URL":"https://www.thermofisher.com/order/catalog/product/78501","accessed":{"date-parts":[["2018","12","10"]]},"id":"ITEM-1","issued":{"date-parts":[["0"]]},"title":"M-PER Mammalian Protein Extraction Reagent - Thermo Fisher Scientific","type":"webpage"},"uris":["http://www.mendeley.com/documents/?uuid=f84e44bf-3e8b-307d-8c62-52932d38ad80"]}],"mendeley":{"formattedCitation":"(202)","plainTextFormattedCitation":"(202)","previouslyFormattedCitation":"(202)"},"properties":{"noteIndex":0},"schema":"https://github.com/citation-style-language/schema/raw/master/csl-citation.json"}</w:instrText>
      </w:r>
      <w:r w:rsidR="005A4334">
        <w:rPr>
          <w:rFonts w:cstheme="minorHAnsi"/>
        </w:rPr>
        <w:fldChar w:fldCharType="separate"/>
      </w:r>
      <w:r w:rsidR="005A4334" w:rsidRPr="005A4334">
        <w:rPr>
          <w:rFonts w:cstheme="minorHAnsi"/>
          <w:noProof/>
        </w:rPr>
        <w:t>(202)</w:t>
      </w:r>
      <w:r w:rsidR="005A4334">
        <w:rPr>
          <w:rFonts w:cstheme="minorHAnsi"/>
        </w:rPr>
        <w:fldChar w:fldCharType="end"/>
      </w:r>
      <w:r w:rsidR="005A6116">
        <w:rPr>
          <w:rFonts w:cstheme="minorHAnsi"/>
        </w:rPr>
        <w:t xml:space="preserve"> (</w:t>
      </w:r>
      <w:r w:rsidR="005A6116" w:rsidRPr="00A841B4">
        <w:rPr>
          <w:rFonts w:cstheme="minorHAnsi"/>
          <w:b/>
        </w:rPr>
        <w:fldChar w:fldCharType="begin"/>
      </w:r>
      <w:r w:rsidR="005A6116" w:rsidRPr="00A841B4">
        <w:rPr>
          <w:rFonts w:cstheme="minorHAnsi"/>
          <w:b/>
        </w:rPr>
        <w:instrText xml:space="preserve"> REF _Ref530131535 \h </w:instrText>
      </w:r>
      <w:r w:rsidR="001B3703" w:rsidRPr="00A841B4">
        <w:rPr>
          <w:rFonts w:cstheme="minorHAnsi"/>
          <w:b/>
        </w:rPr>
        <w:instrText xml:space="preserve"> \* MERGEFORMAT </w:instrText>
      </w:r>
      <w:r w:rsidR="005A6116" w:rsidRPr="00A841B4">
        <w:rPr>
          <w:rFonts w:cstheme="minorHAnsi"/>
          <w:b/>
        </w:rPr>
      </w:r>
      <w:r w:rsidR="005A6116" w:rsidRPr="00A841B4">
        <w:rPr>
          <w:rFonts w:cstheme="minorHAnsi"/>
          <w:b/>
        </w:rPr>
        <w:fldChar w:fldCharType="separate"/>
      </w:r>
      <w:r w:rsidR="00E2070A" w:rsidRPr="00E2070A">
        <w:rPr>
          <w:b/>
        </w:rPr>
        <w:t xml:space="preserve">Figure </w:t>
      </w:r>
      <w:r w:rsidR="00E2070A" w:rsidRPr="00E2070A">
        <w:rPr>
          <w:b/>
          <w:noProof/>
        </w:rPr>
        <w:t>19</w:t>
      </w:r>
      <w:r w:rsidR="005A6116" w:rsidRPr="00A841B4">
        <w:rPr>
          <w:rFonts w:cstheme="minorHAnsi"/>
          <w:b/>
        </w:rPr>
        <w:fldChar w:fldCharType="end"/>
      </w:r>
      <w:r w:rsidRPr="00A841B4">
        <w:rPr>
          <w:rFonts w:cstheme="minorHAnsi"/>
          <w:b/>
        </w:rPr>
        <w:t>A</w:t>
      </w:r>
      <w:r>
        <w:rPr>
          <w:rFonts w:cstheme="minorHAnsi"/>
        </w:rPr>
        <w:t>). Both lysis methods confirm the loss of OSBP to similar levels</w:t>
      </w:r>
      <w:r w:rsidR="00143C50">
        <w:rPr>
          <w:rFonts w:cstheme="minorHAnsi"/>
        </w:rPr>
        <w:t xml:space="preserve"> in multiple cell lines</w:t>
      </w:r>
      <w:r>
        <w:rPr>
          <w:rFonts w:cstheme="minorHAnsi"/>
        </w:rPr>
        <w:t>.</w:t>
      </w:r>
      <w:r w:rsidR="00143C50">
        <w:rPr>
          <w:rFonts w:cstheme="minorHAnsi"/>
        </w:rPr>
        <w:t xml:space="preserve"> We utilized multiple antibodies </w:t>
      </w:r>
      <w:r w:rsidR="00BF0412">
        <w:rPr>
          <w:rFonts w:cstheme="minorHAnsi"/>
        </w:rPr>
        <w:t>recognizing different OSBP</w:t>
      </w:r>
      <w:r w:rsidR="00143C50">
        <w:rPr>
          <w:rFonts w:cstheme="minorHAnsi"/>
        </w:rPr>
        <w:t xml:space="preserve"> epitopes </w:t>
      </w:r>
      <w:r w:rsidR="005E4A9F">
        <w:rPr>
          <w:rFonts w:cstheme="minorHAnsi"/>
        </w:rPr>
        <w:t>to</w:t>
      </w:r>
      <w:r w:rsidR="00143C50">
        <w:rPr>
          <w:rFonts w:cstheme="minorHAnsi"/>
        </w:rPr>
        <w:t xml:space="preserve"> confirm </w:t>
      </w:r>
      <w:r w:rsidR="00BF0412">
        <w:rPr>
          <w:rFonts w:cstheme="minorHAnsi"/>
        </w:rPr>
        <w:t>the reduction of OSBP</w:t>
      </w:r>
      <w:r w:rsidR="008A4C28">
        <w:rPr>
          <w:rFonts w:cstheme="minorHAnsi"/>
        </w:rPr>
        <w:t xml:space="preserve"> (</w:t>
      </w:r>
      <w:r w:rsidR="005A6116">
        <w:rPr>
          <w:rFonts w:cstheme="minorHAnsi"/>
        </w:rPr>
        <w:fldChar w:fldCharType="begin"/>
      </w:r>
      <w:r w:rsidR="005A6116">
        <w:rPr>
          <w:rFonts w:cstheme="minorHAnsi"/>
        </w:rPr>
        <w:instrText xml:space="preserve"> REF _Ref530058200 \h </w:instrText>
      </w:r>
      <w:r w:rsidR="001B3703">
        <w:rPr>
          <w:rFonts w:cstheme="minorHAnsi"/>
        </w:rPr>
        <w:instrText xml:space="preserve"> \* MERGEFORMAT </w:instrText>
      </w:r>
      <w:r w:rsidR="005A6116">
        <w:rPr>
          <w:rFonts w:cstheme="minorHAnsi"/>
        </w:rPr>
      </w:r>
      <w:r w:rsidR="005A6116">
        <w:rPr>
          <w:rFonts w:cstheme="minorHAnsi"/>
        </w:rPr>
        <w:fldChar w:fldCharType="separate"/>
      </w:r>
      <w:r w:rsidR="00E2070A" w:rsidRPr="00E2070A">
        <w:rPr>
          <w:b/>
        </w:rPr>
        <w:t>Figure</w:t>
      </w:r>
      <w:r w:rsidR="00E2070A">
        <w:t xml:space="preserve"> </w:t>
      </w:r>
      <w:r w:rsidR="00E2070A" w:rsidRPr="00E2070A">
        <w:rPr>
          <w:b/>
          <w:noProof/>
        </w:rPr>
        <w:t>40</w:t>
      </w:r>
      <w:r w:rsidR="005A6116">
        <w:rPr>
          <w:rFonts w:cstheme="minorHAnsi"/>
        </w:rPr>
        <w:fldChar w:fldCharType="end"/>
      </w:r>
      <w:r w:rsidR="00143C50">
        <w:rPr>
          <w:rFonts w:cstheme="minorHAnsi"/>
        </w:rPr>
        <w:t xml:space="preserve">). The two additional antibodies used show similar OSBP levels in both DMSO and </w:t>
      </w:r>
      <w:r w:rsidR="007A587E">
        <w:rPr>
          <w:rFonts w:cstheme="minorHAnsi"/>
        </w:rPr>
        <w:t>OSW-1 compound</w:t>
      </w:r>
      <w:r w:rsidR="00143C50">
        <w:rPr>
          <w:rFonts w:cstheme="minorHAnsi"/>
        </w:rPr>
        <w:t xml:space="preserve"> </w:t>
      </w:r>
      <w:r w:rsidR="00BF0412">
        <w:rPr>
          <w:rFonts w:cstheme="minorHAnsi"/>
        </w:rPr>
        <w:t>treated cells</w:t>
      </w:r>
      <w:r w:rsidR="00CF71A2">
        <w:rPr>
          <w:rFonts w:cstheme="minorHAnsi"/>
        </w:rPr>
        <w:t xml:space="preserve">. </w:t>
      </w:r>
      <w:r w:rsidR="00BF0412">
        <w:rPr>
          <w:rFonts w:cstheme="minorHAnsi"/>
        </w:rPr>
        <w:t>In addition to W</w:t>
      </w:r>
      <w:r w:rsidR="006A716F">
        <w:rPr>
          <w:rFonts w:cstheme="minorHAnsi"/>
        </w:rPr>
        <w:t>estern blot confirmation of OSBP loss, we employed b</w:t>
      </w:r>
      <w:r w:rsidR="006A716F" w:rsidRPr="006A716F">
        <w:rPr>
          <w:rFonts w:cstheme="minorHAnsi"/>
        </w:rPr>
        <w:t>ottom</w:t>
      </w:r>
      <w:r w:rsidR="006A716F">
        <w:rPr>
          <w:rFonts w:cstheme="minorHAnsi"/>
        </w:rPr>
        <w:t>-up proteomic mass spectrometry</w:t>
      </w:r>
      <w:r w:rsidR="00BF0412">
        <w:rPr>
          <w:rFonts w:cstheme="minorHAnsi"/>
        </w:rPr>
        <w:t xml:space="preserve"> to confirm the reduction of OSBP levels.</w:t>
      </w:r>
      <w:r w:rsidR="00FF721A">
        <w:rPr>
          <w:rFonts w:cstheme="minorHAnsi"/>
        </w:rPr>
        <w:t xml:space="preserve"> </w:t>
      </w:r>
      <w:r w:rsidR="00BF0412">
        <w:rPr>
          <w:rFonts w:cstheme="minorHAnsi"/>
        </w:rPr>
        <w:t>A two-dimensional low/high pH HPLC separation of the trypsin-digested lysates was employed to allow</w:t>
      </w:r>
      <w:r w:rsidR="006A716F">
        <w:rPr>
          <w:rFonts w:cstheme="minorHAnsi"/>
        </w:rPr>
        <w:t xml:space="preserve"> for the </w:t>
      </w:r>
      <w:r w:rsidR="006A716F" w:rsidRPr="006A716F">
        <w:rPr>
          <w:rFonts w:cstheme="minorHAnsi"/>
        </w:rPr>
        <w:t>detection of the low abundance OSBP-peptides without enrichment or purification</w:t>
      </w:r>
      <w:r w:rsidR="006A716F" w:rsidRPr="006A716F">
        <w:rPr>
          <w:rFonts w:cstheme="minorHAnsi"/>
          <w:vertAlign w:val="superscript"/>
        </w:rPr>
        <w:fldChar w:fldCharType="begin" w:fldLock="1"/>
      </w:r>
      <w:r w:rsidR="0057639C">
        <w:rPr>
          <w:rFonts w:cstheme="minorHAnsi"/>
          <w:vertAlign w:val="superscript"/>
        </w:rPr>
        <w:instrText>ADDIN CSL_CITATION {"citationItems":[{"id":"ITEM-1","itemData":{"DOI":"10.1016/j.ijms.2017.09.001","abstract":"Advancements in chromatographic separation are critical to in-depth top-down proteomics of complex intact protein samples. Reversed-phase liquid chromatography is the most prevalent technique for topdown proteomics. However, in cases of high complexities and large dynamic ranges, 1D-RPLC may not provide sufficient coverage of the proteome. To address these challenges, orthogonal separation techniques are often combined to improve the coverage and the dynamic range of detection. In this study, a “salt-free” high-pH RPLC was evaluated as an orthogonal dimension of separation to conventional low-pH RPLC with top-down MS. The RPLC separations with low-pH conditions (pH = 2) and high-pH conditions (pH = 10) were compared to confirm the good orthogonality between high-pH and low-pH RPLC’s. The offline 2D RPLC-RPLC–MS/MS analyses of intact E. coli samples were evaluated for the improvement of intact protein identifications as well as intact proteoform characterizations. Compared to the 163 proteins and 328 proteoforms identified using a 1D RPLC–MS approach, 365 proteins and 886 proteoforms were identified using the 2D RPLC–RPLC top-down MS approach. Our results demonstrate that the 2D RPLC–RPLC top-down approach holds great potential for in-depth top-down proteomics studies by utilizing the high resolving power of RPLC separations and by using mass spectrometry compatible buffers for easy sample handling for online MS analysis","author":[{"dropping-particle":"","family":"Wang","given":"Zhe","non-dropping-particle":"","parse-names":false,"suffix":""},{"dropping-particle":"","family":"Ma","given":"Hongyan","non-dropping-particle":"","parse-names":false,"suffix":""},{"dropping-particle":"","family":"Smith","given":"Kenneth","non-dropping-particle":"","parse-names":false,"suffix":""},{"dropping-particle":"","family":"Wu","given":"Si","non-dropping-particle":"","parse-names":false,"suffix":""}],"container-title":"International Journal of Mass Spectrometry","id":"ITEM-1","issued":{"date-parts":[["2018"]]},"page":"43-51","title":"Two-dimensional separation using high-pH and low-pH reversed phase liquid chromatography for top-down proteomics","type":"article-journal","volume":"427"},"uris":["http://www.mendeley.com/documents/?uuid=be0d9542-e628-4109-a127-0d92c4070d9f"]}],"mendeley":{"formattedCitation":"(203)","plainTextFormattedCitation":"(203)","previouslyFormattedCitation":"(203)"},"properties":{"noteIndex":0},"schema":"https://github.com/citation-style-language/schema/raw/master/csl-citation.json"}</w:instrText>
      </w:r>
      <w:r w:rsidR="006A716F" w:rsidRPr="006A716F">
        <w:rPr>
          <w:rFonts w:cstheme="minorHAnsi"/>
          <w:vertAlign w:val="superscript"/>
        </w:rPr>
        <w:fldChar w:fldCharType="separate"/>
      </w:r>
      <w:r w:rsidR="005A4334" w:rsidRPr="005A4334">
        <w:rPr>
          <w:rFonts w:cstheme="minorHAnsi"/>
          <w:noProof/>
        </w:rPr>
        <w:t>(203)</w:t>
      </w:r>
      <w:r w:rsidR="006A716F" w:rsidRPr="006A716F">
        <w:rPr>
          <w:rFonts w:cstheme="minorHAnsi"/>
          <w:vertAlign w:val="superscript"/>
        </w:rPr>
        <w:fldChar w:fldCharType="end"/>
      </w:r>
      <w:r w:rsidR="006A716F" w:rsidRPr="006A716F">
        <w:rPr>
          <w:rFonts w:cstheme="minorHAnsi"/>
        </w:rPr>
        <w:t xml:space="preserve">. </w:t>
      </w:r>
      <w:r w:rsidR="00BF0412">
        <w:rPr>
          <w:rFonts w:cstheme="minorHAnsi"/>
        </w:rPr>
        <w:t xml:space="preserve">The proteomic mass spectrometry analysis was done by the research group of Professor Si Wu in the Department of Chemistry and Biochemistry at the University of Oklahoma. </w:t>
      </w:r>
      <w:r w:rsidR="006A716F">
        <w:rPr>
          <w:rFonts w:cstheme="minorHAnsi"/>
        </w:rPr>
        <w:t xml:space="preserve">This analysis </w:t>
      </w:r>
      <w:r w:rsidR="006A716F" w:rsidRPr="006A716F">
        <w:rPr>
          <w:rFonts w:cstheme="minorHAnsi"/>
        </w:rPr>
        <w:t xml:space="preserve">shows a significant reduction in the detected OSBP peptides in the OSW-1 washout cells </w:t>
      </w:r>
      <w:r w:rsidR="006A716F">
        <w:rPr>
          <w:rFonts w:cstheme="minorHAnsi"/>
        </w:rPr>
        <w:t xml:space="preserve">as compared to DMSO washout cells </w:t>
      </w:r>
      <w:r w:rsidR="006A716F" w:rsidRPr="006A716F">
        <w:rPr>
          <w:rFonts w:cstheme="minorHAnsi"/>
        </w:rPr>
        <w:t>(</w:t>
      </w:r>
      <w:r w:rsidR="005A6116" w:rsidRPr="00A841B4">
        <w:rPr>
          <w:rFonts w:cstheme="minorHAnsi"/>
          <w:b/>
        </w:rPr>
        <w:fldChar w:fldCharType="begin"/>
      </w:r>
      <w:r w:rsidR="005A6116" w:rsidRPr="00A841B4">
        <w:rPr>
          <w:rFonts w:cstheme="minorHAnsi"/>
          <w:b/>
        </w:rPr>
        <w:instrText xml:space="preserve"> REF _Ref530131535 \h </w:instrText>
      </w:r>
      <w:r w:rsidR="001B3703" w:rsidRPr="00A841B4">
        <w:rPr>
          <w:rFonts w:cstheme="minorHAnsi"/>
          <w:b/>
        </w:rPr>
        <w:instrText xml:space="preserve"> \* MERGEFORMAT </w:instrText>
      </w:r>
      <w:r w:rsidR="005A6116" w:rsidRPr="00A841B4">
        <w:rPr>
          <w:rFonts w:cstheme="minorHAnsi"/>
          <w:b/>
        </w:rPr>
      </w:r>
      <w:r w:rsidR="005A6116" w:rsidRPr="00A841B4">
        <w:rPr>
          <w:rFonts w:cstheme="minorHAnsi"/>
          <w:b/>
        </w:rPr>
        <w:fldChar w:fldCharType="separate"/>
      </w:r>
      <w:r w:rsidR="00E2070A" w:rsidRPr="00E2070A">
        <w:rPr>
          <w:b/>
        </w:rPr>
        <w:t xml:space="preserve">Figure </w:t>
      </w:r>
      <w:r w:rsidR="00E2070A" w:rsidRPr="00E2070A">
        <w:rPr>
          <w:b/>
          <w:noProof/>
        </w:rPr>
        <w:t>19</w:t>
      </w:r>
      <w:r w:rsidR="005A6116" w:rsidRPr="00A841B4">
        <w:rPr>
          <w:rFonts w:cstheme="minorHAnsi"/>
          <w:b/>
        </w:rPr>
        <w:fldChar w:fldCharType="end"/>
      </w:r>
      <w:r w:rsidR="006A716F" w:rsidRPr="00A841B4">
        <w:rPr>
          <w:rFonts w:cstheme="minorHAnsi"/>
          <w:b/>
        </w:rPr>
        <w:t>B &amp; C</w:t>
      </w:r>
      <w:r w:rsidR="006A716F" w:rsidRPr="006A716F">
        <w:rPr>
          <w:rFonts w:cstheme="minorHAnsi"/>
        </w:rPr>
        <w:t>)</w:t>
      </w:r>
      <w:r w:rsidR="00FF721A">
        <w:rPr>
          <w:rFonts w:cstheme="minorHAnsi"/>
        </w:rPr>
        <w:t>,</w:t>
      </w:r>
      <w:r w:rsidR="006A716F" w:rsidRPr="006A716F">
        <w:rPr>
          <w:rFonts w:cstheme="minorHAnsi"/>
        </w:rPr>
        <w:t xml:space="preserve"> which confirms the reduction of OSBP level</w:t>
      </w:r>
      <w:r w:rsidR="006A716F">
        <w:rPr>
          <w:rFonts w:cstheme="minorHAnsi"/>
        </w:rPr>
        <w:t>s detected by Western blot</w:t>
      </w:r>
      <w:r w:rsidR="005A6116">
        <w:rPr>
          <w:rFonts w:cstheme="minorHAnsi"/>
        </w:rPr>
        <w:t>ting</w:t>
      </w:r>
      <w:r w:rsidR="006A716F">
        <w:rPr>
          <w:rFonts w:cstheme="minorHAnsi"/>
        </w:rPr>
        <w:t xml:space="preserve"> (</w:t>
      </w:r>
      <w:r w:rsidR="005A6116" w:rsidRPr="005A6116">
        <w:rPr>
          <w:rFonts w:cstheme="minorHAnsi"/>
        </w:rPr>
        <w:fldChar w:fldCharType="begin"/>
      </w:r>
      <w:r w:rsidR="005A6116" w:rsidRPr="005A6116">
        <w:rPr>
          <w:rFonts w:cstheme="minorHAnsi"/>
        </w:rPr>
        <w:instrText xml:space="preserve"> REF _Ref530125940 \h  \* MERGEFORMAT </w:instrText>
      </w:r>
      <w:r w:rsidR="005A6116" w:rsidRPr="005A6116">
        <w:rPr>
          <w:rFonts w:cstheme="minorHAnsi"/>
        </w:rPr>
      </w:r>
      <w:r w:rsidR="005A6116" w:rsidRPr="005A6116">
        <w:rPr>
          <w:rFonts w:cstheme="minorHAnsi"/>
        </w:rPr>
        <w:fldChar w:fldCharType="separate"/>
      </w:r>
      <w:r w:rsidR="00E2070A" w:rsidRPr="00A841B4">
        <w:rPr>
          <w:b/>
        </w:rPr>
        <w:t>Figure</w:t>
      </w:r>
      <w:r w:rsidR="00E2070A" w:rsidRPr="00E2070A">
        <w:t xml:space="preserve"> </w:t>
      </w:r>
      <w:r w:rsidR="00E2070A">
        <w:rPr>
          <w:b/>
          <w:noProof/>
        </w:rPr>
        <w:t>18</w:t>
      </w:r>
      <w:r w:rsidR="005A6116" w:rsidRPr="005A6116">
        <w:rPr>
          <w:rFonts w:cstheme="minorHAnsi"/>
        </w:rPr>
        <w:fldChar w:fldCharType="end"/>
      </w:r>
      <w:r w:rsidR="006A716F">
        <w:rPr>
          <w:rFonts w:cstheme="minorHAnsi"/>
        </w:rPr>
        <w:t>).</w:t>
      </w:r>
    </w:p>
    <w:p w:rsidR="00B02F62" w:rsidRDefault="00143C50" w:rsidP="00FB099D">
      <w:pPr>
        <w:keepNext/>
        <w:jc w:val="both"/>
      </w:pPr>
      <w:r w:rsidRPr="00143C50">
        <w:rPr>
          <w:noProof/>
          <w:lang w:bidi="ar-SA"/>
        </w:rPr>
        <w:lastRenderedPageBreak/>
        <w:drawing>
          <wp:inline distT="0" distB="0" distL="0" distR="0" wp14:anchorId="3A7FDA21" wp14:editId="55DFEDCB">
            <wp:extent cx="5394960" cy="3034665"/>
            <wp:effectExtent l="19050" t="19050" r="15240"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94960" cy="3034665"/>
                    </a:xfrm>
                    <a:prstGeom prst="rect">
                      <a:avLst/>
                    </a:prstGeom>
                    <a:ln>
                      <a:solidFill>
                        <a:schemeClr val="tx1"/>
                      </a:solidFill>
                    </a:ln>
                  </pic:spPr>
                </pic:pic>
              </a:graphicData>
            </a:graphic>
          </wp:inline>
        </w:drawing>
      </w:r>
    </w:p>
    <w:p w:rsidR="00B02F62" w:rsidRDefault="00A841B4" w:rsidP="00FB099D">
      <w:pPr>
        <w:pStyle w:val="Caption"/>
        <w:jc w:val="both"/>
        <w:rPr>
          <w:b w:val="0"/>
        </w:rPr>
      </w:pPr>
      <w:bookmarkStart w:id="109" w:name="_Ref530131535"/>
      <w:bookmarkStart w:id="110" w:name="_Toc530673944"/>
      <w:r w:rsidRPr="00A841B4">
        <w:t>Figure</w:t>
      </w:r>
      <w:r w:rsidR="00B02F62">
        <w:t xml:space="preserve"> </w:t>
      </w:r>
      <w:fldSimple w:instr=" SEQ Figure \* ARABIC ">
        <w:r w:rsidR="00E2070A">
          <w:rPr>
            <w:noProof/>
          </w:rPr>
          <w:t>19</w:t>
        </w:r>
      </w:fldSimple>
      <w:bookmarkEnd w:id="109"/>
      <w:r w:rsidR="006A716F">
        <w:t xml:space="preserve">: </w:t>
      </w:r>
      <w:r w:rsidR="006A716F" w:rsidRPr="006A716F">
        <w:t xml:space="preserve">Loss of OSBP due to </w:t>
      </w:r>
      <w:r w:rsidR="007A587E">
        <w:t>OSW-1 compound</w:t>
      </w:r>
      <w:r w:rsidR="006A716F" w:rsidRPr="006A716F">
        <w:t xml:space="preserve"> washout is not an artifact</w:t>
      </w:r>
      <w:r w:rsidR="006A716F">
        <w:t xml:space="preserve">. </w:t>
      </w:r>
      <w:r w:rsidR="006A716F">
        <w:rPr>
          <w:b w:val="0"/>
        </w:rPr>
        <w:t xml:space="preserve">(A) </w:t>
      </w:r>
      <w:r w:rsidR="005C2E87">
        <w:rPr>
          <w:b w:val="0"/>
        </w:rPr>
        <w:t>Freeze thaw (AC) and mammalian protein extraction reagent (Mper)</w:t>
      </w:r>
      <w:r w:rsidR="006A716F">
        <w:rPr>
          <w:b w:val="0"/>
        </w:rPr>
        <w:t xml:space="preserve"> lysis methods</w:t>
      </w:r>
      <w:r w:rsidR="005C2E87">
        <w:rPr>
          <w:b w:val="0"/>
        </w:rPr>
        <w:t xml:space="preserve"> </w:t>
      </w:r>
      <w:r w:rsidR="006A716F">
        <w:rPr>
          <w:b w:val="0"/>
        </w:rPr>
        <w:t xml:space="preserve">show similar OSBP loss in </w:t>
      </w:r>
      <w:r w:rsidR="00B53147">
        <w:rPr>
          <w:b w:val="0"/>
        </w:rPr>
        <w:t xml:space="preserve">1 nM </w:t>
      </w:r>
      <w:r w:rsidR="007A587E">
        <w:rPr>
          <w:b w:val="0"/>
        </w:rPr>
        <w:t>OSW-1 compound</w:t>
      </w:r>
      <w:r w:rsidR="00B53147">
        <w:rPr>
          <w:b w:val="0"/>
        </w:rPr>
        <w:t xml:space="preserve"> washout treated cells 24 hours pWO</w:t>
      </w:r>
      <w:r w:rsidR="005C2E87">
        <w:rPr>
          <w:b w:val="0"/>
        </w:rPr>
        <w:t xml:space="preserve"> as quantified by Western blot analysis</w:t>
      </w:r>
      <w:r w:rsidR="00B53147">
        <w:rPr>
          <w:b w:val="0"/>
        </w:rPr>
        <w:t xml:space="preserve">. (B) Bottom up </w:t>
      </w:r>
      <w:r w:rsidR="00B53147" w:rsidRPr="00B53147">
        <w:rPr>
          <w:b w:val="0"/>
        </w:rPr>
        <w:t>proteomic mass spectrometry anal</w:t>
      </w:r>
      <w:r w:rsidR="00B53147">
        <w:rPr>
          <w:b w:val="0"/>
        </w:rPr>
        <w:t xml:space="preserve">ysis of vehicle control or 1 nM </w:t>
      </w:r>
      <w:r w:rsidR="007A587E">
        <w:rPr>
          <w:b w:val="0"/>
        </w:rPr>
        <w:t>OSW-1 compound</w:t>
      </w:r>
      <w:r w:rsidR="00B53147">
        <w:rPr>
          <w:b w:val="0"/>
        </w:rPr>
        <w:t xml:space="preserve"> treated for 6 </w:t>
      </w:r>
      <w:r w:rsidR="00B53147" w:rsidRPr="00B53147">
        <w:rPr>
          <w:b w:val="0"/>
        </w:rPr>
        <w:t>hou</w:t>
      </w:r>
      <w:r w:rsidR="00B53147">
        <w:rPr>
          <w:b w:val="0"/>
        </w:rPr>
        <w:t>rs followed by washout and a 24-</w:t>
      </w:r>
      <w:r w:rsidR="00B53147" w:rsidRPr="00B53147">
        <w:rPr>
          <w:b w:val="0"/>
        </w:rPr>
        <w:t>h</w:t>
      </w:r>
      <w:r w:rsidR="00B53147">
        <w:rPr>
          <w:b w:val="0"/>
        </w:rPr>
        <w:t>ou</w:t>
      </w:r>
      <w:r w:rsidR="00B53147" w:rsidRPr="00B53147">
        <w:rPr>
          <w:b w:val="0"/>
        </w:rPr>
        <w:t xml:space="preserve">r recovery period. </w:t>
      </w:r>
      <w:r w:rsidR="00B53147">
        <w:rPr>
          <w:b w:val="0"/>
        </w:rPr>
        <w:t xml:space="preserve">(C) </w:t>
      </w:r>
      <w:r w:rsidR="00B53147" w:rsidRPr="00B53147">
        <w:rPr>
          <w:b w:val="0"/>
        </w:rPr>
        <w:t>Shows loss of</w:t>
      </w:r>
      <w:r w:rsidR="00B53147">
        <w:rPr>
          <w:b w:val="0"/>
        </w:rPr>
        <w:t xml:space="preserve"> detectable OSBP peptide (i.e. </w:t>
      </w:r>
      <w:r w:rsidR="00B53147" w:rsidRPr="00B53147">
        <w:rPr>
          <w:b w:val="0"/>
        </w:rPr>
        <w:t xml:space="preserve">peak with retention time of 39.33 min) in </w:t>
      </w:r>
      <w:r w:rsidR="00550618">
        <w:rPr>
          <w:b w:val="0"/>
        </w:rPr>
        <w:t xml:space="preserve">HEK293 </w:t>
      </w:r>
      <w:r w:rsidR="00B53147" w:rsidRPr="00B53147">
        <w:rPr>
          <w:b w:val="0"/>
        </w:rPr>
        <w:t>washout cells as compared vehicle control.</w:t>
      </w:r>
      <w:r w:rsidR="001754F1">
        <w:rPr>
          <w:b w:val="0"/>
        </w:rPr>
        <w:t xml:space="preserve"> (B) and (C) lysates and analysis performed by Mr. </w:t>
      </w:r>
      <w:r w:rsidR="00E87672">
        <w:rPr>
          <w:b w:val="0"/>
        </w:rPr>
        <w:t>Zachary</w:t>
      </w:r>
      <w:r w:rsidR="001754F1">
        <w:rPr>
          <w:b w:val="0"/>
        </w:rPr>
        <w:t xml:space="preserve"> Severance and Ms. Hongyan Ma</w:t>
      </w:r>
      <w:r w:rsidR="00BF0412">
        <w:rPr>
          <w:b w:val="0"/>
        </w:rPr>
        <w:t>;</w:t>
      </w:r>
      <w:r w:rsidR="00BF0412">
        <w:t xml:space="preserve"> </w:t>
      </w:r>
      <w:r w:rsidR="00BF0412" w:rsidRPr="00BF0412">
        <w:rPr>
          <w:b w:val="0"/>
        </w:rPr>
        <w:t xml:space="preserve">Ms. Ma is </w:t>
      </w:r>
      <w:r w:rsidR="00BF0412">
        <w:rPr>
          <w:b w:val="0"/>
        </w:rPr>
        <w:t xml:space="preserve">a </w:t>
      </w:r>
      <w:r w:rsidR="00BF0412" w:rsidRPr="00BF0412">
        <w:rPr>
          <w:b w:val="0"/>
        </w:rPr>
        <w:t>graduate student in the lab of Dr. Si Wu, Department of Chemistry and Biochemistry, Univ. of Oklahoma</w:t>
      </w:r>
      <w:r w:rsidR="001754F1">
        <w:rPr>
          <w:b w:val="0"/>
        </w:rPr>
        <w:t xml:space="preserve">. </w:t>
      </w:r>
      <w:r w:rsidR="005A6116">
        <w:rPr>
          <w:b w:val="0"/>
        </w:rPr>
        <w:t>(Full blots in</w:t>
      </w:r>
      <w:r w:rsidR="001754F1">
        <w:rPr>
          <w:b w:val="0"/>
        </w:rPr>
        <w:t xml:space="preserve"> </w:t>
      </w:r>
      <w:r w:rsidR="001754F1" w:rsidRPr="001754F1">
        <w:rPr>
          <w:b w:val="0"/>
        </w:rPr>
        <w:fldChar w:fldCharType="begin"/>
      </w:r>
      <w:r w:rsidR="001754F1" w:rsidRPr="001754F1">
        <w:rPr>
          <w:b w:val="0"/>
        </w:rPr>
        <w:instrText xml:space="preserve"> REF _Ref530133852 \h  \* MERGEFORMAT </w:instrText>
      </w:r>
      <w:r w:rsidR="001754F1" w:rsidRPr="001754F1">
        <w:rPr>
          <w:b w:val="0"/>
        </w:rPr>
      </w:r>
      <w:r w:rsidR="001754F1" w:rsidRPr="001754F1">
        <w:rPr>
          <w:b w:val="0"/>
        </w:rPr>
        <w:fldChar w:fldCharType="separate"/>
      </w:r>
      <w:r w:rsidR="00E2070A" w:rsidRPr="00A841B4">
        <w:t>Figure</w:t>
      </w:r>
      <w:r w:rsidR="00E2070A" w:rsidRPr="00E2070A">
        <w:rPr>
          <w:b w:val="0"/>
        </w:rPr>
        <w:t xml:space="preserve"> </w:t>
      </w:r>
      <w:r w:rsidR="00E2070A">
        <w:rPr>
          <w:noProof/>
        </w:rPr>
        <w:t>41</w:t>
      </w:r>
      <w:r w:rsidR="001754F1" w:rsidRPr="001754F1">
        <w:rPr>
          <w:b w:val="0"/>
        </w:rPr>
        <w:fldChar w:fldCharType="end"/>
      </w:r>
      <w:r w:rsidR="001754F1">
        <w:rPr>
          <w:b w:val="0"/>
        </w:rPr>
        <w:t>)</w:t>
      </w:r>
      <w:bookmarkEnd w:id="110"/>
      <w:r w:rsidR="00BF0412">
        <w:rPr>
          <w:b w:val="0"/>
        </w:rPr>
        <w:t>.</w:t>
      </w:r>
      <w:r w:rsidR="00787CDA">
        <w:rPr>
          <w:b w:val="0"/>
        </w:rPr>
        <w:t xml:space="preserve"> The author had no contribution to producing the bottom up MS results.</w:t>
      </w:r>
    </w:p>
    <w:p w:rsidR="002D46ED" w:rsidRDefault="002D46ED" w:rsidP="00FB099D">
      <w:pPr>
        <w:jc w:val="both"/>
      </w:pPr>
    </w:p>
    <w:p w:rsidR="002D5C6B" w:rsidRPr="002D46ED" w:rsidRDefault="002D5C6B" w:rsidP="00042529">
      <w:pPr>
        <w:pStyle w:val="Heading3"/>
      </w:pPr>
      <w:bookmarkStart w:id="111" w:name="_Toc532553104"/>
      <w:r w:rsidRPr="002D46ED">
        <w:t>Cellular localization of OSBP confirms OSBP loss in vivo during washout recovery.</w:t>
      </w:r>
      <w:bookmarkEnd w:id="111"/>
    </w:p>
    <w:p w:rsidR="001263A8" w:rsidRPr="004578F9" w:rsidRDefault="002D5C6B" w:rsidP="004578F9">
      <w:pPr>
        <w:ind w:firstLine="720"/>
        <w:jc w:val="both"/>
        <w:rPr>
          <w:b/>
        </w:rPr>
      </w:pPr>
      <w:r>
        <w:t>To verify the loss of OSBP other than</w:t>
      </w:r>
      <w:r w:rsidR="00FF721A">
        <w:t xml:space="preserve"> by</w:t>
      </w:r>
      <w:r>
        <w:t xml:space="preserve"> Western blo</w:t>
      </w:r>
      <w:r w:rsidR="00FF721A">
        <w:t>t</w:t>
      </w:r>
      <w:r>
        <w:t>t</w:t>
      </w:r>
      <w:r w:rsidR="00FF721A">
        <w:t>ing</w:t>
      </w:r>
      <w:r>
        <w:t>, we utilized immunofluorescence microscopy</w:t>
      </w:r>
      <w:r w:rsidR="0093327A">
        <w:t xml:space="preserve"> in HCT116 cells</w:t>
      </w:r>
      <w:r>
        <w:t xml:space="preserve">. </w:t>
      </w:r>
      <w:r w:rsidR="0057639C" w:rsidRPr="0057639C">
        <w:t>OSBP is predominately located at ER/Golgi membrane contact sites</w:t>
      </w:r>
      <w:r w:rsidR="0057639C">
        <w:fldChar w:fldCharType="begin" w:fldLock="1"/>
      </w:r>
      <w:r w:rsidR="005C5180">
        <w:instrText>ADDIN CSL_CITATION {"citationItems":[{"id":"ITEM-1","itemData":{"DOI":"10.1074/jbc.M115.682997","ISSN":"1083351X","PMID":"26601944","abstract":"Oxysterol binding protein (OSBP) exchanges cholesterol and phosphatidylinositol 4-phosphate (PI-4P) at contact sites between the endoplasmic reticulum (ER) and trans-Golgi/trans-Golgi network. 25-hydroxycholesterol (25OH) competitively inhibits this exchange reaction in vitro, and causes the constitutive localization of OSBP at the ER/Golgi interface and PI-4P-dependent recruitment of ceramide transfer protein (CERT) for sphingomyelin synthesis. We used PI-4P probes and mass analysis to determine how OSBP controls the availability of PI-4P for this metabolic pathway. Treatment of fibroblasts or Chinese hamster ovary (CHO) cells with 25OH caused a 50-70% reduction in Golgi-associated immunoreactive PI-4P that correlated with Golgi localization of OSBP. In contrast, 25OH caused an OSBP-dependent enrichment in Golgi PI-4P that was detected with a pleckstrin homology (PH) domain probe. The cellular mass of phosphatidylinositol mono-phosphates and Golgi PI-4P measured with an unbiased PI-4P probe (P4M) were unaffected by 25OH and OSBP silencing, indicating that OSBP shifts the distribution of PI-4P upon localization to ER-Golgi contact sites. The PI-4P and sterol binding activities of OSBP were both required for 25OH activation of SM synthesis, suggesting that 25OH must be exchanged for PI-4P in order to be concentrated at contact sites. We propose a model wherein 25OH activation of OSBP promotes the binding and retention of PI-4P at ER-Golgi contact sites. This pool of PI-4P pool specifically recruits PH domain containing proteins involved in lipid transfer and metabolism, such as CERT.","author":[{"dropping-particle":"","family":"Goto","given":"Asako","non-dropping-particle":"","parse-names":false,"suffix":""},{"dropping-particle":"","family":"Charman","given":"Mark","non-dropping-particle":"","parse-names":false,"suffix":""},{"dropping-particle":"","family":"Ridgway","given":"Neale D.","non-dropping-particle":"","parse-names":false,"suffix":""}],"container-title":"Journal of Biological Chemistry","id":"ITEM-1","issue":"3","issued":{"date-parts":[["2016"]]},"page":"1336-1347","title":"Oxysterol-binding protein activation at endoplasmic reticulum-golgi contact sites reorganizes phosphatidylinositol 4-phosphate pools","type":"article-journal","volume":"291"},"uris":["http://www.mendeley.com/documents/?uuid=89e6283d-d6f9-449e-ae6a-f919a0d05d65"]},{"id":"ITEM-2","itemData":{"DOI":"10.1016/j.cell.2013.09.056","ISBN":"1097-4172 (Electronic)$\\$r0092-8674 (Linking)","ISSN":"00928674","PMID":"24209621","abstract":"Summary Several proteins at endoplasmic reticulum (ER)-Golgi membrane contact sites contain a PH domain that interacts with the Golgi phosphoinositide PI(4)P, a FFAT motif that interacts with the ER protein VAP-A, and a lipid transfer domain. This architecture suggests the ability to both tether organelles and transport lipids between them. We show that in oxysterol binding protein (OSBP) these two activities are coupled by a four-step cycle. Membrane tethering by the PH domain and the FFAT motif enables sterol transfer by the lipid transfer domain (ORD), followed by back transfer of PI(4)P by the ORD. Finally, PI(4)P is hydrolyzed in cis by the ER protein Sac1. The energy provided by PI(4)P hydrolysis drives sterol transfer and allows negative feedback when PI(4)P becomes limiting. Other lipid transfer proteins are tethered by the same mechanism. Thus, OSBP-mediated back transfer of PI(4)P might coordinate the transfer of other lipid species at the ER-Golgi interface. {©} 2013 Elsevier Inc.","author":[{"dropping-particle":"","family":"Mesmin","given":"Bruno","non-dropping-particle":"","parse-names":false,"suffix":""},{"dropping-particle":"","family":"Bigay","given":"Joëlle","non-dropping-particle":"","parse-names":false,"suffix":""},{"dropping-particle":"","family":"Moser Von Filseck","given":"Joachim","non-dropping-particle":"","parse-names":false,"suffix":""},{"dropping-particle":"","family":"Lacas-Gervais","given":"Sandra","non-dropping-particle":"","parse-names":false,"suffix":""},{"dropping-particle":"","family":"Drin","given":"Guillaume","non-dropping-particle":"","parse-names":false,"suffix":""},{"dropping-particle":"","family":"Antonny","given":"Bruno","non-dropping-particle":"","parse-names":false,"suffix":""}],"container-title":"Cell","id":"ITEM-2","issue":"4","issued":{"date-parts":[["2013"]]},"title":"A four-step cycle driven by PI(4)P hydrolysis directs sterol/PI(4)P exchange by the ER-Golgi Tether OSBP","type":"article-journal","volume":"155"},"uris":["http://www.mendeley.com/documents/?uuid=1f022887-7488-4e31-acec-03e43f3244ee"]},{"id":"ITEM-3","itemData":{"DOI":"10.15252/embj.201796687","ISSN":"0261-4189","PMID":"28978670","abstract":"The network of proteins that orchestrate the distribution of cholesterol among cellular organelles is not fully characterized. We previously proposed that oxysterol-binding protein (OSBP) drives cholesterol/PI4P exchange at contact sites between the endoplas-mic reticulum (ER) and the trans-Golgi network (TGN). Using the inhibitor OSW-1, we report here that the sole activity of endoge-nous OSBP makes a major contribution to cholesterol distribution, lipid order, and PI4P turnover in living cells. Blocking OSBP causes accumulation of sterols at ER/lipid droplets at the expense of TGN, thereby reducing the gradient of lipid order along the secretory pathway. OSBP consumes about half of the total cellular pool of PI4P, a consumption that depends on the amount of cholesterol to be transported. Inhibiting the spatially restricted PI4-kinase PI4KIIIb triggers large periodic traveling waves of PI4P across the TGN. These waves are cadenced by long-range PI4P production by PI4KIIa and PI4P consumption by OSBP. Collectively, these data indicate a massive spatiotemporal coupling between cholesterol transport and PI4P turnover via OSBP and PI4-kinases to control the lipid composition of subcellular membranes.","author":[{"dropping-particle":"","family":"Mesmin","given":"Bruno","non-dropping-particle":"","parse-names":false,"suffix":""},{"dropping-particle":"","family":"Bigay","given":"Joëlle","non-dropping-particle":"","parse-names":false,"suffix":""},{"dropping-particle":"","family":"Polidori","given":"Joël","non-dropping-particle":"","parse-names":false,"suffix":""},{"dropping-particle":"","family":"Jamecna","given":"Denisa","non-dropping-particle":"","parse-names":false,"suffix":""},{"dropping-particle":"","family":"Lacas‐Gervais","given":"Sandra","non-dropping-particle":"","parse-names":false,"suffix":""},{"dropping-particle":"","family":"Antonny","given":"Bruno","non-dropping-particle":"","parse-names":false,"suffix":""}],"container-title":"The EMBO Journal","id":"ITEM-3","issue":"21","issued":{"date-parts":[["2017"]]},"page":"e201796687","title":"Sterol transfer, PI4P consumption, and control of membrane lipid order by endogenous OSBP","type":"article-journal","volume":"36"},"uris":["http://www.mendeley.com/documents/?uuid=30aea0bb-1cad-43ea-9e50-5dbf30cc77be"]},{"id":"ITEM-4","itemData":{"DOI":"10.1146/annurev-biochem-061516-044924","ISSN":"1545-4509","PMID":"29596003","abstract":"To maintain an asymmetric distribution of ions across membranes, protein pumps displace ions against their concentration gradient by using chemical energy. Here, we describe a functionally analogous but topologically opposite process that applies to the lipid transfer protein (LTP) oxysterolbinding protein (OSBP). This multidomain protein exchanges cholesterol for the phosphoinositide phosphatidylinositol 4-phosphate [PI(4)P] between two apposed membranes. Because of the subsequent hydrolysis of PI(4)P, this counterexchange is irreversible and contributes to the establishment of a cholesterol gradient along organelles of the secretory pathway. The facts that some natural anti-cancer molecules block OSBP and that many viruses hijack the OSBP cycle for the formation of intracellular replication organelles highlight the importance and potency of OSBP-mediated lipid exchange. The architecture of some LTPs is similar to that of OSBP, suggesting that the principles of the OSBP cycle-burning PI(4)P for the vectorial transfer of another lipid-might be general. Expected final online publication date for the Annual Review of Biochemistry Volume 87 is June 20, 2018. Please see http://www.annualreviews.org/page/journal/pubdates for revised estimates.","author":[{"dropping-particle":"","family":"Antonny","given":"Bruno","non-dropping-particle":"","parse-names":false,"suffix":""},{"dropping-particle":"","family":"Bigay","given":"Joëlle","non-dropping-particle":"","parse-names":false,"suffix":""},{"dropping-particle":"","family":"Mesmin","given":"Bruno","non-dropping-particle":"","parse-names":false,"suffix":""}],"container-title":"Annual Review of Biochemistry","id":"ITEM-4","issue":"1","issued":{"date-parts":[["2018"]]},"page":"annurev-biochem-061516-044924","title":"The Oxysterol-Binding Protein Cycle: Burning Off PI(4)P to Transport Cholesterol","type":"article-journal","volume":"87"},"uris":["http://www.mendeley.com/documents/?uuid=0a57fc08-1064-4882-9c64-4a4fc131b18a"]}],"mendeley":{"formattedCitation":"(35, 36, 128, 204)","plainTextFormattedCitation":"(35, 36, 128, 204)","previouslyFormattedCitation":"(35, 36, 128, 204)"},"properties":{"noteIndex":0},"schema":"https://github.com/citation-style-language/schema/raw/master/csl-citation.json"}</w:instrText>
      </w:r>
      <w:r w:rsidR="0057639C">
        <w:fldChar w:fldCharType="separate"/>
      </w:r>
      <w:r w:rsidR="0057639C" w:rsidRPr="0057639C">
        <w:rPr>
          <w:noProof/>
        </w:rPr>
        <w:t>(35, 36, 128, 204)</w:t>
      </w:r>
      <w:r w:rsidR="0057639C">
        <w:fldChar w:fldCharType="end"/>
      </w:r>
      <w:r w:rsidR="0057639C">
        <w:t xml:space="preserve"> </w:t>
      </w:r>
      <w:r w:rsidR="00BF0412">
        <w:t xml:space="preserve">Cellular treatment with the </w:t>
      </w:r>
      <w:r w:rsidR="007A587E">
        <w:t>OSW-1 compound</w:t>
      </w:r>
      <w:r w:rsidR="00BF0412">
        <w:t xml:space="preserve"> is known to alter the </w:t>
      </w:r>
      <w:r>
        <w:t xml:space="preserve">OSBP </w:t>
      </w:r>
      <w:r w:rsidR="00BF0412">
        <w:t>localization in the cell</w:t>
      </w:r>
      <w:r w:rsidRPr="002D5C6B">
        <w:rPr>
          <w:vertAlign w:val="superscript"/>
        </w:rPr>
        <w:fldChar w:fldCharType="begin" w:fldLock="1"/>
      </w:r>
      <w:r w:rsidR="00393368">
        <w:rPr>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Pr="002D5C6B">
        <w:rPr>
          <w:vertAlign w:val="superscript"/>
        </w:rPr>
        <w:fldChar w:fldCharType="separate"/>
      </w:r>
      <w:r w:rsidR="00393368" w:rsidRPr="00393368">
        <w:rPr>
          <w:noProof/>
        </w:rPr>
        <w:t>(46)</w:t>
      </w:r>
      <w:r w:rsidRPr="002D5C6B">
        <w:rPr>
          <w:vertAlign w:val="superscript"/>
        </w:rPr>
        <w:fldChar w:fldCharType="end"/>
      </w:r>
      <w:r w:rsidR="00BF0412">
        <w:t>.</w:t>
      </w:r>
      <w:r>
        <w:t xml:space="preserve"> </w:t>
      </w:r>
      <w:r w:rsidR="00BF0412">
        <w:t xml:space="preserve">The imagining experiments used the OSBP antibody and an antibody recognizing </w:t>
      </w:r>
      <w:r>
        <w:t>the trans Golgi marker TGN46</w:t>
      </w:r>
      <w:r w:rsidR="007A587E">
        <w:t xml:space="preserve">, as well as a nuclear stain. </w:t>
      </w:r>
      <w:r>
        <w:t>Both continual treatment and washout treatment show</w:t>
      </w:r>
      <w:r w:rsidR="001754F1">
        <w:t>ed reduced OSBP levels (</w:t>
      </w:r>
      <w:r w:rsidR="001754F1">
        <w:fldChar w:fldCharType="begin"/>
      </w:r>
      <w:r w:rsidR="001754F1">
        <w:instrText xml:space="preserve"> REF _Ref530134031 \h </w:instrText>
      </w:r>
      <w:r w:rsidR="001B3703">
        <w:instrText xml:space="preserve"> \* MERGEFORMAT </w:instrText>
      </w:r>
      <w:r w:rsidR="001754F1">
        <w:fldChar w:fldCharType="separate"/>
      </w:r>
      <w:r w:rsidR="00E2070A" w:rsidRPr="00E2070A">
        <w:rPr>
          <w:b/>
        </w:rPr>
        <w:t>Figure</w:t>
      </w:r>
      <w:r w:rsidR="00E2070A">
        <w:t xml:space="preserve"> </w:t>
      </w:r>
      <w:r w:rsidR="00E2070A" w:rsidRPr="00E2070A">
        <w:rPr>
          <w:b/>
          <w:noProof/>
        </w:rPr>
        <w:t>20</w:t>
      </w:r>
      <w:r w:rsidR="001754F1">
        <w:fldChar w:fldCharType="end"/>
      </w:r>
      <w:r>
        <w:t>). DMSO treated cells show</w:t>
      </w:r>
      <w:r w:rsidR="00FF721A">
        <w:t>ed</w:t>
      </w:r>
      <w:r>
        <w:t xml:space="preserve"> OSBP localized to the TGN46 marker in a perinuclear fashion and tr</w:t>
      </w:r>
      <w:r w:rsidR="00FF721A">
        <w:t xml:space="preserve">eatment </w:t>
      </w:r>
      <w:r w:rsidR="00FF721A">
        <w:lastRenderedPageBreak/>
        <w:t xml:space="preserve">with </w:t>
      </w:r>
      <w:r w:rsidR="007A587E">
        <w:t>OSW-1 compound</w:t>
      </w:r>
      <w:r w:rsidR="00FF721A">
        <w:t xml:space="preserve"> led</w:t>
      </w:r>
      <w:r>
        <w:t xml:space="preserve"> to reloca</w:t>
      </w:r>
      <w:r w:rsidR="001263A8">
        <w:t>lization into a punctate cluster (</w:t>
      </w:r>
      <w:r w:rsidR="001754F1">
        <w:fldChar w:fldCharType="begin"/>
      </w:r>
      <w:r w:rsidR="001754F1">
        <w:instrText xml:space="preserve"> REF _Ref530134031 \h </w:instrText>
      </w:r>
      <w:r w:rsidR="001B3703">
        <w:instrText xml:space="preserve"> \* MERGEFORMAT </w:instrText>
      </w:r>
      <w:r w:rsidR="001754F1">
        <w:fldChar w:fldCharType="separate"/>
      </w:r>
      <w:r w:rsidR="00E2070A" w:rsidRPr="00E2070A">
        <w:rPr>
          <w:b/>
        </w:rPr>
        <w:t>Figure</w:t>
      </w:r>
      <w:r w:rsidR="00E2070A">
        <w:t xml:space="preserve"> </w:t>
      </w:r>
      <w:r w:rsidR="00E2070A" w:rsidRPr="00E2070A">
        <w:rPr>
          <w:b/>
          <w:noProof/>
        </w:rPr>
        <w:t>20</w:t>
      </w:r>
      <w:r w:rsidR="001754F1">
        <w:fldChar w:fldCharType="end"/>
      </w:r>
      <w:r w:rsidR="001263A8">
        <w:t>)</w:t>
      </w:r>
      <w:r>
        <w:t>.</w:t>
      </w:r>
      <w:r w:rsidR="001263A8">
        <w:t xml:space="preserve"> Continual treatment </w:t>
      </w:r>
      <w:r w:rsidR="007A587E">
        <w:t xml:space="preserve">with the OSW-1 compound </w:t>
      </w:r>
      <w:r w:rsidR="001263A8">
        <w:t>show</w:t>
      </w:r>
      <w:r w:rsidR="00FF721A">
        <w:t>ed</w:t>
      </w:r>
      <w:r w:rsidR="001263A8">
        <w:t xml:space="preserve"> </w:t>
      </w:r>
      <w:r w:rsidR="007A587E">
        <w:t>OSBP</w:t>
      </w:r>
      <w:r w:rsidR="001263A8">
        <w:t xml:space="preserve"> clustering within 2 hours</w:t>
      </w:r>
      <w:r w:rsidR="00FC2BF4">
        <w:t xml:space="preserve"> followed by diminishing </w:t>
      </w:r>
      <w:r w:rsidR="007A587E">
        <w:t xml:space="preserve">OSBP </w:t>
      </w:r>
      <w:r w:rsidR="00FC2BF4">
        <w:t>signal</w:t>
      </w:r>
      <w:r w:rsidR="007A587E">
        <w:t>.</w:t>
      </w:r>
      <w:r w:rsidR="00FC2BF4">
        <w:t xml:space="preserve"> </w:t>
      </w:r>
      <w:r w:rsidR="007A587E">
        <w:t>V</w:t>
      </w:r>
      <w:r w:rsidR="00FC2BF4">
        <w:t xml:space="preserve">ery little </w:t>
      </w:r>
      <w:r w:rsidR="007A587E">
        <w:t xml:space="preserve">OSBP </w:t>
      </w:r>
      <w:r w:rsidR="00FC2BF4">
        <w:t xml:space="preserve">signal </w:t>
      </w:r>
      <w:r w:rsidR="007A587E">
        <w:t>is evident</w:t>
      </w:r>
      <w:r w:rsidR="00FC2BF4">
        <w:t xml:space="preserve"> at 24 hours (</w:t>
      </w:r>
      <w:r w:rsidR="001754F1" w:rsidRPr="00A841B4">
        <w:rPr>
          <w:b/>
        </w:rPr>
        <w:fldChar w:fldCharType="begin"/>
      </w:r>
      <w:r w:rsidR="001754F1" w:rsidRPr="00A841B4">
        <w:rPr>
          <w:b/>
        </w:rPr>
        <w:instrText xml:space="preserve"> REF _Ref530134031 \h </w:instrText>
      </w:r>
      <w:r w:rsidR="001B3703" w:rsidRPr="00A841B4">
        <w:rPr>
          <w:b/>
        </w:rPr>
        <w:instrText xml:space="preserve"> \* MERGEFORMAT </w:instrText>
      </w:r>
      <w:r w:rsidR="001754F1" w:rsidRPr="00A841B4">
        <w:rPr>
          <w:b/>
        </w:rPr>
      </w:r>
      <w:r w:rsidR="001754F1" w:rsidRPr="00A841B4">
        <w:rPr>
          <w:b/>
        </w:rPr>
        <w:fldChar w:fldCharType="separate"/>
      </w:r>
      <w:r w:rsidR="00E2070A" w:rsidRPr="00E2070A">
        <w:rPr>
          <w:b/>
        </w:rPr>
        <w:t xml:space="preserve">Figure </w:t>
      </w:r>
      <w:r w:rsidR="00E2070A" w:rsidRPr="00E2070A">
        <w:rPr>
          <w:b/>
          <w:noProof/>
        </w:rPr>
        <w:t>20</w:t>
      </w:r>
      <w:r w:rsidR="001754F1" w:rsidRPr="00A841B4">
        <w:rPr>
          <w:b/>
        </w:rPr>
        <w:fldChar w:fldCharType="end"/>
      </w:r>
      <w:r w:rsidR="00FC2BF4" w:rsidRPr="00A841B4">
        <w:rPr>
          <w:b/>
        </w:rPr>
        <w:t>A</w:t>
      </w:r>
      <w:r w:rsidR="00FC2BF4">
        <w:t>)</w:t>
      </w:r>
      <w:r w:rsidR="00FF721A">
        <w:t>,</w:t>
      </w:r>
      <w:r w:rsidR="0093327A">
        <w:t xml:space="preserve"> which is consistent with the Western blot </w:t>
      </w:r>
      <w:r w:rsidR="007A587E">
        <w:t>OSBP levels upon</w:t>
      </w:r>
      <w:r w:rsidR="0093327A">
        <w:t xml:space="preserve"> continuous </w:t>
      </w:r>
      <w:r w:rsidR="007A587E">
        <w:t xml:space="preserve">OSW-1 compound </w:t>
      </w:r>
      <w:r w:rsidR="0093327A">
        <w:t>treatment (</w:t>
      </w:r>
      <w:r w:rsidR="004578F9" w:rsidRPr="004578F9">
        <w:rPr>
          <w:b/>
        </w:rPr>
        <w:fldChar w:fldCharType="begin"/>
      </w:r>
      <w:r w:rsidR="004578F9" w:rsidRPr="004578F9">
        <w:rPr>
          <w:b/>
        </w:rPr>
        <w:instrText xml:space="preserve"> REF _Ref532554289 \h </w:instrText>
      </w:r>
      <w:r w:rsidR="004578F9" w:rsidRPr="004578F9">
        <w:rPr>
          <w:b/>
        </w:rPr>
      </w:r>
      <w:r w:rsidR="004578F9" w:rsidRPr="004578F9">
        <w:rPr>
          <w:b/>
        </w:rPr>
        <w:instrText xml:space="preserve"> \* MERGEFORMAT </w:instrText>
      </w:r>
      <w:r w:rsidR="004578F9" w:rsidRPr="004578F9">
        <w:rPr>
          <w:b/>
        </w:rPr>
        <w:fldChar w:fldCharType="separate"/>
      </w:r>
      <w:r w:rsidR="00E2070A" w:rsidRPr="00E2070A">
        <w:rPr>
          <w:b/>
        </w:rPr>
        <w:t xml:space="preserve">Figure </w:t>
      </w:r>
      <w:r w:rsidR="00E2070A" w:rsidRPr="00E2070A">
        <w:rPr>
          <w:b/>
          <w:noProof/>
        </w:rPr>
        <w:t>17</w:t>
      </w:r>
      <w:r w:rsidR="004578F9" w:rsidRPr="004578F9">
        <w:rPr>
          <w:b/>
        </w:rPr>
        <w:fldChar w:fldCharType="end"/>
      </w:r>
      <w:r w:rsidR="0093327A" w:rsidRPr="00A841B4">
        <w:rPr>
          <w:b/>
        </w:rPr>
        <w:t>B</w:t>
      </w:r>
      <w:r w:rsidR="0093327A">
        <w:t>)</w:t>
      </w:r>
      <w:r w:rsidR="00FC2BF4">
        <w:t>.</w:t>
      </w:r>
      <w:r w:rsidR="00FF721A">
        <w:t xml:space="preserve"> </w:t>
      </w:r>
      <w:r w:rsidR="007A587E">
        <w:t>The</w:t>
      </w:r>
      <w:r w:rsidR="0093327A">
        <w:t xml:space="preserve"> </w:t>
      </w:r>
      <w:r w:rsidR="00FF721A">
        <w:t>TGN46</w:t>
      </w:r>
      <w:r w:rsidR="007A587E">
        <w:t xml:space="preserve"> Golgi</w:t>
      </w:r>
      <w:r w:rsidR="00FF721A">
        <w:t xml:space="preserve"> signal also decreased and became</w:t>
      </w:r>
      <w:r w:rsidR="00FC2BF4">
        <w:t xml:space="preserve"> dissociated from some of the OSBP start</w:t>
      </w:r>
      <w:r w:rsidR="0093327A">
        <w:t>ing</w:t>
      </w:r>
      <w:r w:rsidR="00FC2BF4">
        <w:t xml:space="preserve"> at 12 hours</w:t>
      </w:r>
      <w:r w:rsidR="007A587E">
        <w:t xml:space="preserve"> of continuous OSW-1 compound treatment</w:t>
      </w:r>
      <w:r w:rsidR="0093327A">
        <w:t xml:space="preserve">. Similarly, the </w:t>
      </w:r>
      <w:r w:rsidR="007A587E">
        <w:t>OSW-1 compound</w:t>
      </w:r>
      <w:r w:rsidR="0093327A">
        <w:t xml:space="preserve"> washout cells show</w:t>
      </w:r>
      <w:r w:rsidR="00FF721A">
        <w:t>ed</w:t>
      </w:r>
      <w:r w:rsidR="0093327A">
        <w:t xml:space="preserve"> a similar cl</w:t>
      </w:r>
      <w:r w:rsidR="001754F1">
        <w:t xml:space="preserve">ustering pattern at 0-hour </w:t>
      </w:r>
      <w:r w:rsidR="007A587E">
        <w:t>post-washout recovery</w:t>
      </w:r>
      <w:r w:rsidR="001754F1">
        <w:t xml:space="preserve"> (6-hour</w:t>
      </w:r>
      <w:r w:rsidR="0093327A">
        <w:t xml:space="preserve"> straight treatment)</w:t>
      </w:r>
      <w:r w:rsidR="007A587E">
        <w:t xml:space="preserve"> </w:t>
      </w:r>
      <w:r w:rsidR="001754F1">
        <w:t>(</w:t>
      </w:r>
      <w:r w:rsidR="001754F1" w:rsidRPr="00A841B4">
        <w:rPr>
          <w:b/>
        </w:rPr>
        <w:fldChar w:fldCharType="begin"/>
      </w:r>
      <w:r w:rsidR="001754F1" w:rsidRPr="00A841B4">
        <w:rPr>
          <w:b/>
        </w:rPr>
        <w:instrText xml:space="preserve"> REF _Ref530134031 \h </w:instrText>
      </w:r>
      <w:r w:rsidR="001B3703" w:rsidRPr="00A841B4">
        <w:rPr>
          <w:b/>
        </w:rPr>
        <w:instrText xml:space="preserve"> \* MERGEFORMAT </w:instrText>
      </w:r>
      <w:r w:rsidR="001754F1" w:rsidRPr="00A841B4">
        <w:rPr>
          <w:b/>
        </w:rPr>
      </w:r>
      <w:r w:rsidR="001754F1" w:rsidRPr="00A841B4">
        <w:rPr>
          <w:b/>
        </w:rPr>
        <w:fldChar w:fldCharType="separate"/>
      </w:r>
      <w:r w:rsidR="00E2070A" w:rsidRPr="00E2070A">
        <w:rPr>
          <w:b/>
        </w:rPr>
        <w:t xml:space="preserve">Figure </w:t>
      </w:r>
      <w:r w:rsidR="00E2070A" w:rsidRPr="00E2070A">
        <w:rPr>
          <w:b/>
          <w:noProof/>
        </w:rPr>
        <w:t>20</w:t>
      </w:r>
      <w:r w:rsidR="001754F1" w:rsidRPr="00A841B4">
        <w:rPr>
          <w:b/>
        </w:rPr>
        <w:fldChar w:fldCharType="end"/>
      </w:r>
      <w:r w:rsidR="0093327A" w:rsidRPr="00A841B4">
        <w:rPr>
          <w:b/>
        </w:rPr>
        <w:t>B</w:t>
      </w:r>
      <w:r w:rsidR="0093327A">
        <w:t>).</w:t>
      </w:r>
      <w:r w:rsidR="007A587E">
        <w:t xml:space="preserve"> The OSBP signal remains</w:t>
      </w:r>
      <w:r w:rsidR="009978B2">
        <w:t xml:space="preserve"> substantially reduced 24 hours</w:t>
      </w:r>
      <w:r w:rsidR="007A587E">
        <w:t xml:space="preserve"> post-washout.</w:t>
      </w:r>
      <w:r w:rsidR="0093327A">
        <w:t xml:space="preserve"> </w:t>
      </w:r>
      <w:r w:rsidR="007A587E">
        <w:t>The localization of the TGN46 signal changed from the DMSO</w:t>
      </w:r>
      <w:r w:rsidR="009978B2">
        <w:t>-treated</w:t>
      </w:r>
      <w:r w:rsidR="007A587E">
        <w:t xml:space="preserve"> pattern at 0-4 hours post-washout, but the TGN46 signal returns to a perinuclear pattern staining starting at 8 hours post-washout. The low OSBP signal also returns to a perinuclear colocalization pattern with TGN46</w:t>
      </w:r>
      <w:r w:rsidR="0093327A">
        <w:t xml:space="preserve"> at 12 and 24 hours</w:t>
      </w:r>
      <w:r w:rsidR="001754F1">
        <w:t xml:space="preserve"> post compound removal (</w:t>
      </w:r>
      <w:r w:rsidR="001754F1" w:rsidRPr="00A841B4">
        <w:rPr>
          <w:b/>
        </w:rPr>
        <w:fldChar w:fldCharType="begin"/>
      </w:r>
      <w:r w:rsidR="001754F1" w:rsidRPr="00A841B4">
        <w:rPr>
          <w:b/>
        </w:rPr>
        <w:instrText xml:space="preserve"> REF _Ref530134031 \h </w:instrText>
      </w:r>
      <w:r w:rsidR="001B3703" w:rsidRPr="00A841B4">
        <w:rPr>
          <w:b/>
        </w:rPr>
        <w:instrText xml:space="preserve"> \* MERGEFORMAT </w:instrText>
      </w:r>
      <w:r w:rsidR="001754F1" w:rsidRPr="00A841B4">
        <w:rPr>
          <w:b/>
        </w:rPr>
      </w:r>
      <w:r w:rsidR="001754F1" w:rsidRPr="00A841B4">
        <w:rPr>
          <w:b/>
        </w:rPr>
        <w:fldChar w:fldCharType="separate"/>
      </w:r>
      <w:r w:rsidR="00E2070A" w:rsidRPr="00E2070A">
        <w:rPr>
          <w:b/>
        </w:rPr>
        <w:t xml:space="preserve">Figure </w:t>
      </w:r>
      <w:r w:rsidR="00E2070A" w:rsidRPr="00E2070A">
        <w:rPr>
          <w:b/>
          <w:noProof/>
        </w:rPr>
        <w:t>20</w:t>
      </w:r>
      <w:r w:rsidR="001754F1" w:rsidRPr="00A841B4">
        <w:rPr>
          <w:b/>
        </w:rPr>
        <w:fldChar w:fldCharType="end"/>
      </w:r>
      <w:r w:rsidR="0093327A" w:rsidRPr="00A841B4">
        <w:rPr>
          <w:b/>
        </w:rPr>
        <w:t>B</w:t>
      </w:r>
      <w:r w:rsidR="0093327A">
        <w:t>).</w:t>
      </w:r>
      <w:r w:rsidR="007A587E">
        <w:t xml:space="preserve"> These results suggest that the </w:t>
      </w:r>
      <w:r w:rsidR="007A587E">
        <w:lastRenderedPageBreak/>
        <w:t>Golgi has returned to a normal localization pattern post-washout of the OSW-1 compound</w:t>
      </w:r>
      <w:r w:rsidR="00270D3C">
        <w:rPr>
          <w:noProof/>
          <w:lang w:bidi="ar-SA"/>
        </w:rPr>
        <w:drawing>
          <wp:inline distT="0" distB="0" distL="0" distR="0" wp14:anchorId="0AB25B5E" wp14:editId="7767D7B9">
            <wp:extent cx="5369016" cy="6438900"/>
            <wp:effectExtent l="19050" t="19050" r="22225"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85233" cy="6458349"/>
                    </a:xfrm>
                    <a:prstGeom prst="rect">
                      <a:avLst/>
                    </a:prstGeom>
                    <a:noFill/>
                    <a:ln>
                      <a:solidFill>
                        <a:schemeClr val="tx1"/>
                      </a:solidFill>
                    </a:ln>
                  </pic:spPr>
                </pic:pic>
              </a:graphicData>
            </a:graphic>
          </wp:inline>
        </w:drawing>
      </w:r>
      <w:r w:rsidR="00270D3C" w:rsidRPr="00270D3C">
        <w:rPr>
          <w:noProof/>
          <w:lang w:bidi="ar-SA"/>
        </w:rPr>
        <w:t xml:space="preserve"> </w:t>
      </w:r>
    </w:p>
    <w:p w:rsidR="001263A8" w:rsidRPr="001263A8" w:rsidRDefault="00A841B4" w:rsidP="00FB099D">
      <w:pPr>
        <w:pStyle w:val="Caption"/>
        <w:jc w:val="both"/>
        <w:rPr>
          <w:b w:val="0"/>
        </w:rPr>
      </w:pPr>
      <w:bookmarkStart w:id="112" w:name="_Ref530134031"/>
      <w:bookmarkStart w:id="113" w:name="_Toc530673945"/>
      <w:r w:rsidRPr="00A841B4">
        <w:t>Figure</w:t>
      </w:r>
      <w:r w:rsidR="001263A8">
        <w:t xml:space="preserve"> </w:t>
      </w:r>
      <w:fldSimple w:instr=" SEQ Figure \* ARABIC ">
        <w:r w:rsidR="00E2070A">
          <w:rPr>
            <w:noProof/>
          </w:rPr>
          <w:t>20</w:t>
        </w:r>
      </w:fldSimple>
      <w:bookmarkEnd w:id="112"/>
      <w:r w:rsidR="001263A8">
        <w:t xml:space="preserve">: </w:t>
      </w:r>
      <w:r w:rsidR="001263A8" w:rsidRPr="001263A8">
        <w:t>Cellular localization of OSBP confirms OSBP loss in vivo during washout recovery</w:t>
      </w:r>
      <w:r w:rsidR="001263A8">
        <w:t xml:space="preserve">. </w:t>
      </w:r>
      <w:r w:rsidR="001263A8" w:rsidRPr="001263A8">
        <w:rPr>
          <w:b w:val="0"/>
        </w:rPr>
        <w:t>(A) Continuous 1 nM OSW-1 compound treatment in HCT116 cells shows localization of OSBP to the Golgi followed by loss of both OSBP and Golgi signals. (B) OSW-1 washout treatment (i.e., 1 nM for 6 h</w:t>
      </w:r>
      <w:r w:rsidR="00710DF6">
        <w:rPr>
          <w:b w:val="0"/>
        </w:rPr>
        <w:t>ou</w:t>
      </w:r>
      <w:r w:rsidR="001263A8" w:rsidRPr="001263A8">
        <w:rPr>
          <w:b w:val="0"/>
        </w:rPr>
        <w:t>r</w:t>
      </w:r>
      <w:r w:rsidR="00710DF6">
        <w:rPr>
          <w:b w:val="0"/>
        </w:rPr>
        <w:t>s</w:t>
      </w:r>
      <w:r w:rsidR="001263A8" w:rsidRPr="001263A8">
        <w:rPr>
          <w:b w:val="0"/>
        </w:rPr>
        <w:t>, then recovery post-</w:t>
      </w:r>
      <w:r w:rsidR="001263A8">
        <w:rPr>
          <w:b w:val="0"/>
        </w:rPr>
        <w:t xml:space="preserve">washout for the indicated times) </w:t>
      </w:r>
      <w:r w:rsidR="001263A8" w:rsidRPr="001263A8">
        <w:rPr>
          <w:b w:val="0"/>
        </w:rPr>
        <w:t>reduces OSBP and Golgi signals but the reduced OSBP and Golgi signal localization patterns are similar to DMSO</w:t>
      </w:r>
      <w:r w:rsidR="003E3743">
        <w:rPr>
          <w:b w:val="0"/>
        </w:rPr>
        <w:t>-treated</w:t>
      </w:r>
      <w:r w:rsidR="001263A8" w:rsidRPr="001263A8">
        <w:rPr>
          <w:b w:val="0"/>
        </w:rPr>
        <w:t xml:space="preserve"> by </w:t>
      </w:r>
      <w:r w:rsidR="00196EDB" w:rsidRPr="001263A8">
        <w:rPr>
          <w:b w:val="0"/>
        </w:rPr>
        <w:t>24-hour</w:t>
      </w:r>
      <w:r w:rsidR="001263A8" w:rsidRPr="001263A8">
        <w:rPr>
          <w:b w:val="0"/>
        </w:rPr>
        <w:t xml:space="preserve"> recovery.</w:t>
      </w:r>
      <w:bookmarkEnd w:id="113"/>
    </w:p>
    <w:p w:rsidR="002D5C6B" w:rsidRPr="002D5C6B" w:rsidRDefault="002D5C6B" w:rsidP="00FB099D">
      <w:pPr>
        <w:jc w:val="both"/>
      </w:pPr>
    </w:p>
    <w:p w:rsidR="008A4C28" w:rsidRPr="002D46ED" w:rsidRDefault="007A587E" w:rsidP="00042529">
      <w:pPr>
        <w:pStyle w:val="Heading3"/>
      </w:pPr>
      <w:bookmarkStart w:id="114" w:name="_Toc532553105"/>
      <w:r>
        <w:lastRenderedPageBreak/>
        <w:t>OSW-1 compound</w:t>
      </w:r>
      <w:r w:rsidR="008A4C28" w:rsidRPr="002D46ED">
        <w:t xml:space="preserve"> washout cells show no signs of cytotoxicity, cell growth arrest, or morphological changes.</w:t>
      </w:r>
      <w:bookmarkEnd w:id="114"/>
    </w:p>
    <w:p w:rsidR="00B574EE" w:rsidRDefault="009C5137" w:rsidP="007A587E">
      <w:pPr>
        <w:ind w:firstLine="720"/>
        <w:jc w:val="both"/>
      </w:pPr>
      <w:r>
        <w:t>The effect of short-term, transient and low dose OSW-1 treatment on</w:t>
      </w:r>
      <w:r w:rsidR="008A4C28">
        <w:t xml:space="preserve"> cellular viability and morphology</w:t>
      </w:r>
      <w:r>
        <w:t xml:space="preserve"> was determined. </w:t>
      </w:r>
      <w:r w:rsidR="008A4C28">
        <w:t xml:space="preserve">The cellular viability of washout cells was tracked </w:t>
      </w:r>
      <w:r w:rsidR="0058476D">
        <w:t xml:space="preserve">using Trypan blue staining over the 72-hour recovery course </w:t>
      </w:r>
      <w:r w:rsidR="001754F1">
        <w:t xml:space="preserve">in </w:t>
      </w:r>
      <w:r>
        <w:t>HCT116 and HEK293</w:t>
      </w:r>
      <w:r w:rsidR="001754F1">
        <w:t xml:space="preserve"> cell lines (</w:t>
      </w:r>
      <w:r w:rsidR="001754F1" w:rsidRPr="00A841B4">
        <w:rPr>
          <w:b/>
        </w:rPr>
        <w:fldChar w:fldCharType="begin"/>
      </w:r>
      <w:r w:rsidR="001754F1" w:rsidRPr="00A841B4">
        <w:rPr>
          <w:b/>
        </w:rPr>
        <w:instrText xml:space="preserve"> REF _Ref530134120 \h </w:instrText>
      </w:r>
      <w:r w:rsidR="001B3703" w:rsidRPr="00A841B4">
        <w:rPr>
          <w:b/>
        </w:rPr>
        <w:instrText xml:space="preserve"> \* MERGEFORMAT </w:instrText>
      </w:r>
      <w:r w:rsidR="001754F1" w:rsidRPr="00A841B4">
        <w:rPr>
          <w:b/>
        </w:rPr>
      </w:r>
      <w:r w:rsidR="001754F1" w:rsidRPr="00A841B4">
        <w:rPr>
          <w:b/>
        </w:rPr>
        <w:fldChar w:fldCharType="separate"/>
      </w:r>
      <w:r w:rsidR="00E2070A" w:rsidRPr="00E2070A">
        <w:rPr>
          <w:b/>
        </w:rPr>
        <w:t xml:space="preserve">Figure </w:t>
      </w:r>
      <w:r w:rsidR="00E2070A" w:rsidRPr="00E2070A">
        <w:rPr>
          <w:b/>
          <w:noProof/>
        </w:rPr>
        <w:t>21</w:t>
      </w:r>
      <w:r w:rsidR="001754F1" w:rsidRPr="00A841B4">
        <w:rPr>
          <w:b/>
        </w:rPr>
        <w:fldChar w:fldCharType="end"/>
      </w:r>
      <w:r w:rsidR="0058476D" w:rsidRPr="00A841B4">
        <w:rPr>
          <w:b/>
        </w:rPr>
        <w:t>A</w:t>
      </w:r>
      <w:r w:rsidR="0058476D">
        <w:t>). The viability of both cell lines show</w:t>
      </w:r>
      <w:r w:rsidR="00A639E8">
        <w:t>ed</w:t>
      </w:r>
      <w:r w:rsidR="0058476D">
        <w:t xml:space="preserve"> no change in comparison to vehicle control washout cells. As a second confirmation that the was</w:t>
      </w:r>
      <w:r w:rsidR="00B574EE">
        <w:t xml:space="preserve">hout cells were not affected by long-term OSBP loss, we utilized cellular viability imaging using Calcein AM and </w:t>
      </w:r>
      <w:r w:rsidR="00037A4C">
        <w:t>Hoe</w:t>
      </w:r>
      <w:r w:rsidR="00B574EE">
        <w:t>ch</w:t>
      </w:r>
      <w:r w:rsidR="00037A4C">
        <w:t>s</w:t>
      </w:r>
      <w:r w:rsidR="00B574EE">
        <w:t>t 33342 st</w:t>
      </w:r>
      <w:r w:rsidR="001754F1">
        <w:t>aining of HEK293 cells (</w:t>
      </w:r>
      <w:r w:rsidR="001754F1" w:rsidRPr="00A841B4">
        <w:rPr>
          <w:b/>
        </w:rPr>
        <w:fldChar w:fldCharType="begin"/>
      </w:r>
      <w:r w:rsidR="001754F1" w:rsidRPr="00A841B4">
        <w:rPr>
          <w:b/>
        </w:rPr>
        <w:instrText xml:space="preserve"> REF _Ref530134120 \h </w:instrText>
      </w:r>
      <w:r w:rsidR="001B3703" w:rsidRPr="00A841B4">
        <w:rPr>
          <w:b/>
        </w:rPr>
        <w:instrText xml:space="preserve"> \* MERGEFORMAT </w:instrText>
      </w:r>
      <w:r w:rsidR="001754F1" w:rsidRPr="00A841B4">
        <w:rPr>
          <w:b/>
        </w:rPr>
      </w:r>
      <w:r w:rsidR="001754F1" w:rsidRPr="00A841B4">
        <w:rPr>
          <w:b/>
        </w:rPr>
        <w:fldChar w:fldCharType="separate"/>
      </w:r>
      <w:r w:rsidR="00E2070A" w:rsidRPr="00E2070A">
        <w:rPr>
          <w:b/>
        </w:rPr>
        <w:t xml:space="preserve">Figure </w:t>
      </w:r>
      <w:r w:rsidR="00E2070A" w:rsidRPr="00E2070A">
        <w:rPr>
          <w:b/>
          <w:noProof/>
        </w:rPr>
        <w:t>21</w:t>
      </w:r>
      <w:r w:rsidR="001754F1" w:rsidRPr="00A841B4">
        <w:rPr>
          <w:b/>
        </w:rPr>
        <w:fldChar w:fldCharType="end"/>
      </w:r>
      <w:r w:rsidR="00B574EE" w:rsidRPr="00A841B4">
        <w:rPr>
          <w:b/>
        </w:rPr>
        <w:t>B</w:t>
      </w:r>
      <w:r w:rsidR="00B574EE">
        <w:t xml:space="preserve">). There was no apparent cytotoxicity based on the staining patterns and overall cellular growth/morphology between DMSO and </w:t>
      </w:r>
      <w:r w:rsidR="007A587E">
        <w:t>OSW-1 compound</w:t>
      </w:r>
      <w:r w:rsidR="00B574EE">
        <w:t xml:space="preserve"> washout cells was similar. </w:t>
      </w:r>
      <w:r w:rsidR="00037A4C">
        <w:t xml:space="preserve">In contrast, continual treatment of </w:t>
      </w:r>
      <w:r w:rsidR="007A587E">
        <w:t>OSW-1 compound</w:t>
      </w:r>
      <w:r w:rsidR="00037A4C">
        <w:t xml:space="preserve"> over 72 hours show</w:t>
      </w:r>
      <w:r w:rsidR="00A639E8">
        <w:t>ed</w:t>
      </w:r>
      <w:r w:rsidR="00037A4C">
        <w:t xml:space="preserve"> apparent cytotoxicity after 24 hours of treatment with most of the cells dead by the 72-hour mark (</w:t>
      </w:r>
      <w:r w:rsidR="001754F1" w:rsidRPr="00A841B4">
        <w:rPr>
          <w:b/>
        </w:rPr>
        <w:fldChar w:fldCharType="begin"/>
      </w:r>
      <w:r w:rsidR="001754F1" w:rsidRPr="00A841B4">
        <w:rPr>
          <w:b/>
        </w:rPr>
        <w:instrText xml:space="preserve"> REF _Ref530062121 \h </w:instrText>
      </w:r>
      <w:r w:rsidR="001B3703" w:rsidRPr="00A841B4">
        <w:rPr>
          <w:b/>
        </w:rPr>
        <w:instrText xml:space="preserve"> \* MERGEFORMAT </w:instrText>
      </w:r>
      <w:r w:rsidR="001754F1" w:rsidRPr="00A841B4">
        <w:rPr>
          <w:b/>
        </w:rPr>
      </w:r>
      <w:r w:rsidR="001754F1" w:rsidRPr="00A841B4">
        <w:rPr>
          <w:b/>
        </w:rPr>
        <w:fldChar w:fldCharType="separate"/>
      </w:r>
      <w:r w:rsidR="00E2070A" w:rsidRPr="00E2070A">
        <w:rPr>
          <w:b/>
        </w:rPr>
        <w:t xml:space="preserve">Figure </w:t>
      </w:r>
      <w:r w:rsidR="00E2070A" w:rsidRPr="00E2070A">
        <w:rPr>
          <w:b/>
          <w:noProof/>
        </w:rPr>
        <w:t>42</w:t>
      </w:r>
      <w:r w:rsidR="001754F1" w:rsidRPr="00A841B4">
        <w:rPr>
          <w:b/>
        </w:rPr>
        <w:fldChar w:fldCharType="end"/>
      </w:r>
      <w:r w:rsidR="00037A4C" w:rsidRPr="00A841B4">
        <w:rPr>
          <w:b/>
        </w:rPr>
        <w:t>A</w:t>
      </w:r>
      <w:r w:rsidR="00037A4C">
        <w:t xml:space="preserve">). </w:t>
      </w:r>
      <w:r w:rsidR="006F3897">
        <w:t>This evidence shows that cells continue to function normally despite long-term OSBP loss and that OSBP loss is sustai</w:t>
      </w:r>
      <w:r>
        <w:t xml:space="preserve">ned through </w:t>
      </w:r>
      <w:r w:rsidR="00F85E28">
        <w:t xml:space="preserve">2-3 rounds of </w:t>
      </w:r>
      <w:r>
        <w:t xml:space="preserve">cellular </w:t>
      </w:r>
      <w:r w:rsidR="003E3743">
        <w:t>division</w:t>
      </w:r>
      <w:r w:rsidR="006F3897">
        <w:t>.</w:t>
      </w:r>
    </w:p>
    <w:p w:rsidR="00B574EE" w:rsidRDefault="00B574EE" w:rsidP="00FB099D">
      <w:pPr>
        <w:keepNext/>
        <w:jc w:val="both"/>
      </w:pPr>
      <w:r w:rsidRPr="00B574EE">
        <w:rPr>
          <w:noProof/>
          <w:lang w:bidi="ar-SA"/>
        </w:rPr>
        <w:lastRenderedPageBreak/>
        <w:drawing>
          <wp:inline distT="0" distB="0" distL="0" distR="0" wp14:anchorId="65CBC559" wp14:editId="555ECBF6">
            <wp:extent cx="5394960" cy="3034665"/>
            <wp:effectExtent l="19050" t="19050" r="15240" b="133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94960" cy="3034665"/>
                    </a:xfrm>
                    <a:prstGeom prst="rect">
                      <a:avLst/>
                    </a:prstGeom>
                    <a:ln>
                      <a:solidFill>
                        <a:schemeClr val="tx1"/>
                      </a:solidFill>
                    </a:ln>
                  </pic:spPr>
                </pic:pic>
              </a:graphicData>
            </a:graphic>
          </wp:inline>
        </w:drawing>
      </w:r>
    </w:p>
    <w:p w:rsidR="00B574EE" w:rsidRPr="00B574EE" w:rsidRDefault="00A841B4" w:rsidP="00FB099D">
      <w:pPr>
        <w:pStyle w:val="Caption"/>
        <w:jc w:val="both"/>
        <w:rPr>
          <w:b w:val="0"/>
        </w:rPr>
      </w:pPr>
      <w:bookmarkStart w:id="115" w:name="_Ref530134120"/>
      <w:bookmarkStart w:id="116" w:name="_Toc530673946"/>
      <w:r w:rsidRPr="00A841B4">
        <w:t>Figure</w:t>
      </w:r>
      <w:r w:rsidR="00B574EE">
        <w:t xml:space="preserve"> </w:t>
      </w:r>
      <w:fldSimple w:instr=" SEQ Figure \* ARABIC ">
        <w:r w:rsidR="00E2070A">
          <w:rPr>
            <w:noProof/>
          </w:rPr>
          <w:t>21</w:t>
        </w:r>
      </w:fldSimple>
      <w:bookmarkEnd w:id="115"/>
      <w:r w:rsidR="00B574EE">
        <w:t xml:space="preserve">: </w:t>
      </w:r>
      <w:r w:rsidR="007A587E">
        <w:t>OSW-1 compound</w:t>
      </w:r>
      <w:r w:rsidR="00B574EE" w:rsidRPr="00B574EE">
        <w:t xml:space="preserve"> washout cells show no signs of cytotoxicity, cell growth arrest, or morphological changes</w:t>
      </w:r>
      <w:r w:rsidR="00B574EE">
        <w:t xml:space="preserve">. </w:t>
      </w:r>
      <w:r w:rsidR="00037A4C">
        <w:rPr>
          <w:b w:val="0"/>
        </w:rPr>
        <w:t xml:space="preserve">(A) Trypan blue staining of HEK293 and HCT116 0-72 hours pWO of 1 nM OSW-1, 1 nM taxol, or DMSO. (B) Calcein AM and Hoechst 33342 staining of 0-72 pWO of 1 nM OSW-1 or DMSO in HEK293 cells </w:t>
      </w:r>
      <w:r w:rsidR="00037A4C" w:rsidRPr="00037A4C">
        <w:rPr>
          <w:b w:val="0"/>
        </w:rPr>
        <w:t>using Operetta High-Content Imaging System</w:t>
      </w:r>
      <w:r w:rsidR="00037A4C">
        <w:rPr>
          <w:b w:val="0"/>
        </w:rPr>
        <w:t>.</w:t>
      </w:r>
      <w:bookmarkEnd w:id="116"/>
    </w:p>
    <w:p w:rsidR="008A4C28" w:rsidRDefault="008A4C28" w:rsidP="00FB099D">
      <w:pPr>
        <w:jc w:val="both"/>
      </w:pPr>
    </w:p>
    <w:p w:rsidR="00EB165B" w:rsidRPr="002D46ED" w:rsidRDefault="009C5137" w:rsidP="00042529">
      <w:pPr>
        <w:pStyle w:val="Heading3"/>
      </w:pPr>
      <w:bookmarkStart w:id="117" w:name="OLE_LINK5"/>
      <w:bookmarkStart w:id="118" w:name="_Toc532553106"/>
      <w:r>
        <w:t xml:space="preserve">The long-term reduction of OSBP levels upon </w:t>
      </w:r>
      <w:r w:rsidR="007A587E">
        <w:t>OSW-1 compound</w:t>
      </w:r>
      <w:r w:rsidR="00EB165B" w:rsidRPr="002D46ED">
        <w:t xml:space="preserve"> washout </w:t>
      </w:r>
      <w:r>
        <w:t>treatment</w:t>
      </w:r>
      <w:r w:rsidR="00EB165B" w:rsidRPr="002D46ED">
        <w:t xml:space="preserve"> occurs in multiple cell lines and </w:t>
      </w:r>
      <w:r w:rsidR="00F85E28">
        <w:t>with as little</w:t>
      </w:r>
      <w:r w:rsidR="00EB165B" w:rsidRPr="002D46ED">
        <w:t xml:space="preserve"> </w:t>
      </w:r>
      <w:r w:rsidR="00F85E28">
        <w:t xml:space="preserve">as </w:t>
      </w:r>
      <w:r w:rsidR="00EB165B" w:rsidRPr="002D46ED">
        <w:t>1 hour of exposure</w:t>
      </w:r>
      <w:r w:rsidR="00F85E28">
        <w:t>.</w:t>
      </w:r>
      <w:bookmarkEnd w:id="118"/>
    </w:p>
    <w:bookmarkEnd w:id="117"/>
    <w:p w:rsidR="00145462" w:rsidRDefault="009C5137" w:rsidP="009C5137">
      <w:pPr>
        <w:keepNext/>
        <w:ind w:firstLine="720"/>
        <w:jc w:val="both"/>
      </w:pPr>
      <w:r>
        <w:t>The effect on OSBP levels of OSW-1 washout treatment in o</w:t>
      </w:r>
      <w:r w:rsidR="00D55F32">
        <w:t>ther human cultured cell lines</w:t>
      </w:r>
      <w:r w:rsidR="0006337E">
        <w:t xml:space="preserve"> from various tissue types</w:t>
      </w:r>
      <w:r>
        <w:t xml:space="preserve"> was determined.</w:t>
      </w:r>
      <w:r w:rsidR="005D3378">
        <w:t xml:space="preserve"> </w:t>
      </w:r>
      <w:r w:rsidR="00145462">
        <w:t xml:space="preserve">The cancer </w:t>
      </w:r>
      <w:r w:rsidR="005D3378">
        <w:t xml:space="preserve">cell lines </w:t>
      </w:r>
      <w:r w:rsidR="00145462">
        <w:t>(HCT116, HeLa, K562, and MCF-7) as well as the normal cell lines (HEK293 and MRC5)</w:t>
      </w:r>
      <w:r w:rsidR="005D3378">
        <w:t xml:space="preserve"> </w:t>
      </w:r>
      <w:r w:rsidR="00145462">
        <w:t xml:space="preserve">tested </w:t>
      </w:r>
      <w:r w:rsidR="005D3378">
        <w:t>showed significant loss of OSBP signal af</w:t>
      </w:r>
      <w:r w:rsidR="00A639E8">
        <w:t>ter 24 hours pWO</w:t>
      </w:r>
      <w:r w:rsidR="005D3378">
        <w:t xml:space="preserve"> with an initial 1 nM</w:t>
      </w:r>
      <w:r>
        <w:t>,</w:t>
      </w:r>
      <w:r w:rsidR="005D3378">
        <w:t xml:space="preserve"> </w:t>
      </w:r>
      <w:r w:rsidR="0006337E">
        <w:t>6-hour</w:t>
      </w:r>
      <w:r>
        <w:t xml:space="preserve"> OSW-1 compound </w:t>
      </w:r>
      <w:r w:rsidR="005D3378">
        <w:t>treatment (</w:t>
      </w:r>
      <w:r w:rsidR="001754F1" w:rsidRPr="00A841B4">
        <w:rPr>
          <w:b/>
        </w:rPr>
        <w:fldChar w:fldCharType="begin"/>
      </w:r>
      <w:r w:rsidR="001754F1" w:rsidRPr="00A841B4">
        <w:rPr>
          <w:b/>
        </w:rPr>
        <w:instrText xml:space="preserve"> REF _Ref530053889 \h </w:instrText>
      </w:r>
      <w:r w:rsidR="001B3703" w:rsidRPr="00A841B4">
        <w:rPr>
          <w:b/>
        </w:rPr>
        <w:instrText xml:space="preserve"> \* MERGEFORMAT </w:instrText>
      </w:r>
      <w:r w:rsidR="001754F1" w:rsidRPr="00A841B4">
        <w:rPr>
          <w:b/>
        </w:rPr>
      </w:r>
      <w:r w:rsidR="001754F1" w:rsidRPr="00A841B4">
        <w:rPr>
          <w:b/>
        </w:rPr>
        <w:fldChar w:fldCharType="separate"/>
      </w:r>
      <w:r w:rsidR="00E2070A" w:rsidRPr="00E2070A">
        <w:rPr>
          <w:b/>
        </w:rPr>
        <w:t xml:space="preserve">Figure </w:t>
      </w:r>
      <w:r w:rsidR="00E2070A" w:rsidRPr="00E2070A">
        <w:rPr>
          <w:b/>
          <w:noProof/>
        </w:rPr>
        <w:t>22</w:t>
      </w:r>
      <w:r w:rsidR="001754F1" w:rsidRPr="00A841B4">
        <w:rPr>
          <w:b/>
        </w:rPr>
        <w:fldChar w:fldCharType="end"/>
      </w:r>
      <w:r w:rsidR="005D3378" w:rsidRPr="00A841B4">
        <w:rPr>
          <w:b/>
        </w:rPr>
        <w:t>A</w:t>
      </w:r>
      <w:r w:rsidR="005D3378">
        <w:t>).</w:t>
      </w:r>
      <w:r w:rsidR="0006337E">
        <w:t xml:space="preserve"> The cell line that showed the least sensitivity to the washout, but was still significantly reduced, was the diploid lung-fibroblast</w:t>
      </w:r>
      <w:r w:rsidR="00145462">
        <w:t xml:space="preserve"> MRC</w:t>
      </w:r>
      <w:r w:rsidR="0006337E">
        <w:t>5 line which has a finite passaging of 42-46 replications</w:t>
      </w:r>
      <w:r w:rsidR="004511CE">
        <w:fldChar w:fldCharType="begin" w:fldLock="1"/>
      </w:r>
      <w:r w:rsidR="0057639C">
        <w:instrText>ADDIN CSL_CITATION {"citationItems":[{"id":"ITEM-1","itemData":{"URL":"https://www.atcc.org/products/all/CCL-171.aspx#characteristics","accessed":{"date-parts":[["2018","11","23"]]},"id":"ITEM-1","issued":{"date-parts":[["0"]]},"title":"MRC-5 ATCC ® CCL-171™ Homo sapiens lung Normal","type":"webpage"},"uris":["http://www.mendeley.com/documents/?uuid=9fc00613-5985-3b24-add3-e9c3e4e159e8"]}],"mendeley":{"formattedCitation":"(205)","plainTextFormattedCitation":"(205)","previouslyFormattedCitation":"(205)"},"properties":{"noteIndex":0},"schema":"https://github.com/citation-style-language/schema/raw/master/csl-citation.json"}</w:instrText>
      </w:r>
      <w:r w:rsidR="004511CE">
        <w:fldChar w:fldCharType="separate"/>
      </w:r>
      <w:r w:rsidR="0057639C" w:rsidRPr="0057639C">
        <w:rPr>
          <w:noProof/>
        </w:rPr>
        <w:t>(205)</w:t>
      </w:r>
      <w:r w:rsidR="004511CE">
        <w:fldChar w:fldCharType="end"/>
      </w:r>
      <w:r w:rsidR="0006337E">
        <w:t xml:space="preserve">. </w:t>
      </w:r>
      <w:r w:rsidR="0006337E">
        <w:lastRenderedPageBreak/>
        <w:t>Interestingly, no ORP4 signal could be detected by Western blot</w:t>
      </w:r>
      <w:r w:rsidR="00A639E8">
        <w:t>ting</w:t>
      </w:r>
      <w:r w:rsidR="004511CE">
        <w:t xml:space="preserve"> in the MRC5</w:t>
      </w:r>
      <w:r w:rsidR="0006337E">
        <w:t xml:space="preserve"> cell line</w:t>
      </w:r>
      <w:r w:rsidR="00F85E28">
        <w:t>, which could explain the finite replication ability of these cells.</w:t>
      </w:r>
    </w:p>
    <w:p w:rsidR="005D3378" w:rsidRDefault="004511CE" w:rsidP="00FB099D">
      <w:pPr>
        <w:keepNext/>
        <w:ind w:firstLine="720"/>
        <w:jc w:val="both"/>
      </w:pPr>
      <w:r>
        <w:t>Having</w:t>
      </w:r>
      <w:r w:rsidR="00145462">
        <w:t xml:space="preserve"> establish</w:t>
      </w:r>
      <w:r>
        <w:t>ed</w:t>
      </w:r>
      <w:r w:rsidR="00145462">
        <w:t xml:space="preserve"> the </w:t>
      </w:r>
      <w:r>
        <w:t xml:space="preserve">OSBP reduction upon OSW-1 compound treatment in multiple cell lines, the minimal time and concentration of OSW-1 washout treatment to induce the OSBP reduction was determined. A </w:t>
      </w:r>
      <w:r w:rsidR="00145462">
        <w:t xml:space="preserve">1 hour </w:t>
      </w:r>
      <w:r>
        <w:t xml:space="preserve">treatment </w:t>
      </w:r>
      <w:r w:rsidR="00145462">
        <w:t xml:space="preserve">of 1 nM </w:t>
      </w:r>
      <w:r w:rsidR="007A587E">
        <w:t>OSW-1 compound</w:t>
      </w:r>
      <w:r w:rsidR="00145462">
        <w:t xml:space="preserve">, followed by </w:t>
      </w:r>
      <w:r>
        <w:t xml:space="preserve">the </w:t>
      </w:r>
      <w:r w:rsidR="00145462">
        <w:t>compound</w:t>
      </w:r>
      <w:r>
        <w:t>’s washout removal,</w:t>
      </w:r>
      <w:r w:rsidR="00145462">
        <w:t xml:space="preserve"> was sufficient to induce significant OSBP reductio</w:t>
      </w:r>
      <w:r w:rsidR="00A639E8">
        <w:t>n 24 hours pWO</w:t>
      </w:r>
      <w:r w:rsidR="00145462">
        <w:t xml:space="preserve"> in all cell lines te</w:t>
      </w:r>
      <w:r w:rsidR="00A639E8">
        <w:t>sted (</w:t>
      </w:r>
      <w:r w:rsidR="003241B7" w:rsidRPr="00A841B4">
        <w:rPr>
          <w:b/>
        </w:rPr>
        <w:fldChar w:fldCharType="begin"/>
      </w:r>
      <w:r w:rsidR="003241B7" w:rsidRPr="00A841B4">
        <w:rPr>
          <w:b/>
        </w:rPr>
        <w:instrText xml:space="preserve"> REF _Ref530053889 \h </w:instrText>
      </w:r>
      <w:r w:rsidR="001B3703" w:rsidRPr="00A841B4">
        <w:rPr>
          <w:b/>
        </w:rPr>
        <w:instrText xml:space="preserve"> \* MERGEFORMAT </w:instrText>
      </w:r>
      <w:r w:rsidR="003241B7" w:rsidRPr="00A841B4">
        <w:rPr>
          <w:b/>
        </w:rPr>
      </w:r>
      <w:r w:rsidR="003241B7" w:rsidRPr="00A841B4">
        <w:rPr>
          <w:b/>
        </w:rPr>
        <w:fldChar w:fldCharType="separate"/>
      </w:r>
      <w:r w:rsidR="00E2070A" w:rsidRPr="00E2070A">
        <w:rPr>
          <w:b/>
        </w:rPr>
        <w:t xml:space="preserve">Figure </w:t>
      </w:r>
      <w:r w:rsidR="00E2070A" w:rsidRPr="00E2070A">
        <w:rPr>
          <w:b/>
          <w:noProof/>
        </w:rPr>
        <w:t>22</w:t>
      </w:r>
      <w:r w:rsidR="003241B7" w:rsidRPr="00A841B4">
        <w:rPr>
          <w:b/>
        </w:rPr>
        <w:fldChar w:fldCharType="end"/>
      </w:r>
      <w:r w:rsidR="00A639E8" w:rsidRPr="00A841B4">
        <w:rPr>
          <w:b/>
        </w:rPr>
        <w:t>B</w:t>
      </w:r>
      <w:r w:rsidR="00A639E8">
        <w:t xml:space="preserve">). Following </w:t>
      </w:r>
      <w:r w:rsidR="00145462">
        <w:t>this result, the time was reduced to check the exposure on the minute scale. We found that 45 minutes of exposure with</w:t>
      </w:r>
      <w:r w:rsidR="00A639E8">
        <w:t xml:space="preserve"> 1 nM </w:t>
      </w:r>
      <w:r w:rsidR="007A587E">
        <w:t>OSW-1 compound</w:t>
      </w:r>
      <w:r w:rsidR="00A639E8">
        <w:t xml:space="preserve"> le</w:t>
      </w:r>
      <w:r w:rsidR="00145462">
        <w:t>d to significant reduction of OSBP</w:t>
      </w:r>
      <w:r w:rsidR="00A639E8">
        <w:t xml:space="preserve"> 24 hours pWO</w:t>
      </w:r>
      <w:r w:rsidR="00145462">
        <w:t xml:space="preserve"> in all cell lines tested (</w:t>
      </w:r>
      <w:r w:rsidR="003241B7" w:rsidRPr="00A841B4">
        <w:rPr>
          <w:b/>
        </w:rPr>
        <w:fldChar w:fldCharType="begin"/>
      </w:r>
      <w:r w:rsidR="003241B7" w:rsidRPr="00A841B4">
        <w:rPr>
          <w:b/>
        </w:rPr>
        <w:instrText xml:space="preserve"> REF _Ref530053889 \h </w:instrText>
      </w:r>
      <w:r w:rsidR="001B3703" w:rsidRPr="00A841B4">
        <w:rPr>
          <w:b/>
        </w:rPr>
        <w:instrText xml:space="preserve"> \* MERGEFORMAT </w:instrText>
      </w:r>
      <w:r w:rsidR="003241B7" w:rsidRPr="00A841B4">
        <w:rPr>
          <w:b/>
        </w:rPr>
      </w:r>
      <w:r w:rsidR="003241B7" w:rsidRPr="00A841B4">
        <w:rPr>
          <w:b/>
        </w:rPr>
        <w:fldChar w:fldCharType="separate"/>
      </w:r>
      <w:r w:rsidR="00E2070A" w:rsidRPr="00E2070A">
        <w:rPr>
          <w:b/>
        </w:rPr>
        <w:t xml:space="preserve">Figure </w:t>
      </w:r>
      <w:r w:rsidR="00E2070A" w:rsidRPr="00E2070A">
        <w:rPr>
          <w:b/>
          <w:noProof/>
        </w:rPr>
        <w:t>22</w:t>
      </w:r>
      <w:r w:rsidR="003241B7" w:rsidRPr="00A841B4">
        <w:rPr>
          <w:b/>
        </w:rPr>
        <w:fldChar w:fldCharType="end"/>
      </w:r>
      <w:r w:rsidR="00A639E8" w:rsidRPr="00A841B4">
        <w:rPr>
          <w:b/>
        </w:rPr>
        <w:t>C</w:t>
      </w:r>
      <w:r w:rsidR="00A639E8">
        <w:t>). Additionally, 15 minute</w:t>
      </w:r>
      <w:r w:rsidR="00F85E28">
        <w:t xml:space="preserve"> exposure in two of the cell lines</w:t>
      </w:r>
      <w:r w:rsidR="00145462">
        <w:t xml:space="preserve"> was sufficient to cause ~50% reduction o</w:t>
      </w:r>
      <w:r w:rsidR="00A639E8">
        <w:t>f OSBP 24 hours pWO</w:t>
      </w:r>
      <w:r w:rsidR="00145462">
        <w:t xml:space="preserve">. Additionally, compound concentration was tested at </w:t>
      </w:r>
      <w:r>
        <w:t xml:space="preserve">6 </w:t>
      </w:r>
      <w:r w:rsidR="00710DF6">
        <w:t>hour</w:t>
      </w:r>
      <w:r>
        <w:t>s of</w:t>
      </w:r>
      <w:r w:rsidR="00145462">
        <w:t xml:space="preserve"> exposure and it was determined that 0.5 nM concentration could significantly lower OSBP levels similar to 1 nM</w:t>
      </w:r>
      <w:r w:rsidR="00A639E8">
        <w:t>,</w:t>
      </w:r>
      <w:r w:rsidR="00145462">
        <w:t xml:space="preserve"> but lower concentrations failed to induce the response</w:t>
      </w:r>
      <w:r w:rsidR="004057C0">
        <w:t xml:space="preserve"> (</w:t>
      </w:r>
      <w:r w:rsidR="003241B7">
        <w:fldChar w:fldCharType="begin"/>
      </w:r>
      <w:r w:rsidR="003241B7">
        <w:instrText xml:space="preserve"> REF _Ref530053922 \h </w:instrText>
      </w:r>
      <w:r w:rsidR="001B3703">
        <w:instrText xml:space="preserve"> \* MERGEFORMAT </w:instrText>
      </w:r>
      <w:r w:rsidR="003241B7">
        <w:fldChar w:fldCharType="separate"/>
      </w:r>
      <w:r w:rsidR="00E2070A" w:rsidRPr="00E2070A">
        <w:rPr>
          <w:b/>
        </w:rPr>
        <w:t>Figure</w:t>
      </w:r>
      <w:r w:rsidR="00E2070A">
        <w:t xml:space="preserve"> </w:t>
      </w:r>
      <w:r w:rsidR="00E2070A" w:rsidRPr="00E2070A">
        <w:rPr>
          <w:b/>
          <w:noProof/>
        </w:rPr>
        <w:t>46</w:t>
      </w:r>
      <w:r w:rsidR="003241B7">
        <w:fldChar w:fldCharType="end"/>
      </w:r>
      <w:r w:rsidR="004057C0">
        <w:t>).</w:t>
      </w:r>
      <w:r w:rsidR="00145462">
        <w:t xml:space="preserve"> </w:t>
      </w:r>
      <w:r w:rsidR="00CA648C">
        <w:t xml:space="preserve">These experiments show </w:t>
      </w:r>
      <w:r w:rsidR="00CA648C">
        <w:lastRenderedPageBreak/>
        <w:t xml:space="preserve">that the </w:t>
      </w:r>
      <w:r w:rsidR="007A587E">
        <w:t>OSW-1 compound</w:t>
      </w:r>
      <w:r w:rsidR="00CA648C">
        <w:t xml:space="preserve"> </w:t>
      </w:r>
      <w:r w:rsidR="00F47F31">
        <w:t>“washout effect”</w:t>
      </w:r>
      <w:r w:rsidR="00CA648C">
        <w:t xml:space="preserve"> is</w:t>
      </w:r>
      <w:r>
        <w:t xml:space="preserve"> triggered by very low and very brief OSW-1 </w:t>
      </w:r>
      <w:r w:rsidR="0015171B" w:rsidRPr="005D3378">
        <w:rPr>
          <w:noProof/>
          <w:lang w:bidi="ar-SA"/>
        </w:rPr>
        <w:drawing>
          <wp:anchor distT="0" distB="0" distL="114300" distR="114300" simplePos="0" relativeHeight="251676672" behindDoc="1" locked="0" layoutInCell="1" allowOverlap="1" wp14:anchorId="30C37409" wp14:editId="554744AD">
            <wp:simplePos x="0" y="0"/>
            <wp:positionH relativeFrom="margin">
              <wp:posOffset>361950</wp:posOffset>
            </wp:positionH>
            <wp:positionV relativeFrom="paragraph">
              <wp:posOffset>732155</wp:posOffset>
            </wp:positionV>
            <wp:extent cx="5347970" cy="5905500"/>
            <wp:effectExtent l="19050" t="19050" r="24130" b="19050"/>
            <wp:wrapTight wrapText="bothSides">
              <wp:wrapPolygon edited="0">
                <wp:start x="-77" y="-70"/>
                <wp:lineTo x="-77" y="21600"/>
                <wp:lineTo x="21621" y="21600"/>
                <wp:lineTo x="21621" y="-70"/>
                <wp:lineTo x="-77" y="-7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b="9659"/>
                    <a:stretch/>
                  </pic:blipFill>
                  <pic:spPr bwMode="auto">
                    <a:xfrm>
                      <a:off x="0" y="0"/>
                      <a:ext cx="5347970" cy="59055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compound exposures.</w:t>
      </w:r>
    </w:p>
    <w:p w:rsidR="00145462" w:rsidRPr="00042529" w:rsidRDefault="00A841B4" w:rsidP="00042529">
      <w:pPr>
        <w:pStyle w:val="Caption"/>
        <w:jc w:val="both"/>
        <w:rPr>
          <w:b w:val="0"/>
        </w:rPr>
      </w:pPr>
      <w:bookmarkStart w:id="119" w:name="_Ref530053889"/>
      <w:bookmarkStart w:id="120" w:name="_Toc530673947"/>
      <w:r w:rsidRPr="00A841B4">
        <w:t>Figure</w:t>
      </w:r>
      <w:r w:rsidR="005D3378">
        <w:t xml:space="preserve"> </w:t>
      </w:r>
      <w:fldSimple w:instr=" SEQ Figure \* ARABIC ">
        <w:r w:rsidR="00E2070A">
          <w:rPr>
            <w:noProof/>
          </w:rPr>
          <w:t>22</w:t>
        </w:r>
      </w:fldSimple>
      <w:bookmarkEnd w:id="119"/>
      <w:r w:rsidR="005D3378">
        <w:t>:</w:t>
      </w:r>
      <w:r w:rsidR="005D3378" w:rsidRPr="005D3378">
        <w:t xml:space="preserve"> </w:t>
      </w:r>
      <w:r w:rsidR="00F85E28" w:rsidRPr="00F85E28">
        <w:t>The long-term reduction of OSBP levels upon OSW-1 compound washout treatment occurs in multiple cell lines and with as little as 1 hour of expos</w:t>
      </w:r>
      <w:r w:rsidR="00F85E28">
        <w:t>ure</w:t>
      </w:r>
      <w:r w:rsidR="005D3378">
        <w:t xml:space="preserve">. </w:t>
      </w:r>
      <w:r w:rsidR="005D3378">
        <w:rPr>
          <w:b w:val="0"/>
        </w:rPr>
        <w:t xml:space="preserve">(A) All cell lines tested with 1 nM </w:t>
      </w:r>
      <w:r w:rsidR="007A587E">
        <w:rPr>
          <w:b w:val="0"/>
        </w:rPr>
        <w:t>OSW-1 compound</w:t>
      </w:r>
      <w:r w:rsidR="005D3378">
        <w:rPr>
          <w:b w:val="0"/>
        </w:rPr>
        <w:t xml:space="preserve"> followed by </w:t>
      </w:r>
      <w:r w:rsidR="00196EDB">
        <w:rPr>
          <w:b w:val="0"/>
        </w:rPr>
        <w:t>24-hour</w:t>
      </w:r>
      <w:r w:rsidR="005D3378">
        <w:rPr>
          <w:b w:val="0"/>
        </w:rPr>
        <w:t xml:space="preserve"> recovery show s</w:t>
      </w:r>
      <w:r w:rsidR="00F85E28">
        <w:rPr>
          <w:b w:val="0"/>
        </w:rPr>
        <w:t>ignificant OSBP loss. (B&amp;C) 1 nM</w:t>
      </w:r>
      <w:r w:rsidR="005D3378">
        <w:rPr>
          <w:b w:val="0"/>
        </w:rPr>
        <w:t xml:space="preserve"> treatment of OSW-1 for the indicated time</w:t>
      </w:r>
      <w:r w:rsidR="0006337E">
        <w:rPr>
          <w:b w:val="0"/>
        </w:rPr>
        <w:t>s</w:t>
      </w:r>
      <w:r w:rsidR="005D3378">
        <w:rPr>
          <w:b w:val="0"/>
        </w:rPr>
        <w:t xml:space="preserve">, followed by </w:t>
      </w:r>
      <w:r w:rsidR="00196EDB">
        <w:rPr>
          <w:b w:val="0"/>
        </w:rPr>
        <w:t>24-hour</w:t>
      </w:r>
      <w:r w:rsidR="005D3378">
        <w:rPr>
          <w:b w:val="0"/>
        </w:rPr>
        <w:t xml:space="preserve"> recovery shows significant loss of OSBP with as little as </w:t>
      </w:r>
      <w:r w:rsidR="0006337E">
        <w:rPr>
          <w:b w:val="0"/>
        </w:rPr>
        <w:t>30</w:t>
      </w:r>
      <w:r w:rsidR="005D3378">
        <w:rPr>
          <w:b w:val="0"/>
        </w:rPr>
        <w:t xml:space="preserve"> </w:t>
      </w:r>
      <w:r w:rsidR="0006337E">
        <w:rPr>
          <w:b w:val="0"/>
        </w:rPr>
        <w:t>minutes</w:t>
      </w:r>
      <w:r w:rsidR="005D3378">
        <w:rPr>
          <w:b w:val="0"/>
        </w:rPr>
        <w:t xml:space="preserve"> of treatment</w:t>
      </w:r>
      <w:r w:rsidR="0006337E">
        <w:rPr>
          <w:b w:val="0"/>
        </w:rPr>
        <w:t xml:space="preserve"> in various cell lines</w:t>
      </w:r>
      <w:r w:rsidR="005E4814">
        <w:rPr>
          <w:b w:val="0"/>
        </w:rPr>
        <w:t xml:space="preserve">. HCT116, HEK293 and HeLa treatments and analysis were done by Mr. Ryan </w:t>
      </w:r>
      <w:r w:rsidR="00BE3671">
        <w:rPr>
          <w:b w:val="0"/>
        </w:rPr>
        <w:t>Bensen</w:t>
      </w:r>
      <w:r w:rsidR="005E4814">
        <w:rPr>
          <w:b w:val="0"/>
        </w:rPr>
        <w:t xml:space="preserve"> and Mr. </w:t>
      </w:r>
      <w:r w:rsidR="00E87672">
        <w:rPr>
          <w:b w:val="0"/>
        </w:rPr>
        <w:t>Zachary</w:t>
      </w:r>
      <w:r w:rsidR="005E4814">
        <w:rPr>
          <w:b w:val="0"/>
        </w:rPr>
        <w:t xml:space="preserve"> Severance. (Full blots in </w:t>
      </w:r>
      <w:r w:rsidR="005E4814" w:rsidRPr="00A841B4">
        <w:fldChar w:fldCharType="begin"/>
      </w:r>
      <w:r w:rsidR="005E4814" w:rsidRPr="00A841B4">
        <w:instrText xml:space="preserve"> REF _Ref530136973 \h  \* MERGEFORMAT </w:instrText>
      </w:r>
      <w:r w:rsidR="005E4814" w:rsidRPr="00A841B4">
        <w:fldChar w:fldCharType="separate"/>
      </w:r>
      <w:r w:rsidR="00E2070A" w:rsidRPr="00A841B4">
        <w:t>Figure</w:t>
      </w:r>
      <w:r w:rsidR="00E2070A">
        <w:t xml:space="preserve"> </w:t>
      </w:r>
      <w:r w:rsidR="00E2070A">
        <w:rPr>
          <w:noProof/>
        </w:rPr>
        <w:t>43</w:t>
      </w:r>
      <w:r w:rsidR="005E4814" w:rsidRPr="00A841B4">
        <w:fldChar w:fldCharType="end"/>
      </w:r>
      <w:r w:rsidR="005E4814" w:rsidRPr="00A841B4">
        <w:t xml:space="preserve">, </w:t>
      </w:r>
      <w:r w:rsidR="005E4814" w:rsidRPr="00A841B4">
        <w:fldChar w:fldCharType="begin"/>
      </w:r>
      <w:r w:rsidR="005E4814" w:rsidRPr="00A841B4">
        <w:instrText xml:space="preserve"> REF _Ref530136974 \h  \* MERGEFORMAT </w:instrText>
      </w:r>
      <w:r w:rsidR="005E4814" w:rsidRPr="00A841B4">
        <w:fldChar w:fldCharType="separate"/>
      </w:r>
      <w:r w:rsidR="00E2070A" w:rsidRPr="00A841B4">
        <w:t>Figure</w:t>
      </w:r>
      <w:r w:rsidR="00E2070A">
        <w:t xml:space="preserve"> </w:t>
      </w:r>
      <w:r w:rsidR="00E2070A">
        <w:rPr>
          <w:noProof/>
        </w:rPr>
        <w:t>44</w:t>
      </w:r>
      <w:r w:rsidR="005E4814" w:rsidRPr="00A841B4">
        <w:fldChar w:fldCharType="end"/>
      </w:r>
      <w:r w:rsidR="005E4814" w:rsidRPr="005E4814">
        <w:rPr>
          <w:b w:val="0"/>
        </w:rPr>
        <w:t xml:space="preserve"> &amp;</w:t>
      </w:r>
      <w:r w:rsidR="005E4814" w:rsidRPr="00A841B4">
        <w:t xml:space="preserve"> </w:t>
      </w:r>
      <w:r w:rsidR="005E4814" w:rsidRPr="00A841B4">
        <w:fldChar w:fldCharType="begin"/>
      </w:r>
      <w:r w:rsidR="005E4814" w:rsidRPr="00A841B4">
        <w:instrText xml:space="preserve"> REF _Ref530136976 \h  \* MERGEFORMAT </w:instrText>
      </w:r>
      <w:r w:rsidR="005E4814" w:rsidRPr="00A841B4">
        <w:fldChar w:fldCharType="separate"/>
      </w:r>
      <w:r w:rsidR="00E2070A" w:rsidRPr="00A841B4">
        <w:t>Figure</w:t>
      </w:r>
      <w:r w:rsidR="00E2070A">
        <w:t xml:space="preserve"> </w:t>
      </w:r>
      <w:r w:rsidR="00E2070A">
        <w:rPr>
          <w:noProof/>
        </w:rPr>
        <w:t>45</w:t>
      </w:r>
      <w:r w:rsidR="005E4814" w:rsidRPr="00A841B4">
        <w:fldChar w:fldCharType="end"/>
      </w:r>
      <w:r w:rsidR="005E4814">
        <w:rPr>
          <w:b w:val="0"/>
        </w:rPr>
        <w:t>).</w:t>
      </w:r>
      <w:bookmarkEnd w:id="120"/>
    </w:p>
    <w:p w:rsidR="001617D3" w:rsidRPr="002D46ED" w:rsidRDefault="007A587E" w:rsidP="00042529">
      <w:pPr>
        <w:pStyle w:val="Heading3"/>
      </w:pPr>
      <w:bookmarkStart w:id="121" w:name="_Hlk528432718"/>
      <w:bookmarkStart w:id="122" w:name="_Toc532553107"/>
      <w:r>
        <w:lastRenderedPageBreak/>
        <w:t>OSW-1 compound</w:t>
      </w:r>
      <w:r w:rsidR="001617D3" w:rsidRPr="002D46ED">
        <w:t xml:space="preserve"> washout prolonged reduction of OSBP is not due to residual compound</w:t>
      </w:r>
      <w:bookmarkEnd w:id="121"/>
      <w:bookmarkEnd w:id="122"/>
    </w:p>
    <w:p w:rsidR="00B02F62" w:rsidRDefault="00F85E28" w:rsidP="004511CE">
      <w:pPr>
        <w:ind w:firstLine="720"/>
        <w:jc w:val="both"/>
        <w:rPr>
          <w:rFonts w:cstheme="minorHAnsi"/>
        </w:rPr>
      </w:pPr>
      <w:r>
        <w:rPr>
          <w:rFonts w:cstheme="minorHAnsi"/>
        </w:rPr>
        <w:t>We reasoned that t</w:t>
      </w:r>
      <w:r w:rsidR="00B54DB6">
        <w:rPr>
          <w:rFonts w:cstheme="minorHAnsi"/>
        </w:rPr>
        <w:t xml:space="preserve">he observed </w:t>
      </w:r>
      <w:r w:rsidR="004511CE">
        <w:rPr>
          <w:rFonts w:cstheme="minorHAnsi"/>
        </w:rPr>
        <w:t xml:space="preserve">OSBP reduction caused by the </w:t>
      </w:r>
      <w:r w:rsidR="007A587E">
        <w:rPr>
          <w:rFonts w:cstheme="minorHAnsi"/>
        </w:rPr>
        <w:t>OSW-1 compound</w:t>
      </w:r>
      <w:r w:rsidR="004511CE">
        <w:rPr>
          <w:rFonts w:cstheme="minorHAnsi"/>
        </w:rPr>
        <w:t xml:space="preserve"> washout was not likely caused by</w:t>
      </w:r>
      <w:r w:rsidR="00B54DB6">
        <w:rPr>
          <w:rFonts w:cstheme="minorHAnsi"/>
        </w:rPr>
        <w:t xml:space="preserve"> residual compound</w:t>
      </w:r>
      <w:r w:rsidR="004511CE">
        <w:rPr>
          <w:rFonts w:cstheme="minorHAnsi"/>
        </w:rPr>
        <w:t xml:space="preserve"> present in the cell media or cell culture plastic.</w:t>
      </w:r>
      <w:r w:rsidR="00B54DB6">
        <w:rPr>
          <w:rFonts w:cstheme="minorHAnsi"/>
        </w:rPr>
        <w:t xml:space="preserve"> </w:t>
      </w:r>
      <w:r>
        <w:rPr>
          <w:rFonts w:cstheme="minorHAnsi"/>
        </w:rPr>
        <w:t>However, to verify this we utilized t</w:t>
      </w:r>
      <w:r w:rsidR="00B54DB6">
        <w:rPr>
          <w:rFonts w:cstheme="minorHAnsi"/>
        </w:rPr>
        <w:t xml:space="preserve">he </w:t>
      </w:r>
      <w:r w:rsidR="00A639E8">
        <w:rPr>
          <w:rFonts w:cstheme="minorHAnsi"/>
        </w:rPr>
        <w:t>suspension cell line</w:t>
      </w:r>
      <w:r w:rsidR="00B54DB6">
        <w:rPr>
          <w:rFonts w:cstheme="minorHAnsi"/>
        </w:rPr>
        <w:t xml:space="preserve"> K562</w:t>
      </w:r>
      <w:r w:rsidR="004511CE">
        <w:rPr>
          <w:rFonts w:cstheme="minorHAnsi"/>
        </w:rPr>
        <w:t>, following OSW-1 treatment, allowed for complete transfer of cells to new plasticware devoid of any OSW-1 as part of the washout condition.</w:t>
      </w:r>
      <w:r w:rsidR="00B54DB6">
        <w:rPr>
          <w:rFonts w:cstheme="minorHAnsi"/>
        </w:rPr>
        <w:t xml:space="preserve"> </w:t>
      </w:r>
      <w:r>
        <w:rPr>
          <w:rFonts w:cstheme="minorHAnsi"/>
        </w:rPr>
        <w:t>Further, t</w:t>
      </w:r>
      <w:r w:rsidR="000177A8">
        <w:rPr>
          <w:rFonts w:cstheme="minorHAnsi"/>
        </w:rPr>
        <w:t xml:space="preserve">o </w:t>
      </w:r>
      <w:r w:rsidR="004511CE">
        <w:rPr>
          <w:rFonts w:cstheme="minorHAnsi"/>
        </w:rPr>
        <w:t>determine if the OSW-1 compound remained in cells at biologically relevant concentrations following the washout condition, we used</w:t>
      </w:r>
      <w:r w:rsidR="000177A8">
        <w:rPr>
          <w:rFonts w:cstheme="minorHAnsi"/>
        </w:rPr>
        <w:t xml:space="preserve"> two complementary mass spectrometry</w:t>
      </w:r>
      <w:r w:rsidR="00C24E8E">
        <w:rPr>
          <w:rFonts w:cstheme="minorHAnsi"/>
        </w:rPr>
        <w:t xml:space="preserve"> analytical techniques</w:t>
      </w:r>
      <w:r w:rsidR="004511CE">
        <w:rPr>
          <w:rFonts w:cstheme="minorHAnsi"/>
        </w:rPr>
        <w:t xml:space="preserve"> to measure intracellular OSW-1 levels</w:t>
      </w:r>
      <w:r w:rsidR="00C24E8E">
        <w:rPr>
          <w:rFonts w:cstheme="minorHAnsi"/>
        </w:rPr>
        <w:t xml:space="preserve">. We first used quantitative LCMS measurements using a deuterated </w:t>
      </w:r>
      <w:r w:rsidR="007A587E">
        <w:rPr>
          <w:rFonts w:cstheme="minorHAnsi"/>
        </w:rPr>
        <w:t>OSW-1 compound</w:t>
      </w:r>
      <w:r w:rsidR="00C24E8E">
        <w:rPr>
          <w:rFonts w:cstheme="minorHAnsi"/>
        </w:rPr>
        <w:t xml:space="preserve"> as an internal standard to measure </w:t>
      </w:r>
      <w:r w:rsidR="007A587E">
        <w:rPr>
          <w:rFonts w:cstheme="minorHAnsi"/>
        </w:rPr>
        <w:t>OSW-1 compound</w:t>
      </w:r>
      <w:r w:rsidR="00C24E8E">
        <w:rPr>
          <w:rFonts w:cstheme="minorHAnsi"/>
        </w:rPr>
        <w:t xml:space="preserve"> fr</w:t>
      </w:r>
      <w:r w:rsidR="008A4C28">
        <w:rPr>
          <w:rFonts w:cstheme="minorHAnsi"/>
        </w:rPr>
        <w:t>o</w:t>
      </w:r>
      <w:r w:rsidR="0093327A">
        <w:rPr>
          <w:rFonts w:cstheme="minorHAnsi"/>
        </w:rPr>
        <w:t>m HCT116 cell lysates (</w:t>
      </w:r>
      <w:r w:rsidR="00E14895" w:rsidRPr="00A841B4">
        <w:rPr>
          <w:rFonts w:cstheme="minorHAnsi"/>
          <w:b/>
        </w:rPr>
        <w:fldChar w:fldCharType="begin"/>
      </w:r>
      <w:r w:rsidR="00E14895" w:rsidRPr="00A841B4">
        <w:rPr>
          <w:rFonts w:cstheme="minorHAnsi"/>
          <w:b/>
        </w:rPr>
        <w:instrText xml:space="preserve"> REF _Ref530137180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23</w:t>
      </w:r>
      <w:r w:rsidR="00E14895" w:rsidRPr="00A841B4">
        <w:rPr>
          <w:rFonts w:cstheme="minorHAnsi"/>
          <w:b/>
        </w:rPr>
        <w:fldChar w:fldCharType="end"/>
      </w:r>
      <w:r w:rsidR="00C24E8E" w:rsidRPr="00A841B4">
        <w:rPr>
          <w:rFonts w:cstheme="minorHAnsi"/>
          <w:b/>
        </w:rPr>
        <w:t>A</w:t>
      </w:r>
      <w:r w:rsidR="00352DFD">
        <w:rPr>
          <w:rFonts w:cstheme="minorHAnsi"/>
        </w:rPr>
        <w:t xml:space="preserve"> &amp; </w:t>
      </w:r>
      <w:r w:rsidR="00352DFD" w:rsidRPr="00A841B4">
        <w:rPr>
          <w:rFonts w:cstheme="minorHAnsi"/>
          <w:b/>
        </w:rPr>
        <w:fldChar w:fldCharType="begin"/>
      </w:r>
      <w:r w:rsidR="00352DFD" w:rsidRPr="00A841B4">
        <w:rPr>
          <w:rFonts w:cstheme="minorHAnsi"/>
          <w:b/>
        </w:rPr>
        <w:instrText xml:space="preserve"> REF _Ref530222290 \h </w:instrText>
      </w:r>
      <w:r w:rsidR="001B3703" w:rsidRPr="00A841B4">
        <w:rPr>
          <w:rFonts w:cstheme="minorHAnsi"/>
          <w:b/>
        </w:rPr>
        <w:instrText xml:space="preserve"> \* MERGEFORMAT </w:instrText>
      </w:r>
      <w:r w:rsidR="00352DFD" w:rsidRPr="00A841B4">
        <w:rPr>
          <w:rFonts w:cstheme="minorHAnsi"/>
          <w:b/>
        </w:rPr>
      </w:r>
      <w:r w:rsidR="00352DFD" w:rsidRPr="00A841B4">
        <w:rPr>
          <w:rFonts w:cstheme="minorHAnsi"/>
          <w:b/>
        </w:rPr>
        <w:fldChar w:fldCharType="separate"/>
      </w:r>
      <w:r w:rsidR="00E2070A" w:rsidRPr="00E2070A">
        <w:rPr>
          <w:b/>
        </w:rPr>
        <w:t xml:space="preserve">Figure </w:t>
      </w:r>
      <w:r w:rsidR="00E2070A" w:rsidRPr="00E2070A">
        <w:rPr>
          <w:b/>
          <w:noProof/>
        </w:rPr>
        <w:t>47</w:t>
      </w:r>
      <w:r w:rsidR="00352DFD" w:rsidRPr="00A841B4">
        <w:rPr>
          <w:rFonts w:cstheme="minorHAnsi"/>
          <w:b/>
        </w:rPr>
        <w:fldChar w:fldCharType="end"/>
      </w:r>
      <w:r w:rsidR="00C24E8E">
        <w:rPr>
          <w:rFonts w:cstheme="minorHAnsi"/>
        </w:rPr>
        <w:t xml:space="preserve">). </w:t>
      </w:r>
      <w:r w:rsidR="00C24E8E" w:rsidRPr="00C24E8E">
        <w:rPr>
          <w:rFonts w:cstheme="minorHAnsi"/>
        </w:rPr>
        <w:t xml:space="preserve">The intracellular </w:t>
      </w:r>
      <w:r>
        <w:rPr>
          <w:rFonts w:cstheme="minorHAnsi"/>
        </w:rPr>
        <w:t xml:space="preserve">soluble non-protein bound </w:t>
      </w:r>
      <w:r w:rsidR="007A587E">
        <w:rPr>
          <w:rFonts w:cstheme="minorHAnsi"/>
        </w:rPr>
        <w:t>OSW-1 compound</w:t>
      </w:r>
      <w:r w:rsidR="00C24E8E" w:rsidRPr="00C24E8E">
        <w:rPr>
          <w:rFonts w:cstheme="minorHAnsi"/>
        </w:rPr>
        <w:t xml:space="preserve"> concentration of HCT116 cells treated for 1 hr with 100 nM </w:t>
      </w:r>
      <w:r w:rsidR="00A639E8">
        <w:rPr>
          <w:rFonts w:cstheme="minorHAnsi"/>
        </w:rPr>
        <w:t>of the compound wa</w:t>
      </w:r>
      <w:r w:rsidR="00C24E8E">
        <w:rPr>
          <w:rFonts w:cstheme="minorHAnsi"/>
        </w:rPr>
        <w:t xml:space="preserve">s 1.74 ± 0.74 </w:t>
      </w:r>
      <w:r w:rsidR="00C24E8E">
        <w:rPr>
          <w:rFonts w:ascii="Calibri" w:hAnsi="Calibri" w:cs="Calibri"/>
        </w:rPr>
        <w:t>µ</w:t>
      </w:r>
      <w:r w:rsidR="0093327A">
        <w:rPr>
          <w:rFonts w:cstheme="minorHAnsi"/>
        </w:rPr>
        <w:t>M (</w:t>
      </w:r>
      <w:r w:rsidR="00E14895" w:rsidRPr="00A841B4">
        <w:rPr>
          <w:rFonts w:cstheme="minorHAnsi"/>
          <w:b/>
        </w:rPr>
        <w:fldChar w:fldCharType="begin"/>
      </w:r>
      <w:r w:rsidR="00E14895" w:rsidRPr="00A841B4">
        <w:rPr>
          <w:rFonts w:cstheme="minorHAnsi"/>
          <w:b/>
        </w:rPr>
        <w:instrText xml:space="preserve"> REF _Ref530137180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23</w:t>
      </w:r>
      <w:r w:rsidR="00E14895" w:rsidRPr="00A841B4">
        <w:rPr>
          <w:rFonts w:cstheme="minorHAnsi"/>
          <w:b/>
        </w:rPr>
        <w:fldChar w:fldCharType="end"/>
      </w:r>
      <w:r w:rsidR="00C24E8E" w:rsidRPr="00A841B4">
        <w:rPr>
          <w:rFonts w:cstheme="minorHAnsi"/>
          <w:b/>
        </w:rPr>
        <w:t>C</w:t>
      </w:r>
      <w:r w:rsidR="00C24E8E" w:rsidRPr="00C24E8E">
        <w:rPr>
          <w:rFonts w:cstheme="minorHAnsi"/>
        </w:rPr>
        <w:t xml:space="preserve">). Post-washout, followed by a </w:t>
      </w:r>
      <w:r w:rsidR="00196EDB" w:rsidRPr="00C24E8E">
        <w:rPr>
          <w:rFonts w:cstheme="minorHAnsi"/>
        </w:rPr>
        <w:t>24-hour</w:t>
      </w:r>
      <w:r w:rsidR="00C24E8E" w:rsidRPr="00C24E8E">
        <w:rPr>
          <w:rFonts w:cstheme="minorHAnsi"/>
        </w:rPr>
        <w:t xml:space="preserve"> recovery, the intracellula</w:t>
      </w:r>
      <w:r w:rsidR="00A639E8">
        <w:rPr>
          <w:rFonts w:cstheme="minorHAnsi"/>
        </w:rPr>
        <w:t xml:space="preserve">r </w:t>
      </w:r>
      <w:r w:rsidR="007A587E">
        <w:rPr>
          <w:rFonts w:cstheme="minorHAnsi"/>
        </w:rPr>
        <w:t>OSW-1 compound</w:t>
      </w:r>
      <w:r w:rsidR="00A639E8">
        <w:rPr>
          <w:rFonts w:cstheme="minorHAnsi"/>
        </w:rPr>
        <w:t xml:space="preserve"> concentration wa</w:t>
      </w:r>
      <w:r w:rsidR="00C24E8E" w:rsidRPr="00C24E8E">
        <w:rPr>
          <w:rFonts w:cstheme="minorHAnsi"/>
        </w:rPr>
        <w:t>s below the measurable threshold of ~100 pM</w:t>
      </w:r>
      <w:r w:rsidR="0093327A">
        <w:rPr>
          <w:rFonts w:cstheme="minorHAnsi"/>
        </w:rPr>
        <w:t xml:space="preserve"> (</w:t>
      </w:r>
      <w:r w:rsidR="00E14895" w:rsidRPr="00A841B4">
        <w:rPr>
          <w:rFonts w:cstheme="minorHAnsi"/>
          <w:b/>
        </w:rPr>
        <w:fldChar w:fldCharType="begin"/>
      </w:r>
      <w:r w:rsidR="00E14895" w:rsidRPr="00A841B4">
        <w:rPr>
          <w:rFonts w:cstheme="minorHAnsi"/>
          <w:b/>
        </w:rPr>
        <w:instrText xml:space="preserve"> REF _Ref530137180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23</w:t>
      </w:r>
      <w:r w:rsidR="00E14895" w:rsidRPr="00A841B4">
        <w:rPr>
          <w:rFonts w:cstheme="minorHAnsi"/>
          <w:b/>
        </w:rPr>
        <w:fldChar w:fldCharType="end"/>
      </w:r>
      <w:r w:rsidR="00C24E8E" w:rsidRPr="00A841B4">
        <w:rPr>
          <w:rFonts w:cstheme="minorHAnsi"/>
          <w:b/>
        </w:rPr>
        <w:t>A</w:t>
      </w:r>
      <w:r w:rsidR="00352DFD">
        <w:rPr>
          <w:rFonts w:cstheme="minorHAnsi"/>
        </w:rPr>
        <w:t xml:space="preserve"> &amp; </w:t>
      </w:r>
      <w:r w:rsidR="00352DFD">
        <w:rPr>
          <w:rFonts w:cstheme="minorHAnsi"/>
        </w:rPr>
        <w:fldChar w:fldCharType="begin"/>
      </w:r>
      <w:r w:rsidR="00352DFD">
        <w:rPr>
          <w:rFonts w:cstheme="minorHAnsi"/>
        </w:rPr>
        <w:instrText xml:space="preserve"> REF _Ref530222329 \h </w:instrText>
      </w:r>
      <w:r w:rsidR="001B3703">
        <w:rPr>
          <w:rFonts w:cstheme="minorHAnsi"/>
        </w:rPr>
        <w:instrText xml:space="preserve"> \* MERGEFORMAT </w:instrText>
      </w:r>
      <w:r w:rsidR="00352DFD">
        <w:rPr>
          <w:rFonts w:cstheme="minorHAnsi"/>
        </w:rPr>
      </w:r>
      <w:r w:rsidR="00352DFD">
        <w:rPr>
          <w:rFonts w:cstheme="minorHAnsi"/>
        </w:rPr>
        <w:fldChar w:fldCharType="separate"/>
      </w:r>
      <w:r w:rsidR="00E2070A" w:rsidRPr="00E2070A">
        <w:rPr>
          <w:b/>
        </w:rPr>
        <w:t>Figure</w:t>
      </w:r>
      <w:r w:rsidR="00E2070A">
        <w:t xml:space="preserve"> </w:t>
      </w:r>
      <w:r w:rsidR="00E2070A" w:rsidRPr="00E2070A">
        <w:rPr>
          <w:b/>
          <w:noProof/>
        </w:rPr>
        <w:t>48</w:t>
      </w:r>
      <w:r w:rsidR="00352DFD">
        <w:rPr>
          <w:rFonts w:cstheme="minorHAnsi"/>
        </w:rPr>
        <w:fldChar w:fldCharType="end"/>
      </w:r>
      <w:r w:rsidR="00396C71">
        <w:rPr>
          <w:rFonts w:cstheme="minorHAnsi"/>
        </w:rPr>
        <w:t>).</w:t>
      </w:r>
    </w:p>
    <w:p w:rsidR="00B02F62" w:rsidRDefault="00B02F62" w:rsidP="00FB099D">
      <w:pPr>
        <w:keepNext/>
        <w:jc w:val="both"/>
      </w:pPr>
      <w:r w:rsidRPr="00AD0025">
        <w:rPr>
          <w:rFonts w:ascii="Arial" w:hAnsi="Arial" w:cs="Arial"/>
          <w:b/>
          <w:bCs/>
          <w:noProof/>
          <w:sz w:val="20"/>
          <w:szCs w:val="20"/>
          <w:lang w:bidi="ar-SA"/>
        </w:rPr>
        <w:lastRenderedPageBreak/>
        <w:drawing>
          <wp:inline distT="0" distB="0" distL="0" distR="0" wp14:anchorId="2A227EA9" wp14:editId="0861DCC2">
            <wp:extent cx="5394960" cy="3016678"/>
            <wp:effectExtent l="19050" t="19050" r="15240" b="1270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4960" cy="3016678"/>
                    </a:xfrm>
                    <a:prstGeom prst="rect">
                      <a:avLst/>
                    </a:prstGeom>
                    <a:noFill/>
                    <a:ln>
                      <a:solidFill>
                        <a:schemeClr val="tx1"/>
                      </a:solidFill>
                    </a:ln>
                  </pic:spPr>
                </pic:pic>
              </a:graphicData>
            </a:graphic>
          </wp:inline>
        </w:drawing>
      </w:r>
    </w:p>
    <w:p w:rsidR="00B02F62" w:rsidRDefault="00A841B4" w:rsidP="00FB099D">
      <w:pPr>
        <w:pStyle w:val="Caption"/>
        <w:jc w:val="both"/>
        <w:rPr>
          <w:b w:val="0"/>
        </w:rPr>
      </w:pPr>
      <w:bookmarkStart w:id="123" w:name="_Ref530137180"/>
      <w:bookmarkStart w:id="124" w:name="_Toc530673948"/>
      <w:r w:rsidRPr="00A841B4">
        <w:t>Figure</w:t>
      </w:r>
      <w:r w:rsidR="00B02F62">
        <w:t xml:space="preserve"> </w:t>
      </w:r>
      <w:fldSimple w:instr=" SEQ Figure \* ARABIC ">
        <w:r w:rsidR="00E2070A">
          <w:rPr>
            <w:noProof/>
          </w:rPr>
          <w:t>23</w:t>
        </w:r>
      </w:fldSimple>
      <w:bookmarkEnd w:id="123"/>
      <w:r w:rsidR="00B02F62">
        <w:t xml:space="preserve">: </w:t>
      </w:r>
      <w:r w:rsidR="00B02F62" w:rsidRPr="00B02F62">
        <w:t>Mass spectrometry quantification shows intracellular OSW-1 concentrations are reduced to non-detectable levels 24 h</w:t>
      </w:r>
      <w:r w:rsidR="00196EDB">
        <w:t>ou</w:t>
      </w:r>
      <w:r w:rsidR="00B02F62" w:rsidRPr="00B02F62">
        <w:t xml:space="preserve">rs post washout (pWO). </w:t>
      </w:r>
      <w:r w:rsidR="00B02F62" w:rsidRPr="00B02F62">
        <w:rPr>
          <w:b w:val="0"/>
        </w:rPr>
        <w:t>(A) Liquid Chromatography Mass Spectrometry (LCMS) quantif</w:t>
      </w:r>
      <w:r w:rsidR="00DC5D69">
        <w:rPr>
          <w:b w:val="0"/>
        </w:rPr>
        <w:t>ication of OSW-1 at 0 and 24 hours pWO</w:t>
      </w:r>
      <w:r w:rsidR="00B02F62" w:rsidRPr="00B02F62">
        <w:rPr>
          <w:b w:val="0"/>
        </w:rPr>
        <w:t xml:space="preserve"> of a 100 nM treatment of HCT116 cells for 1 h</w:t>
      </w:r>
      <w:r w:rsidR="00DC5D69">
        <w:rPr>
          <w:b w:val="0"/>
        </w:rPr>
        <w:t>ou</w:t>
      </w:r>
      <w:r w:rsidR="00B02F62" w:rsidRPr="00B02F62">
        <w:rPr>
          <w:b w:val="0"/>
        </w:rPr>
        <w:t>r.  50 nM of the deuterated OSW-1 analog is used as an internal standard to allow for LCMS compound quantification. (B) Single Cell Mass Spectrometry quantification (SCMS) spectra of intracellular OSW-1 detection in HCT116 cells following the 1 h</w:t>
      </w:r>
      <w:r w:rsidR="00DC5D69">
        <w:rPr>
          <w:b w:val="0"/>
        </w:rPr>
        <w:t>ou</w:t>
      </w:r>
      <w:r w:rsidR="00B02F62" w:rsidRPr="00B02F62">
        <w:rPr>
          <w:b w:val="0"/>
        </w:rPr>
        <w:t>r, 100 n</w:t>
      </w:r>
      <w:r w:rsidR="00DC5D69">
        <w:rPr>
          <w:b w:val="0"/>
        </w:rPr>
        <w:t>M OSW-1 treatment at 0 and 24 hour</w:t>
      </w:r>
      <w:r w:rsidR="00B02F62" w:rsidRPr="00B02F62">
        <w:rPr>
          <w:b w:val="0"/>
        </w:rPr>
        <w:t>s pWO. A minimum of 30 cells were analyzed for each of the experimental conditions. (C) LCMS single cell intracellular quantification of the amount of OSW-1 (moles) and estimated concentration utilizing the total cell count and averaged cellular volume. Average of three independent biological replicates reported (n=3). NQ= Not Quantifiable.</w:t>
      </w:r>
      <w:r w:rsidR="00E14895">
        <w:rPr>
          <w:b w:val="0"/>
        </w:rPr>
        <w:t xml:space="preserve"> </w:t>
      </w:r>
      <w:r w:rsidR="00787CDA">
        <w:rPr>
          <w:b w:val="0"/>
        </w:rPr>
        <w:t>Experiments and analysis were conducted</w:t>
      </w:r>
      <w:r w:rsidR="00E14895">
        <w:rPr>
          <w:b w:val="0"/>
        </w:rPr>
        <w:t xml:space="preserve"> by Mr. Ryan </w:t>
      </w:r>
      <w:r w:rsidR="00BE3671">
        <w:rPr>
          <w:b w:val="0"/>
        </w:rPr>
        <w:t>Bensen</w:t>
      </w:r>
      <w:r w:rsidR="00E14895">
        <w:rPr>
          <w:b w:val="0"/>
        </w:rPr>
        <w:t xml:space="preserve"> and Ms. Shawna Standke.</w:t>
      </w:r>
      <w:bookmarkEnd w:id="124"/>
      <w:r w:rsidR="00787CDA">
        <w:rPr>
          <w:b w:val="0"/>
        </w:rPr>
        <w:t xml:space="preserve"> The author had no contribution to producing the results.</w:t>
      </w:r>
    </w:p>
    <w:p w:rsidR="00B54DB6" w:rsidRPr="00B54DB6" w:rsidRDefault="00B54DB6" w:rsidP="00FB099D">
      <w:pPr>
        <w:jc w:val="both"/>
      </w:pPr>
    </w:p>
    <w:p w:rsidR="00BC2535" w:rsidRDefault="00B54DB6" w:rsidP="00FB099D">
      <w:pPr>
        <w:jc w:val="both"/>
        <w:rPr>
          <w:rFonts w:cstheme="minorHAnsi"/>
        </w:rPr>
      </w:pPr>
      <w:r>
        <w:rPr>
          <w:rFonts w:cstheme="minorHAnsi"/>
        </w:rPr>
        <w:t>Single cell mass spectrometry (SCMS) is a method that can quantify intracellular concentrations of compounds in a similar manner as LCMS but does not require any sample preparation that could lead to loss of analytes due to cell lysis</w:t>
      </w:r>
      <w:r w:rsidRPr="001D75E2">
        <w:rPr>
          <w:rFonts w:cstheme="minorHAnsi"/>
          <w:vertAlign w:val="superscript"/>
        </w:rPr>
        <w:fldChar w:fldCharType="begin" w:fldLock="1"/>
      </w:r>
      <w:r w:rsidR="0057639C">
        <w:rPr>
          <w:rFonts w:cstheme="minorHAnsi"/>
          <w:vertAlign w:val="superscript"/>
        </w:rPr>
        <w:instrText>ADDIN CSL_CITATION {"citationItems":[{"id":"ITEM-1","itemData":{"DOI":"10.1021/ac5029038","ISS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Chemistry","id":"ITEM-1","issue":"19","issued":{"date-parts":[["2014","10","7"]]},"page":"9376-9380","title":"The Single-Probe: A Miniaturized Multifunctional Device for Single Cell Mass Spectrometry Analysis","type":"article-journal","volume":"86"},"uris":["http://www.mendeley.com/documents/?uuid=166e3494-fd49-379e-ad91-da0e7db33677"]},{"id":"ITEM-2","itemData":{"DOI":"10.3791/53911","ISBN":"1940-087X","ISSN":"1940-087X","PMID":"27341402","abstract":"Mass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Experiments","id":"ITEM-2","issue":"112","issued":{"date-parts":[["2016"]]},"page":"1-9","title":"Applications of the Single-probe: Mass Spectrometry Imaging and Single Cell Analysis under Ambient Conditions","type":"article-journal"},"uris":["http://www.mendeley.com/documents/?uuid=2bf73ffb-8f76-4dc4-90bc-85c7cd17e16b"]},{"id":"ITEM-3","itemData":{"DOI":"10.1021/acs.analchem.7b01436","ISSN":"0003-2700","PMID":"29039651","abstract":"ToF-SIMS is a label-free imaging method that has been shown to enable imaging of amiodarone in single rat macrophage (NR8383) cells. In this study, we show that the method extends to three other cell lines relevant to drug discovery: human embryonic kidney (HEK293), cervical cancer (HeLa), and liver cancer (HepG2). There is significant interest in the variation of drug uptake at the single cell level, and we use ToF-SIMS to show that there is great diversity between individual cells and when comparing each of the cell types. These single cell measurements are compared to quantitative measurements of cell-associated amiodarone for the population using LC/MS/MS and cell counting with flow cytometry. NR8383 and HepG2 cells uptake the greatest amount of amiodarone with an average of 2.38 and 2.60 pg per cell, respectively, and HeLa and Hek 293 have a significantly lower amount of amiodarone at 0.43 and 0.36 pg per cell, respectively. The amount of cell-associated drug for the ensemble population measurement (LC/MS/MS) is compared with the ToF-SIMS single cell data: a similar amount of drug was detected per cell for the NR8383, and HepG2 cells at a greater level than that for the HEK293 cells. However, the two techniques did not agree for the HeLa cells, and we postulate potential reasons for this.","author":[{"dropping-particle":"","family":"Newman","given":"Carla F.","non-dropping-particle":"","parse-names":false,"suffix":""},{"dropping-particle":"","family":"Havelund","given":"Rasmus","non-dropping-particle":"","parse-names":false,"suffix":""},{"dropping-particle":"","family":"Passarelli","given":"Melissa K.","non-dropping-particle":"","parse-names":false,"suffix":""},{"dropping-particle":"","family":"Marshall","given":"Peter S.","non-dropping-particle":"","parse-names":false,"suffix":""},{"dropping-particle":"","family":"Francis","given":"Ian","non-dropping-particle":"","parse-names":false,"suffix":""},{"dropping-particle":"","family":"West","given":"Andy","non-dropping-particle":"","parse-names":false,"suffix":""},{"dropping-particle":"","family":"Alexander","given":"Morgan R.","non-dropping-particle":"","parse-names":false,"suffix":""},{"dropping-particle":"","family":"Gilmore","given":"Ian S.","non-dropping-particle":"","parse-names":false,"suffix":""},{"dropping-particle":"","family":"Dollery","given":"Colin T.","non-dropping-particle":"","parse-names":false,"suffix":""}],"container-title":"Analytical Chemistry","id":"ITEM-3","issue":"22","issued":{"date-parts":[["2017","11","21"]]},"page":"11944-11953","title":"Intracellular Drug Uptake—A Comparison of Single Cell Measurements Using ToF-SIMS Imaging and Quantification from Cell Populations with LC/MS/MS","type":"article-journal","volume":"89"},"uris":["http://www.mendeley.com/documents/?uuid=5c845e4b-78f6-3312-89a3-1bc83580c6d2"]},{"id":"ITEM-4","itemData":{"DOI":"10.1021/acs.analchem.5b00842","ISSN":"0003-2700","PMID":"26023862","abstract":"Detecting metabolites and parent compound within a cell type is now a priority for pharmaceutical development. In this context, three-dimensional secondary ion mass spectrometry (SIMS) imaging was used to investigate the cellular uptake of the antiarrhythmic agent amiodarone, a phospholipidosis-inducing pharmaceutical compound. The high lateral resolution and 3D imaging capabilities of SIMS combined with the multiplex capabilities of ToF mass spectrometric detection allows for the visualization of pharmaceutical compound and metabolites in single cells. The intact, unlabeled drug compound was successfully detected at therapeutic dosages in macrophages (cell line: NR8383). Chemical information from endogenous biomolecules was used to correlate drug distributions with morphological features. From this spatial analysis, amiodarone was detected throughout the cell, with the majority of the compound found in the membrane and subsurface regions and absent in the nuclear regions. Similar results were obtained when the macrophages were doped with amiodarone metabolite, desethylamiodarone. The fwhm lateral resolution measured across an intracellular interface in high lateral resolution ion images was approximately 550 nm. Overall, this approach provides the basis for studying cellular uptake of pharmaceutical compounds and their metabolites on the single cell level.","author":[{"dropping-particle":"","family":"Passarelli","given":"Melissa K.","non-dropping-particle":"","parse-names":false,"suffix":""},{"dropping-particle":"","family":"Newman","given":"Carla F.","non-dropping-particle":"","parse-names":false,"suffix":""},{"dropping-particle":"","family":"Marshall","given":"Peter S.","non-dropping-particle":"","parse-names":false,"suffix":""},{"dropping-particle":"","family":"West","given":"Andrew","non-dropping-particle":"","parse-names":false,"suffix":""},{"dropping-particle":"","family":"Gilmore","given":"Ian S.","non-dropping-particle":"","parse-names":false,"suffix":""},{"dropping-particle":"","family":"Bunch","given":"Josephine","non-dropping-particle":"","parse-names":false,"suffix":""},{"dropping-particle":"","family":"Alexander","given":"Morgan R.","non-dropping-particle":"","parse-names":false,"suffix":""},{"dropping-particle":"","family":"Dollery","given":"Colin T.","non-dropping-particle":"","parse-names":false,"suffix":""}],"container-title":"Analytical Chemistry","id":"ITEM-4","issue":"13","issued":{"date-parts":[["2015","7","7"]]},"page":"6696-6702","title":"Single-Cell Analysis: Visualizing Pharmaceutical and Metabolite Uptake in Cells with Label-Free 3D Mass Spectrometry Imaging","type":"article-journal","volume":"87"},"uris":["http://www.mendeley.com/documents/?uuid=bdf32a35-cddd-3593-9a31-f14374820325"]}],"mendeley":{"formattedCitation":"(206–209)","plainTextFormattedCitation":"(206–209)","previouslyFormattedCitation":"(206–209)"},"properties":{"noteIndex":0},"schema":"https://github.com/citation-style-language/schema/raw/master/csl-citation.json"}</w:instrText>
      </w:r>
      <w:r w:rsidRPr="001D75E2">
        <w:rPr>
          <w:rFonts w:cstheme="minorHAnsi"/>
          <w:vertAlign w:val="superscript"/>
        </w:rPr>
        <w:fldChar w:fldCharType="separate"/>
      </w:r>
      <w:r w:rsidR="0057639C" w:rsidRPr="0057639C">
        <w:rPr>
          <w:rFonts w:cstheme="minorHAnsi"/>
          <w:noProof/>
        </w:rPr>
        <w:t>(206–209)</w:t>
      </w:r>
      <w:r w:rsidRPr="001D75E2">
        <w:rPr>
          <w:rFonts w:cstheme="minorHAnsi"/>
          <w:vertAlign w:val="superscript"/>
        </w:rPr>
        <w:fldChar w:fldCharType="end"/>
      </w:r>
      <w:r>
        <w:rPr>
          <w:rFonts w:cstheme="minorHAnsi"/>
        </w:rPr>
        <w:t>. Using this semi-quantitative technique, we confirm</w:t>
      </w:r>
      <w:r w:rsidR="00A639E8">
        <w:rPr>
          <w:rFonts w:cstheme="minorHAnsi"/>
        </w:rPr>
        <w:t>ed</w:t>
      </w:r>
      <w:r>
        <w:rPr>
          <w:rFonts w:cstheme="minorHAnsi"/>
        </w:rPr>
        <w:t xml:space="preserve"> the loss of detectable intracellular </w:t>
      </w:r>
      <w:r w:rsidR="007A587E">
        <w:rPr>
          <w:rFonts w:cstheme="minorHAnsi"/>
        </w:rPr>
        <w:t>OSW-1 compound</w:t>
      </w:r>
      <w:r>
        <w:rPr>
          <w:rFonts w:cstheme="minorHAnsi"/>
        </w:rPr>
        <w:t xml:space="preserve"> after </w:t>
      </w:r>
      <w:r w:rsidR="008A4C28">
        <w:rPr>
          <w:rFonts w:cstheme="minorHAnsi"/>
        </w:rPr>
        <w:t>t</w:t>
      </w:r>
      <w:r w:rsidR="0093327A">
        <w:rPr>
          <w:rFonts w:cstheme="minorHAnsi"/>
        </w:rPr>
        <w:t>he washout conditions (</w:t>
      </w:r>
      <w:r w:rsidR="00E14895" w:rsidRPr="00A841B4">
        <w:rPr>
          <w:rFonts w:cstheme="minorHAnsi"/>
          <w:b/>
        </w:rPr>
        <w:fldChar w:fldCharType="begin"/>
      </w:r>
      <w:r w:rsidR="00E14895" w:rsidRPr="00A841B4">
        <w:rPr>
          <w:rFonts w:cstheme="minorHAnsi"/>
          <w:b/>
        </w:rPr>
        <w:instrText xml:space="preserve"> REF _Ref530137180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23</w:t>
      </w:r>
      <w:r w:rsidR="00E14895" w:rsidRPr="00A841B4">
        <w:rPr>
          <w:rFonts w:cstheme="minorHAnsi"/>
          <w:b/>
        </w:rPr>
        <w:fldChar w:fldCharType="end"/>
      </w:r>
      <w:r w:rsidR="00A639E8" w:rsidRPr="00A841B4">
        <w:rPr>
          <w:rFonts w:cstheme="minorHAnsi"/>
          <w:b/>
        </w:rPr>
        <w:t>B</w:t>
      </w:r>
      <w:r w:rsidR="00352DFD">
        <w:rPr>
          <w:rFonts w:cstheme="minorHAnsi"/>
        </w:rPr>
        <w:t xml:space="preserve">, </w:t>
      </w:r>
      <w:r w:rsidR="00352DFD" w:rsidRPr="00A841B4">
        <w:rPr>
          <w:rFonts w:cstheme="minorHAnsi"/>
          <w:b/>
        </w:rPr>
        <w:fldChar w:fldCharType="begin"/>
      </w:r>
      <w:r w:rsidR="00352DFD" w:rsidRPr="00A841B4">
        <w:rPr>
          <w:rFonts w:cstheme="minorHAnsi"/>
          <w:b/>
        </w:rPr>
        <w:instrText xml:space="preserve"> REF _Ref530222359 \h </w:instrText>
      </w:r>
      <w:r w:rsidR="001B3703" w:rsidRPr="00A841B4">
        <w:rPr>
          <w:rFonts w:cstheme="minorHAnsi"/>
          <w:b/>
        </w:rPr>
        <w:instrText xml:space="preserve"> \* MERGEFORMAT </w:instrText>
      </w:r>
      <w:r w:rsidR="00352DFD" w:rsidRPr="00A841B4">
        <w:rPr>
          <w:rFonts w:cstheme="minorHAnsi"/>
          <w:b/>
        </w:rPr>
      </w:r>
      <w:r w:rsidR="00352DFD" w:rsidRPr="00A841B4">
        <w:rPr>
          <w:rFonts w:cstheme="minorHAnsi"/>
          <w:b/>
        </w:rPr>
        <w:fldChar w:fldCharType="separate"/>
      </w:r>
      <w:r w:rsidR="00E2070A" w:rsidRPr="00E2070A">
        <w:rPr>
          <w:b/>
        </w:rPr>
        <w:t xml:space="preserve">Figure </w:t>
      </w:r>
      <w:r w:rsidR="00E2070A" w:rsidRPr="00E2070A">
        <w:rPr>
          <w:b/>
          <w:noProof/>
        </w:rPr>
        <w:t>49</w:t>
      </w:r>
      <w:r w:rsidR="00352DFD" w:rsidRPr="00A841B4">
        <w:rPr>
          <w:rFonts w:cstheme="minorHAnsi"/>
          <w:b/>
        </w:rPr>
        <w:fldChar w:fldCharType="end"/>
      </w:r>
      <w:r w:rsidR="00352DFD">
        <w:rPr>
          <w:rFonts w:cstheme="minorHAnsi"/>
        </w:rPr>
        <w:t xml:space="preserve"> &amp; </w:t>
      </w:r>
      <w:r w:rsidR="00352DFD" w:rsidRPr="00A841B4">
        <w:rPr>
          <w:rFonts w:cstheme="minorHAnsi"/>
          <w:b/>
        </w:rPr>
        <w:fldChar w:fldCharType="begin"/>
      </w:r>
      <w:r w:rsidR="00352DFD" w:rsidRPr="00A841B4">
        <w:rPr>
          <w:rFonts w:cstheme="minorHAnsi"/>
          <w:b/>
        </w:rPr>
        <w:instrText xml:space="preserve"> REF _Ref530222362 \h </w:instrText>
      </w:r>
      <w:r w:rsidR="001B3703" w:rsidRPr="00A841B4">
        <w:rPr>
          <w:rFonts w:cstheme="minorHAnsi"/>
          <w:b/>
        </w:rPr>
        <w:instrText xml:space="preserve"> \* MERGEFORMAT </w:instrText>
      </w:r>
      <w:r w:rsidR="00352DFD" w:rsidRPr="00A841B4">
        <w:rPr>
          <w:rFonts w:cstheme="minorHAnsi"/>
          <w:b/>
        </w:rPr>
      </w:r>
      <w:r w:rsidR="00352DFD" w:rsidRPr="00A841B4">
        <w:rPr>
          <w:rFonts w:cstheme="minorHAnsi"/>
          <w:b/>
        </w:rPr>
        <w:fldChar w:fldCharType="separate"/>
      </w:r>
      <w:r w:rsidR="00E2070A" w:rsidRPr="00E2070A">
        <w:rPr>
          <w:b/>
        </w:rPr>
        <w:t xml:space="preserve">Figure </w:t>
      </w:r>
      <w:r w:rsidR="00E2070A" w:rsidRPr="00E2070A">
        <w:rPr>
          <w:b/>
          <w:noProof/>
        </w:rPr>
        <w:t>50</w:t>
      </w:r>
      <w:r w:rsidR="00352DFD" w:rsidRPr="00A841B4">
        <w:rPr>
          <w:rFonts w:cstheme="minorHAnsi"/>
          <w:b/>
        </w:rPr>
        <w:fldChar w:fldCharType="end"/>
      </w:r>
      <w:r w:rsidR="00A639E8">
        <w:rPr>
          <w:rFonts w:cstheme="minorHAnsi"/>
        </w:rPr>
        <w:t>). These results</w:t>
      </w:r>
      <w:r>
        <w:rPr>
          <w:rFonts w:cstheme="minorHAnsi"/>
        </w:rPr>
        <w:t xml:space="preserve"> show</w:t>
      </w:r>
      <w:r w:rsidR="00A639E8">
        <w:rPr>
          <w:rFonts w:cstheme="minorHAnsi"/>
        </w:rPr>
        <w:t>ed</w:t>
      </w:r>
      <w:r>
        <w:rPr>
          <w:rFonts w:cstheme="minorHAnsi"/>
        </w:rPr>
        <w:t xml:space="preserve"> that no OSW-1 compound is present </w:t>
      </w:r>
      <w:r w:rsidR="004511CE">
        <w:rPr>
          <w:rFonts w:cstheme="minorHAnsi"/>
        </w:rPr>
        <w:t xml:space="preserve">at biologically-active concentrations </w:t>
      </w:r>
      <w:r>
        <w:rPr>
          <w:rFonts w:cstheme="minorHAnsi"/>
        </w:rPr>
        <w:t>to induce the cellular changes seen during the w</w:t>
      </w:r>
      <w:r w:rsidR="008A4C28">
        <w:rPr>
          <w:rFonts w:cstheme="minorHAnsi"/>
        </w:rPr>
        <w:t xml:space="preserve">ashout </w:t>
      </w:r>
      <w:r w:rsidR="008A4C28">
        <w:rPr>
          <w:rFonts w:cstheme="minorHAnsi"/>
        </w:rPr>
        <w:lastRenderedPageBreak/>
        <w:t>experiments (</w:t>
      </w:r>
      <w:r w:rsidR="00E14895">
        <w:rPr>
          <w:rFonts w:cstheme="minorHAnsi"/>
        </w:rPr>
        <w:fldChar w:fldCharType="begin"/>
      </w:r>
      <w:r w:rsidR="00E14895">
        <w:rPr>
          <w:rFonts w:cstheme="minorHAnsi"/>
        </w:rPr>
        <w:instrText xml:space="preserve"> REF _Ref530131535 \h </w:instrText>
      </w:r>
      <w:r w:rsidR="001B3703">
        <w:rPr>
          <w:rFonts w:cstheme="minorHAnsi"/>
        </w:rPr>
        <w:instrText xml:space="preserve"> \* MERGEFORMAT </w:instrText>
      </w:r>
      <w:r w:rsidR="00E14895">
        <w:rPr>
          <w:rFonts w:cstheme="minorHAnsi"/>
        </w:rPr>
      </w:r>
      <w:r w:rsidR="00E14895">
        <w:rPr>
          <w:rFonts w:cstheme="minorHAnsi"/>
        </w:rPr>
        <w:fldChar w:fldCharType="separate"/>
      </w:r>
      <w:r w:rsidR="00E2070A" w:rsidRPr="00E2070A">
        <w:rPr>
          <w:b/>
        </w:rPr>
        <w:t>Figure</w:t>
      </w:r>
      <w:r w:rsidR="00E2070A">
        <w:t xml:space="preserve"> </w:t>
      </w:r>
      <w:r w:rsidR="00E2070A" w:rsidRPr="00E2070A">
        <w:rPr>
          <w:b/>
          <w:noProof/>
        </w:rPr>
        <w:t>19</w:t>
      </w:r>
      <w:r w:rsidR="00E14895">
        <w:rPr>
          <w:rFonts w:cstheme="minorHAnsi"/>
        </w:rPr>
        <w:fldChar w:fldCharType="end"/>
      </w:r>
      <w:r w:rsidR="008A4C28">
        <w:rPr>
          <w:rFonts w:cstheme="minorHAnsi"/>
        </w:rPr>
        <w:t xml:space="preserve"> &amp; </w:t>
      </w:r>
      <w:r w:rsidR="00E14895">
        <w:rPr>
          <w:rFonts w:cstheme="minorHAnsi"/>
        </w:rPr>
        <w:fldChar w:fldCharType="begin"/>
      </w:r>
      <w:r w:rsidR="00E14895">
        <w:rPr>
          <w:rFonts w:cstheme="minorHAnsi"/>
        </w:rPr>
        <w:instrText xml:space="preserve"> REF _Ref530053889 \h </w:instrText>
      </w:r>
      <w:r w:rsidR="001B3703">
        <w:rPr>
          <w:rFonts w:cstheme="minorHAnsi"/>
        </w:rPr>
        <w:instrText xml:space="preserve"> \* MERGEFORMAT </w:instrText>
      </w:r>
      <w:r w:rsidR="00E14895">
        <w:rPr>
          <w:rFonts w:cstheme="minorHAnsi"/>
        </w:rPr>
      </w:r>
      <w:r w:rsidR="00E14895">
        <w:rPr>
          <w:rFonts w:cstheme="minorHAnsi"/>
        </w:rPr>
        <w:fldChar w:fldCharType="separate"/>
      </w:r>
      <w:r w:rsidR="00E2070A" w:rsidRPr="00E2070A">
        <w:rPr>
          <w:b/>
        </w:rPr>
        <w:t>Figure</w:t>
      </w:r>
      <w:r w:rsidR="00E2070A">
        <w:t xml:space="preserve"> </w:t>
      </w:r>
      <w:r w:rsidR="00E2070A" w:rsidRPr="00E2070A">
        <w:rPr>
          <w:b/>
          <w:noProof/>
        </w:rPr>
        <w:t>22</w:t>
      </w:r>
      <w:r w:rsidR="00E14895">
        <w:rPr>
          <w:rFonts w:cstheme="minorHAnsi"/>
        </w:rPr>
        <w:fldChar w:fldCharType="end"/>
      </w:r>
      <w:r>
        <w:rPr>
          <w:rFonts w:cstheme="minorHAnsi"/>
        </w:rPr>
        <w:t>)</w:t>
      </w:r>
      <w:r w:rsidR="004511CE">
        <w:rPr>
          <w:rFonts w:cstheme="minorHAnsi"/>
        </w:rPr>
        <w:t>, but that a</w:t>
      </w:r>
      <w:r>
        <w:rPr>
          <w:rFonts w:cstheme="minorHAnsi"/>
        </w:rPr>
        <w:t xml:space="preserve"> persistent cellular mechanism</w:t>
      </w:r>
      <w:r w:rsidR="004511CE">
        <w:rPr>
          <w:rFonts w:cstheme="minorHAnsi"/>
        </w:rPr>
        <w:t xml:space="preserve"> triggered by OSW-1 treatment is responsible for the long-term reduction of OSBP levels</w:t>
      </w:r>
      <w:r>
        <w:rPr>
          <w:rFonts w:cstheme="minorHAnsi"/>
        </w:rPr>
        <w:t>.</w:t>
      </w:r>
      <w:r w:rsidR="004057C0">
        <w:rPr>
          <w:rFonts w:cstheme="minorHAnsi"/>
        </w:rPr>
        <w:t xml:space="preserve"> </w:t>
      </w:r>
    </w:p>
    <w:p w:rsidR="00710DF6" w:rsidRPr="002D46ED" w:rsidRDefault="007A587E" w:rsidP="00042529">
      <w:pPr>
        <w:pStyle w:val="Heading3"/>
      </w:pPr>
      <w:bookmarkStart w:id="125" w:name="_Toc532553108"/>
      <w:r>
        <w:t>OSW-1 compound</w:t>
      </w:r>
      <w:r w:rsidR="00710DF6" w:rsidRPr="002D46ED">
        <w:t xml:space="preserve"> washout induces prophylactic anti</w:t>
      </w:r>
      <w:r w:rsidR="00F85E28">
        <w:t>viral response to two clinical isolates of</w:t>
      </w:r>
      <w:r w:rsidR="00710DF6" w:rsidRPr="002D46ED">
        <w:t xml:space="preserve"> Enteroviruses.</w:t>
      </w:r>
      <w:bookmarkEnd w:id="125"/>
    </w:p>
    <w:p w:rsidR="00710DF6" w:rsidRDefault="00710DF6" w:rsidP="00602F09">
      <w:pPr>
        <w:ind w:firstLine="720"/>
        <w:jc w:val="both"/>
        <w:rPr>
          <w:rFonts w:cstheme="minorHAnsi"/>
        </w:rPr>
      </w:pPr>
      <w:r>
        <w:rPr>
          <w:rFonts w:cstheme="minorHAnsi"/>
        </w:rPr>
        <w:t xml:space="preserve">As stated before, </w:t>
      </w:r>
      <w:r w:rsidRPr="00710DF6">
        <w:rPr>
          <w:rFonts w:cstheme="minorHAnsi"/>
        </w:rPr>
        <w:t>OSBP is required for the cellular replication of vi</w:t>
      </w:r>
      <w:r>
        <w:rPr>
          <w:rFonts w:cstheme="minorHAnsi"/>
        </w:rPr>
        <w:t xml:space="preserve">ruses </w:t>
      </w:r>
      <w:r w:rsidRPr="00710DF6">
        <w:rPr>
          <w:rFonts w:cstheme="minorHAnsi"/>
        </w:rPr>
        <w:t xml:space="preserve">belonging to the </w:t>
      </w:r>
      <w:r w:rsidRPr="00710DF6">
        <w:rPr>
          <w:rFonts w:cstheme="minorHAnsi"/>
          <w:i/>
        </w:rPr>
        <w:t>Enteroviru</w:t>
      </w:r>
      <w:r w:rsidRPr="00710DF6">
        <w:rPr>
          <w:rFonts w:cstheme="minorHAnsi"/>
        </w:rPr>
        <w:t>s genus, which includes ma</w:t>
      </w:r>
      <w:r>
        <w:rPr>
          <w:rFonts w:cstheme="minorHAnsi"/>
        </w:rPr>
        <w:t>ny human pathogens</w:t>
      </w:r>
      <w:r w:rsidR="004511CE">
        <w:rPr>
          <w:rFonts w:cstheme="minorHAnsi"/>
        </w:rPr>
        <w:t xml:space="preserve"> (1.4.1.2 </w:t>
      </w:r>
      <w:r w:rsidR="004511CE" w:rsidRPr="004511CE">
        <w:rPr>
          <w:rFonts w:cstheme="minorHAnsi"/>
          <w:b/>
        </w:rPr>
        <w:fldChar w:fldCharType="begin"/>
      </w:r>
      <w:r w:rsidR="004511CE" w:rsidRPr="004511CE">
        <w:rPr>
          <w:rFonts w:cstheme="minorHAnsi"/>
          <w:b/>
        </w:rPr>
        <w:instrText xml:space="preserve"> REF _Ref530664219 \h  \* MERGEFORMAT </w:instrText>
      </w:r>
      <w:r w:rsidR="004511CE" w:rsidRPr="004511CE">
        <w:rPr>
          <w:rFonts w:cstheme="minorHAnsi"/>
          <w:b/>
        </w:rPr>
      </w:r>
      <w:r w:rsidR="004511CE" w:rsidRPr="004511CE">
        <w:rPr>
          <w:rFonts w:cstheme="minorHAnsi"/>
          <w:b/>
        </w:rPr>
        <w:fldChar w:fldCharType="separate"/>
      </w:r>
      <w:r w:rsidR="00E2070A" w:rsidRPr="00E2070A">
        <w:rPr>
          <w:b/>
        </w:rPr>
        <w:t>Enteroviruses</w:t>
      </w:r>
      <w:r w:rsidR="004511CE" w:rsidRPr="004511CE">
        <w:rPr>
          <w:rFonts w:cstheme="minorHAnsi"/>
          <w:b/>
        </w:rPr>
        <w:fldChar w:fldCharType="end"/>
      </w:r>
      <w:r w:rsidR="004511CE">
        <w:rPr>
          <w:rFonts w:cstheme="minorHAnsi"/>
        </w:rPr>
        <w:t>)</w:t>
      </w:r>
      <w:r>
        <w:rPr>
          <w:rFonts w:cstheme="minorHAnsi"/>
        </w:rPr>
        <w:t xml:space="preserve">. </w:t>
      </w:r>
      <w:r w:rsidRPr="00710DF6">
        <w:rPr>
          <w:rFonts w:cstheme="minorHAnsi"/>
        </w:rPr>
        <w:t>OSW-1,</w:t>
      </w:r>
      <w:r>
        <w:rPr>
          <w:rFonts w:cstheme="minorHAnsi"/>
        </w:rPr>
        <w:t xml:space="preserve"> as well as other OSBP binding compounds, has</w:t>
      </w:r>
      <w:r w:rsidRPr="00710DF6">
        <w:rPr>
          <w:rFonts w:cstheme="minorHAnsi"/>
        </w:rPr>
        <w:t xml:space="preserve"> been shown to inhibit the replication of multiple Enterovirus viruses in cells</w:t>
      </w:r>
      <w:r w:rsidR="00890F98">
        <w:rPr>
          <w:rFonts w:cstheme="minorHAnsi"/>
        </w:rPr>
        <w:t xml:space="preserve"> (1.5 </w:t>
      </w:r>
      <w:r w:rsidR="00890F98" w:rsidRPr="00890F98">
        <w:rPr>
          <w:rFonts w:cstheme="minorHAnsi"/>
          <w:b/>
        </w:rPr>
        <w:fldChar w:fldCharType="begin"/>
      </w:r>
      <w:r w:rsidR="00890F98" w:rsidRPr="00890F98">
        <w:rPr>
          <w:rFonts w:cstheme="minorHAnsi"/>
          <w:b/>
        </w:rPr>
        <w:instrText xml:space="preserve"> REF _Ref530742185 \h  \* MERGEFORMAT </w:instrText>
      </w:r>
      <w:r w:rsidR="00890F98" w:rsidRPr="00890F98">
        <w:rPr>
          <w:rFonts w:cstheme="minorHAnsi"/>
          <w:b/>
        </w:rPr>
      </w:r>
      <w:r w:rsidR="00890F98" w:rsidRPr="00890F98">
        <w:rPr>
          <w:rFonts w:cstheme="minorHAnsi"/>
          <w:b/>
        </w:rPr>
        <w:fldChar w:fldCharType="separate"/>
      </w:r>
      <w:r w:rsidR="00E2070A" w:rsidRPr="00E2070A">
        <w:rPr>
          <w:b/>
        </w:rPr>
        <w:t>ORPphillins</w:t>
      </w:r>
      <w:r w:rsidR="00E2070A">
        <w:t xml:space="preserve"> </w:t>
      </w:r>
      <w:r w:rsidR="00E2070A" w:rsidRPr="00E2070A">
        <w:rPr>
          <w:b/>
        </w:rPr>
        <w:t>and</w:t>
      </w:r>
      <w:r w:rsidR="00E2070A">
        <w:t xml:space="preserve"> </w:t>
      </w:r>
      <w:r w:rsidR="00E2070A" w:rsidRPr="00E2070A">
        <w:rPr>
          <w:b/>
        </w:rPr>
        <w:t>OSBP</w:t>
      </w:r>
      <w:r w:rsidR="00E2070A">
        <w:t>/</w:t>
      </w:r>
      <w:r w:rsidR="00E2070A" w:rsidRPr="00E2070A">
        <w:rPr>
          <w:b/>
        </w:rPr>
        <w:t>ORP4</w:t>
      </w:r>
      <w:r w:rsidR="00890F98" w:rsidRPr="00890F98">
        <w:rPr>
          <w:rFonts w:cstheme="minorHAnsi"/>
          <w:b/>
        </w:rPr>
        <w:fldChar w:fldCharType="end"/>
      </w:r>
      <w:r w:rsidR="00890F98">
        <w:rPr>
          <w:rFonts w:cstheme="minorHAnsi"/>
          <w:b/>
        </w:rPr>
        <w:t>)</w:t>
      </w:r>
      <w:r w:rsidRPr="00710DF6">
        <w:rPr>
          <w:rFonts w:cstheme="minorHAnsi"/>
        </w:rPr>
        <w:t xml:space="preserve">. </w:t>
      </w:r>
      <w:r w:rsidR="00890F98">
        <w:rPr>
          <w:rFonts w:cstheme="minorHAnsi"/>
        </w:rPr>
        <w:t xml:space="preserve">Consistent with published results, continuous treatment of </w:t>
      </w:r>
      <w:r w:rsidR="007A587E">
        <w:rPr>
          <w:rFonts w:cstheme="minorHAnsi"/>
        </w:rPr>
        <w:t>OSW-1 compound</w:t>
      </w:r>
      <w:r w:rsidR="00890F98">
        <w:rPr>
          <w:rFonts w:cstheme="minorHAnsi"/>
        </w:rPr>
        <w:t xml:space="preserve"> </w:t>
      </w:r>
      <w:r w:rsidRPr="00710DF6">
        <w:rPr>
          <w:rFonts w:cstheme="minorHAnsi"/>
        </w:rPr>
        <w:t>inhibits the vir</w:t>
      </w:r>
      <w:r w:rsidR="00F85E28">
        <w:rPr>
          <w:rFonts w:cstheme="minorHAnsi"/>
        </w:rPr>
        <w:t>al replication of two clinical isolates of</w:t>
      </w:r>
      <w:r w:rsidRPr="00710DF6">
        <w:rPr>
          <w:rFonts w:cstheme="minorHAnsi"/>
        </w:rPr>
        <w:t xml:space="preserve"> pathogenic </w:t>
      </w:r>
      <w:r w:rsidRPr="00710DF6">
        <w:rPr>
          <w:rFonts w:cstheme="minorHAnsi"/>
          <w:i/>
        </w:rPr>
        <w:t>Enterovirus</w:t>
      </w:r>
      <w:r w:rsidRPr="00710DF6">
        <w:rPr>
          <w:rFonts w:cstheme="minorHAnsi"/>
        </w:rPr>
        <w:t xml:space="preserve"> viruses, Coxsackievirus A9 and Echo2, in HeLa cells in a conc</w:t>
      </w:r>
      <w:r>
        <w:rPr>
          <w:rFonts w:cstheme="minorHAnsi"/>
        </w:rPr>
        <w:t>entration-dependent manner (</w:t>
      </w:r>
      <w:r w:rsidR="00E14895" w:rsidRPr="00A841B4">
        <w:rPr>
          <w:rFonts w:cstheme="minorHAnsi"/>
          <w:b/>
        </w:rPr>
        <w:fldChar w:fldCharType="begin"/>
      </w:r>
      <w:r w:rsidR="00E14895" w:rsidRPr="00A841B4">
        <w:rPr>
          <w:rFonts w:cstheme="minorHAnsi"/>
          <w:b/>
        </w:rPr>
        <w:instrText xml:space="preserve"> REF _Ref530053675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24</w:t>
      </w:r>
      <w:r w:rsidR="00E14895" w:rsidRPr="00A841B4">
        <w:rPr>
          <w:rFonts w:cstheme="minorHAnsi"/>
          <w:b/>
        </w:rPr>
        <w:fldChar w:fldCharType="end"/>
      </w:r>
      <w:r w:rsidRPr="00A841B4">
        <w:rPr>
          <w:rFonts w:cstheme="minorHAnsi"/>
          <w:b/>
        </w:rPr>
        <w:t>A</w:t>
      </w:r>
      <w:r w:rsidRPr="00710DF6">
        <w:rPr>
          <w:rFonts w:cstheme="minorHAnsi"/>
        </w:rPr>
        <w:t xml:space="preserve">). Continual </w:t>
      </w:r>
      <w:r w:rsidR="007A587E">
        <w:rPr>
          <w:rFonts w:cstheme="minorHAnsi"/>
        </w:rPr>
        <w:t>OSW-1 compound</w:t>
      </w:r>
      <w:r w:rsidRPr="00710DF6">
        <w:rPr>
          <w:rFonts w:cstheme="minorHAnsi"/>
        </w:rPr>
        <w:t xml:space="preserve"> treatment reduced the viral titer of 10-hour viral infection in HeLa cells ap</w:t>
      </w:r>
      <w:r>
        <w:rPr>
          <w:rFonts w:cstheme="minorHAnsi"/>
        </w:rPr>
        <w:t>proximately ~10,000 fold (</w:t>
      </w:r>
      <w:r w:rsidR="00E14895" w:rsidRPr="00A841B4">
        <w:rPr>
          <w:rFonts w:cstheme="minorHAnsi"/>
          <w:b/>
        </w:rPr>
        <w:fldChar w:fldCharType="begin"/>
      </w:r>
      <w:r w:rsidR="00E14895" w:rsidRPr="00A841B4">
        <w:rPr>
          <w:rFonts w:cstheme="minorHAnsi"/>
          <w:b/>
        </w:rPr>
        <w:instrText xml:space="preserve"> REF _Ref530053675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24</w:t>
      </w:r>
      <w:r w:rsidR="00E14895" w:rsidRPr="00A841B4">
        <w:rPr>
          <w:rFonts w:cstheme="minorHAnsi"/>
          <w:b/>
        </w:rPr>
        <w:fldChar w:fldCharType="end"/>
      </w:r>
      <w:r w:rsidRPr="00A841B4">
        <w:rPr>
          <w:rFonts w:cstheme="minorHAnsi"/>
          <w:b/>
        </w:rPr>
        <w:t>A</w:t>
      </w:r>
      <w:r w:rsidRPr="00710DF6">
        <w:rPr>
          <w:rFonts w:cstheme="minorHAnsi"/>
        </w:rPr>
        <w:t>)</w:t>
      </w:r>
      <w:r>
        <w:rPr>
          <w:rFonts w:cstheme="minorHAnsi"/>
        </w:rPr>
        <w:t>. HeLa cells subjected to a 6-hour</w:t>
      </w:r>
      <w:r w:rsidRPr="00710DF6">
        <w:rPr>
          <w:rFonts w:cstheme="minorHAnsi"/>
        </w:rPr>
        <w:t xml:space="preserve"> </w:t>
      </w:r>
      <w:r w:rsidR="007A587E">
        <w:rPr>
          <w:rFonts w:cstheme="minorHAnsi"/>
        </w:rPr>
        <w:t>OSW-1 compound</w:t>
      </w:r>
      <w:r>
        <w:rPr>
          <w:rFonts w:cstheme="minorHAnsi"/>
        </w:rPr>
        <w:t xml:space="preserve"> treatment followed by </w:t>
      </w:r>
      <w:r w:rsidR="00890F98">
        <w:rPr>
          <w:rFonts w:cstheme="minorHAnsi"/>
        </w:rPr>
        <w:t xml:space="preserve">the washout protocol and a 24 </w:t>
      </w:r>
      <w:r>
        <w:rPr>
          <w:rFonts w:cstheme="minorHAnsi"/>
        </w:rPr>
        <w:t xml:space="preserve">hour recovery </w:t>
      </w:r>
      <w:r w:rsidR="00890F98">
        <w:rPr>
          <w:rFonts w:cstheme="minorHAnsi"/>
        </w:rPr>
        <w:t xml:space="preserve">in compound-free media </w:t>
      </w:r>
      <w:r w:rsidRPr="00710DF6">
        <w:rPr>
          <w:rFonts w:cstheme="minorHAnsi"/>
        </w:rPr>
        <w:t>showed a reduction of viral titers of approximately 100-fold for the Echo2 virus and ~1000-fold for th</w:t>
      </w:r>
      <w:r w:rsidR="00DC5D69">
        <w:rPr>
          <w:rFonts w:cstheme="minorHAnsi"/>
        </w:rPr>
        <w:t>e Coxsackievirus 9A virus (</w:t>
      </w:r>
      <w:r w:rsidR="00E14895" w:rsidRPr="00A841B4">
        <w:rPr>
          <w:rFonts w:cstheme="minorHAnsi"/>
          <w:b/>
        </w:rPr>
        <w:fldChar w:fldCharType="begin"/>
      </w:r>
      <w:r w:rsidR="00E14895" w:rsidRPr="00A841B4">
        <w:rPr>
          <w:rFonts w:cstheme="minorHAnsi"/>
          <w:b/>
        </w:rPr>
        <w:instrText xml:space="preserve"> REF _Ref530053675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24</w:t>
      </w:r>
      <w:r w:rsidR="00E14895" w:rsidRPr="00A841B4">
        <w:rPr>
          <w:rFonts w:cstheme="minorHAnsi"/>
          <w:b/>
        </w:rPr>
        <w:fldChar w:fldCharType="end"/>
      </w:r>
      <w:r w:rsidRPr="00A841B4">
        <w:rPr>
          <w:rFonts w:cstheme="minorHAnsi"/>
          <w:b/>
        </w:rPr>
        <w:t>B</w:t>
      </w:r>
      <w:r w:rsidR="00DC5D69">
        <w:rPr>
          <w:rFonts w:cstheme="minorHAnsi"/>
        </w:rPr>
        <w:t>). B</w:t>
      </w:r>
      <w:r w:rsidRPr="00710DF6">
        <w:rPr>
          <w:rFonts w:cstheme="minorHAnsi"/>
        </w:rPr>
        <w:t>ased on the quantitative mass spectrometry of intracellu</w:t>
      </w:r>
      <w:r w:rsidR="00DC5D69">
        <w:rPr>
          <w:rFonts w:cstheme="minorHAnsi"/>
        </w:rPr>
        <w:t xml:space="preserve">lar </w:t>
      </w:r>
      <w:r w:rsidR="007A587E">
        <w:rPr>
          <w:rFonts w:cstheme="minorHAnsi"/>
        </w:rPr>
        <w:t>OSW-1 compound</w:t>
      </w:r>
      <w:r w:rsidR="00DC5D69">
        <w:rPr>
          <w:rFonts w:cstheme="minorHAnsi"/>
        </w:rPr>
        <w:t xml:space="preserve"> levels 24 hours pWO (</w:t>
      </w:r>
      <w:r w:rsidR="00E14895">
        <w:rPr>
          <w:rFonts w:cstheme="minorHAnsi"/>
        </w:rPr>
        <w:fldChar w:fldCharType="begin"/>
      </w:r>
      <w:r w:rsidR="00E14895">
        <w:rPr>
          <w:rFonts w:cstheme="minorHAnsi"/>
        </w:rPr>
        <w:instrText xml:space="preserve"> REF _Ref530137180 \h </w:instrText>
      </w:r>
      <w:r w:rsidR="001B3703">
        <w:rPr>
          <w:rFonts w:cstheme="minorHAnsi"/>
        </w:rPr>
        <w:instrText xml:space="preserve"> \* MERGEFORMAT </w:instrText>
      </w:r>
      <w:r w:rsidR="00E14895">
        <w:rPr>
          <w:rFonts w:cstheme="minorHAnsi"/>
        </w:rPr>
      </w:r>
      <w:r w:rsidR="00E14895">
        <w:rPr>
          <w:rFonts w:cstheme="minorHAnsi"/>
        </w:rPr>
        <w:fldChar w:fldCharType="separate"/>
      </w:r>
      <w:r w:rsidR="00E2070A" w:rsidRPr="00E2070A">
        <w:rPr>
          <w:b/>
        </w:rPr>
        <w:t>Figure</w:t>
      </w:r>
      <w:r w:rsidR="00E2070A">
        <w:t xml:space="preserve"> </w:t>
      </w:r>
      <w:r w:rsidR="00E2070A" w:rsidRPr="00E2070A">
        <w:rPr>
          <w:b/>
          <w:noProof/>
        </w:rPr>
        <w:t>23</w:t>
      </w:r>
      <w:r w:rsidR="00E14895">
        <w:rPr>
          <w:rFonts w:cstheme="minorHAnsi"/>
        </w:rPr>
        <w:fldChar w:fldCharType="end"/>
      </w:r>
      <w:r w:rsidRPr="00710DF6">
        <w:rPr>
          <w:rFonts w:cstheme="minorHAnsi"/>
        </w:rPr>
        <w:t xml:space="preserve">), this observed prophylactic anti-viral activity in the </w:t>
      </w:r>
      <w:r w:rsidR="007A587E">
        <w:rPr>
          <w:rFonts w:cstheme="minorHAnsi"/>
        </w:rPr>
        <w:t>OSW-1 compound</w:t>
      </w:r>
      <w:r w:rsidRPr="00710DF6">
        <w:rPr>
          <w:rFonts w:cstheme="minorHAnsi"/>
        </w:rPr>
        <w:t xml:space="preserve"> washout experiment is not likely</w:t>
      </w:r>
      <w:r w:rsidR="00DC5D69">
        <w:rPr>
          <w:rFonts w:cstheme="minorHAnsi"/>
        </w:rPr>
        <w:t xml:space="preserve"> due to residual </w:t>
      </w:r>
      <w:r w:rsidR="007A587E">
        <w:rPr>
          <w:rFonts w:cstheme="minorHAnsi"/>
        </w:rPr>
        <w:t>OSW-1 compound</w:t>
      </w:r>
      <w:r w:rsidR="00DC5D69">
        <w:rPr>
          <w:rFonts w:cstheme="minorHAnsi"/>
        </w:rPr>
        <w:t>. I</w:t>
      </w:r>
      <w:r w:rsidRPr="00710DF6">
        <w:rPr>
          <w:rFonts w:cstheme="minorHAnsi"/>
        </w:rPr>
        <w:t>nstead</w:t>
      </w:r>
      <w:r w:rsidR="004452D1">
        <w:rPr>
          <w:rFonts w:cstheme="minorHAnsi"/>
        </w:rPr>
        <w:t>,</w:t>
      </w:r>
      <w:r w:rsidRPr="00710DF6">
        <w:rPr>
          <w:rFonts w:cstheme="minorHAnsi"/>
        </w:rPr>
        <w:t xml:space="preserve"> the anti-viral activity is likely due to a sustained reduction of OSBP levels </w:t>
      </w:r>
      <w:r w:rsidR="00DC5D69">
        <w:rPr>
          <w:rFonts w:cstheme="minorHAnsi"/>
        </w:rPr>
        <w:t>pWO as seen i</w:t>
      </w:r>
      <w:r w:rsidR="00DC5D69" w:rsidRPr="00710DF6">
        <w:rPr>
          <w:rFonts w:cstheme="minorHAnsi"/>
        </w:rPr>
        <w:t>n HeLa cells</w:t>
      </w:r>
      <w:r w:rsidR="00396C71">
        <w:rPr>
          <w:rFonts w:cstheme="minorHAnsi"/>
        </w:rPr>
        <w:t xml:space="preserve"> where </w:t>
      </w:r>
      <w:r w:rsidR="00DC5D69" w:rsidRPr="00710DF6">
        <w:rPr>
          <w:rFonts w:cstheme="minorHAnsi"/>
        </w:rPr>
        <w:t xml:space="preserve">1 nM </w:t>
      </w:r>
      <w:r w:rsidR="007A587E">
        <w:rPr>
          <w:rFonts w:cstheme="minorHAnsi"/>
        </w:rPr>
        <w:t>OSW-1 compound</w:t>
      </w:r>
      <w:r w:rsidR="00DC5D69" w:rsidRPr="00710DF6">
        <w:rPr>
          <w:rFonts w:cstheme="minorHAnsi"/>
        </w:rPr>
        <w:t xml:space="preserve"> washo</w:t>
      </w:r>
      <w:r w:rsidR="00DC5D69">
        <w:rPr>
          <w:rFonts w:cstheme="minorHAnsi"/>
        </w:rPr>
        <w:t>ut reduce</w:t>
      </w:r>
      <w:r w:rsidR="004452D1">
        <w:rPr>
          <w:rFonts w:cstheme="minorHAnsi"/>
        </w:rPr>
        <w:t>d</w:t>
      </w:r>
      <w:r w:rsidR="00DC5D69">
        <w:rPr>
          <w:rFonts w:cstheme="minorHAnsi"/>
        </w:rPr>
        <w:t xml:space="preserve"> OSBP levels by </w:t>
      </w:r>
      <w:r w:rsidR="00DC5D69" w:rsidRPr="00710DF6">
        <w:rPr>
          <w:rFonts w:cstheme="minorHAnsi"/>
        </w:rPr>
        <w:t>~90%</w:t>
      </w:r>
      <w:r w:rsidR="00DC5D69">
        <w:rPr>
          <w:rFonts w:cstheme="minorHAnsi"/>
        </w:rPr>
        <w:t xml:space="preserve"> 24 hours pWO (</w:t>
      </w:r>
      <w:r w:rsidR="00E14895" w:rsidRPr="00A841B4">
        <w:rPr>
          <w:rFonts w:cstheme="minorHAnsi"/>
          <w:b/>
        </w:rPr>
        <w:fldChar w:fldCharType="begin"/>
      </w:r>
      <w:r w:rsidR="00E14895" w:rsidRPr="00A841B4">
        <w:rPr>
          <w:rFonts w:cstheme="minorHAnsi"/>
          <w:b/>
        </w:rPr>
        <w:instrText xml:space="preserve"> REF _Ref530053889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22</w:t>
      </w:r>
      <w:r w:rsidR="00E14895" w:rsidRPr="00A841B4">
        <w:rPr>
          <w:rFonts w:cstheme="minorHAnsi"/>
          <w:b/>
        </w:rPr>
        <w:fldChar w:fldCharType="end"/>
      </w:r>
      <w:r w:rsidR="00DC5D69" w:rsidRPr="00A841B4">
        <w:rPr>
          <w:rFonts w:cstheme="minorHAnsi"/>
          <w:b/>
        </w:rPr>
        <w:t>A</w:t>
      </w:r>
      <w:r w:rsidR="00DC5D69" w:rsidRPr="00710DF6">
        <w:rPr>
          <w:rFonts w:cstheme="minorHAnsi"/>
        </w:rPr>
        <w:t>)</w:t>
      </w:r>
      <w:r w:rsidR="00DC5D69">
        <w:rPr>
          <w:rFonts w:cstheme="minorHAnsi"/>
        </w:rPr>
        <w:t>.</w:t>
      </w:r>
      <w:r w:rsidR="00323A1D" w:rsidRPr="00323A1D">
        <w:rPr>
          <w:rFonts w:cstheme="minorHAnsi"/>
          <w:noProof/>
          <w:lang w:bidi="ar-SA"/>
        </w:rPr>
        <w:t xml:space="preserve"> </w:t>
      </w:r>
    </w:p>
    <w:p w:rsidR="00396C71" w:rsidRDefault="00323A1D" w:rsidP="00FB099D">
      <w:pPr>
        <w:keepNext/>
        <w:jc w:val="both"/>
      </w:pPr>
      <w:r>
        <w:rPr>
          <w:rFonts w:cstheme="minorHAnsi"/>
          <w:noProof/>
          <w:lang w:bidi="ar-SA"/>
        </w:rPr>
        <w:lastRenderedPageBreak/>
        <w:drawing>
          <wp:anchor distT="0" distB="0" distL="114300" distR="114300" simplePos="0" relativeHeight="251727872" behindDoc="1" locked="0" layoutInCell="1" allowOverlap="1" wp14:anchorId="2D5EBD45" wp14:editId="268FBBC9">
            <wp:simplePos x="0" y="0"/>
            <wp:positionH relativeFrom="margin">
              <wp:posOffset>419100</wp:posOffset>
            </wp:positionH>
            <wp:positionV relativeFrom="paragraph">
              <wp:posOffset>114300</wp:posOffset>
            </wp:positionV>
            <wp:extent cx="5013325" cy="5676900"/>
            <wp:effectExtent l="19050" t="19050" r="15875" b="19050"/>
            <wp:wrapTight wrapText="bothSides">
              <wp:wrapPolygon edited="0">
                <wp:start x="-82" y="-72"/>
                <wp:lineTo x="-82" y="21600"/>
                <wp:lineTo x="21586" y="21600"/>
                <wp:lineTo x="21586" y="-72"/>
                <wp:lineTo x="-82" y="-72"/>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13325" cy="56769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rsidR="00396C71" w:rsidRDefault="00A841B4" w:rsidP="00FB099D">
      <w:pPr>
        <w:pStyle w:val="Caption"/>
        <w:jc w:val="both"/>
        <w:rPr>
          <w:b w:val="0"/>
        </w:rPr>
      </w:pPr>
      <w:bookmarkStart w:id="126" w:name="_Ref530053675"/>
      <w:bookmarkStart w:id="127" w:name="_Toc530673949"/>
      <w:r w:rsidRPr="00A841B4">
        <w:t>Figure</w:t>
      </w:r>
      <w:r w:rsidR="00396C71">
        <w:t xml:space="preserve"> </w:t>
      </w:r>
      <w:fldSimple w:instr=" SEQ Figure \* ARABIC ">
        <w:r w:rsidR="00E2070A">
          <w:rPr>
            <w:noProof/>
          </w:rPr>
          <w:t>24</w:t>
        </w:r>
      </w:fldSimple>
      <w:bookmarkEnd w:id="126"/>
      <w:r w:rsidR="00396C71">
        <w:t xml:space="preserve">: </w:t>
      </w:r>
      <w:r w:rsidR="007A587E">
        <w:t>OSW-1 compound</w:t>
      </w:r>
      <w:r w:rsidR="00396C71" w:rsidRPr="00396C71">
        <w:t xml:space="preserve"> washout induces prophylactic antiviral response to two cl</w:t>
      </w:r>
      <w:r w:rsidR="00323A1D">
        <w:t>inical isolates of</w:t>
      </w:r>
      <w:r w:rsidR="00396C71">
        <w:t xml:space="preserve"> Enteroviruses</w:t>
      </w:r>
      <w:r w:rsidR="00396C71" w:rsidRPr="00396C71">
        <w:t xml:space="preserve">. </w:t>
      </w:r>
      <w:r w:rsidR="00396C71" w:rsidRPr="00396C71">
        <w:rPr>
          <w:b w:val="0"/>
        </w:rPr>
        <w:t xml:space="preserve">(A)Viral titers of infected HeLa cells incubated in the presence of the </w:t>
      </w:r>
      <w:r w:rsidR="007A587E">
        <w:rPr>
          <w:b w:val="0"/>
        </w:rPr>
        <w:t>OSW-1 compound</w:t>
      </w:r>
      <w:r w:rsidR="00396C71" w:rsidRPr="00396C71">
        <w:rPr>
          <w:b w:val="0"/>
        </w:rPr>
        <w:t xml:space="preserve">. Cells were treated with the indicated concentrations of </w:t>
      </w:r>
      <w:r w:rsidR="007A587E">
        <w:rPr>
          <w:b w:val="0"/>
        </w:rPr>
        <w:t>OSW-1 compound</w:t>
      </w:r>
      <w:r w:rsidR="00396C71" w:rsidRPr="00396C71">
        <w:rPr>
          <w:b w:val="0"/>
        </w:rPr>
        <w:t xml:space="preserve"> for 6 h</w:t>
      </w:r>
      <w:r w:rsidR="00396C71">
        <w:rPr>
          <w:b w:val="0"/>
        </w:rPr>
        <w:t>ou</w:t>
      </w:r>
      <w:r w:rsidR="00396C71" w:rsidRPr="00396C71">
        <w:rPr>
          <w:b w:val="0"/>
        </w:rPr>
        <w:t>rs, followed by viral infection for 30 min (MOI of 1.0), followed by re-incubation for 10 h</w:t>
      </w:r>
      <w:r w:rsidR="00396C71">
        <w:rPr>
          <w:b w:val="0"/>
        </w:rPr>
        <w:t>ou</w:t>
      </w:r>
      <w:r w:rsidR="00396C71" w:rsidRPr="00396C71">
        <w:rPr>
          <w:b w:val="0"/>
        </w:rPr>
        <w:t xml:space="preserve">rs with </w:t>
      </w:r>
      <w:r w:rsidR="007A587E">
        <w:rPr>
          <w:b w:val="0"/>
        </w:rPr>
        <w:t>OSW-1 compound</w:t>
      </w:r>
      <w:r w:rsidR="00396C71" w:rsidRPr="00396C71">
        <w:rPr>
          <w:b w:val="0"/>
        </w:rPr>
        <w:t xml:space="preserve"> (B) Viral titers in </w:t>
      </w:r>
      <w:r w:rsidR="007A587E">
        <w:rPr>
          <w:b w:val="0"/>
        </w:rPr>
        <w:t>OSW-1 compound</w:t>
      </w:r>
      <w:r w:rsidR="00396C71" w:rsidRPr="00396C71">
        <w:rPr>
          <w:b w:val="0"/>
        </w:rPr>
        <w:t xml:space="preserve"> washout HeLa cells. Cell were treated with the indicated concentrations of </w:t>
      </w:r>
      <w:r w:rsidR="007A587E">
        <w:rPr>
          <w:b w:val="0"/>
        </w:rPr>
        <w:t>OSW-1 compound</w:t>
      </w:r>
      <w:r w:rsidR="00396C71" w:rsidRPr="00396C71">
        <w:rPr>
          <w:b w:val="0"/>
        </w:rPr>
        <w:t xml:space="preserve"> for 6 h</w:t>
      </w:r>
      <w:r w:rsidR="00396C71">
        <w:rPr>
          <w:b w:val="0"/>
        </w:rPr>
        <w:t>ou</w:t>
      </w:r>
      <w:r w:rsidR="00396C71" w:rsidRPr="00396C71">
        <w:rPr>
          <w:b w:val="0"/>
        </w:rPr>
        <w:t>rs, compound was removed, cells were allowed to recovery for 24 h</w:t>
      </w:r>
      <w:r w:rsidR="00396C71">
        <w:rPr>
          <w:b w:val="0"/>
        </w:rPr>
        <w:t>ou</w:t>
      </w:r>
      <w:r w:rsidR="00396C71" w:rsidRPr="00396C71">
        <w:rPr>
          <w:b w:val="0"/>
        </w:rPr>
        <w:t>rs in compound-free media. Then, cells were infected for 30 min with virus (M.O.I.=1.0) followed by 10-hour incubation in compound-free media</w:t>
      </w:r>
      <w:r w:rsidR="00E14895">
        <w:rPr>
          <w:b w:val="0"/>
        </w:rPr>
        <w:t>. All viral results were collected by Dr. Earl Blewett</w:t>
      </w:r>
      <w:bookmarkEnd w:id="127"/>
      <w:r w:rsidR="00787CDA">
        <w:rPr>
          <w:b w:val="0"/>
        </w:rPr>
        <w:t xml:space="preserve">. The author had no contribution to producing the results </w:t>
      </w:r>
    </w:p>
    <w:p w:rsidR="00032E8A" w:rsidRDefault="00032E8A" w:rsidP="00FB099D">
      <w:pPr>
        <w:jc w:val="both"/>
      </w:pPr>
    </w:p>
    <w:p w:rsidR="00032E8A" w:rsidRPr="002D46ED" w:rsidRDefault="00556429" w:rsidP="00FB099D">
      <w:pPr>
        <w:pStyle w:val="Heading2"/>
      </w:pPr>
      <w:bookmarkStart w:id="128" w:name="_Toc532553109"/>
      <w:r w:rsidRPr="002D46ED">
        <w:lastRenderedPageBreak/>
        <w:t>Discussion</w:t>
      </w:r>
      <w:bookmarkEnd w:id="128"/>
    </w:p>
    <w:p w:rsidR="000D03CF" w:rsidRPr="004578F9" w:rsidRDefault="005950B5" w:rsidP="004578F9">
      <w:pPr>
        <w:ind w:firstLine="576"/>
        <w:jc w:val="both"/>
        <w:rPr>
          <w:rFonts w:cstheme="minorHAnsi"/>
          <w:b/>
        </w:rPr>
      </w:pPr>
      <w:r>
        <w:rPr>
          <w:rFonts w:cstheme="minorHAnsi"/>
        </w:rPr>
        <w:t xml:space="preserve">The results show that the </w:t>
      </w:r>
      <w:r w:rsidR="007A587E">
        <w:rPr>
          <w:rFonts w:cstheme="minorHAnsi"/>
        </w:rPr>
        <w:t>OSW-1 compound</w:t>
      </w:r>
      <w:r w:rsidR="00890F98">
        <w:rPr>
          <w:rFonts w:cstheme="minorHAnsi"/>
        </w:rPr>
        <w:t xml:space="preserve"> cellular treatment induces the reduction of both</w:t>
      </w:r>
      <w:r>
        <w:rPr>
          <w:rFonts w:cstheme="minorHAnsi"/>
        </w:rPr>
        <w:t xml:space="preserve"> OSBP and ORP4 in a similar manner, but on different time frames</w:t>
      </w:r>
      <w:r w:rsidR="00890F98">
        <w:rPr>
          <w:rFonts w:cstheme="minorHAnsi"/>
        </w:rPr>
        <w:t xml:space="preserve"> and to different amounts</w:t>
      </w:r>
      <w:r>
        <w:rPr>
          <w:rFonts w:cstheme="minorHAnsi"/>
        </w:rPr>
        <w:t xml:space="preserve"> (</w:t>
      </w:r>
      <w:r w:rsidR="004578F9" w:rsidRPr="004578F9">
        <w:rPr>
          <w:rFonts w:cstheme="minorHAnsi"/>
          <w:b/>
        </w:rPr>
        <w:fldChar w:fldCharType="begin"/>
      </w:r>
      <w:r w:rsidR="004578F9" w:rsidRPr="004578F9">
        <w:rPr>
          <w:rFonts w:cstheme="minorHAnsi"/>
          <w:b/>
        </w:rPr>
        <w:instrText xml:space="preserve"> REF _Ref532554289 \h </w:instrText>
      </w:r>
      <w:r w:rsidR="004578F9" w:rsidRPr="004578F9">
        <w:rPr>
          <w:rFonts w:cstheme="minorHAnsi"/>
          <w:b/>
        </w:rPr>
      </w:r>
      <w:r w:rsidR="004578F9" w:rsidRPr="004578F9">
        <w:rPr>
          <w:rFonts w:cstheme="minorHAnsi"/>
          <w:b/>
        </w:rPr>
        <w:instrText xml:space="preserve"> \* MERGEFORMAT </w:instrText>
      </w:r>
      <w:r w:rsidR="004578F9" w:rsidRPr="004578F9">
        <w:rPr>
          <w:rFonts w:cstheme="minorHAnsi"/>
          <w:b/>
        </w:rPr>
        <w:fldChar w:fldCharType="separate"/>
      </w:r>
      <w:r w:rsidR="00E2070A" w:rsidRPr="00E2070A">
        <w:rPr>
          <w:b/>
        </w:rPr>
        <w:t xml:space="preserve">Figure </w:t>
      </w:r>
      <w:r w:rsidR="00E2070A" w:rsidRPr="00E2070A">
        <w:rPr>
          <w:b/>
          <w:noProof/>
        </w:rPr>
        <w:t>17</w:t>
      </w:r>
      <w:r w:rsidR="004578F9" w:rsidRPr="004578F9">
        <w:rPr>
          <w:rFonts w:cstheme="minorHAnsi"/>
          <w:b/>
        </w:rPr>
        <w:fldChar w:fldCharType="end"/>
      </w:r>
      <w:r>
        <w:rPr>
          <w:rFonts w:cstheme="minorHAnsi"/>
        </w:rPr>
        <w:t xml:space="preserve">). OSBP is degraded </w:t>
      </w:r>
      <w:r w:rsidR="00890F98">
        <w:rPr>
          <w:rFonts w:cstheme="minorHAnsi"/>
        </w:rPr>
        <w:t>much faster and to a much more pronounced degree than</w:t>
      </w:r>
      <w:r>
        <w:rPr>
          <w:rFonts w:cstheme="minorHAnsi"/>
        </w:rPr>
        <w:t xml:space="preserve"> ORP4</w:t>
      </w:r>
      <w:r w:rsidR="00890F98">
        <w:rPr>
          <w:rFonts w:cstheme="minorHAnsi"/>
        </w:rPr>
        <w:t>; ORP4</w:t>
      </w:r>
      <w:r>
        <w:rPr>
          <w:rFonts w:cstheme="minorHAnsi"/>
        </w:rPr>
        <w:t xml:space="preserve"> levels </w:t>
      </w:r>
      <w:r w:rsidR="009B5CCB">
        <w:rPr>
          <w:rFonts w:cstheme="minorHAnsi"/>
        </w:rPr>
        <w:t>only decrease after</w:t>
      </w:r>
      <w:r w:rsidR="00890F98">
        <w:rPr>
          <w:rFonts w:cstheme="minorHAnsi"/>
        </w:rPr>
        <w:t xml:space="preserve"> 24 </w:t>
      </w:r>
      <w:r>
        <w:rPr>
          <w:rFonts w:cstheme="minorHAnsi"/>
        </w:rPr>
        <w:t>hour</w:t>
      </w:r>
      <w:r w:rsidR="00890F98">
        <w:rPr>
          <w:rFonts w:cstheme="minorHAnsi"/>
        </w:rPr>
        <w:t>s</w:t>
      </w:r>
      <w:r>
        <w:rPr>
          <w:rFonts w:cstheme="minorHAnsi"/>
        </w:rPr>
        <w:t xml:space="preserve"> </w:t>
      </w:r>
      <w:r w:rsidR="00890F98">
        <w:rPr>
          <w:rFonts w:cstheme="minorHAnsi"/>
        </w:rPr>
        <w:t>of continuous treatment</w:t>
      </w:r>
      <w:r>
        <w:rPr>
          <w:rFonts w:cstheme="minorHAnsi"/>
        </w:rPr>
        <w:t xml:space="preserve"> (</w:t>
      </w:r>
      <w:r w:rsidR="004578F9" w:rsidRPr="004578F9">
        <w:rPr>
          <w:rFonts w:cstheme="minorHAnsi"/>
          <w:b/>
        </w:rPr>
        <w:fldChar w:fldCharType="begin"/>
      </w:r>
      <w:r w:rsidR="004578F9" w:rsidRPr="004578F9">
        <w:rPr>
          <w:rFonts w:cstheme="minorHAnsi"/>
          <w:b/>
        </w:rPr>
        <w:instrText xml:space="preserve"> REF _Ref532554289 \h </w:instrText>
      </w:r>
      <w:r w:rsidR="004578F9" w:rsidRPr="004578F9">
        <w:rPr>
          <w:rFonts w:cstheme="minorHAnsi"/>
          <w:b/>
        </w:rPr>
      </w:r>
      <w:r w:rsidR="004578F9" w:rsidRPr="004578F9">
        <w:rPr>
          <w:rFonts w:cstheme="minorHAnsi"/>
          <w:b/>
        </w:rPr>
        <w:instrText xml:space="preserve"> \* MERGEFORMAT </w:instrText>
      </w:r>
      <w:r w:rsidR="004578F9" w:rsidRPr="004578F9">
        <w:rPr>
          <w:rFonts w:cstheme="minorHAnsi"/>
          <w:b/>
        </w:rPr>
        <w:fldChar w:fldCharType="separate"/>
      </w:r>
      <w:r w:rsidR="00E2070A" w:rsidRPr="00E2070A">
        <w:rPr>
          <w:b/>
        </w:rPr>
        <w:t xml:space="preserve">Figure </w:t>
      </w:r>
      <w:r w:rsidR="00E2070A" w:rsidRPr="00E2070A">
        <w:rPr>
          <w:b/>
          <w:noProof/>
        </w:rPr>
        <w:t>17</w:t>
      </w:r>
      <w:r w:rsidR="004578F9" w:rsidRPr="004578F9">
        <w:rPr>
          <w:rFonts w:cstheme="minorHAnsi"/>
          <w:b/>
        </w:rPr>
        <w:fldChar w:fldCharType="end"/>
      </w:r>
      <w:r w:rsidRPr="00A841B4">
        <w:rPr>
          <w:rFonts w:cstheme="minorHAnsi"/>
          <w:b/>
        </w:rPr>
        <w:t>B</w:t>
      </w:r>
      <w:r>
        <w:rPr>
          <w:rFonts w:cstheme="minorHAnsi"/>
        </w:rPr>
        <w:t>)</w:t>
      </w:r>
      <w:r w:rsidR="00890F98">
        <w:rPr>
          <w:rFonts w:cstheme="minorHAnsi"/>
        </w:rPr>
        <w:t>.</w:t>
      </w:r>
      <w:r>
        <w:rPr>
          <w:rFonts w:cstheme="minorHAnsi"/>
        </w:rPr>
        <w:t xml:space="preserve"> </w:t>
      </w:r>
      <w:r w:rsidR="00890F98">
        <w:rPr>
          <w:rFonts w:cstheme="minorHAnsi"/>
        </w:rPr>
        <w:t>Importantly, the reduction of ORP4 levels at 24 with 1 nM co</w:t>
      </w:r>
      <w:r w:rsidR="009B5CCB">
        <w:rPr>
          <w:rFonts w:cstheme="minorHAnsi"/>
        </w:rPr>
        <w:t>ntinuous OSW-1 treatment is consistent with observed</w:t>
      </w:r>
      <w:r>
        <w:rPr>
          <w:rFonts w:cstheme="minorHAnsi"/>
        </w:rPr>
        <w:t xml:space="preserve"> cytotoxicity</w:t>
      </w:r>
      <w:r w:rsidR="00890F98">
        <w:rPr>
          <w:rFonts w:cstheme="minorHAnsi"/>
        </w:rPr>
        <w:t xml:space="preserve"> in </w:t>
      </w:r>
      <w:r>
        <w:rPr>
          <w:rFonts w:cstheme="minorHAnsi"/>
        </w:rPr>
        <w:t xml:space="preserve"> HEK293</w:t>
      </w:r>
      <w:r w:rsidR="00890F98">
        <w:rPr>
          <w:rFonts w:cstheme="minorHAnsi"/>
        </w:rPr>
        <w:t xml:space="preserve"> cells</w:t>
      </w:r>
      <w:r w:rsidR="00E14895">
        <w:rPr>
          <w:rFonts w:cstheme="minorHAnsi"/>
        </w:rPr>
        <w:t xml:space="preserve"> </w:t>
      </w:r>
      <w:r>
        <w:rPr>
          <w:rFonts w:cstheme="minorHAnsi"/>
        </w:rPr>
        <w:t>(</w:t>
      </w:r>
      <w:r w:rsidR="00E14895" w:rsidRPr="00A841B4">
        <w:rPr>
          <w:rFonts w:cstheme="minorHAnsi"/>
          <w:b/>
        </w:rPr>
        <w:fldChar w:fldCharType="begin"/>
      </w:r>
      <w:r w:rsidR="00E14895" w:rsidRPr="00A841B4">
        <w:rPr>
          <w:rFonts w:cstheme="minorHAnsi"/>
          <w:b/>
        </w:rPr>
        <w:instrText xml:space="preserve"> REF _Ref530062121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42</w:t>
      </w:r>
      <w:r w:rsidR="00E14895" w:rsidRPr="00A841B4">
        <w:rPr>
          <w:rFonts w:cstheme="minorHAnsi"/>
          <w:b/>
        </w:rPr>
        <w:fldChar w:fldCharType="end"/>
      </w:r>
      <w:r w:rsidRPr="00A841B4">
        <w:rPr>
          <w:rFonts w:cstheme="minorHAnsi"/>
          <w:b/>
        </w:rPr>
        <w:t>A</w:t>
      </w:r>
      <w:r>
        <w:rPr>
          <w:rFonts w:cstheme="minorHAnsi"/>
        </w:rPr>
        <w:t xml:space="preserve">). </w:t>
      </w:r>
      <w:r w:rsidR="006A40CE">
        <w:rPr>
          <w:rFonts w:cstheme="minorHAnsi"/>
        </w:rPr>
        <w:t xml:space="preserve">Given that we </w:t>
      </w:r>
      <w:r w:rsidR="00E20829">
        <w:rPr>
          <w:rFonts w:cstheme="minorHAnsi"/>
        </w:rPr>
        <w:t xml:space="preserve">and others </w:t>
      </w:r>
      <w:r w:rsidR="006A40CE">
        <w:rPr>
          <w:rFonts w:cstheme="minorHAnsi"/>
        </w:rPr>
        <w:t>show loss of OSBP does not result in cytotoxicity</w:t>
      </w:r>
      <w:r w:rsidR="00E20829" w:rsidRPr="00E20829">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00E20829" w:rsidRPr="00E20829">
        <w:rPr>
          <w:rFonts w:cstheme="minorHAnsi"/>
          <w:vertAlign w:val="superscript"/>
        </w:rPr>
        <w:fldChar w:fldCharType="separate"/>
      </w:r>
      <w:r w:rsidR="00393368" w:rsidRPr="00393368">
        <w:rPr>
          <w:rFonts w:cstheme="minorHAnsi"/>
          <w:noProof/>
        </w:rPr>
        <w:t>(46)</w:t>
      </w:r>
      <w:r w:rsidR="00E20829" w:rsidRPr="00E20829">
        <w:rPr>
          <w:rFonts w:cstheme="minorHAnsi"/>
          <w:vertAlign w:val="superscript"/>
        </w:rPr>
        <w:fldChar w:fldCharType="end"/>
      </w:r>
      <w:r w:rsidR="006A40CE">
        <w:rPr>
          <w:rFonts w:cstheme="minorHAnsi"/>
        </w:rPr>
        <w:t xml:space="preserve"> (</w:t>
      </w:r>
      <w:r w:rsidR="00E14895">
        <w:rPr>
          <w:rFonts w:cstheme="minorHAnsi"/>
        </w:rPr>
        <w:fldChar w:fldCharType="begin"/>
      </w:r>
      <w:r w:rsidR="00E14895">
        <w:rPr>
          <w:rFonts w:cstheme="minorHAnsi"/>
        </w:rPr>
        <w:instrText xml:space="preserve"> REF _Ref530134120 \h </w:instrText>
      </w:r>
      <w:r w:rsidR="001B3703">
        <w:rPr>
          <w:rFonts w:cstheme="minorHAnsi"/>
        </w:rPr>
        <w:instrText xml:space="preserve"> \* MERGEFORMAT </w:instrText>
      </w:r>
      <w:r w:rsidR="00E14895">
        <w:rPr>
          <w:rFonts w:cstheme="minorHAnsi"/>
        </w:rPr>
      </w:r>
      <w:r w:rsidR="00E14895">
        <w:rPr>
          <w:rFonts w:cstheme="minorHAnsi"/>
        </w:rPr>
        <w:fldChar w:fldCharType="separate"/>
      </w:r>
      <w:r w:rsidR="00E2070A" w:rsidRPr="00E2070A">
        <w:rPr>
          <w:b/>
        </w:rPr>
        <w:t>Figure</w:t>
      </w:r>
      <w:r w:rsidR="00E2070A">
        <w:t xml:space="preserve"> </w:t>
      </w:r>
      <w:r w:rsidR="00E2070A" w:rsidRPr="00E2070A">
        <w:rPr>
          <w:b/>
          <w:noProof/>
        </w:rPr>
        <w:t>21</w:t>
      </w:r>
      <w:r w:rsidR="00E14895">
        <w:rPr>
          <w:rFonts w:cstheme="minorHAnsi"/>
        </w:rPr>
        <w:fldChar w:fldCharType="end"/>
      </w:r>
      <w:r w:rsidR="006A40CE">
        <w:rPr>
          <w:rFonts w:cstheme="minorHAnsi"/>
        </w:rPr>
        <w:t>), t</w:t>
      </w:r>
      <w:r>
        <w:rPr>
          <w:rFonts w:cstheme="minorHAnsi"/>
        </w:rPr>
        <w:t xml:space="preserve">hese results would suggest that OSBP </w:t>
      </w:r>
      <w:r w:rsidR="00890F98">
        <w:rPr>
          <w:rFonts w:cstheme="minorHAnsi"/>
        </w:rPr>
        <w:t xml:space="preserve">could act to absorb the </w:t>
      </w:r>
      <w:r w:rsidR="007A587E">
        <w:rPr>
          <w:rFonts w:cstheme="minorHAnsi"/>
        </w:rPr>
        <w:t>OSW-1 compound</w:t>
      </w:r>
      <w:r>
        <w:rPr>
          <w:rFonts w:cstheme="minorHAnsi"/>
        </w:rPr>
        <w:t xml:space="preserve"> </w:t>
      </w:r>
      <w:r w:rsidR="00890F98">
        <w:rPr>
          <w:rFonts w:cstheme="minorHAnsi"/>
        </w:rPr>
        <w:t xml:space="preserve">preventing the compound from interacting with ORP4. As the OSBP levels rapidly drop due to OSW-1 compound, the compound could then interact with ORP4 causing the </w:t>
      </w:r>
      <w:r>
        <w:rPr>
          <w:rFonts w:cstheme="minorHAnsi"/>
        </w:rPr>
        <w:t>cytotoxicity.</w:t>
      </w:r>
    </w:p>
    <w:p w:rsidR="00E877AE" w:rsidRDefault="000D03CF" w:rsidP="004578F9">
      <w:pPr>
        <w:ind w:firstLine="576"/>
        <w:jc w:val="both"/>
        <w:rPr>
          <w:rFonts w:cstheme="minorHAnsi"/>
        </w:rPr>
      </w:pPr>
      <w:r>
        <w:rPr>
          <w:rFonts w:cstheme="minorHAnsi"/>
        </w:rPr>
        <w:t>Our re</w:t>
      </w:r>
      <w:r w:rsidR="00890F98">
        <w:rPr>
          <w:rFonts w:cstheme="minorHAnsi"/>
        </w:rPr>
        <w:t xml:space="preserve">sults show that short non-toxic cellular treatment </w:t>
      </w:r>
      <w:r w:rsidR="009B5CCB">
        <w:rPr>
          <w:rFonts w:cstheme="minorHAnsi"/>
        </w:rPr>
        <w:t>with</w:t>
      </w:r>
      <w:r w:rsidR="00890F98">
        <w:rPr>
          <w:rFonts w:cstheme="minorHAnsi"/>
        </w:rPr>
        <w:t xml:space="preserve"> the</w:t>
      </w:r>
      <w:r>
        <w:rPr>
          <w:rFonts w:cstheme="minorHAnsi"/>
        </w:rPr>
        <w:t xml:space="preserve"> </w:t>
      </w:r>
      <w:r w:rsidR="007A587E">
        <w:rPr>
          <w:rFonts w:cstheme="minorHAnsi"/>
        </w:rPr>
        <w:t>OSW-1 compound</w:t>
      </w:r>
      <w:r>
        <w:rPr>
          <w:rFonts w:cstheme="minorHAnsi"/>
        </w:rPr>
        <w:t xml:space="preserve"> followed by removal </w:t>
      </w:r>
      <w:r w:rsidR="00890F98">
        <w:rPr>
          <w:rFonts w:cstheme="minorHAnsi"/>
        </w:rPr>
        <w:t xml:space="preserve">of the compound from the cells, </w:t>
      </w:r>
      <w:r>
        <w:rPr>
          <w:rFonts w:cstheme="minorHAnsi"/>
        </w:rPr>
        <w:t xml:space="preserve">leads to </w:t>
      </w:r>
      <w:r w:rsidR="00890F98">
        <w:rPr>
          <w:rFonts w:cstheme="minorHAnsi"/>
        </w:rPr>
        <w:t xml:space="preserve">a </w:t>
      </w:r>
      <w:r>
        <w:rPr>
          <w:rFonts w:cstheme="minorHAnsi"/>
        </w:rPr>
        <w:t xml:space="preserve">sustained </w:t>
      </w:r>
      <w:r w:rsidR="00890F98">
        <w:rPr>
          <w:rFonts w:cstheme="minorHAnsi"/>
        </w:rPr>
        <w:t xml:space="preserve">loss of </w:t>
      </w:r>
      <w:r>
        <w:rPr>
          <w:rFonts w:cstheme="minorHAnsi"/>
        </w:rPr>
        <w:t>OSBP</w:t>
      </w:r>
      <w:r w:rsidR="00890F98">
        <w:rPr>
          <w:rFonts w:cstheme="minorHAnsi"/>
        </w:rPr>
        <w:t xml:space="preserve"> (~90%)</w:t>
      </w:r>
      <w:r>
        <w:rPr>
          <w:rFonts w:cstheme="minorHAnsi"/>
        </w:rPr>
        <w:t xml:space="preserve"> </w:t>
      </w:r>
      <w:r w:rsidR="00890F98">
        <w:rPr>
          <w:rFonts w:cstheme="minorHAnsi"/>
        </w:rPr>
        <w:t>lasting</w:t>
      </w:r>
      <w:r w:rsidR="00EC4EA6">
        <w:rPr>
          <w:rFonts w:cstheme="minorHAnsi"/>
        </w:rPr>
        <w:t xml:space="preserve"> 48-72 hours</w:t>
      </w:r>
      <w:r w:rsidR="00890F98">
        <w:rPr>
          <w:rFonts w:cstheme="minorHAnsi"/>
        </w:rPr>
        <w:t xml:space="preserve"> after the compound treatment stopped. This OSBP reduction upon the OSW-1 washout happens</w:t>
      </w:r>
      <w:r w:rsidR="00EC4EA6">
        <w:rPr>
          <w:rFonts w:cstheme="minorHAnsi"/>
        </w:rPr>
        <w:t xml:space="preserve"> in multiple cell lines</w:t>
      </w:r>
      <w:r w:rsidR="00B67A30">
        <w:rPr>
          <w:rFonts w:cstheme="minorHAnsi"/>
        </w:rPr>
        <w:t xml:space="preserve"> and persists through multiple cell divisions</w:t>
      </w:r>
      <w:r w:rsidR="00EC4EA6">
        <w:rPr>
          <w:rFonts w:cstheme="minorHAnsi"/>
        </w:rPr>
        <w:t xml:space="preserve"> (</w:t>
      </w:r>
      <w:r w:rsidR="00E14895">
        <w:rPr>
          <w:rFonts w:cstheme="minorHAnsi"/>
        </w:rPr>
        <w:fldChar w:fldCharType="begin"/>
      </w:r>
      <w:r w:rsidR="00E14895">
        <w:rPr>
          <w:rFonts w:cstheme="minorHAnsi"/>
        </w:rPr>
        <w:instrText xml:space="preserve"> REF _Ref530131535 \h </w:instrText>
      </w:r>
      <w:r w:rsidR="001B3703">
        <w:rPr>
          <w:rFonts w:cstheme="minorHAnsi"/>
        </w:rPr>
        <w:instrText xml:space="preserve"> \* MERGEFORMAT </w:instrText>
      </w:r>
      <w:r w:rsidR="00E14895">
        <w:rPr>
          <w:rFonts w:cstheme="minorHAnsi"/>
        </w:rPr>
      </w:r>
      <w:r w:rsidR="00E14895">
        <w:rPr>
          <w:rFonts w:cstheme="minorHAnsi"/>
        </w:rPr>
        <w:fldChar w:fldCharType="separate"/>
      </w:r>
      <w:r w:rsidR="00E2070A" w:rsidRPr="00E2070A">
        <w:rPr>
          <w:b/>
        </w:rPr>
        <w:t>Figure</w:t>
      </w:r>
      <w:r w:rsidR="00E2070A">
        <w:t xml:space="preserve"> </w:t>
      </w:r>
      <w:r w:rsidR="00E2070A" w:rsidRPr="00E2070A">
        <w:rPr>
          <w:b/>
          <w:noProof/>
        </w:rPr>
        <w:t>19</w:t>
      </w:r>
      <w:r w:rsidR="00E14895">
        <w:rPr>
          <w:rFonts w:cstheme="minorHAnsi"/>
        </w:rPr>
        <w:fldChar w:fldCharType="end"/>
      </w:r>
      <w:r w:rsidR="00EC4EA6">
        <w:rPr>
          <w:rFonts w:cstheme="minorHAnsi"/>
        </w:rPr>
        <w:t>)</w:t>
      </w:r>
      <w:r w:rsidR="00B67A30">
        <w:rPr>
          <w:rFonts w:cstheme="minorHAnsi"/>
        </w:rPr>
        <w:t xml:space="preserve">. </w:t>
      </w:r>
      <w:r w:rsidR="00BA7642">
        <w:rPr>
          <w:rFonts w:cstheme="minorHAnsi"/>
        </w:rPr>
        <w:t xml:space="preserve">The </w:t>
      </w:r>
      <w:r w:rsidR="007A587E">
        <w:rPr>
          <w:rFonts w:cstheme="minorHAnsi"/>
        </w:rPr>
        <w:t>OSW-1 compound</w:t>
      </w:r>
      <w:r w:rsidR="00BA7642">
        <w:rPr>
          <w:rFonts w:cstheme="minorHAnsi"/>
        </w:rPr>
        <w:t xml:space="preserve"> washout cells do not show any signs of growth arrest, cytotoxicity or changes in cellular</w:t>
      </w:r>
      <w:r w:rsidR="007F282D">
        <w:rPr>
          <w:rFonts w:cstheme="minorHAnsi"/>
        </w:rPr>
        <w:t xml:space="preserve"> </w:t>
      </w:r>
      <w:r w:rsidR="00BA7642">
        <w:rPr>
          <w:rFonts w:cstheme="minorHAnsi"/>
        </w:rPr>
        <w:t>morphology</w:t>
      </w:r>
      <w:r w:rsidR="006751D9">
        <w:rPr>
          <w:rFonts w:cstheme="minorHAnsi"/>
        </w:rPr>
        <w:t xml:space="preserve"> (</w:t>
      </w:r>
      <w:r w:rsidR="00E14895">
        <w:rPr>
          <w:rFonts w:cstheme="minorHAnsi"/>
        </w:rPr>
        <w:fldChar w:fldCharType="begin"/>
      </w:r>
      <w:r w:rsidR="00E14895">
        <w:rPr>
          <w:rFonts w:cstheme="minorHAnsi"/>
        </w:rPr>
        <w:instrText xml:space="preserve"> REF _Ref530134120 \h </w:instrText>
      </w:r>
      <w:r w:rsidR="001B3703">
        <w:rPr>
          <w:rFonts w:cstheme="minorHAnsi"/>
        </w:rPr>
        <w:instrText xml:space="preserve"> \* MERGEFORMAT </w:instrText>
      </w:r>
      <w:r w:rsidR="00E14895">
        <w:rPr>
          <w:rFonts w:cstheme="minorHAnsi"/>
        </w:rPr>
      </w:r>
      <w:r w:rsidR="00E14895">
        <w:rPr>
          <w:rFonts w:cstheme="minorHAnsi"/>
        </w:rPr>
        <w:fldChar w:fldCharType="separate"/>
      </w:r>
      <w:r w:rsidR="00E2070A" w:rsidRPr="00E2070A">
        <w:rPr>
          <w:b/>
        </w:rPr>
        <w:t>Figure</w:t>
      </w:r>
      <w:r w:rsidR="00E2070A">
        <w:t xml:space="preserve"> </w:t>
      </w:r>
      <w:r w:rsidR="00E2070A" w:rsidRPr="00E2070A">
        <w:rPr>
          <w:b/>
          <w:noProof/>
        </w:rPr>
        <w:t>21</w:t>
      </w:r>
      <w:r w:rsidR="00E14895">
        <w:rPr>
          <w:rFonts w:cstheme="minorHAnsi"/>
        </w:rPr>
        <w:fldChar w:fldCharType="end"/>
      </w:r>
      <w:r w:rsidR="007F282D">
        <w:rPr>
          <w:rFonts w:cstheme="minorHAnsi"/>
        </w:rPr>
        <w:t xml:space="preserve">). </w:t>
      </w:r>
      <w:r w:rsidR="00404C3B">
        <w:rPr>
          <w:rFonts w:cstheme="minorHAnsi"/>
        </w:rPr>
        <w:t xml:space="preserve">The OSW-1 compound interacts with OSBP and ORP4 with comparable affinities, as measured through </w:t>
      </w:r>
      <w:r w:rsidR="00404C3B">
        <w:rPr>
          <w:rFonts w:cstheme="minorHAnsi"/>
          <w:i/>
        </w:rPr>
        <w:t>in vitro</w:t>
      </w:r>
      <w:r w:rsidR="00404C3B">
        <w:rPr>
          <w:rFonts w:cstheme="minorHAnsi"/>
        </w:rPr>
        <w:t xml:space="preserve"> competitive binding of 25-hydroxycholsterol (</w:t>
      </w:r>
      <w:r w:rsidR="00404C3B">
        <w:rPr>
          <w:rFonts w:cstheme="minorHAnsi"/>
        </w:rPr>
        <w:fldChar w:fldCharType="begin"/>
      </w:r>
      <w:r w:rsidR="00404C3B">
        <w:rPr>
          <w:rFonts w:cstheme="minorHAnsi"/>
        </w:rPr>
        <w:instrText xml:space="preserve"> REF _Ref530137547 \h  \* MERGEFORMAT </w:instrText>
      </w:r>
      <w:r w:rsidR="00404C3B">
        <w:rPr>
          <w:rFonts w:cstheme="minorHAnsi"/>
        </w:rPr>
      </w:r>
      <w:r w:rsidR="00404C3B">
        <w:rPr>
          <w:rFonts w:cstheme="minorHAnsi"/>
        </w:rPr>
        <w:fldChar w:fldCharType="separate"/>
      </w:r>
      <w:r w:rsidR="00E2070A" w:rsidRPr="00E2070A">
        <w:rPr>
          <w:b/>
        </w:rPr>
        <w:t>Figure</w:t>
      </w:r>
      <w:r w:rsidR="00E2070A">
        <w:t xml:space="preserve"> </w:t>
      </w:r>
      <w:r w:rsidR="00E2070A" w:rsidRPr="00E2070A">
        <w:rPr>
          <w:b/>
          <w:noProof/>
        </w:rPr>
        <w:t>51</w:t>
      </w:r>
      <w:r w:rsidR="00404C3B">
        <w:rPr>
          <w:rFonts w:cstheme="minorHAnsi"/>
        </w:rPr>
        <w:fldChar w:fldCharType="end"/>
      </w:r>
      <w:r w:rsidR="00404C3B">
        <w:rPr>
          <w:rFonts w:cstheme="minorHAnsi"/>
        </w:rPr>
        <w:t xml:space="preserve">). </w:t>
      </w:r>
      <w:r w:rsidR="00091A18">
        <w:rPr>
          <w:rFonts w:cstheme="minorHAnsi"/>
        </w:rPr>
        <w:t>ORP4 protein levels do not change significantly</w:t>
      </w:r>
      <w:r w:rsidR="00404C3B">
        <w:rPr>
          <w:rFonts w:cstheme="minorHAnsi"/>
        </w:rPr>
        <w:t xml:space="preserve"> upon the OSW-1 washout conditions, and this is consistent with the lack of induced cytotoxicity (</w:t>
      </w:r>
      <w:r w:rsidR="00404C3B" w:rsidRPr="00A841B4">
        <w:rPr>
          <w:rFonts w:cstheme="minorHAnsi"/>
          <w:b/>
        </w:rPr>
        <w:fldChar w:fldCharType="begin"/>
      </w:r>
      <w:r w:rsidR="00404C3B" w:rsidRPr="00A841B4">
        <w:rPr>
          <w:rFonts w:cstheme="minorHAnsi"/>
          <w:b/>
        </w:rPr>
        <w:instrText xml:space="preserve"> REF _Ref530062121 \h  \* MERGEFORMAT </w:instrText>
      </w:r>
      <w:r w:rsidR="00404C3B" w:rsidRPr="00A841B4">
        <w:rPr>
          <w:rFonts w:cstheme="minorHAnsi"/>
          <w:b/>
        </w:rPr>
      </w:r>
      <w:r w:rsidR="00404C3B" w:rsidRPr="00A841B4">
        <w:rPr>
          <w:rFonts w:cstheme="minorHAnsi"/>
          <w:b/>
        </w:rPr>
        <w:fldChar w:fldCharType="separate"/>
      </w:r>
      <w:r w:rsidR="00E2070A" w:rsidRPr="00E2070A">
        <w:rPr>
          <w:b/>
        </w:rPr>
        <w:t xml:space="preserve">Figure </w:t>
      </w:r>
      <w:r w:rsidR="00E2070A" w:rsidRPr="00E2070A">
        <w:rPr>
          <w:b/>
          <w:noProof/>
        </w:rPr>
        <w:t>42</w:t>
      </w:r>
      <w:r w:rsidR="00404C3B" w:rsidRPr="00A841B4">
        <w:rPr>
          <w:rFonts w:cstheme="minorHAnsi"/>
          <w:b/>
        </w:rPr>
        <w:fldChar w:fldCharType="end"/>
      </w:r>
      <w:r w:rsidR="00404C3B" w:rsidRPr="00A841B4">
        <w:rPr>
          <w:rFonts w:cstheme="minorHAnsi"/>
          <w:b/>
        </w:rPr>
        <w:t>B</w:t>
      </w:r>
      <w:r w:rsidR="00404C3B">
        <w:rPr>
          <w:rFonts w:cstheme="minorHAnsi"/>
        </w:rPr>
        <w:t>). Additionally, morphology of the Golgi network returns to a normal pattern 12 hours post-washout</w:t>
      </w:r>
      <w:r w:rsidR="00091A18">
        <w:rPr>
          <w:rFonts w:cstheme="minorHAnsi"/>
        </w:rPr>
        <w:t xml:space="preserve"> during the washout </w:t>
      </w:r>
      <w:r w:rsidR="006751D9">
        <w:rPr>
          <w:rFonts w:cstheme="minorHAnsi"/>
        </w:rPr>
        <w:t xml:space="preserve">recovery and the trans Golgi network appears to recover 12 hours pWO ( </w:t>
      </w:r>
      <w:r w:rsidR="00E14895">
        <w:rPr>
          <w:rFonts w:cstheme="minorHAnsi"/>
        </w:rPr>
        <w:fldChar w:fldCharType="begin"/>
      </w:r>
      <w:r w:rsidR="00E14895">
        <w:rPr>
          <w:rFonts w:cstheme="minorHAnsi"/>
        </w:rPr>
        <w:instrText xml:space="preserve"> REF _Ref530134031 \h </w:instrText>
      </w:r>
      <w:r w:rsidR="001B3703">
        <w:rPr>
          <w:rFonts w:cstheme="minorHAnsi"/>
        </w:rPr>
        <w:instrText xml:space="preserve"> \* MERGEFORMAT </w:instrText>
      </w:r>
      <w:r w:rsidR="00E14895">
        <w:rPr>
          <w:rFonts w:cstheme="minorHAnsi"/>
        </w:rPr>
      </w:r>
      <w:r w:rsidR="00E14895">
        <w:rPr>
          <w:rFonts w:cstheme="minorHAnsi"/>
        </w:rPr>
        <w:fldChar w:fldCharType="separate"/>
      </w:r>
      <w:r w:rsidR="00E2070A" w:rsidRPr="00E2070A">
        <w:rPr>
          <w:b/>
        </w:rPr>
        <w:t>Figure</w:t>
      </w:r>
      <w:r w:rsidR="00E2070A">
        <w:t xml:space="preserve"> </w:t>
      </w:r>
      <w:r w:rsidR="00E2070A" w:rsidRPr="00E2070A">
        <w:rPr>
          <w:b/>
          <w:noProof/>
        </w:rPr>
        <w:t>20</w:t>
      </w:r>
      <w:r w:rsidR="00E14895">
        <w:rPr>
          <w:rFonts w:cstheme="minorHAnsi"/>
        </w:rPr>
        <w:fldChar w:fldCharType="end"/>
      </w:r>
      <w:r w:rsidR="00404C3B">
        <w:rPr>
          <w:rFonts w:cstheme="minorHAnsi"/>
        </w:rPr>
        <w:t>).</w:t>
      </w:r>
    </w:p>
    <w:p w:rsidR="00362FAB" w:rsidRDefault="000A4BA1" w:rsidP="004578F9">
      <w:pPr>
        <w:ind w:firstLine="576"/>
        <w:jc w:val="both"/>
        <w:rPr>
          <w:rFonts w:cstheme="minorHAnsi"/>
        </w:rPr>
      </w:pPr>
      <w:r>
        <w:rPr>
          <w:rFonts w:cstheme="minorHAnsi"/>
        </w:rPr>
        <w:lastRenderedPageBreak/>
        <w:t xml:space="preserve">The lack of cytotoxicity in the </w:t>
      </w:r>
      <w:r w:rsidR="007A587E">
        <w:rPr>
          <w:rFonts w:cstheme="minorHAnsi"/>
        </w:rPr>
        <w:t>OSW-1 compound</w:t>
      </w:r>
      <w:r>
        <w:rPr>
          <w:rFonts w:cstheme="minorHAnsi"/>
        </w:rPr>
        <w:t xml:space="preserve"> </w:t>
      </w:r>
      <w:r w:rsidR="009B5CCB">
        <w:rPr>
          <w:rFonts w:cstheme="minorHAnsi"/>
        </w:rPr>
        <w:t xml:space="preserve">after </w:t>
      </w:r>
      <w:r>
        <w:rPr>
          <w:rFonts w:cstheme="minorHAnsi"/>
        </w:rPr>
        <w:t xml:space="preserve">washout </w:t>
      </w:r>
      <w:r w:rsidR="009B5CCB">
        <w:rPr>
          <w:rFonts w:cstheme="minorHAnsi"/>
        </w:rPr>
        <w:t xml:space="preserve">from </w:t>
      </w:r>
      <w:r>
        <w:rPr>
          <w:rFonts w:cstheme="minorHAnsi"/>
        </w:rPr>
        <w:t>cells, despite the sustained loss of OSBP suggests either OSBP is not necessary in cellular growth or that there is a compensatory mechanism</w:t>
      </w:r>
      <w:r w:rsidR="005E78EC">
        <w:rPr>
          <w:rFonts w:cstheme="minorHAnsi"/>
        </w:rPr>
        <w:t xml:space="preserve"> that possibly works through the functional redundancy of the OSBP/ORP family. </w:t>
      </w:r>
      <w:r w:rsidR="00404C3B">
        <w:rPr>
          <w:rFonts w:cstheme="minorHAnsi"/>
        </w:rPr>
        <w:t>In contrast</w:t>
      </w:r>
      <w:r w:rsidR="006C780E">
        <w:rPr>
          <w:rFonts w:cstheme="minorHAnsi"/>
        </w:rPr>
        <w:t xml:space="preserve"> to this, OSBP </w:t>
      </w:r>
      <w:r w:rsidR="00A0699E">
        <w:rPr>
          <w:rFonts w:cstheme="minorHAnsi"/>
        </w:rPr>
        <w:t xml:space="preserve">function </w:t>
      </w:r>
      <w:r w:rsidR="006C780E">
        <w:rPr>
          <w:rFonts w:cstheme="minorHAnsi"/>
        </w:rPr>
        <w:t>is necessary for the replication of various human pathogens across different viral families</w:t>
      </w:r>
      <w:r w:rsidR="00404C3B">
        <w:rPr>
          <w:rFonts w:cstheme="minorHAnsi"/>
        </w:rPr>
        <w:t xml:space="preserve"> (1.4.1 </w:t>
      </w:r>
      <w:r w:rsidR="00404C3B" w:rsidRPr="00404C3B">
        <w:rPr>
          <w:rFonts w:cstheme="minorHAnsi"/>
          <w:b/>
        </w:rPr>
        <w:fldChar w:fldCharType="begin"/>
      </w:r>
      <w:r w:rsidR="00404C3B" w:rsidRPr="00404C3B">
        <w:rPr>
          <w:rFonts w:cstheme="minorHAnsi"/>
          <w:b/>
        </w:rPr>
        <w:instrText xml:space="preserve"> REF _Ref530743108 \h  \* MERGEFORMAT </w:instrText>
      </w:r>
      <w:r w:rsidR="00404C3B" w:rsidRPr="00404C3B">
        <w:rPr>
          <w:rFonts w:cstheme="minorHAnsi"/>
          <w:b/>
        </w:rPr>
      </w:r>
      <w:r w:rsidR="00404C3B" w:rsidRPr="00404C3B">
        <w:rPr>
          <w:rFonts w:cstheme="minorHAnsi"/>
          <w:b/>
        </w:rPr>
        <w:fldChar w:fldCharType="separate"/>
      </w:r>
      <w:r w:rsidR="00E2070A" w:rsidRPr="00E2070A">
        <w:rPr>
          <w:b/>
        </w:rPr>
        <w:t>OSBP</w:t>
      </w:r>
      <w:r w:rsidR="00E2070A">
        <w:t xml:space="preserve"> </w:t>
      </w:r>
      <w:r w:rsidR="00E2070A" w:rsidRPr="00E2070A">
        <w:rPr>
          <w:b/>
        </w:rPr>
        <w:t>Function</w:t>
      </w:r>
      <w:r w:rsidR="00E2070A">
        <w:t xml:space="preserve"> </w:t>
      </w:r>
      <w:r w:rsidR="00E2070A" w:rsidRPr="00E2070A">
        <w:rPr>
          <w:b/>
        </w:rPr>
        <w:t>in</w:t>
      </w:r>
      <w:r w:rsidR="00E2070A">
        <w:t xml:space="preserve"> </w:t>
      </w:r>
      <w:r w:rsidR="00E2070A" w:rsidRPr="00E2070A">
        <w:rPr>
          <w:b/>
        </w:rPr>
        <w:t>Virus</w:t>
      </w:r>
      <w:r w:rsidR="00E2070A" w:rsidRPr="00737D20">
        <w:t xml:space="preserve"> </w:t>
      </w:r>
      <w:r w:rsidR="00E2070A" w:rsidRPr="00E2070A">
        <w:rPr>
          <w:b/>
        </w:rPr>
        <w:t>Replication</w:t>
      </w:r>
      <w:r w:rsidR="00404C3B" w:rsidRPr="00404C3B">
        <w:rPr>
          <w:rFonts w:cstheme="minorHAnsi"/>
          <w:b/>
        </w:rPr>
        <w:fldChar w:fldCharType="end"/>
      </w:r>
      <w:r w:rsidR="00404C3B">
        <w:rPr>
          <w:rFonts w:cstheme="minorHAnsi"/>
        </w:rPr>
        <w:t>)</w:t>
      </w:r>
      <w:r w:rsidR="006C780E">
        <w:rPr>
          <w:rFonts w:cstheme="minorHAnsi"/>
        </w:rPr>
        <w:t>.</w:t>
      </w:r>
      <w:r w:rsidR="00D20CC8">
        <w:rPr>
          <w:rFonts w:cstheme="minorHAnsi"/>
        </w:rPr>
        <w:t xml:space="preserve"> OSW-1 tre</w:t>
      </w:r>
      <w:r w:rsidR="0069531B">
        <w:rPr>
          <w:rFonts w:cstheme="minorHAnsi"/>
        </w:rPr>
        <w:t xml:space="preserve">atment has been shown to cause inhibition of </w:t>
      </w:r>
      <w:r w:rsidR="00404C3B">
        <w:rPr>
          <w:rFonts w:cstheme="minorHAnsi"/>
          <w:i/>
        </w:rPr>
        <w:t>Enterovirus</w:t>
      </w:r>
      <w:r w:rsidR="0069531B">
        <w:rPr>
          <w:rFonts w:cstheme="minorHAnsi"/>
          <w:i/>
        </w:rPr>
        <w:t xml:space="preserve"> </w:t>
      </w:r>
      <w:r w:rsidR="0069531B">
        <w:rPr>
          <w:rFonts w:cstheme="minorHAnsi"/>
        </w:rPr>
        <w:t>replication</w:t>
      </w:r>
      <w:r w:rsidR="0069531B" w:rsidRPr="0069531B">
        <w:rPr>
          <w:rFonts w:cstheme="minorHAnsi"/>
          <w:vertAlign w:val="superscript"/>
        </w:rPr>
        <w:fldChar w:fldCharType="begin" w:fldLock="1"/>
      </w:r>
      <w:r w:rsidR="0078225D">
        <w:rPr>
          <w:rFonts w:cstheme="minorHAnsi"/>
          <w:vertAlign w:val="superscript"/>
        </w:rPr>
        <w:instrText>ADDIN CSL_CITATION {"citationItems":[{"id":"ITEM-1","itemData":{"DOI":"10.1016/j.antiviral.2015.02.013","ISSN":"01663542","author":[{"dropping-particle":"","family":"Albulescu","given":"Lucian","non-dropping-particle":"","parse-names":false,"suffix":""},{"dropping-particle":"","family":"Strating","given":"Jeroen R.P.M.","non-dropping-particle":"","parse-names":false,"suffix":""},{"dropping-particle":"","family":"Thibaut","given":"Hendrik Jan","non-dropping-particle":"","parse-names":false,"suffix":""},{"dropping-particle":"Van Der","family":"Linden","given":"Lonneke","non-dropping-particle":"","parse-names":false,"suffix":""},{"dropping-particle":"","family":"Shair","given":"Matthew D.","non-dropping-particle":"","parse-names":false,"suffix":""},{"dropping-particle":"","family":"Neyts","given":"Johan","non-dropping-particle":"","parse-names":false,"suffix":""},{"dropping-particle":"","family":"Kuppeveld","given":"Frank J.M.","non-dropping-particle":"van","parse-names":false,"suffix":""}],"container-title":"Antiviral Research","id":"ITEM-1","issued":{"date-parts":[["2015"]]},"page":"110-114","publisher":"Elsevier B.V.","title":"Broad-range inhibition of enterovirus replication by OSW-1, a natural compound targeting OSBP","type":"article-journal","volume":"117"},"uris":["http://www.mendeley.com/documents/?uuid=a8e5b343-7cc9-4cc8-aca5-d1dc4c99b364"]},{"id":"ITEM-2","itemData":{"DOI":"10.1016/j.pmr.2014.05.001.Functional","ISBN":"0000287431","ISSN":"0000287431","PMID":"25792328","author":[{"dropping-particle":"","family":"Strating","given":"Jeroen R.P.M.","non-dropping-particle":"","parse-names":false,"suffix":""}],"id":"ITEM-2","issue":"3","issued":{"date-parts":[["2015"]]},"page":"1-30","title":"ITRACONAZOLE INHIBITS ENTEROVIRUS REPLICATION BY TARGETING THE OXYSTEROL-BINDING PROTEIN","type":"article-journal","volume":"25"},"uris":["http://www.mendeley.com/documents/?uuid=02c7ec4c-fc93-404c-a402-6abc8c747415"]}],"mendeley":{"formattedCitation":"(81, 82)","plainTextFormattedCitation":"(81, 82)","previouslyFormattedCitation":"(81, 82)"},"properties":{"noteIndex":0},"schema":"https://github.com/citation-style-language/schema/raw/master/csl-citation.json"}</w:instrText>
      </w:r>
      <w:r w:rsidR="0069531B" w:rsidRPr="0069531B">
        <w:rPr>
          <w:rFonts w:cstheme="minorHAnsi"/>
          <w:vertAlign w:val="superscript"/>
        </w:rPr>
        <w:fldChar w:fldCharType="separate"/>
      </w:r>
      <w:r w:rsidR="00287BFE" w:rsidRPr="00287BFE">
        <w:rPr>
          <w:rFonts w:cstheme="minorHAnsi"/>
          <w:noProof/>
        </w:rPr>
        <w:t>(81, 82)</w:t>
      </w:r>
      <w:r w:rsidR="0069531B" w:rsidRPr="0069531B">
        <w:rPr>
          <w:rFonts w:cstheme="minorHAnsi"/>
          <w:vertAlign w:val="superscript"/>
        </w:rPr>
        <w:fldChar w:fldCharType="end"/>
      </w:r>
      <w:r w:rsidR="0069531B">
        <w:rPr>
          <w:rFonts w:cstheme="minorHAnsi"/>
        </w:rPr>
        <w:t xml:space="preserve"> and we </w:t>
      </w:r>
      <w:r w:rsidR="00404C3B">
        <w:rPr>
          <w:rFonts w:cstheme="minorHAnsi"/>
        </w:rPr>
        <w:t xml:space="preserve">have </w:t>
      </w:r>
      <w:r w:rsidR="0069531B">
        <w:rPr>
          <w:rFonts w:cstheme="minorHAnsi"/>
        </w:rPr>
        <w:t>show</w:t>
      </w:r>
      <w:r w:rsidR="00404C3B">
        <w:rPr>
          <w:rFonts w:cstheme="minorHAnsi"/>
        </w:rPr>
        <w:t>n</w:t>
      </w:r>
      <w:r w:rsidR="0069531B">
        <w:rPr>
          <w:rFonts w:cstheme="minorHAnsi"/>
        </w:rPr>
        <w:t xml:space="preserve"> that </w:t>
      </w:r>
      <w:r w:rsidR="00404C3B">
        <w:rPr>
          <w:rFonts w:cstheme="minorHAnsi"/>
        </w:rPr>
        <w:t>continuous treatment of cells with OSW-1 inhibits</w:t>
      </w:r>
      <w:r w:rsidR="009B5CCB">
        <w:rPr>
          <w:rFonts w:cstheme="minorHAnsi"/>
        </w:rPr>
        <w:t xml:space="preserve"> two clinical isolates of</w:t>
      </w:r>
      <w:r w:rsidR="0069531B">
        <w:rPr>
          <w:rFonts w:cstheme="minorHAnsi"/>
        </w:rPr>
        <w:t xml:space="preserve"> </w:t>
      </w:r>
      <w:r w:rsidR="0069531B">
        <w:rPr>
          <w:rFonts w:cstheme="minorHAnsi"/>
          <w:i/>
        </w:rPr>
        <w:t>Enteroviruses</w:t>
      </w:r>
      <w:r w:rsidR="0069531B">
        <w:rPr>
          <w:rFonts w:cstheme="minorHAnsi"/>
        </w:rPr>
        <w:t xml:space="preserve"> (</w:t>
      </w:r>
      <w:r w:rsidR="00E14895" w:rsidRPr="00A841B4">
        <w:rPr>
          <w:rFonts w:cstheme="minorHAnsi"/>
          <w:b/>
        </w:rPr>
        <w:fldChar w:fldCharType="begin"/>
      </w:r>
      <w:r w:rsidR="00E14895" w:rsidRPr="00A841B4">
        <w:rPr>
          <w:rFonts w:cstheme="minorHAnsi"/>
          <w:b/>
        </w:rPr>
        <w:instrText xml:space="preserve"> REF _Ref530053675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24</w:t>
      </w:r>
      <w:r w:rsidR="00E14895" w:rsidRPr="00A841B4">
        <w:rPr>
          <w:rFonts w:cstheme="minorHAnsi"/>
          <w:b/>
        </w:rPr>
        <w:fldChar w:fldCharType="end"/>
      </w:r>
      <w:r w:rsidR="0069531B" w:rsidRPr="00A841B4">
        <w:rPr>
          <w:rFonts w:cstheme="minorHAnsi"/>
          <w:b/>
        </w:rPr>
        <w:t>A</w:t>
      </w:r>
      <w:r w:rsidR="0069531B">
        <w:rPr>
          <w:rFonts w:cstheme="minorHAnsi"/>
        </w:rPr>
        <w:t xml:space="preserve">). </w:t>
      </w:r>
      <w:r w:rsidR="00AB7C7E">
        <w:rPr>
          <w:rFonts w:cstheme="minorHAnsi"/>
        </w:rPr>
        <w:t xml:space="preserve">We also show that the </w:t>
      </w:r>
      <w:r w:rsidR="007A587E">
        <w:rPr>
          <w:rFonts w:cstheme="minorHAnsi"/>
        </w:rPr>
        <w:t>OSW-1 compound</w:t>
      </w:r>
      <w:r w:rsidR="00AB7C7E">
        <w:rPr>
          <w:rFonts w:cstheme="minorHAnsi"/>
        </w:rPr>
        <w:t xml:space="preserve"> </w:t>
      </w:r>
      <w:r w:rsidR="00F47F31">
        <w:rPr>
          <w:rFonts w:cstheme="minorHAnsi"/>
        </w:rPr>
        <w:t>“washout effect”</w:t>
      </w:r>
      <w:r w:rsidR="00AB7C7E">
        <w:rPr>
          <w:rFonts w:cstheme="minorHAnsi"/>
        </w:rPr>
        <w:t xml:space="preserve"> induces a prophylactic antiviral response</w:t>
      </w:r>
      <w:r w:rsidR="00404C3B">
        <w:rPr>
          <w:rFonts w:cstheme="minorHAnsi"/>
        </w:rPr>
        <w:t xml:space="preserve"> to two clinically isolated </w:t>
      </w:r>
      <w:r w:rsidR="00404C3B">
        <w:rPr>
          <w:rFonts w:cstheme="minorHAnsi"/>
          <w:i/>
        </w:rPr>
        <w:t xml:space="preserve">Enterovirus </w:t>
      </w:r>
      <w:r w:rsidR="00404C3B">
        <w:rPr>
          <w:rFonts w:cstheme="minorHAnsi"/>
        </w:rPr>
        <w:t>species</w:t>
      </w:r>
      <w:r w:rsidR="00AB7C7E">
        <w:rPr>
          <w:rFonts w:cstheme="minorHAnsi"/>
        </w:rPr>
        <w:t xml:space="preserve"> (</w:t>
      </w:r>
      <w:r w:rsidR="00E14895" w:rsidRPr="00A841B4">
        <w:rPr>
          <w:rFonts w:cstheme="minorHAnsi"/>
          <w:b/>
        </w:rPr>
        <w:fldChar w:fldCharType="begin"/>
      </w:r>
      <w:r w:rsidR="00E14895" w:rsidRPr="00A841B4">
        <w:rPr>
          <w:rFonts w:cstheme="minorHAnsi"/>
          <w:b/>
        </w:rPr>
        <w:instrText xml:space="preserve"> REF _Ref530053675 \h </w:instrText>
      </w:r>
      <w:r w:rsidR="001B3703" w:rsidRPr="00A841B4">
        <w:rPr>
          <w:rFonts w:cstheme="minorHAnsi"/>
          <w:b/>
        </w:rPr>
        <w:instrText xml:space="preserve"> \* MERGEFORMAT </w:instrText>
      </w:r>
      <w:r w:rsidR="00E14895" w:rsidRPr="00A841B4">
        <w:rPr>
          <w:rFonts w:cstheme="minorHAnsi"/>
          <w:b/>
        </w:rPr>
      </w:r>
      <w:r w:rsidR="00E14895" w:rsidRPr="00A841B4">
        <w:rPr>
          <w:rFonts w:cstheme="minorHAnsi"/>
          <w:b/>
        </w:rPr>
        <w:fldChar w:fldCharType="separate"/>
      </w:r>
      <w:r w:rsidR="00E2070A" w:rsidRPr="00E2070A">
        <w:rPr>
          <w:b/>
        </w:rPr>
        <w:t xml:space="preserve">Figure </w:t>
      </w:r>
      <w:r w:rsidR="00E2070A" w:rsidRPr="00E2070A">
        <w:rPr>
          <w:b/>
          <w:noProof/>
        </w:rPr>
        <w:t>24</w:t>
      </w:r>
      <w:r w:rsidR="00E14895" w:rsidRPr="00A841B4">
        <w:rPr>
          <w:rFonts w:cstheme="minorHAnsi"/>
          <w:b/>
        </w:rPr>
        <w:fldChar w:fldCharType="end"/>
      </w:r>
      <w:r w:rsidR="00AB7C7E" w:rsidRPr="00A841B4">
        <w:rPr>
          <w:rFonts w:cstheme="minorHAnsi"/>
          <w:b/>
        </w:rPr>
        <w:t>B</w:t>
      </w:r>
      <w:r w:rsidR="00404C3B">
        <w:rPr>
          <w:rFonts w:cstheme="minorHAnsi"/>
        </w:rPr>
        <w:t xml:space="preserve">). This is the first time a broad-spectrum, prophylactic anti-viral response is reported through targeting a host protein. This suggests that OSW-1-derived compounds triggering the long-term reduction of OSBP </w:t>
      </w:r>
      <w:r w:rsidR="009B5CCB">
        <w:rPr>
          <w:rFonts w:cstheme="minorHAnsi"/>
        </w:rPr>
        <w:t>levels is a discovery that has</w:t>
      </w:r>
      <w:r w:rsidR="00404C3B">
        <w:rPr>
          <w:rFonts w:cstheme="minorHAnsi"/>
        </w:rPr>
        <w:t xml:space="preserve"> clear therapeutic potential.</w:t>
      </w:r>
      <w:r w:rsidR="00AB7C7E">
        <w:rPr>
          <w:rFonts w:cstheme="minorHAnsi"/>
        </w:rPr>
        <w:t xml:space="preserve"> </w:t>
      </w:r>
    </w:p>
    <w:p w:rsidR="00362FAB" w:rsidRPr="002D46ED" w:rsidRDefault="00362FAB" w:rsidP="00FB099D">
      <w:pPr>
        <w:pStyle w:val="Heading2"/>
      </w:pPr>
      <w:bookmarkStart w:id="129" w:name="_Toc532553110"/>
      <w:r w:rsidRPr="002D46ED">
        <w:t>Conclusion</w:t>
      </w:r>
      <w:bookmarkEnd w:id="129"/>
    </w:p>
    <w:p w:rsidR="00362FAB" w:rsidRPr="006933F6" w:rsidRDefault="00362FAB" w:rsidP="00FE3A16">
      <w:pPr>
        <w:ind w:firstLine="576"/>
        <w:jc w:val="both"/>
        <w:rPr>
          <w:rFonts w:cstheme="minorHAnsi"/>
        </w:rPr>
      </w:pPr>
      <w:r>
        <w:rPr>
          <w:rFonts w:cstheme="minorHAnsi"/>
        </w:rPr>
        <w:t xml:space="preserve">The discovery </w:t>
      </w:r>
      <w:r w:rsidR="00404C3B">
        <w:rPr>
          <w:rFonts w:cstheme="minorHAnsi"/>
        </w:rPr>
        <w:t xml:space="preserve">that brief, transient OSW-1 compound treatment induces a long-term reduction of OSBP levels is a novel and potentially significant discovery. The compound induced OSBP reduction prevents </w:t>
      </w:r>
      <w:r w:rsidR="00404C3B">
        <w:rPr>
          <w:rFonts w:cstheme="minorHAnsi"/>
          <w:i/>
        </w:rPr>
        <w:t xml:space="preserve">Enterovirus </w:t>
      </w:r>
      <w:r w:rsidR="00404C3B">
        <w:rPr>
          <w:rFonts w:cstheme="minorHAnsi"/>
        </w:rPr>
        <w:t>replication in cells. This novel</w:t>
      </w:r>
      <w:r>
        <w:rPr>
          <w:rFonts w:cstheme="minorHAnsi"/>
        </w:rPr>
        <w:t xml:space="preserve"> prophylactic</w:t>
      </w:r>
      <w:r w:rsidR="00404C3B">
        <w:rPr>
          <w:rFonts w:cstheme="minorHAnsi"/>
        </w:rPr>
        <w:t>, broad-spectrum</w:t>
      </w:r>
      <w:r>
        <w:rPr>
          <w:rFonts w:cstheme="minorHAnsi"/>
        </w:rPr>
        <w:t xml:space="preserve"> anti</w:t>
      </w:r>
      <w:r w:rsidR="00404C3B">
        <w:rPr>
          <w:rFonts w:cstheme="minorHAnsi"/>
        </w:rPr>
        <w:t>-</w:t>
      </w:r>
      <w:r>
        <w:rPr>
          <w:rFonts w:cstheme="minorHAnsi"/>
        </w:rPr>
        <w:t xml:space="preserve">viral </w:t>
      </w:r>
      <w:r w:rsidR="00404C3B">
        <w:rPr>
          <w:rFonts w:cstheme="minorHAnsi"/>
        </w:rPr>
        <w:t>activity presents a new approach to potentially preventing and treating infections against</w:t>
      </w:r>
      <w:r>
        <w:rPr>
          <w:rFonts w:cstheme="minorHAnsi"/>
        </w:rPr>
        <w:t xml:space="preserve"> a wide range of important human viral pathogens that currently have no approved preventable or direct treatment. </w:t>
      </w:r>
      <w:r w:rsidR="00404C3B" w:rsidRPr="00362FAB">
        <w:rPr>
          <w:rFonts w:cstheme="minorHAnsi"/>
        </w:rPr>
        <w:t xml:space="preserve">New classes of OSW-1-derived compounds </w:t>
      </w:r>
      <w:r w:rsidR="00404C3B">
        <w:rPr>
          <w:rFonts w:cstheme="minorHAnsi"/>
        </w:rPr>
        <w:t xml:space="preserve">capable of selectively binding </w:t>
      </w:r>
      <w:r w:rsidR="00404C3B" w:rsidRPr="00362FAB">
        <w:rPr>
          <w:rFonts w:cstheme="minorHAnsi"/>
        </w:rPr>
        <w:t>OSBP</w:t>
      </w:r>
      <w:r w:rsidR="00404C3B">
        <w:rPr>
          <w:rFonts w:cstheme="minorHAnsi"/>
        </w:rPr>
        <w:t xml:space="preserve"> and not ORP4 would be critical </w:t>
      </w:r>
      <w:r w:rsidR="00404C3B" w:rsidRPr="00362FAB">
        <w:rPr>
          <w:rFonts w:cstheme="minorHAnsi"/>
        </w:rPr>
        <w:t>chemical probes in definin</w:t>
      </w:r>
      <w:r w:rsidR="00404C3B">
        <w:rPr>
          <w:rFonts w:cstheme="minorHAnsi"/>
        </w:rPr>
        <w:t xml:space="preserve">g the regulation and anti-viral </w:t>
      </w:r>
      <w:r w:rsidR="00404C3B" w:rsidRPr="00362FAB">
        <w:rPr>
          <w:rFonts w:cstheme="minorHAnsi"/>
        </w:rPr>
        <w:t>therapeutic potential of compound-induced OSBP repression. Such OSBP</w:t>
      </w:r>
      <w:r w:rsidR="00404C3B">
        <w:rPr>
          <w:rFonts w:cstheme="minorHAnsi"/>
        </w:rPr>
        <w:t xml:space="preserve">-specific, noncytotoxic, small </w:t>
      </w:r>
      <w:r w:rsidR="00404C3B" w:rsidRPr="00362FAB">
        <w:rPr>
          <w:rFonts w:cstheme="minorHAnsi"/>
        </w:rPr>
        <w:t>molecule effectors could be potentially developed</w:t>
      </w:r>
      <w:r w:rsidR="00404C3B">
        <w:rPr>
          <w:rFonts w:cstheme="minorHAnsi"/>
        </w:rPr>
        <w:t xml:space="preserve"> to inhibit a broad spectrum of </w:t>
      </w:r>
      <w:r w:rsidR="00404C3B" w:rsidRPr="00362FAB">
        <w:rPr>
          <w:rFonts w:cstheme="minorHAnsi"/>
        </w:rPr>
        <w:t>severe human pathogenic viruses that currently cannot be prevented or directly treated.</w:t>
      </w:r>
    </w:p>
    <w:p w:rsidR="006C43EC" w:rsidRPr="002D46ED" w:rsidRDefault="006C43EC" w:rsidP="00FB099D">
      <w:pPr>
        <w:pStyle w:val="Heading2"/>
      </w:pPr>
      <w:bookmarkStart w:id="130" w:name="_Toc532553111"/>
      <w:r w:rsidRPr="002D46ED">
        <w:lastRenderedPageBreak/>
        <w:t>Methods</w:t>
      </w:r>
      <w:bookmarkEnd w:id="130"/>
    </w:p>
    <w:p w:rsidR="006C43EC" w:rsidRPr="002D46ED" w:rsidRDefault="006C43EC" w:rsidP="00042529">
      <w:pPr>
        <w:pStyle w:val="Heading3"/>
      </w:pPr>
      <w:bookmarkStart w:id="131" w:name="_Toc532553112"/>
      <w:r w:rsidRPr="002D46ED">
        <w:t>Cell Lines and Viruses</w:t>
      </w:r>
      <w:bookmarkEnd w:id="131"/>
    </w:p>
    <w:p w:rsidR="006C43EC" w:rsidRPr="006C43EC" w:rsidRDefault="006C43EC" w:rsidP="00FB099D">
      <w:pPr>
        <w:ind w:firstLine="720"/>
        <w:jc w:val="both"/>
        <w:rPr>
          <w:rFonts w:cstheme="minorHAnsi"/>
        </w:rPr>
      </w:pPr>
      <w:r w:rsidRPr="006C43EC">
        <w:rPr>
          <w:rFonts w:cstheme="minorHAnsi"/>
        </w:rPr>
        <w:t>HEK293 STF (ATCC CRL-3249) and HeLa (ATCC CCL-2) were cultured in DMEM</w:t>
      </w:r>
      <w:r w:rsidR="00E9338F">
        <w:rPr>
          <w:rFonts w:cstheme="minorHAnsi"/>
        </w:rPr>
        <w:t xml:space="preserve"> </w:t>
      </w:r>
      <w:r w:rsidRPr="006C43EC">
        <w:rPr>
          <w:rFonts w:cstheme="minorHAnsi"/>
        </w:rPr>
        <w:t>(Thermo 11995073) supplemented with 10% Hyclone (Fisher Sci SH3006603) and 1%</w:t>
      </w:r>
      <w:r w:rsidR="00E9338F">
        <w:rPr>
          <w:rFonts w:cstheme="minorHAnsi"/>
        </w:rPr>
        <w:t xml:space="preserve"> </w:t>
      </w:r>
      <w:r w:rsidRPr="006C43EC">
        <w:rPr>
          <w:rFonts w:cstheme="minorHAnsi"/>
        </w:rPr>
        <w:t>penicillin-streptomycin (Thermo 15140122). HCT116</w:t>
      </w:r>
      <w:r w:rsidR="00621027">
        <w:rPr>
          <w:rFonts w:cstheme="minorHAnsi"/>
        </w:rPr>
        <w:t xml:space="preserve"> (ATCC CCL-247) was cultured in </w:t>
      </w:r>
      <w:r w:rsidRPr="006C43EC">
        <w:rPr>
          <w:rFonts w:cstheme="minorHAnsi"/>
        </w:rPr>
        <w:t>McCoy 5A media (Thermo 16600108) supplemented wit</w:t>
      </w:r>
      <w:r w:rsidR="00621027">
        <w:rPr>
          <w:rFonts w:cstheme="minorHAnsi"/>
        </w:rPr>
        <w:t xml:space="preserve">h 10% Hyclone and 1% penicillin </w:t>
      </w:r>
      <w:r w:rsidRPr="006C43EC">
        <w:rPr>
          <w:rFonts w:cstheme="minorHAnsi"/>
        </w:rPr>
        <w:t>streptomycin. K-</w:t>
      </w:r>
      <w:r w:rsidR="00621027">
        <w:rPr>
          <w:rFonts w:cstheme="minorHAnsi"/>
        </w:rPr>
        <w:t xml:space="preserve">562 (ATCC CCL-243) was cultured </w:t>
      </w:r>
      <w:r w:rsidRPr="006C43EC">
        <w:rPr>
          <w:rFonts w:cstheme="minorHAnsi"/>
        </w:rPr>
        <w:t>in RPMI 1640 (Thermo 22400105) media suppl</w:t>
      </w:r>
      <w:r w:rsidR="00621027">
        <w:rPr>
          <w:rFonts w:cstheme="minorHAnsi"/>
        </w:rPr>
        <w:t xml:space="preserve">emented with 10% Hyclone and 1% </w:t>
      </w:r>
      <w:r w:rsidRPr="006C43EC">
        <w:rPr>
          <w:rFonts w:cstheme="minorHAnsi"/>
        </w:rPr>
        <w:t>penicillin streptomycin. MCF-7 cells were a gift f</w:t>
      </w:r>
      <w:r w:rsidR="00621027">
        <w:rPr>
          <w:rFonts w:cstheme="minorHAnsi"/>
        </w:rPr>
        <w:t xml:space="preserve">rom R. Cichewicz (University of </w:t>
      </w:r>
      <w:r w:rsidRPr="006C43EC">
        <w:rPr>
          <w:rFonts w:cstheme="minorHAnsi"/>
        </w:rPr>
        <w:t xml:space="preserve">Oklahoma, Norman) and cultured in MEM (Thermo </w:t>
      </w:r>
      <w:r w:rsidR="00621027">
        <w:rPr>
          <w:rFonts w:cstheme="minorHAnsi"/>
        </w:rPr>
        <w:t xml:space="preserve">11095114) media 10% Hyclone, 1% </w:t>
      </w:r>
      <w:r w:rsidRPr="006C43EC">
        <w:rPr>
          <w:rFonts w:cstheme="minorHAnsi"/>
        </w:rPr>
        <w:t xml:space="preserve">penicillin streptomycin and 0.2 mg/mL insulin (A11382II). </w:t>
      </w:r>
      <w:r w:rsidR="00621027">
        <w:rPr>
          <w:rFonts w:cstheme="minorHAnsi"/>
        </w:rPr>
        <w:t xml:space="preserve">MRC-5 cells were a gift from E. </w:t>
      </w:r>
      <w:r w:rsidRPr="006C43EC">
        <w:rPr>
          <w:rFonts w:cstheme="minorHAnsi"/>
        </w:rPr>
        <w:t>Blewett (Oklahoma State University- Center for Health S</w:t>
      </w:r>
      <w:r w:rsidR="00621027">
        <w:rPr>
          <w:rFonts w:cstheme="minorHAnsi"/>
        </w:rPr>
        <w:t xml:space="preserve">ciences, Tulsa) and cultured in </w:t>
      </w:r>
      <w:r w:rsidRPr="006C43EC">
        <w:rPr>
          <w:rFonts w:cstheme="minorHAnsi"/>
        </w:rPr>
        <w:t xml:space="preserve">MEM media supplemented with 10% Hyclone and </w:t>
      </w:r>
      <w:r w:rsidR="00621027">
        <w:rPr>
          <w:rFonts w:cstheme="minorHAnsi"/>
        </w:rPr>
        <w:t xml:space="preserve">1% penicillin streptomycin. RD, </w:t>
      </w:r>
      <w:r w:rsidRPr="006C43EC">
        <w:rPr>
          <w:rFonts w:cstheme="minorHAnsi"/>
        </w:rPr>
        <w:t>(rhabdomyosarcoma) cells (ATCC-CCL-136) were cultured in DMEM (Fisher Sci</w:t>
      </w:r>
    </w:p>
    <w:p w:rsidR="006C43EC" w:rsidRDefault="006C43EC" w:rsidP="00FB099D">
      <w:pPr>
        <w:jc w:val="both"/>
        <w:rPr>
          <w:rFonts w:cstheme="minorHAnsi"/>
        </w:rPr>
      </w:pPr>
      <w:r w:rsidRPr="006C43EC">
        <w:rPr>
          <w:rFonts w:cstheme="minorHAnsi"/>
        </w:rPr>
        <w:t>SH30081.0) with 10% FBS (Atlanta Biological S11550) and 1% penicillin-streptomycin</w:t>
      </w:r>
      <w:r w:rsidR="00621027">
        <w:rPr>
          <w:rFonts w:cstheme="minorHAnsi"/>
        </w:rPr>
        <w:t xml:space="preserve"> </w:t>
      </w:r>
      <w:r w:rsidRPr="006C43EC">
        <w:rPr>
          <w:rFonts w:cstheme="minorHAnsi"/>
        </w:rPr>
        <w:t>(Gibco 15140-122). Coxsackievirus A9 (strain CoxA9-01) and Echovirus</w:t>
      </w:r>
      <w:r w:rsidR="00621027">
        <w:rPr>
          <w:rFonts w:cstheme="minorHAnsi"/>
        </w:rPr>
        <w:t xml:space="preserve"> </w:t>
      </w:r>
      <w:r w:rsidRPr="006C43EC">
        <w:rPr>
          <w:rFonts w:cstheme="minorHAnsi"/>
        </w:rPr>
        <w:t>2 (strain Echo2-01) were obtained from the Oklahoma State Department</w:t>
      </w:r>
      <w:r w:rsidR="00621027">
        <w:rPr>
          <w:rFonts w:cstheme="minorHAnsi"/>
        </w:rPr>
        <w:t xml:space="preserve"> of Health Laboratory. They are </w:t>
      </w:r>
      <w:r w:rsidRPr="006C43EC">
        <w:rPr>
          <w:rFonts w:cstheme="minorHAnsi"/>
        </w:rPr>
        <w:t>clinical isolates, obtained from OK residents and type</w:t>
      </w:r>
      <w:r w:rsidR="00621027">
        <w:rPr>
          <w:rFonts w:cstheme="minorHAnsi"/>
        </w:rPr>
        <w:t xml:space="preserve">d by the OK State Department of </w:t>
      </w:r>
      <w:r w:rsidRPr="006C43EC">
        <w:rPr>
          <w:rFonts w:cstheme="minorHAnsi"/>
        </w:rPr>
        <w:t>Health and/or the Center for Disease Control and Prevent</w:t>
      </w:r>
      <w:r w:rsidR="00621027">
        <w:rPr>
          <w:rFonts w:cstheme="minorHAnsi"/>
        </w:rPr>
        <w:t xml:space="preserve">ion. All other identifiers have </w:t>
      </w:r>
      <w:r w:rsidRPr="006C43EC">
        <w:rPr>
          <w:rFonts w:cstheme="minorHAnsi"/>
        </w:rPr>
        <w:t>been stripped off. These viruses were passaged twice i</w:t>
      </w:r>
      <w:r w:rsidR="00621027">
        <w:rPr>
          <w:rFonts w:cstheme="minorHAnsi"/>
        </w:rPr>
        <w:t xml:space="preserve">n RD cells, aliquoted in 1.0 mL </w:t>
      </w:r>
      <w:r w:rsidRPr="006C43EC">
        <w:rPr>
          <w:rFonts w:cstheme="minorHAnsi"/>
        </w:rPr>
        <w:t>amounts and stored in complete medium at -80 ⁰C. Eac</w:t>
      </w:r>
      <w:r w:rsidR="00621027">
        <w:rPr>
          <w:rFonts w:cstheme="minorHAnsi"/>
        </w:rPr>
        <w:t xml:space="preserve">h virus was titered on </w:t>
      </w:r>
      <w:r w:rsidR="001E5551">
        <w:rPr>
          <w:rFonts w:cstheme="minorHAnsi"/>
        </w:rPr>
        <w:t xml:space="preserve">RD cells using a </w:t>
      </w:r>
      <w:r w:rsidR="009B5CCB">
        <w:rPr>
          <w:rFonts w:cstheme="minorHAnsi"/>
        </w:rPr>
        <w:t>50% tissue culture infective dose (</w:t>
      </w:r>
      <w:r w:rsidR="001E5551">
        <w:rPr>
          <w:rFonts w:cstheme="minorHAnsi"/>
        </w:rPr>
        <w:t>TCID-50</w:t>
      </w:r>
      <w:r w:rsidR="009B5CCB">
        <w:rPr>
          <w:rFonts w:cstheme="minorHAnsi"/>
        </w:rPr>
        <w:t>)</w:t>
      </w:r>
      <w:r w:rsidR="001E5551">
        <w:rPr>
          <w:rFonts w:cstheme="minorHAnsi"/>
        </w:rPr>
        <w:t xml:space="preserve"> assay</w:t>
      </w:r>
      <w:r w:rsidR="001E5551" w:rsidRPr="001E5551">
        <w:rPr>
          <w:rFonts w:cstheme="minorHAnsi"/>
          <w:vertAlign w:val="superscript"/>
        </w:rPr>
        <w:fldChar w:fldCharType="begin" w:fldLock="1"/>
      </w:r>
      <w:r w:rsidR="0057639C">
        <w:rPr>
          <w:rFonts w:cstheme="minorHAnsi"/>
          <w:vertAlign w:val="superscript"/>
        </w:rPr>
        <w:instrText>ADDIN CSL_CITATION {"citationItems":[{"id":"ITEM-1","itemData":{"DOI":"10.1093/oxfordjournals.aje.a118408","ISSN":"1476-6256","author":[{"dropping-particle":"","family":"REED","given":"L.J.","non-dropping-particle":"","parse-names":false,"suffix":""},{"dropping-particle":"","family":"MUENCH","given":"H.","non-dropping-particle":"","parse-names":false,"suffix":""}],"container-title":"American Journal of Epidemiology","id":"ITEM-1","issue":"3","issued":{"date-parts":[["1938","5","1"]]},"page":"493-497","publisher":"Oxford University Press","title":"A SIMPLE METHOD OF ESTIMATING FIFTY PER CENT ENDPOINTS12","type":"article-journal","volume":"27"},"uris":["http://www.mendeley.com/documents/?uuid=66089ab7-62d7-3fa8-9892-139f200f2c54"]}],"mendeley":{"formattedCitation":"(210)","plainTextFormattedCitation":"(210)","previouslyFormattedCitation":"(210)"},"properties":{"noteIndex":0},"schema":"https://github.com/citation-style-language/schema/raw/master/csl-citation.json"}</w:instrText>
      </w:r>
      <w:r w:rsidR="001E5551" w:rsidRPr="001E5551">
        <w:rPr>
          <w:rFonts w:cstheme="minorHAnsi"/>
          <w:vertAlign w:val="superscript"/>
        </w:rPr>
        <w:fldChar w:fldCharType="separate"/>
      </w:r>
      <w:r w:rsidR="0057639C" w:rsidRPr="0057639C">
        <w:rPr>
          <w:rFonts w:cstheme="minorHAnsi"/>
          <w:noProof/>
        </w:rPr>
        <w:t>(210)</w:t>
      </w:r>
      <w:r w:rsidR="001E5551" w:rsidRPr="001E5551">
        <w:rPr>
          <w:rFonts w:cstheme="minorHAnsi"/>
          <w:vertAlign w:val="superscript"/>
        </w:rPr>
        <w:fldChar w:fldCharType="end"/>
      </w:r>
      <w:r w:rsidR="009B5CCB">
        <w:rPr>
          <w:rFonts w:cstheme="minorHAnsi"/>
        </w:rPr>
        <w:t>.</w:t>
      </w:r>
      <w:r w:rsidR="00621027">
        <w:rPr>
          <w:rFonts w:cstheme="minorHAnsi"/>
        </w:rPr>
        <w:t xml:space="preserve"> </w:t>
      </w:r>
      <w:r w:rsidRPr="006C43EC">
        <w:rPr>
          <w:rFonts w:cstheme="minorHAnsi"/>
        </w:rPr>
        <w:t xml:space="preserve">To </w:t>
      </w:r>
      <w:r w:rsidR="00621027">
        <w:rPr>
          <w:rFonts w:cstheme="minorHAnsi"/>
        </w:rPr>
        <w:t xml:space="preserve">allow </w:t>
      </w:r>
      <w:r w:rsidR="009B5CCB">
        <w:rPr>
          <w:rFonts w:cstheme="minorHAnsi"/>
        </w:rPr>
        <w:t>a multiplicity of infection (</w:t>
      </w:r>
      <w:r w:rsidR="00FE133B">
        <w:rPr>
          <w:rFonts w:cstheme="minorHAnsi"/>
        </w:rPr>
        <w:t>M.O.I.</w:t>
      </w:r>
      <w:r w:rsidR="009B5CCB">
        <w:rPr>
          <w:rFonts w:cstheme="minorHAnsi"/>
        </w:rPr>
        <w:t>)</w:t>
      </w:r>
      <w:r w:rsidR="00621027">
        <w:rPr>
          <w:rFonts w:cstheme="minorHAnsi"/>
        </w:rPr>
        <w:t xml:space="preserve"> to be determined</w:t>
      </w:r>
      <w:r w:rsidR="009B5CCB">
        <w:rPr>
          <w:rFonts w:cstheme="minorHAnsi"/>
        </w:rPr>
        <w:t>,</w:t>
      </w:r>
      <w:r w:rsidR="00621027">
        <w:rPr>
          <w:rFonts w:cstheme="minorHAnsi"/>
        </w:rPr>
        <w:t xml:space="preserve"> a conversion factor of 0.7 was </w:t>
      </w:r>
      <w:r w:rsidRPr="006C43EC">
        <w:rPr>
          <w:rFonts w:cstheme="minorHAnsi"/>
        </w:rPr>
        <w:t xml:space="preserve">used to change TCID-50 to </w:t>
      </w:r>
      <w:r w:rsidR="009B5CCB">
        <w:rPr>
          <w:rFonts w:cstheme="minorHAnsi"/>
        </w:rPr>
        <w:t>plaque forming units (</w:t>
      </w:r>
      <w:r w:rsidRPr="006C43EC">
        <w:rPr>
          <w:rFonts w:cstheme="minorHAnsi"/>
        </w:rPr>
        <w:t>pfu</w:t>
      </w:r>
      <w:r w:rsidR="009B5CCB">
        <w:rPr>
          <w:rFonts w:cstheme="minorHAnsi"/>
        </w:rPr>
        <w:t>)</w:t>
      </w:r>
      <w:r w:rsidRPr="006C43EC">
        <w:rPr>
          <w:rFonts w:cstheme="minorHAnsi"/>
        </w:rPr>
        <w:t>/ml.</w:t>
      </w:r>
    </w:p>
    <w:p w:rsidR="00621027" w:rsidRPr="002D46ED" w:rsidRDefault="00621027" w:rsidP="00042529">
      <w:pPr>
        <w:pStyle w:val="Heading3"/>
      </w:pPr>
      <w:bookmarkStart w:id="132" w:name="_Toc532553113"/>
      <w:r w:rsidRPr="002D46ED">
        <w:lastRenderedPageBreak/>
        <w:t>General Cell Culture</w:t>
      </w:r>
      <w:bookmarkEnd w:id="132"/>
    </w:p>
    <w:p w:rsidR="00621027" w:rsidRPr="00E9338F" w:rsidRDefault="00621027" w:rsidP="00FB099D">
      <w:pPr>
        <w:ind w:firstLine="720"/>
        <w:jc w:val="both"/>
        <w:rPr>
          <w:rFonts w:cstheme="minorHAnsi"/>
        </w:rPr>
      </w:pPr>
      <w:r w:rsidRPr="00E9338F">
        <w:rPr>
          <w:rFonts w:cstheme="minorHAnsi"/>
        </w:rPr>
        <w:t>All mammalian cell lines were cultured at 37 ºC in 5% CO2. All handling of the mammalian cell culture was performed in a standard tissue culture hood using standard aseptic technique. Cell lines were cultured in the complete media described above. Cell culture stocks were aliquoted in complete media with 10% DMSO in 2 mL cryogenic vials (Corning 430659) and stored in liquid nitrogen vapor phase. Before beginning a new culture, the freezer stocks were thawed, diluted in 9 mL complete media and plated in Nunclon Delta 10 cm</w:t>
      </w:r>
      <w:r w:rsidR="00115241">
        <w:rPr>
          <w:rFonts w:cstheme="minorHAnsi"/>
          <w:vertAlign w:val="superscript"/>
        </w:rPr>
        <w:t>3</w:t>
      </w:r>
      <w:r w:rsidRPr="00E9338F">
        <w:rPr>
          <w:rFonts w:cstheme="minorHAnsi"/>
        </w:rPr>
        <w:t xml:space="preserve"> dishes (VWR 10171744) or T25 flask (CellStar 690160) for</w:t>
      </w:r>
    </w:p>
    <w:p w:rsidR="00E9338F" w:rsidRDefault="00621027" w:rsidP="00FB099D">
      <w:pPr>
        <w:jc w:val="both"/>
        <w:rPr>
          <w:rFonts w:cstheme="minorHAnsi"/>
        </w:rPr>
      </w:pPr>
      <w:r w:rsidRPr="00E9338F">
        <w:rPr>
          <w:rFonts w:cstheme="minorHAnsi"/>
        </w:rPr>
        <w:t>suspension cell lines. After allowing ~16 hours for the revived cells to attach, the DMSO containing media was replaced with DMSO free complete media. All revived cultures were split at least twice prior to use in an experiment. Cell cultures were restarted approximately every 3-4 weeks. All cell based experiments reported used multiple restarted cell cultures in the independent experiments that make up the replicate results. For experiments, cell cultures were used with a confluency of ~70%. The cell cultures were not allowed to ever become superconfluent, and the cellular morphology and proliferation rate of the cell culture was carefully tracked to identify any abnormalities; any cel</w:t>
      </w:r>
      <w:r w:rsidR="009B5CCB">
        <w:rPr>
          <w:rFonts w:cstheme="minorHAnsi"/>
        </w:rPr>
        <w:t xml:space="preserve">l culture showing the </w:t>
      </w:r>
      <w:r w:rsidRPr="00E9338F">
        <w:rPr>
          <w:rFonts w:cstheme="minorHAnsi"/>
        </w:rPr>
        <w:t>abnormalities were discard</w:t>
      </w:r>
      <w:r w:rsidR="009B5CCB">
        <w:rPr>
          <w:rFonts w:cstheme="minorHAnsi"/>
        </w:rPr>
        <w:t>ed</w:t>
      </w:r>
      <w:r w:rsidRPr="00E9338F">
        <w:rPr>
          <w:rFonts w:cstheme="minorHAnsi"/>
        </w:rPr>
        <w:t xml:space="preserve"> and the cell line restarted from frozen stocks. For experiments, cells were allowed to recover from splitting and replating a minimum of 16 h</w:t>
      </w:r>
      <w:r w:rsidR="00396C71">
        <w:rPr>
          <w:rFonts w:cstheme="minorHAnsi"/>
        </w:rPr>
        <w:t>ou</w:t>
      </w:r>
      <w:r w:rsidRPr="00E9338F">
        <w:rPr>
          <w:rFonts w:cstheme="minorHAnsi"/>
        </w:rPr>
        <w:t>r</w:t>
      </w:r>
      <w:r w:rsidR="00396C71">
        <w:rPr>
          <w:rFonts w:cstheme="minorHAnsi"/>
        </w:rPr>
        <w:t>s</w:t>
      </w:r>
      <w:r w:rsidRPr="00E9338F">
        <w:rPr>
          <w:rFonts w:cstheme="minorHAnsi"/>
        </w:rPr>
        <w:t xml:space="preserve"> prior to the start of an experiment.</w:t>
      </w:r>
    </w:p>
    <w:p w:rsidR="00621027" w:rsidRPr="00E9338F" w:rsidRDefault="00621027" w:rsidP="00FB099D">
      <w:pPr>
        <w:ind w:firstLine="640"/>
        <w:jc w:val="both"/>
        <w:rPr>
          <w:rFonts w:cstheme="minorHAnsi"/>
        </w:rPr>
      </w:pPr>
      <w:r w:rsidRPr="00E9338F">
        <w:rPr>
          <w:rFonts w:cstheme="minorHAnsi"/>
        </w:rPr>
        <w:t>The adherent mammalian cell lines are split every ~3 days with the following general procedure: the complete media is removed via aspiration and the cells are gently washed with 5 mL of 1X PBS. TrypLE</w:t>
      </w:r>
      <w:r w:rsidR="00115241">
        <w:rPr>
          <w:rFonts w:cstheme="minorHAnsi"/>
          <w:vertAlign w:val="superscript"/>
        </w:rPr>
        <w:t>TM</w:t>
      </w:r>
      <w:r w:rsidRPr="00E9338F">
        <w:rPr>
          <w:rFonts w:cstheme="minorHAnsi"/>
        </w:rPr>
        <w:t xml:space="preserve"> trypsin reagent (2.5 mL for 10 cm2 plate) is added and incubated for approximately 10 min at 37 ºC. After 10 mins 7.5 mL of the complete culture media is added to </w:t>
      </w:r>
      <w:r w:rsidRPr="00E9338F">
        <w:rPr>
          <w:rFonts w:cstheme="minorHAnsi"/>
        </w:rPr>
        <w:lastRenderedPageBreak/>
        <w:t>inactivate the TrypLE</w:t>
      </w:r>
      <w:r w:rsidR="00115241">
        <w:rPr>
          <w:rFonts w:cstheme="minorHAnsi"/>
          <w:vertAlign w:val="superscript"/>
        </w:rPr>
        <w:t>TM</w:t>
      </w:r>
      <w:r w:rsidRPr="00E9338F">
        <w:rPr>
          <w:rFonts w:cstheme="minorHAnsi"/>
        </w:rPr>
        <w:t xml:space="preserve"> reagent. Cells were counted using a TC20™ Automated Cell Counter (BioRad), by combining 10 µL of cell solution with 10 µL Trypan Blue stain (Thermo 15250061).</w:t>
      </w:r>
    </w:p>
    <w:p w:rsidR="00621027" w:rsidRDefault="00621027" w:rsidP="00FB099D">
      <w:pPr>
        <w:ind w:firstLine="640"/>
        <w:jc w:val="both"/>
        <w:rPr>
          <w:rFonts w:cstheme="minorHAnsi"/>
        </w:rPr>
      </w:pPr>
      <w:r w:rsidRPr="00E9338F">
        <w:rPr>
          <w:rFonts w:cstheme="minorHAnsi"/>
        </w:rPr>
        <w:t xml:space="preserve">The K562 leukemia suspension cell line was handled as described for the adherent cell lines except for the splitting and seeding procedure. For K562 cells, the cells were </w:t>
      </w:r>
      <w:r w:rsidR="009B5CCB">
        <w:rPr>
          <w:rFonts w:cstheme="minorHAnsi"/>
        </w:rPr>
        <w:t>centrifuged</w:t>
      </w:r>
      <w:r w:rsidRPr="00E9338F">
        <w:rPr>
          <w:rFonts w:cstheme="minorHAnsi"/>
        </w:rPr>
        <w:t xml:space="preserve"> at 200 x g for 5 minutes and the media was aspirated</w:t>
      </w:r>
      <w:r w:rsidR="009B5CCB">
        <w:rPr>
          <w:rFonts w:cstheme="minorHAnsi"/>
        </w:rPr>
        <w:t xml:space="preserve"> from the cell culture using care</w:t>
      </w:r>
      <w:r w:rsidRPr="00E9338F">
        <w:rPr>
          <w:rFonts w:cstheme="minorHAnsi"/>
        </w:rPr>
        <w:t xml:space="preserve"> so as not to disturb the cell pellet and replaced with 10 mL of complete media. The cell pellet was then resuspended and diluted to the desired seeding density using complete media.</w:t>
      </w:r>
    </w:p>
    <w:p w:rsidR="00E9338F" w:rsidRPr="002D46ED" w:rsidRDefault="00E9338F" w:rsidP="00042529">
      <w:pPr>
        <w:pStyle w:val="Heading3"/>
      </w:pPr>
      <w:bookmarkStart w:id="133" w:name="_Toc532553114"/>
      <w:r w:rsidRPr="002D46ED">
        <w:t>OSW-1 Compound</w:t>
      </w:r>
      <w:bookmarkEnd w:id="133"/>
    </w:p>
    <w:p w:rsidR="00E9338F" w:rsidRDefault="00E9338F" w:rsidP="00FB099D">
      <w:pPr>
        <w:ind w:firstLine="640"/>
        <w:jc w:val="both"/>
        <w:rPr>
          <w:rFonts w:cstheme="minorHAnsi"/>
        </w:rPr>
      </w:pPr>
      <w:r w:rsidRPr="00E9338F">
        <w:rPr>
          <w:rFonts w:cstheme="minorHAnsi"/>
        </w:rPr>
        <w:t>The OSW-1 compound used was obtained through total synthesis</w:t>
      </w:r>
      <w:r>
        <w:rPr>
          <w:rFonts w:cstheme="minorHAnsi"/>
        </w:rPr>
        <w:t xml:space="preserve"> </w:t>
      </w:r>
      <w:r w:rsidRPr="00E9338F">
        <w:rPr>
          <w:rFonts w:cstheme="minorHAnsi"/>
        </w:rPr>
        <w:t>in the Burgett lab or from isolation from the natural source. OSW-1 used in the</w:t>
      </w:r>
      <w:r>
        <w:rPr>
          <w:rFonts w:cstheme="minorHAnsi"/>
        </w:rPr>
        <w:t xml:space="preserve"> </w:t>
      </w:r>
      <w:r w:rsidRPr="00E9338F">
        <w:rPr>
          <w:rFonts w:cstheme="minorHAnsi"/>
        </w:rPr>
        <w:t xml:space="preserve">experiments was of &gt;95% purity as determined with </w:t>
      </w:r>
      <w:r w:rsidRPr="00E9338F">
        <w:rPr>
          <w:rFonts w:cstheme="minorHAnsi"/>
          <w:vertAlign w:val="superscript"/>
        </w:rPr>
        <w:t>1</w:t>
      </w:r>
      <w:r w:rsidRPr="00E9338F">
        <w:rPr>
          <w:rFonts w:cstheme="minorHAnsi"/>
        </w:rPr>
        <w:t>H-NMR and LCMS analysis. Solid</w:t>
      </w:r>
      <w:r>
        <w:rPr>
          <w:rFonts w:cstheme="minorHAnsi"/>
        </w:rPr>
        <w:t xml:space="preserve"> OSW-1 </w:t>
      </w:r>
      <w:r w:rsidRPr="00E9338F">
        <w:rPr>
          <w:rFonts w:cstheme="minorHAnsi"/>
        </w:rPr>
        <w:t>compound was dissolved in analytical grade DMSO solution to produce 10mM</w:t>
      </w:r>
      <w:r>
        <w:rPr>
          <w:rFonts w:cstheme="minorHAnsi"/>
        </w:rPr>
        <w:t xml:space="preserve"> </w:t>
      </w:r>
      <w:r w:rsidRPr="00E9338F">
        <w:rPr>
          <w:rFonts w:cstheme="minorHAnsi"/>
        </w:rPr>
        <w:t>stocks for experimentation. The 10 mM OSW-1 stock solution was aliquoted into</w:t>
      </w:r>
      <w:r>
        <w:rPr>
          <w:rFonts w:cstheme="minorHAnsi"/>
        </w:rPr>
        <w:t xml:space="preserve"> </w:t>
      </w:r>
      <w:r w:rsidRPr="00E9338F">
        <w:rPr>
          <w:rFonts w:cstheme="minorHAnsi"/>
        </w:rPr>
        <w:t>Eppendorf brand 1.5 mL centrifuge tubes; Each</w:t>
      </w:r>
      <w:r w:rsidR="009B5CCB">
        <w:rPr>
          <w:rFonts w:cstheme="minorHAnsi"/>
        </w:rPr>
        <w:t xml:space="preserve"> individual 10 mM OSW-1 aliquot was</w:t>
      </w:r>
      <w:r>
        <w:rPr>
          <w:rFonts w:cstheme="minorHAnsi"/>
        </w:rPr>
        <w:t xml:space="preserve"> </w:t>
      </w:r>
      <w:r w:rsidRPr="00E9338F">
        <w:rPr>
          <w:rFonts w:cstheme="minorHAnsi"/>
        </w:rPr>
        <w:t>thawed no more than three times. Additional cycles of freeze/thaws caused partial loss of</w:t>
      </w:r>
      <w:r>
        <w:rPr>
          <w:rFonts w:cstheme="minorHAnsi"/>
        </w:rPr>
        <w:t xml:space="preserve"> </w:t>
      </w:r>
      <w:r w:rsidRPr="00E9338F">
        <w:rPr>
          <w:rFonts w:cstheme="minorHAnsi"/>
        </w:rPr>
        <w:t>OSW-1 compound in the aliquots.</w:t>
      </w:r>
    </w:p>
    <w:p w:rsidR="00E9338F" w:rsidRPr="002D46ED" w:rsidRDefault="00E9338F" w:rsidP="00042529">
      <w:pPr>
        <w:pStyle w:val="Heading3"/>
      </w:pPr>
      <w:bookmarkStart w:id="134" w:name="_Toc532553115"/>
      <w:r w:rsidRPr="002D46ED">
        <w:t>Cell Lysis</w:t>
      </w:r>
      <w:bookmarkEnd w:id="134"/>
    </w:p>
    <w:p w:rsidR="004A4617" w:rsidRPr="004A4617" w:rsidRDefault="004A4617" w:rsidP="00FB099D">
      <w:pPr>
        <w:ind w:firstLine="640"/>
        <w:jc w:val="both"/>
        <w:rPr>
          <w:rFonts w:cstheme="minorHAnsi"/>
        </w:rPr>
      </w:pPr>
      <w:r w:rsidRPr="004A4617">
        <w:rPr>
          <w:rFonts w:cstheme="minorHAnsi"/>
          <w:b/>
        </w:rPr>
        <w:t>Cell Lysis Method 1 (AC Freeze/Thaw Lysis):</w:t>
      </w:r>
      <w:r w:rsidRPr="004A4617">
        <w:rPr>
          <w:rFonts w:cstheme="minorHAnsi"/>
        </w:rPr>
        <w:t xml:space="preserve"> Adherent cells were cultured in Nunclon Delta 10 cm</w:t>
      </w:r>
      <w:r w:rsidR="00115241">
        <w:rPr>
          <w:rFonts w:cstheme="minorHAnsi"/>
          <w:vertAlign w:val="superscript"/>
        </w:rPr>
        <w:t>3</w:t>
      </w:r>
      <w:r w:rsidR="00FE133B">
        <w:rPr>
          <w:rFonts w:cstheme="minorHAnsi"/>
        </w:rPr>
        <w:t xml:space="preserve"> dishes (VWR 10171744) and lysate preparation began</w:t>
      </w:r>
      <w:r w:rsidRPr="004A4617">
        <w:rPr>
          <w:rFonts w:cstheme="minorHAnsi"/>
        </w:rPr>
        <w:t xml:space="preserve"> by re</w:t>
      </w:r>
      <w:r>
        <w:rPr>
          <w:rFonts w:cstheme="minorHAnsi"/>
        </w:rPr>
        <w:t xml:space="preserve">moving the media, washing with </w:t>
      </w:r>
      <w:r w:rsidRPr="004A4617">
        <w:rPr>
          <w:rFonts w:cstheme="minorHAnsi"/>
        </w:rPr>
        <w:t>1X PBS, followed by addition of 1 mL PBS and scraping. Cells were collected in a 1.5 mL Eppendorf brand centrifuge tubes and spun down at 14,000 x g for 45 seconds. Supernatant was removed, and the cells were resuspended in 50 µL of AC Lysis buffer (150 mM NaCl, 1.5 mM MgCl</w:t>
      </w:r>
      <w:r w:rsidRPr="004A4617">
        <w:rPr>
          <w:rFonts w:cstheme="minorHAnsi"/>
          <w:vertAlign w:val="subscript"/>
        </w:rPr>
        <w:t>2</w:t>
      </w:r>
      <w:r w:rsidRPr="004A4617">
        <w:rPr>
          <w:rFonts w:cstheme="minorHAnsi"/>
        </w:rPr>
        <w:t>, 5% glycerol, 0.8% NP40, 1mM DTT, 50 mM HEPES, 25 mM NaF, 1 mM Na</w:t>
      </w:r>
      <w:r w:rsidRPr="004A4617">
        <w:rPr>
          <w:rFonts w:cstheme="minorHAnsi"/>
          <w:vertAlign w:val="subscript"/>
        </w:rPr>
        <w:t>3</w:t>
      </w:r>
      <w:r w:rsidRPr="004A4617">
        <w:rPr>
          <w:rFonts w:cstheme="minorHAnsi"/>
        </w:rPr>
        <w:t>PO</w:t>
      </w:r>
      <w:r w:rsidRPr="004A4617">
        <w:rPr>
          <w:rFonts w:cstheme="minorHAnsi"/>
          <w:vertAlign w:val="subscript"/>
        </w:rPr>
        <w:t>4</w:t>
      </w:r>
      <w:r w:rsidRPr="004A4617">
        <w:rPr>
          <w:rFonts w:cstheme="minorHAnsi"/>
        </w:rPr>
        <w:t xml:space="preserve">) with 3X HALT/EDTA protease inhibitor (Thermo 78438) and 0.2 mM </w:t>
      </w:r>
      <w:r w:rsidRPr="004A4617">
        <w:rPr>
          <w:rFonts w:cstheme="minorHAnsi"/>
        </w:rPr>
        <w:lastRenderedPageBreak/>
        <w:t xml:space="preserve">phenylmethanesulfonylfluoride (Goldbio). </w:t>
      </w:r>
      <w:r w:rsidR="00FE133B">
        <w:rPr>
          <w:rFonts w:cstheme="minorHAnsi"/>
        </w:rPr>
        <w:t>Cell lysis was performed by freezing in liquid nitrogen and thawing</w:t>
      </w:r>
      <w:r w:rsidRPr="004A4617">
        <w:rPr>
          <w:rFonts w:cstheme="minorHAnsi"/>
        </w:rPr>
        <w:t xml:space="preserve"> in a 37°C bead bath three times, followed by a 14,000 x g </w:t>
      </w:r>
      <w:r w:rsidR="00FE133B">
        <w:rPr>
          <w:rFonts w:cstheme="minorHAnsi"/>
        </w:rPr>
        <w:t>centrifugation</w:t>
      </w:r>
      <w:r w:rsidRPr="004A4617">
        <w:rPr>
          <w:rFonts w:cstheme="minorHAnsi"/>
        </w:rPr>
        <w:t xml:space="preserve"> for 15 minutes. Supernatant was transferred to a new tube and a portion was taken for protein quantification using a Bradford assay (Bio-Rad Protein Assay Dye Reagent Concentrate #5000006, BSA-Santa Cruz sc-2323). After protein quantification, the lysates were diluted to the desired concentration using AC lysis buffer and </w:t>
      </w:r>
      <w:r w:rsidR="00FE133B">
        <w:rPr>
          <w:rFonts w:cstheme="minorHAnsi"/>
        </w:rPr>
        <w:t>a final concentration of 1</w:t>
      </w:r>
      <w:r w:rsidRPr="004A4617">
        <w:rPr>
          <w:rFonts w:cstheme="minorHAnsi"/>
        </w:rPr>
        <w:t>X Laemmli buffer (1 M Tris pH 6.8, 8% SDS, 40% glycerol, 20% β-mercaptoethanol, and 0.2% bromophenol blue), followed by dry bath heating at 95°C for 10 minutes.</w:t>
      </w:r>
    </w:p>
    <w:p w:rsidR="004A4617" w:rsidRPr="004A4617" w:rsidRDefault="004A4617" w:rsidP="00FB099D">
      <w:pPr>
        <w:jc w:val="both"/>
        <w:rPr>
          <w:rFonts w:cstheme="minorHAnsi"/>
        </w:rPr>
      </w:pPr>
      <w:r w:rsidRPr="004A4617">
        <w:rPr>
          <w:rFonts w:cstheme="minorHAnsi"/>
        </w:rPr>
        <w:t>Adherent cells cultured on 6-well plates (Greiner 657160) were lysed by removing media, washed with 1X PBS, followed by adding 0.5 mL TrypLE</w:t>
      </w:r>
      <w:r w:rsidRPr="00115241">
        <w:rPr>
          <w:rFonts w:cstheme="minorHAnsi"/>
          <w:vertAlign w:val="superscript"/>
        </w:rPr>
        <w:t>TM</w:t>
      </w:r>
      <w:r w:rsidRPr="004A4617">
        <w:rPr>
          <w:rFonts w:cstheme="minorHAnsi"/>
        </w:rPr>
        <w:t xml:space="preserve"> Express (Gibco 12605010) and incubated at 37°C for 5 minutes. TrypLE</w:t>
      </w:r>
      <w:r w:rsidRPr="00115241">
        <w:rPr>
          <w:rFonts w:cstheme="minorHAnsi"/>
          <w:vertAlign w:val="superscript"/>
        </w:rPr>
        <w:t>TM</w:t>
      </w:r>
      <w:r w:rsidRPr="004A4617">
        <w:rPr>
          <w:rFonts w:cstheme="minorHAnsi"/>
        </w:rPr>
        <w:t xml:space="preserve"> was neutralized using 0.5 mL of media and cells were then transferred to a 1.5 mL Eppendorf tube spun down at 14,000 x g for 45 seconds. Supernatant was removed, and 1 mL of PBS was added to wash the cells. Cells were spun down at 14,000 x g for 45 seconds, supernatant was removed, and the cells were resuspended in 50 µL of AC lysis buffer. Freeze/thaw method was continued as described above.</w:t>
      </w:r>
    </w:p>
    <w:p w:rsidR="004A4617" w:rsidRPr="004A4617" w:rsidRDefault="004A4617" w:rsidP="00FB099D">
      <w:pPr>
        <w:jc w:val="both"/>
        <w:rPr>
          <w:rFonts w:cstheme="minorHAnsi"/>
        </w:rPr>
      </w:pPr>
      <w:r w:rsidRPr="004A4617">
        <w:rPr>
          <w:rFonts w:cstheme="minorHAnsi"/>
        </w:rPr>
        <w:t>For suspen</w:t>
      </w:r>
      <w:r w:rsidR="00FE133B">
        <w:rPr>
          <w:rFonts w:cstheme="minorHAnsi"/>
        </w:rPr>
        <w:t>sion cell lines, cells were centrifuged</w:t>
      </w:r>
      <w:r w:rsidRPr="004A4617">
        <w:rPr>
          <w:rFonts w:cstheme="minorHAnsi"/>
        </w:rPr>
        <w:t xml:space="preserve"> at 200 x g for 5 minutes and the supernatant removed. Cell pellet was resuspended in 1 mL of PBS and spun down at 14,000 x g for 45 seconds, supernatant was removed, and cells were resuspended in 50 µL of AC lysis buffer. Freeze/thaw method continued as abov</w:t>
      </w:r>
      <w:r>
        <w:rPr>
          <w:rFonts w:cstheme="minorHAnsi"/>
        </w:rPr>
        <w:t>e.</w:t>
      </w:r>
    </w:p>
    <w:p w:rsidR="00E9338F" w:rsidRDefault="004A4617" w:rsidP="00FB099D">
      <w:pPr>
        <w:ind w:firstLine="720"/>
        <w:jc w:val="both"/>
        <w:rPr>
          <w:rFonts w:cstheme="minorHAnsi"/>
        </w:rPr>
      </w:pPr>
      <w:r w:rsidRPr="004A4617">
        <w:rPr>
          <w:rFonts w:cstheme="minorHAnsi"/>
          <w:b/>
        </w:rPr>
        <w:t>Cell Lysis Method 2 (MPER Extraction):</w:t>
      </w:r>
      <w:r w:rsidRPr="004A4617">
        <w:rPr>
          <w:rFonts w:cstheme="minorHAnsi"/>
        </w:rPr>
        <w:t xml:space="preserve"> Mammalian protein extraction reagent, MPER, (Thermo 78501) was used as an alternative lysis method for 10 cm</w:t>
      </w:r>
      <w:r>
        <w:rPr>
          <w:rFonts w:cstheme="minorHAnsi"/>
          <w:vertAlign w:val="superscript"/>
        </w:rPr>
        <w:t>3</w:t>
      </w:r>
      <w:r w:rsidRPr="004A4617">
        <w:rPr>
          <w:rFonts w:cstheme="minorHAnsi"/>
        </w:rPr>
        <w:t xml:space="preserve"> dishes. Media was removed from the cells, and 5 mL of 1X PBS was added to wash cells. 1 mL of MPER was added to the plate and was shaken in a room temperature (Innova 42 incubator) at 250 rpm for 5 minutes. The </w:t>
      </w:r>
      <w:r w:rsidRPr="004A4617">
        <w:rPr>
          <w:rFonts w:cstheme="minorHAnsi"/>
        </w:rPr>
        <w:lastRenderedPageBreak/>
        <w:t>solution was collected and spun down at 14,000 x g for 10 minutes. Supernatant was placed in a new tube and the protein concentration and sample preparation was conducted as described above.</w:t>
      </w:r>
    </w:p>
    <w:p w:rsidR="004A4617" w:rsidRPr="002D46ED" w:rsidRDefault="004A4617" w:rsidP="00042529">
      <w:pPr>
        <w:pStyle w:val="Heading3"/>
      </w:pPr>
      <w:bookmarkStart w:id="135" w:name="_Toc532553116"/>
      <w:r w:rsidRPr="002D46ED">
        <w:t>Western Blotting</w:t>
      </w:r>
      <w:bookmarkEnd w:id="135"/>
    </w:p>
    <w:p w:rsidR="004A4617" w:rsidRDefault="004A4617" w:rsidP="00FB099D">
      <w:pPr>
        <w:jc w:val="both"/>
        <w:rPr>
          <w:rFonts w:cstheme="minorHAnsi"/>
        </w:rPr>
      </w:pPr>
      <w:r>
        <w:rPr>
          <w:rFonts w:cstheme="minorHAnsi"/>
        </w:rPr>
        <w:t>SDS-PAGE gels (8.5%</w:t>
      </w:r>
      <w:r w:rsidRPr="004A4617">
        <w:rPr>
          <w:rFonts w:cstheme="minorHAnsi"/>
        </w:rPr>
        <w:t>) containing 25 µg of</w:t>
      </w:r>
      <w:r w:rsidR="00FE133B">
        <w:rPr>
          <w:rFonts w:cstheme="minorHAnsi"/>
        </w:rPr>
        <w:t xml:space="preserve"> total</w:t>
      </w:r>
      <w:r w:rsidRPr="004A4617">
        <w:rPr>
          <w:rFonts w:cstheme="minorHAnsi"/>
        </w:rPr>
        <w:t xml:space="preserve"> protein per well were transferred to 0.45 µm nitrocellulose (Bio-Rad 1620115) using constant voltage (100V) for 1 h</w:t>
      </w:r>
      <w:r>
        <w:rPr>
          <w:rFonts w:cstheme="minorHAnsi"/>
        </w:rPr>
        <w:t>ou</w:t>
      </w:r>
      <w:r w:rsidRPr="004A4617">
        <w:rPr>
          <w:rFonts w:cstheme="minorHAnsi"/>
        </w:rPr>
        <w:t xml:space="preserve">r at 4°C in 1X transfer buffer with 10% ethanol. After transferring, the nitrocellulose membrane was blocked with 5% milk 1X TBST at room temperature for 30 minutes. The membranes were then washed three times, five minutes each, with 1X TBST. Primary incubation with antibodies was done overnight at 4°C. After primary incubation, the blots were washed five times, five minutes each, with 1X TBST and then incubated in secondary antibody in 1% milk TBST for </w:t>
      </w:r>
      <w:r>
        <w:rPr>
          <w:rFonts w:cstheme="minorHAnsi"/>
        </w:rPr>
        <w:t>30</w:t>
      </w:r>
      <w:r w:rsidRPr="004A4617">
        <w:rPr>
          <w:rFonts w:cstheme="minorHAnsi"/>
        </w:rPr>
        <w:t xml:space="preserve"> minutes at room temperature. After secondary antibody incubation, the blots were washed five times, five minutes each, with 1X TBST and then once with 1X TBS for ten minutes. TBS was removed, and the blots were incubated in Clarity</w:t>
      </w:r>
      <w:r w:rsidRPr="00115241">
        <w:rPr>
          <w:rFonts w:cstheme="minorHAnsi"/>
          <w:vertAlign w:val="superscript"/>
        </w:rPr>
        <w:t>TM</w:t>
      </w:r>
      <w:r w:rsidRPr="004A4617">
        <w:rPr>
          <w:rFonts w:cstheme="minorHAnsi"/>
        </w:rPr>
        <w:t xml:space="preserve"> Western ECL substrate (Bio-Rad 170</w:t>
      </w:r>
      <w:r>
        <w:rPr>
          <w:rFonts w:cstheme="minorHAnsi"/>
        </w:rPr>
        <w:t xml:space="preserve">5061) and imaged on the Bio-Rad </w:t>
      </w:r>
      <w:r w:rsidRPr="004A4617">
        <w:rPr>
          <w:rFonts w:cstheme="minorHAnsi"/>
        </w:rPr>
        <w:t>ChemiDoc</w:t>
      </w:r>
      <w:r w:rsidRPr="00115241">
        <w:rPr>
          <w:rFonts w:cstheme="minorHAnsi"/>
          <w:vertAlign w:val="superscript"/>
        </w:rPr>
        <w:t>TM</w:t>
      </w:r>
      <w:r w:rsidRPr="004A4617">
        <w:rPr>
          <w:rFonts w:cstheme="minorHAnsi"/>
        </w:rPr>
        <w:t xml:space="preserve"> Touch Imaging System using the chemiluminescence setting with 2x2 binning. Ladder images were taken using the colorimetric setting. After development, the membranes were washed with 1X TBST twice for five minutes each. 1:1000 β-actin HRP (Santa Cruz sc-47778 HRP) in 1% milk TBST was added and incubated for 1.5 hr at room temperature. Developing occurred the same as after secondary antibody incubation. Primary antibodies used were 1:500 O</w:t>
      </w:r>
      <w:r>
        <w:rPr>
          <w:rFonts w:cstheme="minorHAnsi"/>
        </w:rPr>
        <w:t xml:space="preserve">SBP A-5 (Santa Cruz sc-365771), </w:t>
      </w:r>
      <w:r w:rsidRPr="004A4617">
        <w:rPr>
          <w:rFonts w:cstheme="minorHAnsi"/>
        </w:rPr>
        <w:t>1:1000 OS</w:t>
      </w:r>
      <w:r>
        <w:rPr>
          <w:rFonts w:cstheme="minorHAnsi"/>
        </w:rPr>
        <w:t xml:space="preserve">BP2 B-1 (Santa Cruz sc-365922), 1:1000 </w:t>
      </w:r>
      <w:r w:rsidRPr="004A4617">
        <w:rPr>
          <w:rFonts w:cstheme="minorHAnsi"/>
        </w:rPr>
        <w:t>OSBP1 1F2 (Novus NBP2-00935)</w:t>
      </w:r>
      <w:r>
        <w:rPr>
          <w:rFonts w:cstheme="minorHAnsi"/>
        </w:rPr>
        <w:t xml:space="preserve">, and 1:1000 OSBP1 (Novus NBP2-47343). </w:t>
      </w:r>
      <w:r w:rsidRPr="004A4617">
        <w:rPr>
          <w:rFonts w:cstheme="minorHAnsi"/>
        </w:rPr>
        <w:t>Second</w:t>
      </w:r>
      <w:r w:rsidR="00115241">
        <w:rPr>
          <w:rFonts w:cstheme="minorHAnsi"/>
        </w:rPr>
        <w:t xml:space="preserve">ary antibodies used were </w:t>
      </w:r>
      <w:r w:rsidRPr="004A4617">
        <w:rPr>
          <w:rFonts w:cstheme="minorHAnsi"/>
        </w:rPr>
        <w:t>1:3000 goat anti-mouse</w:t>
      </w:r>
      <w:r w:rsidR="00115241">
        <w:rPr>
          <w:rFonts w:cstheme="minorHAnsi"/>
        </w:rPr>
        <w:t xml:space="preserve"> IgG1-HRP (Santa Cruz sc-2060) and </w:t>
      </w:r>
      <w:r w:rsidRPr="004A4617">
        <w:rPr>
          <w:rFonts w:cstheme="minorHAnsi"/>
        </w:rPr>
        <w:t>1:3000 goat anti-rabb</w:t>
      </w:r>
      <w:r w:rsidR="00115241">
        <w:rPr>
          <w:rFonts w:cstheme="minorHAnsi"/>
        </w:rPr>
        <w:t>it IgG-HRP (Santa Cruz sc-2004).</w:t>
      </w:r>
    </w:p>
    <w:p w:rsidR="00115241" w:rsidRPr="002D46ED" w:rsidRDefault="00115241" w:rsidP="00042529">
      <w:pPr>
        <w:pStyle w:val="Heading3"/>
      </w:pPr>
      <w:bookmarkStart w:id="136" w:name="_Toc532553117"/>
      <w:r w:rsidRPr="002D46ED">
        <w:lastRenderedPageBreak/>
        <w:t>Washout Experiments</w:t>
      </w:r>
      <w:bookmarkEnd w:id="136"/>
    </w:p>
    <w:p w:rsidR="00115241" w:rsidRDefault="00115241" w:rsidP="00FB099D">
      <w:pPr>
        <w:jc w:val="both"/>
        <w:rPr>
          <w:rFonts w:cstheme="minorHAnsi"/>
        </w:rPr>
      </w:pPr>
      <w:r w:rsidRPr="00115241">
        <w:rPr>
          <w:rFonts w:cstheme="minorHAnsi"/>
        </w:rPr>
        <w:t>Cells were treated with 1 nM OSW-1, 1 nM Taxol, or DMSO media for 6 h</w:t>
      </w:r>
      <w:r>
        <w:rPr>
          <w:rFonts w:cstheme="minorHAnsi"/>
        </w:rPr>
        <w:t>ou</w:t>
      </w:r>
      <w:r w:rsidRPr="00115241">
        <w:rPr>
          <w:rFonts w:cstheme="minorHAnsi"/>
        </w:rPr>
        <w:t>r</w:t>
      </w:r>
      <w:r>
        <w:rPr>
          <w:rFonts w:cstheme="minorHAnsi"/>
        </w:rPr>
        <w:t>s</w:t>
      </w:r>
      <w:r w:rsidRPr="00115241">
        <w:rPr>
          <w:rFonts w:cstheme="minorHAnsi"/>
        </w:rPr>
        <w:t xml:space="preserve"> or the indicated time period. Media was removed, and the cells were gently washed with 5 mL of complete media 3 times and then 10 mL of fresh, </w:t>
      </w:r>
      <w:r w:rsidR="007A587E">
        <w:rPr>
          <w:rFonts w:cstheme="minorHAnsi"/>
        </w:rPr>
        <w:t>OSW-1 compound</w:t>
      </w:r>
      <w:r w:rsidRPr="00115241">
        <w:rPr>
          <w:rFonts w:cstheme="minorHAnsi"/>
        </w:rPr>
        <w:t xml:space="preserve"> free media was added back to the cells. </w:t>
      </w:r>
      <w:r w:rsidR="00FE133B">
        <w:rPr>
          <w:rFonts w:cstheme="minorHAnsi"/>
        </w:rPr>
        <w:t>Compound removal and washing for K562 cells utilized were centrifuged</w:t>
      </w:r>
      <w:r w:rsidR="00FE133B" w:rsidRPr="004A4617">
        <w:rPr>
          <w:rFonts w:cstheme="minorHAnsi"/>
        </w:rPr>
        <w:t xml:space="preserve"> at 200 x g for 5 minutes</w:t>
      </w:r>
      <w:r w:rsidR="00FE133B">
        <w:rPr>
          <w:rFonts w:cstheme="minorHAnsi"/>
        </w:rPr>
        <w:t xml:space="preserve"> for each step. </w:t>
      </w:r>
      <w:r w:rsidRPr="00115241">
        <w:rPr>
          <w:rFonts w:cstheme="minorHAnsi"/>
        </w:rPr>
        <w:t>The cells were then allowed to recover for the indicated times (0-72 h</w:t>
      </w:r>
      <w:r>
        <w:rPr>
          <w:rFonts w:cstheme="minorHAnsi"/>
        </w:rPr>
        <w:t>ou</w:t>
      </w:r>
      <w:r w:rsidRPr="00115241">
        <w:rPr>
          <w:rFonts w:cstheme="minorHAnsi"/>
        </w:rPr>
        <w:t>rs) and were lysed as described above and analyzed by Western blot.</w:t>
      </w:r>
    </w:p>
    <w:p w:rsidR="007A3953" w:rsidRPr="002D46ED" w:rsidRDefault="001E5551" w:rsidP="00042529">
      <w:pPr>
        <w:pStyle w:val="Heading3"/>
      </w:pPr>
      <w:bookmarkStart w:id="137" w:name="_Toc532553118"/>
      <w:r w:rsidRPr="002D46ED">
        <w:t>Immunofluorescence</w:t>
      </w:r>
      <w:bookmarkEnd w:id="137"/>
    </w:p>
    <w:p w:rsidR="007A3953" w:rsidRPr="007A3953" w:rsidRDefault="007A3953" w:rsidP="00FB099D">
      <w:pPr>
        <w:jc w:val="both"/>
        <w:rPr>
          <w:rFonts w:cstheme="minorHAnsi"/>
          <w:i/>
        </w:rPr>
      </w:pPr>
      <w:r w:rsidRPr="007A3953">
        <w:rPr>
          <w:rFonts w:cstheme="minorHAnsi"/>
        </w:rPr>
        <w:t>50,000 cells were seeded onto sterile 18 mm cover slips in 12 well plates for treatments lasting (0-24 h</w:t>
      </w:r>
      <w:r>
        <w:rPr>
          <w:rFonts w:cstheme="minorHAnsi"/>
        </w:rPr>
        <w:t>ou</w:t>
      </w:r>
      <w:r w:rsidRPr="007A3953">
        <w:rPr>
          <w:rFonts w:cstheme="minorHAnsi"/>
        </w:rPr>
        <w:t>rs) or 25,000 cells for longer treatment. The cells rested for 24 h</w:t>
      </w:r>
      <w:r>
        <w:rPr>
          <w:rFonts w:cstheme="minorHAnsi"/>
        </w:rPr>
        <w:t>ou</w:t>
      </w:r>
      <w:r w:rsidRPr="007A3953">
        <w:rPr>
          <w:rFonts w:cstheme="minorHAnsi"/>
        </w:rPr>
        <w:t>rs before treatment to ensure attachment of the cells. Once treatments were completed media was aspirated and cells were washed with warm 1X PBS. PBS was removed and 0.5 mL of freshly prepared 4% paraformaldehyde in PBS was added. Coverslips were at 37°C for 20 mins and then the paraformaldehyde was removed followed by three 1X PBS washes. Permeabilization of the cells was done with 0.5 mL of 0.5% Triton X-100 in PBS at room temperature for 10 minutes. 1X PBS was used to wash the cells three times. Image-iT FX signal enhancer (Thermo I36933) was added onto the cover slips and incubate at room temperature for 30 minutes followed by three 1X PBS washes. Coverslips were blocked with 0.5 mL of 1% BSA in PBS at room temperature for 30 minutes followed by three washes with 1X PBS. Primary antibody was added, and the slips were incubated overnight at 4°C. The primary antibody solution was removed and washed slips three times with 1X PBS. Secondary antibody solution was incubated in darkness at room temperature for 1 h</w:t>
      </w:r>
      <w:r>
        <w:rPr>
          <w:rFonts w:cstheme="minorHAnsi"/>
        </w:rPr>
        <w:t>ou</w:t>
      </w:r>
      <w:r w:rsidRPr="007A3953">
        <w:rPr>
          <w:rFonts w:cstheme="minorHAnsi"/>
        </w:rPr>
        <w:t xml:space="preserve">r. The secondary antibody solution was removed and washed three times with 1% BSA-PBS, three times with 1X PBS, and then soaked the cover slip in 300 nM DAPI (Thermo D1306) </w:t>
      </w:r>
      <w:r w:rsidRPr="007A3953">
        <w:rPr>
          <w:rFonts w:cstheme="minorHAnsi"/>
        </w:rPr>
        <w:lastRenderedPageBreak/>
        <w:t>solution for 10 minutes Mounted the slips onto glass slides using VECTASHEILD HardSet Antifade mounting media (VECTOR labs H-1400). Stored slides at -20°C until imaging was conducted. Primary antibodies used were 1:100 OSBP1 1F2 (Novus NBP2-00935) and 1:500 TGN46 (Novus NBP1-49643). Secondary antibodies used were 1:500 goat anti-mouse IgG H&amp;L Alexa Fluor® 488 (Abcam ab150113) and donkey anti-rabbit IgG H&amp;L Alexa Fluor® 594 (Abcam ab150076). Imaging was done with a Lecia SP8 using a 63x objective with 2x digital zoom. Images were analyzed with ImageJ software.</w:t>
      </w:r>
    </w:p>
    <w:p w:rsidR="00115241" w:rsidRPr="002D46ED" w:rsidRDefault="00115241" w:rsidP="00042529">
      <w:pPr>
        <w:pStyle w:val="Heading3"/>
      </w:pPr>
      <w:bookmarkStart w:id="138" w:name="_Toc532553119"/>
      <w:r w:rsidRPr="002D46ED">
        <w:t>Trypan Blue Staining</w:t>
      </w:r>
      <w:bookmarkEnd w:id="138"/>
    </w:p>
    <w:p w:rsidR="00115241" w:rsidRDefault="00115241" w:rsidP="00FB099D">
      <w:pPr>
        <w:jc w:val="both"/>
        <w:rPr>
          <w:rFonts w:cstheme="minorHAnsi"/>
        </w:rPr>
      </w:pPr>
      <w:r w:rsidRPr="00115241">
        <w:rPr>
          <w:rFonts w:cstheme="minorHAnsi"/>
        </w:rPr>
        <w:t>HEK293 and HCT116 cells were se</w:t>
      </w:r>
      <w:r>
        <w:rPr>
          <w:rFonts w:cstheme="minorHAnsi"/>
        </w:rPr>
        <w:t>eded out at 0.85 x</w:t>
      </w:r>
      <w:r w:rsidRPr="00115241">
        <w:rPr>
          <w:rFonts w:cstheme="minorHAnsi"/>
        </w:rPr>
        <w:t xml:space="preserve"> 10</w:t>
      </w:r>
      <w:r w:rsidRPr="00115241">
        <w:rPr>
          <w:rFonts w:cstheme="minorHAnsi"/>
          <w:vertAlign w:val="superscript"/>
        </w:rPr>
        <w:t>5</w:t>
      </w:r>
      <w:r w:rsidRPr="00115241">
        <w:rPr>
          <w:rFonts w:cstheme="minorHAnsi"/>
        </w:rPr>
        <w:t xml:space="preserve"> cells/mL into 10 cm</w:t>
      </w:r>
      <w:r>
        <w:rPr>
          <w:rFonts w:cstheme="minorHAnsi"/>
          <w:vertAlign w:val="superscript"/>
        </w:rPr>
        <w:t>3</w:t>
      </w:r>
      <w:r w:rsidRPr="00115241">
        <w:rPr>
          <w:rFonts w:cstheme="minorHAnsi"/>
        </w:rPr>
        <w:t xml:space="preserve"> dishes and left to recover for 20 h</w:t>
      </w:r>
      <w:r>
        <w:rPr>
          <w:rFonts w:cstheme="minorHAnsi"/>
        </w:rPr>
        <w:t>ou</w:t>
      </w:r>
      <w:r w:rsidRPr="00115241">
        <w:rPr>
          <w:rFonts w:cstheme="minorHAnsi"/>
        </w:rPr>
        <w:t>rs. Cells were treated with 1 nM OSW-1, 1 nM Taxol, or DMSO for 6 h</w:t>
      </w:r>
      <w:r>
        <w:rPr>
          <w:rFonts w:cstheme="minorHAnsi"/>
        </w:rPr>
        <w:t>ou</w:t>
      </w:r>
      <w:r w:rsidRPr="00115241">
        <w:rPr>
          <w:rFonts w:cstheme="minorHAnsi"/>
        </w:rPr>
        <w:t>rs, followed by washout procedure and recovery for 0-72 h</w:t>
      </w:r>
      <w:r>
        <w:rPr>
          <w:rFonts w:cstheme="minorHAnsi"/>
        </w:rPr>
        <w:t>ou</w:t>
      </w:r>
      <w:r w:rsidRPr="00115241">
        <w:rPr>
          <w:rFonts w:cstheme="minorHAnsi"/>
        </w:rPr>
        <w:t>rs. After recovery time, cells were washed with 1X PBS and then incubated in 2.5 mL TrypLE</w:t>
      </w:r>
      <w:r w:rsidRPr="00115241">
        <w:rPr>
          <w:rFonts w:cstheme="minorHAnsi"/>
          <w:vertAlign w:val="superscript"/>
        </w:rPr>
        <w:t>TM</w:t>
      </w:r>
      <w:r w:rsidRPr="00115241">
        <w:rPr>
          <w:rFonts w:cstheme="minorHAnsi"/>
        </w:rPr>
        <w:t xml:space="preserve"> for 5 minutes at 37°C. Reaction was neutralized using 7.5 mL of fresh media and cells were counted</w:t>
      </w:r>
      <w:r>
        <w:rPr>
          <w:rFonts w:cstheme="minorHAnsi"/>
        </w:rPr>
        <w:t xml:space="preserve"> and viability analyzed</w:t>
      </w:r>
      <w:r w:rsidRPr="00115241">
        <w:rPr>
          <w:rFonts w:cstheme="minorHAnsi"/>
        </w:rPr>
        <w:t xml:space="preserve"> on a TC20™ Automated Cell Counter (BioRad) by combining 10 µL of cell solution with 10 µL Trypan Blue stain (Thermo 15250061).</w:t>
      </w:r>
    </w:p>
    <w:p w:rsidR="00115241" w:rsidRPr="002D46ED" w:rsidRDefault="00115241" w:rsidP="00042529">
      <w:pPr>
        <w:pStyle w:val="Heading3"/>
      </w:pPr>
      <w:bookmarkStart w:id="139" w:name="_Toc532553120"/>
      <w:r w:rsidRPr="002D46ED">
        <w:t>Calcein AM and Hoechst Staining</w:t>
      </w:r>
      <w:bookmarkEnd w:id="139"/>
    </w:p>
    <w:p w:rsidR="00115241" w:rsidRDefault="00115241" w:rsidP="00FB099D">
      <w:pPr>
        <w:jc w:val="both"/>
        <w:rPr>
          <w:rFonts w:cstheme="minorHAnsi"/>
        </w:rPr>
      </w:pPr>
      <w:r w:rsidRPr="00115241">
        <w:rPr>
          <w:rFonts w:cstheme="minorHAnsi"/>
        </w:rPr>
        <w:t>HEK293 cells were seeded out at 10,000 cells per well into a 24-well plate and left to recover for 20 hrs. Half the plate of cells was treated with 1 nM OSW-1, 1 nM Taxol, or DMSO for 6 h</w:t>
      </w:r>
      <w:r>
        <w:rPr>
          <w:rFonts w:cstheme="minorHAnsi"/>
        </w:rPr>
        <w:t>ou</w:t>
      </w:r>
      <w:r w:rsidRPr="00115241">
        <w:rPr>
          <w:rFonts w:cstheme="minorHAnsi"/>
        </w:rPr>
        <w:t>rs, followed by washout while the other half was treated with the same concentration continuously. Washout and continual time points were 0, 24, 48, and 72 h</w:t>
      </w:r>
      <w:r>
        <w:rPr>
          <w:rFonts w:cstheme="minorHAnsi"/>
        </w:rPr>
        <w:t>ou</w:t>
      </w:r>
      <w:r w:rsidRPr="00115241">
        <w:rPr>
          <w:rFonts w:cstheme="minorHAnsi"/>
        </w:rPr>
        <w:t>rs, with the cells being treated on subsequent days, therefore, all time points ended collectively. Once the treatments were finished, the media was removed and a solution of 5 µM Calcein AM (Thermo C1430) and 5.5 mg/mL Hoechst 33342 (Thermo H1399) was added to the cells and incubated at 37°C for 1 h</w:t>
      </w:r>
      <w:r>
        <w:rPr>
          <w:rFonts w:cstheme="minorHAnsi"/>
        </w:rPr>
        <w:t>ou</w:t>
      </w:r>
      <w:r w:rsidRPr="00115241">
        <w:rPr>
          <w:rFonts w:cstheme="minorHAnsi"/>
        </w:rPr>
        <w:t xml:space="preserve">r. Plate </w:t>
      </w:r>
      <w:r w:rsidRPr="00115241">
        <w:rPr>
          <w:rFonts w:cstheme="minorHAnsi"/>
        </w:rPr>
        <w:lastRenderedPageBreak/>
        <w:t>was imaged using an Operetta High-Content Imaging System (PerkinElmer) using brightfield, 488, and Hoechst settings.</w:t>
      </w:r>
    </w:p>
    <w:p w:rsidR="007A3953" w:rsidRPr="002D46ED" w:rsidRDefault="007A3953" w:rsidP="00042529">
      <w:pPr>
        <w:pStyle w:val="Heading3"/>
      </w:pPr>
      <w:bookmarkStart w:id="140" w:name="_Toc532553121"/>
      <w:r w:rsidRPr="002D46ED">
        <w:t>Intracellular OSW-1 Quantification Using LC-MS and Single Cell MS Methods</w:t>
      </w:r>
      <w:bookmarkEnd w:id="140"/>
    </w:p>
    <w:p w:rsidR="007A3953" w:rsidRPr="00270D3C" w:rsidRDefault="007A3953" w:rsidP="00270D3C">
      <w:pPr>
        <w:ind w:firstLine="360"/>
        <w:jc w:val="both"/>
      </w:pPr>
      <w:r w:rsidRPr="007A3953">
        <w:rPr>
          <w:rFonts w:cstheme="minorHAnsi"/>
        </w:rPr>
        <w:t>nano-UPLC/MS: HCT-116 cells (1.5x10</w:t>
      </w:r>
      <w:r w:rsidRPr="007A3953">
        <w:rPr>
          <w:rFonts w:cstheme="minorHAnsi"/>
          <w:vertAlign w:val="superscript"/>
        </w:rPr>
        <w:t>5</w:t>
      </w:r>
      <w:r w:rsidRPr="007A3953">
        <w:rPr>
          <w:rFonts w:cstheme="minorHAnsi"/>
        </w:rPr>
        <w:t>) were seeded in a 6-well plate. Upon 60% confluency, cell lysate was created following a 1 h</w:t>
      </w:r>
      <w:r>
        <w:rPr>
          <w:rFonts w:cstheme="minorHAnsi"/>
        </w:rPr>
        <w:t>ou</w:t>
      </w:r>
      <w:r w:rsidRPr="007A3953">
        <w:rPr>
          <w:rFonts w:cstheme="minorHAnsi"/>
        </w:rPr>
        <w:t>r treatment of 100 nM OSW-1, with or without a 24 h</w:t>
      </w:r>
      <w:r>
        <w:rPr>
          <w:rFonts w:cstheme="minorHAnsi"/>
        </w:rPr>
        <w:t>ou</w:t>
      </w:r>
      <w:r w:rsidRPr="007A3953">
        <w:rPr>
          <w:rFonts w:cstheme="minorHAnsi"/>
        </w:rPr>
        <w:t>r post wash recovery. Trypsin (0.5 mL) was used to detach the cells, with additional McCoy’s media (0.5 mL) to stop digestion. Cell count was performed using a Bio-Rad TC20</w:t>
      </w:r>
      <w:r w:rsidRPr="007A3953">
        <w:rPr>
          <w:rFonts w:cstheme="minorHAnsi"/>
          <w:vertAlign w:val="superscript"/>
        </w:rPr>
        <w:t>TM</w:t>
      </w:r>
      <w:r w:rsidRPr="007A3953">
        <w:rPr>
          <w:rFonts w:cstheme="minorHAnsi"/>
        </w:rPr>
        <w:t xml:space="preserve"> Automated Cell Counter with trypan blue viability staining. Cells were spun at 500 x</w:t>
      </w:r>
      <w:r>
        <w:rPr>
          <w:rFonts w:cstheme="minorHAnsi"/>
        </w:rPr>
        <w:t xml:space="preserve"> </w:t>
      </w:r>
      <w:r w:rsidRPr="007A3953">
        <w:rPr>
          <w:rFonts w:cstheme="minorHAnsi"/>
        </w:rPr>
        <w:t>g for 5 min followed by a 1-mL PBS wash. The cell pellet was lysed using 1 mL of 50 nM d-OSW-1 dissolved in cold acetonitrile and methanol (1:1) with brief vortexing on ice for 10 min. The cell pellet was spun at 15000 x</w:t>
      </w:r>
      <w:r>
        <w:rPr>
          <w:rFonts w:cstheme="minorHAnsi"/>
        </w:rPr>
        <w:t xml:space="preserve"> </w:t>
      </w:r>
      <w:r w:rsidRPr="007A3953">
        <w:rPr>
          <w:rFonts w:cstheme="minorHAnsi"/>
        </w:rPr>
        <w:t>g at 4°C for 15 min. The supernatant was transferred to a new tube and dried using a speed vacuum (Savant SPD11V, Thermo Scientific) at 70°C. Prior to analysis, cells are resuspended in 150 µL of ACN: H2O (1:10). Analysis was performed using a Waters nanoAQUITY BEH C-18 column (100 µm x 100 mm, 1.7 µm) coupled with a mass spectrometer (Thermo LTQ Orbitrap XL, Waltham, MA) using a flow rate of 0.3 uL/min. Mobile phase A is ACN with 0.1% formic acid, and mobile phase B is H2O with 0.1% formic acid. The time/%A are as follows: 0/0, 1/50, 2/100, 3/100, and 4/0 f</w:t>
      </w:r>
      <w:r>
        <w:rPr>
          <w:rFonts w:cstheme="minorHAnsi"/>
        </w:rPr>
        <w:t>or a total runtime of 5 minutes</w:t>
      </w:r>
      <w:r w:rsidR="00270D3C">
        <w:rPr>
          <w:rFonts w:cstheme="minorHAnsi"/>
        </w:rPr>
        <w:t xml:space="preserve">. Treatment of cells was done by Mr. Ryan </w:t>
      </w:r>
      <w:r w:rsidR="00BE3671">
        <w:rPr>
          <w:rFonts w:cstheme="minorHAnsi"/>
        </w:rPr>
        <w:t>Bensen</w:t>
      </w:r>
      <w:r w:rsidR="00270D3C">
        <w:rPr>
          <w:rFonts w:cstheme="minorHAnsi"/>
        </w:rPr>
        <w:t xml:space="preserve"> and analysis of sample was done by Ms. Shawna Standke of Dr. Zhibo Yang’s lab in the </w:t>
      </w:r>
      <w:r w:rsidR="00270D3C" w:rsidRPr="007718FE">
        <w:t>Department of Chemistry and Bi</w:t>
      </w:r>
      <w:r w:rsidR="00270D3C">
        <w:t xml:space="preserve">ochemistry, Univ. of Oklahoma. </w:t>
      </w:r>
    </w:p>
    <w:p w:rsidR="007A3953" w:rsidRPr="002D46ED" w:rsidRDefault="007A3953" w:rsidP="00042529">
      <w:pPr>
        <w:pStyle w:val="Heading3"/>
      </w:pPr>
      <w:bookmarkStart w:id="141" w:name="_Toc532553122"/>
      <w:r w:rsidRPr="002D46ED">
        <w:t>Single Cell Mass Spectrometry</w:t>
      </w:r>
      <w:bookmarkEnd w:id="141"/>
    </w:p>
    <w:p w:rsidR="007A3953" w:rsidRPr="00270D3C" w:rsidRDefault="007A3953" w:rsidP="00270D3C">
      <w:pPr>
        <w:ind w:firstLine="360"/>
        <w:jc w:val="both"/>
      </w:pPr>
      <w:r w:rsidRPr="007A3953">
        <w:rPr>
          <w:rFonts w:cstheme="minorHAnsi"/>
        </w:rPr>
        <w:t>HCT-116 cells (1.5x10</w:t>
      </w:r>
      <w:r w:rsidRPr="007A3953">
        <w:rPr>
          <w:rFonts w:cstheme="minorHAnsi"/>
          <w:vertAlign w:val="superscript"/>
        </w:rPr>
        <w:t>5</w:t>
      </w:r>
      <w:r w:rsidRPr="007A3953">
        <w:rPr>
          <w:rFonts w:cstheme="minorHAnsi"/>
        </w:rPr>
        <w:t xml:space="preserve">) were seeded on to a glass microchip (18 mm diameter) with chemically-etched microwells (55 µm diameter; 25 µm deep) placed into each well of a 6-well plate. Upon 60% cell confluency, cells were treated as described for nano-UPLC/MS.  Following </w:t>
      </w:r>
      <w:r w:rsidRPr="007A3953">
        <w:rPr>
          <w:rFonts w:cstheme="minorHAnsi"/>
        </w:rPr>
        <w:lastRenderedPageBreak/>
        <w:t>treatment, the microchip was washed with 5 mL of FBS-free McCoy’s media and placed on an X, Y, Z-translational stage for quantification. MS analysis was per</w:t>
      </w:r>
      <w:r w:rsidR="001E5551">
        <w:rPr>
          <w:rFonts w:cstheme="minorHAnsi"/>
        </w:rPr>
        <w:t>formed as previously described</w:t>
      </w:r>
      <w:r w:rsidR="001E5551" w:rsidRPr="001E5551">
        <w:rPr>
          <w:rFonts w:cstheme="minorHAnsi"/>
          <w:vertAlign w:val="superscript"/>
        </w:rPr>
        <w:fldChar w:fldCharType="begin" w:fldLock="1"/>
      </w:r>
      <w:r w:rsidR="0057639C">
        <w:rPr>
          <w:rFonts w:cstheme="minorHAnsi"/>
          <w:vertAlign w:val="superscript"/>
        </w:rPr>
        <w:instrText>ADDIN CSL_CITATION {"citationItems":[{"id":"ITEM-1","itemData":{"DOI":"10.1021/ac5029038","ISS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Chemistry","id":"ITEM-1","issue":"19","issued":{"date-parts":[["2014","10","7"]]},"page":"9376-9380","title":"The Single-Probe: A Miniaturized Multifunctional Device for Single Cell Mass Spectrometry Analysis","type":"article-journal","volume":"86"},"uris":["http://www.mendeley.com/documents/?uuid=166e3494-fd49-379e-ad91-da0e7db33677"]}],"mendeley":{"formattedCitation":"(206)","plainTextFormattedCitation":"(206)","previouslyFormattedCitation":"(206)"},"properties":{"noteIndex":0},"schema":"https://github.com/citation-style-language/schema/raw/master/csl-citation.json"}</w:instrText>
      </w:r>
      <w:r w:rsidR="001E5551" w:rsidRPr="001E5551">
        <w:rPr>
          <w:rFonts w:cstheme="minorHAnsi"/>
          <w:vertAlign w:val="superscript"/>
        </w:rPr>
        <w:fldChar w:fldCharType="separate"/>
      </w:r>
      <w:r w:rsidR="0057639C" w:rsidRPr="0057639C">
        <w:rPr>
          <w:rFonts w:cstheme="minorHAnsi"/>
          <w:noProof/>
        </w:rPr>
        <w:t>(206)</w:t>
      </w:r>
      <w:r w:rsidR="001E5551" w:rsidRPr="001E5551">
        <w:rPr>
          <w:rFonts w:cstheme="minorHAnsi"/>
          <w:vertAlign w:val="superscript"/>
        </w:rPr>
        <w:fldChar w:fldCharType="end"/>
      </w:r>
      <w:r w:rsidR="001E5551">
        <w:rPr>
          <w:rFonts w:cstheme="minorHAnsi"/>
        </w:rPr>
        <w:t>.</w:t>
      </w:r>
      <w:r w:rsidRPr="007A3953">
        <w:rPr>
          <w:rFonts w:cstheme="minorHAnsi"/>
        </w:rPr>
        <w:t xml:space="preserve"> Briefly, singleprobes were coupled to the mass spectrometer by using a flexible arm clamp to position the nano-ESI emitter in front of the inlet. The solvent-providing capillary was connected to the solvent through the conductive union. For quantification, 50 nM d-OSW-1 was added into the solvent. High voltage (~4.5 kV) was used for SCMS experiments in the positive ion mode with a mass resolution (m/∆m) of 60,000. A flow rate of ~5 nL/s was used (the actual flowrate is optimized for each Single-probe). Data was collected using Xcaliber software and exported into Excel for analysis.</w:t>
      </w:r>
      <w:r w:rsidR="00270D3C">
        <w:rPr>
          <w:rFonts w:cstheme="minorHAnsi"/>
        </w:rPr>
        <w:t xml:space="preserve"> Treatment of cells was done by Mr. Ryan </w:t>
      </w:r>
      <w:r w:rsidR="00BE3671">
        <w:rPr>
          <w:rFonts w:cstheme="minorHAnsi"/>
        </w:rPr>
        <w:t>Bensen</w:t>
      </w:r>
      <w:r w:rsidR="00270D3C">
        <w:rPr>
          <w:rFonts w:cstheme="minorHAnsi"/>
        </w:rPr>
        <w:t xml:space="preserve"> and analysis of sample was done by Ms. Shawna Standke of Dr. Zhibo Yang’s lab in the </w:t>
      </w:r>
      <w:r w:rsidR="00270D3C" w:rsidRPr="007718FE">
        <w:t>Department of Chemistry and Bi</w:t>
      </w:r>
      <w:r w:rsidR="00270D3C">
        <w:t xml:space="preserve">ochemistry, Univ. of Oklahoma. </w:t>
      </w:r>
    </w:p>
    <w:p w:rsidR="0060149E" w:rsidRPr="002D46ED" w:rsidRDefault="0060149E" w:rsidP="00042529">
      <w:pPr>
        <w:pStyle w:val="Heading3"/>
      </w:pPr>
      <w:bookmarkStart w:id="142" w:name="_Toc532553123"/>
      <w:r w:rsidRPr="002D46ED">
        <w:t>Mass Spec label-free 2D OSBP quantification</w:t>
      </w:r>
      <w:bookmarkEnd w:id="142"/>
    </w:p>
    <w:p w:rsidR="0060149E" w:rsidRPr="0092466E" w:rsidRDefault="0060149E" w:rsidP="0092466E">
      <w:pPr>
        <w:ind w:firstLine="360"/>
        <w:jc w:val="both"/>
      </w:pPr>
      <w:r w:rsidRPr="0060149E">
        <w:rPr>
          <w:rFonts w:cstheme="minorHAnsi"/>
        </w:rPr>
        <w:t>The first-dimension high-pH (pH=10) separation wa</w:t>
      </w:r>
      <w:r>
        <w:rPr>
          <w:rFonts w:cstheme="minorHAnsi"/>
        </w:rPr>
        <w:t xml:space="preserve">s performed on a Thermo Accela </w:t>
      </w:r>
      <w:r w:rsidRPr="0060149E">
        <w:rPr>
          <w:rFonts w:cstheme="minorHAnsi"/>
        </w:rPr>
        <w:t>HPLC system (Thermo Scientific, Hanover Park, IL) with an ACQUITY UPLC BEH300 C18 column (50mm, Waters, Milford, MA, USA). The mobile phase A (MPA) was 20 mM ammonium formate in water and the mobile phase B (MPB) was 20 mM ammonium formate in acetonitrile. The mobile phases were adjusted to pH 10. A 60-min gradient from 3% to 70% (3% to 10% in a minute) mobile phase B was applied for peptide separation, and 60 fractions were collected (one minute per fraction). Fraction concatenation was perf</w:t>
      </w:r>
      <w:r>
        <w:rPr>
          <w:rFonts w:cstheme="minorHAnsi"/>
        </w:rPr>
        <w:t>ormed following Yang’s paper</w:t>
      </w:r>
      <w:r w:rsidRPr="0060149E">
        <w:rPr>
          <w:rFonts w:cstheme="minorHAnsi"/>
          <w:vertAlign w:val="superscript"/>
        </w:rPr>
        <w:fldChar w:fldCharType="begin" w:fldLock="1"/>
      </w:r>
      <w:r w:rsidR="0057639C">
        <w:rPr>
          <w:rFonts w:cstheme="minorHAnsi"/>
          <w:vertAlign w:val="superscript"/>
        </w:rPr>
        <w:instrText>ADDIN CSL_CITATION {"citationItems":[{"id":"ITEM-1","itemData":{"DOI":"10.1586/epr.12.15","ISSN":"1744-8387","PMID":"22462785","abstract":"Orthogonal high-resolution separations are critical for attaining improved analytical dynamic range and protein coverage in proteomic measurements. High pH reversed-phase liquid chromatography (RPLC) followed by fraction concatenation affords better peptide analysis than conventional strong-cation exchange (SCX) chromatography applied for the two-dimensional proteomic analysis. For example, concatenated high pH reversed-phase liquid chromatography increased identification for peptides (1.8-fold) and proteins (1.6-fold) in shotgun proteomics analyses of a digested human protein sample. Additional advantages of high pH RPLC with fraction concatenation include improved protein sequence coverage, simplified sample processing, and reduced sample losses, making this an attractive alternative to SCX chromatography in conjunction with the second dimension low pH RPLC for two-dimensional proteomics analyses.","author":[{"dropping-particle":"","family":"Yang","given":"Feng","non-dropping-particle":"","parse-names":false,"suffix":""},{"dropping-particle":"","family":"Shen","given":"Yufeng","non-dropping-particle":"","parse-names":false,"suffix":""},{"dropping-particle":"","family":"Camp Ii","given":"David G","non-dropping-particle":"","parse-names":false,"suffix":""},{"dropping-particle":"","family":"Smith","given":"Richard D","non-dropping-particle":"","parse-names":false,"suffix":""}],"id":"ITEM-1","issue":"2","issued":{"date-parts":[["2012"]]},"page":"129-134","title":"High pH reversed-phase chromatography with fraction concatenation as an alternative to strong-cation exchange chromatography for two-dimensional proteomic analysis","type":"article-journal","volume":"9"},"uris":["http://www.mendeley.com/documents/?uuid=1da8025a-8fb9-422f-b080-26374f663ebc"]}],"mendeley":{"formattedCitation":"(213)","plainTextFormattedCitation":"(213)","previouslyFormattedCitation":"(213)"},"properties":{"noteIndex":0},"schema":"https://github.com/citation-style-language/schema/raw/master/csl-citation.json"}</w:instrText>
      </w:r>
      <w:r w:rsidRPr="0060149E">
        <w:rPr>
          <w:rFonts w:cstheme="minorHAnsi"/>
          <w:vertAlign w:val="superscript"/>
        </w:rPr>
        <w:fldChar w:fldCharType="separate"/>
      </w:r>
      <w:r w:rsidR="0057639C" w:rsidRPr="0057639C">
        <w:rPr>
          <w:rFonts w:cstheme="minorHAnsi"/>
          <w:noProof/>
        </w:rPr>
        <w:t>(213)</w:t>
      </w:r>
      <w:r w:rsidRPr="0060149E">
        <w:rPr>
          <w:rFonts w:cstheme="minorHAnsi"/>
          <w:vertAlign w:val="superscript"/>
        </w:rPr>
        <w:fldChar w:fldCharType="end"/>
      </w:r>
      <w:r>
        <w:rPr>
          <w:rFonts w:cstheme="minorHAnsi"/>
        </w:rPr>
        <w:t xml:space="preserve">. </w:t>
      </w:r>
      <w:r w:rsidRPr="0060149E">
        <w:rPr>
          <w:rFonts w:cstheme="minorHAnsi"/>
        </w:rPr>
        <w:t>A total of 12 fractions were obtained for the second-dimension low-pH LC-MS/MS analysis.</w:t>
      </w:r>
      <w:r w:rsidR="00270D3C">
        <w:rPr>
          <w:rFonts w:cstheme="minorHAnsi"/>
        </w:rPr>
        <w:t xml:space="preserve"> </w:t>
      </w:r>
      <w:r w:rsidR="00270D3C">
        <w:t xml:space="preserve">Cell treatments were performed by Mr. </w:t>
      </w:r>
      <w:r w:rsidR="00E87672">
        <w:t>Zachary</w:t>
      </w:r>
      <w:r w:rsidR="00270D3C">
        <w:t xml:space="preserve"> Sevarance and the analysis was performed by Ms</w:t>
      </w:r>
      <w:r w:rsidR="00270D3C" w:rsidRPr="007718FE">
        <w:t>. Hongyan Ma of Dr. Si Wu</w:t>
      </w:r>
      <w:r w:rsidR="00270D3C">
        <w:t xml:space="preserve">’s lab in the </w:t>
      </w:r>
      <w:r w:rsidR="00270D3C" w:rsidRPr="007718FE">
        <w:t xml:space="preserve">Department of Chemistry and Biochemistry, Univ. of Oklahoma. </w:t>
      </w:r>
    </w:p>
    <w:p w:rsidR="0060149E" w:rsidRPr="002D46ED" w:rsidRDefault="0060149E" w:rsidP="00042529">
      <w:pPr>
        <w:pStyle w:val="Heading3"/>
      </w:pPr>
      <w:bookmarkStart w:id="143" w:name="_Toc532553124"/>
      <w:r w:rsidRPr="002D46ED">
        <w:lastRenderedPageBreak/>
        <w:t>Anti-Viral Experiments</w:t>
      </w:r>
      <w:bookmarkEnd w:id="143"/>
    </w:p>
    <w:p w:rsidR="0060149E" w:rsidRPr="0060149E" w:rsidRDefault="0060149E" w:rsidP="00FB099D">
      <w:pPr>
        <w:ind w:firstLine="720"/>
        <w:jc w:val="both"/>
        <w:rPr>
          <w:rFonts w:cstheme="minorHAnsi"/>
        </w:rPr>
      </w:pPr>
      <w:r w:rsidRPr="0060149E">
        <w:rPr>
          <w:rFonts w:cstheme="minorHAnsi"/>
        </w:rPr>
        <w:t>HeLa cells were grown to &lt;75% confluency (healthy log phase cells) in complete media, DMEM (Hyclone SH30081.0) with 10% FBS (Atlanta Biological S11550) and 1% penicillin-streptomycin (Gibco 15140-122). For experiments, cells were trypsinized, counted using a hemocytometer and seeded into 20 wells of two 24-well trays (Falcon 3047) with 2.0 x 10</w:t>
      </w:r>
      <w:r w:rsidRPr="0060149E">
        <w:rPr>
          <w:rFonts w:cstheme="minorHAnsi"/>
          <w:vertAlign w:val="superscript"/>
        </w:rPr>
        <w:t>5</w:t>
      </w:r>
      <w:r w:rsidRPr="0060149E">
        <w:rPr>
          <w:rFonts w:cstheme="minorHAnsi"/>
        </w:rPr>
        <w:t xml:space="preserve"> cells per well, in 1.0 mL complete media. Each treatment is performed using quadruplicate wells (n=4) and each virus was on a separate plate. After seeding, cells were incubated 20 h</w:t>
      </w:r>
      <w:r>
        <w:rPr>
          <w:rFonts w:cstheme="minorHAnsi"/>
        </w:rPr>
        <w:t>ou</w:t>
      </w:r>
      <w:r w:rsidRPr="0060149E">
        <w:rPr>
          <w:rFonts w:cstheme="minorHAnsi"/>
        </w:rPr>
        <w:t>r</w:t>
      </w:r>
      <w:r>
        <w:rPr>
          <w:rFonts w:cstheme="minorHAnsi"/>
        </w:rPr>
        <w:t>s</w:t>
      </w:r>
      <w:r w:rsidRPr="0060149E">
        <w:rPr>
          <w:rFonts w:cstheme="minorHAnsi"/>
        </w:rPr>
        <w:t xml:space="preserve"> at 37 ºC, 5% CO2, at which point cells have grown to a near confluent monolayer.</w:t>
      </w:r>
    </w:p>
    <w:p w:rsidR="00036A3E" w:rsidRDefault="0060149E" w:rsidP="00FB099D">
      <w:pPr>
        <w:ind w:firstLine="720"/>
        <w:jc w:val="both"/>
        <w:rPr>
          <w:rFonts w:cstheme="minorHAnsi"/>
        </w:rPr>
      </w:pPr>
      <w:r w:rsidRPr="0060149E">
        <w:rPr>
          <w:rFonts w:cstheme="minorHAnsi"/>
        </w:rPr>
        <w:t>For the OSW-1 compound conti</w:t>
      </w:r>
      <w:r>
        <w:rPr>
          <w:rFonts w:cstheme="minorHAnsi"/>
        </w:rPr>
        <w:t>nual treatment experiments, (</w:t>
      </w:r>
      <w:r w:rsidR="00A841B4">
        <w:rPr>
          <w:rFonts w:cstheme="minorHAnsi"/>
          <w:b/>
        </w:rPr>
        <w:fldChar w:fldCharType="begin"/>
      </w:r>
      <w:r w:rsidR="00A841B4">
        <w:rPr>
          <w:rFonts w:cstheme="minorHAnsi"/>
        </w:rPr>
        <w:instrText xml:space="preserve"> REF _Ref530053675 \h </w:instrText>
      </w:r>
      <w:r w:rsidR="00A841B4">
        <w:rPr>
          <w:rFonts w:cstheme="minorHAnsi"/>
          <w:b/>
        </w:rPr>
        <w:instrText xml:space="preserve"> \* MERGEFORMAT </w:instrText>
      </w:r>
      <w:r w:rsidR="00A841B4">
        <w:rPr>
          <w:rFonts w:cstheme="minorHAnsi"/>
          <w:b/>
        </w:rPr>
      </w:r>
      <w:r w:rsidR="00A841B4">
        <w:rPr>
          <w:rFonts w:cstheme="minorHAnsi"/>
          <w:b/>
        </w:rPr>
        <w:fldChar w:fldCharType="separate"/>
      </w:r>
      <w:r w:rsidR="00E2070A" w:rsidRPr="00E2070A">
        <w:rPr>
          <w:b/>
        </w:rPr>
        <w:t>Figure</w:t>
      </w:r>
      <w:r w:rsidR="00E2070A">
        <w:t xml:space="preserve"> </w:t>
      </w:r>
      <w:r w:rsidR="00E2070A" w:rsidRPr="00E2070A">
        <w:rPr>
          <w:b/>
          <w:noProof/>
        </w:rPr>
        <w:t>24</w:t>
      </w:r>
      <w:r w:rsidR="00A841B4">
        <w:rPr>
          <w:rFonts w:cstheme="minorHAnsi"/>
          <w:b/>
        </w:rPr>
        <w:fldChar w:fldCharType="end"/>
      </w:r>
      <w:r w:rsidRPr="00A841B4">
        <w:rPr>
          <w:rFonts w:cstheme="minorHAnsi"/>
          <w:b/>
        </w:rPr>
        <w:t>A</w:t>
      </w:r>
      <w:r w:rsidRPr="0060149E">
        <w:rPr>
          <w:rFonts w:cstheme="minorHAnsi"/>
        </w:rPr>
        <w:t>), the media was gently removed from each well, and 1mL of media was added with the desired OSW1-compound concentration to each well, without disturbing the cells. Cells were incubated for 6 h</w:t>
      </w:r>
      <w:r>
        <w:rPr>
          <w:rFonts w:cstheme="minorHAnsi"/>
        </w:rPr>
        <w:t>ou</w:t>
      </w:r>
      <w:r w:rsidRPr="0060149E">
        <w:rPr>
          <w:rFonts w:cstheme="minorHAnsi"/>
        </w:rPr>
        <w:t>r</w:t>
      </w:r>
      <w:r>
        <w:rPr>
          <w:rFonts w:cstheme="minorHAnsi"/>
        </w:rPr>
        <w:t>s</w:t>
      </w:r>
      <w:r w:rsidRPr="0060149E">
        <w:rPr>
          <w:rFonts w:cstheme="minorHAnsi"/>
        </w:rPr>
        <w:t>, after which time the media was removed and cells were gently washed three times with 1.0 mL of FBS-free DMEM media. After the media was removed, CoxA9-01 or Echo2-01 viruses, diluted in serum-free DMEM with a M.O.I. of 1.0 was added to the culture. The 2.0 x 10</w:t>
      </w:r>
      <w:r w:rsidRPr="0060149E">
        <w:rPr>
          <w:rFonts w:cstheme="minorHAnsi"/>
          <w:vertAlign w:val="superscript"/>
        </w:rPr>
        <w:t>5</w:t>
      </w:r>
      <w:r w:rsidRPr="0060149E">
        <w:rPr>
          <w:rFonts w:cstheme="minorHAnsi"/>
        </w:rPr>
        <w:t xml:space="preserve"> cells per well was assumed to double during incubation so 4.0 x 10</w:t>
      </w:r>
      <w:r w:rsidRPr="0060149E">
        <w:rPr>
          <w:rFonts w:cstheme="minorHAnsi"/>
          <w:vertAlign w:val="superscript"/>
        </w:rPr>
        <w:t>5</w:t>
      </w:r>
      <w:r w:rsidRPr="0060149E">
        <w:rPr>
          <w:rFonts w:cstheme="minorHAnsi"/>
        </w:rPr>
        <w:t xml:space="preserve"> pfu/well of virus was used for an M.O.I. of 1.0.  The virus and cells were incubated for 30 minutes at 37 ºC 5% CO2. Then, the virus inoculum was removed, and the culture washed one time with 1.0 mL of serum-free media per well. Then, 1.0 mL of complete media with the indicated concentration of OSW-1 was added to the well, and the infected cells were then incubated for 10 h</w:t>
      </w:r>
      <w:r>
        <w:rPr>
          <w:rFonts w:cstheme="minorHAnsi"/>
        </w:rPr>
        <w:t>ou</w:t>
      </w:r>
      <w:r w:rsidRPr="0060149E">
        <w:rPr>
          <w:rFonts w:cstheme="minorHAnsi"/>
        </w:rPr>
        <w:t>r</w:t>
      </w:r>
      <w:r>
        <w:rPr>
          <w:rFonts w:cstheme="minorHAnsi"/>
        </w:rPr>
        <w:t>s</w:t>
      </w:r>
      <w:r w:rsidRPr="0060149E">
        <w:rPr>
          <w:rFonts w:cstheme="minorHAnsi"/>
        </w:rPr>
        <w:t xml:space="preserve"> at 37 ºC, 5% CO2. After 10 h</w:t>
      </w:r>
      <w:r>
        <w:rPr>
          <w:rFonts w:cstheme="minorHAnsi"/>
        </w:rPr>
        <w:t xml:space="preserve">ours the plate was stored at </w:t>
      </w:r>
      <w:r w:rsidRPr="0060149E">
        <w:rPr>
          <w:rFonts w:cstheme="minorHAnsi"/>
        </w:rPr>
        <w:t>-80 ⁰C u</w:t>
      </w:r>
      <w:r w:rsidR="00036A3E">
        <w:rPr>
          <w:rFonts w:cstheme="minorHAnsi"/>
        </w:rPr>
        <w:t>ntil the TCID-50 titration. The</w:t>
      </w:r>
      <w:r w:rsidRPr="0060149E">
        <w:rPr>
          <w:rFonts w:cstheme="minorHAnsi"/>
        </w:rPr>
        <w:t xml:space="preserve"> experiment </w:t>
      </w:r>
      <w:r w:rsidR="00036A3E">
        <w:rPr>
          <w:rFonts w:cstheme="minorHAnsi"/>
        </w:rPr>
        <w:t xml:space="preserve">reported in the </w:t>
      </w:r>
      <w:r w:rsidR="00036A3E" w:rsidRPr="00036A3E">
        <w:rPr>
          <w:rFonts w:cstheme="minorHAnsi"/>
          <w:b/>
        </w:rPr>
        <w:fldChar w:fldCharType="begin"/>
      </w:r>
      <w:r w:rsidR="00036A3E" w:rsidRPr="00036A3E">
        <w:rPr>
          <w:rFonts w:cstheme="minorHAnsi"/>
          <w:b/>
        </w:rPr>
        <w:instrText xml:space="preserve"> REF _Ref530053675 \h </w:instrText>
      </w:r>
      <w:r w:rsidR="00036A3E">
        <w:rPr>
          <w:rFonts w:cstheme="minorHAnsi"/>
          <w:b/>
        </w:rPr>
        <w:instrText xml:space="preserve"> \* MERGEFORMAT </w:instrText>
      </w:r>
      <w:r w:rsidR="00036A3E" w:rsidRPr="00036A3E">
        <w:rPr>
          <w:rFonts w:cstheme="minorHAnsi"/>
          <w:b/>
        </w:rPr>
      </w:r>
      <w:r w:rsidR="00036A3E" w:rsidRPr="00036A3E">
        <w:rPr>
          <w:rFonts w:cstheme="minorHAnsi"/>
          <w:b/>
        </w:rPr>
        <w:fldChar w:fldCharType="separate"/>
      </w:r>
      <w:r w:rsidR="00E2070A" w:rsidRPr="00E2070A">
        <w:rPr>
          <w:b/>
        </w:rPr>
        <w:t xml:space="preserve">Figure </w:t>
      </w:r>
      <w:r w:rsidR="00E2070A" w:rsidRPr="00E2070A">
        <w:rPr>
          <w:b/>
          <w:noProof/>
        </w:rPr>
        <w:t>24</w:t>
      </w:r>
      <w:r w:rsidR="00036A3E" w:rsidRPr="00036A3E">
        <w:rPr>
          <w:rFonts w:cstheme="minorHAnsi"/>
          <w:b/>
        </w:rPr>
        <w:fldChar w:fldCharType="end"/>
      </w:r>
      <w:r w:rsidR="00036A3E">
        <w:rPr>
          <w:rFonts w:cstheme="minorHAnsi"/>
          <w:b/>
        </w:rPr>
        <w:t>A</w:t>
      </w:r>
      <w:r w:rsidR="00036A3E">
        <w:rPr>
          <w:rFonts w:cstheme="minorHAnsi"/>
        </w:rPr>
        <w:t xml:space="preserve"> </w:t>
      </w:r>
      <w:r w:rsidRPr="0060149E">
        <w:rPr>
          <w:rFonts w:cstheme="minorHAnsi"/>
        </w:rPr>
        <w:t>was</w:t>
      </w:r>
      <w:r w:rsidR="00036A3E">
        <w:rPr>
          <w:rFonts w:cstheme="minorHAnsi"/>
        </w:rPr>
        <w:t xml:space="preserve"> repeated</w:t>
      </w:r>
      <w:r w:rsidRPr="0060149E">
        <w:rPr>
          <w:rFonts w:cstheme="minorHAnsi"/>
        </w:rPr>
        <w:t xml:space="preserve"> independently three times</w:t>
      </w:r>
      <w:r w:rsidR="00036A3E">
        <w:rPr>
          <w:rFonts w:cstheme="minorHAnsi"/>
        </w:rPr>
        <w:t>.</w:t>
      </w:r>
    </w:p>
    <w:p w:rsidR="0060149E" w:rsidRDefault="0060149E" w:rsidP="00036A3E">
      <w:pPr>
        <w:ind w:firstLine="720"/>
        <w:jc w:val="both"/>
        <w:rPr>
          <w:rFonts w:cstheme="minorHAnsi"/>
        </w:rPr>
      </w:pPr>
      <w:r>
        <w:rPr>
          <w:rFonts w:cstheme="minorHAnsi"/>
        </w:rPr>
        <w:t xml:space="preserve">For the </w:t>
      </w:r>
      <w:r w:rsidR="007A587E">
        <w:rPr>
          <w:rFonts w:cstheme="minorHAnsi"/>
        </w:rPr>
        <w:t>OSW-1 compound</w:t>
      </w:r>
      <w:r w:rsidRPr="0060149E">
        <w:rPr>
          <w:rFonts w:cstheme="minorHAnsi"/>
        </w:rPr>
        <w:t xml:space="preserve"> was</w:t>
      </w:r>
      <w:r>
        <w:rPr>
          <w:rFonts w:cstheme="minorHAnsi"/>
        </w:rPr>
        <w:t>hout treatment experiments, (</w:t>
      </w:r>
      <w:r w:rsidR="00A841B4" w:rsidRPr="00A841B4">
        <w:rPr>
          <w:rFonts w:cstheme="minorHAnsi"/>
          <w:b/>
        </w:rPr>
        <w:fldChar w:fldCharType="begin"/>
      </w:r>
      <w:r w:rsidR="00A841B4" w:rsidRPr="00A841B4">
        <w:rPr>
          <w:rFonts w:cstheme="minorHAnsi"/>
          <w:b/>
        </w:rPr>
        <w:instrText xml:space="preserve"> REF _Ref530053675 \h  \* MERGEFORMAT </w:instrText>
      </w:r>
      <w:r w:rsidR="00A841B4" w:rsidRPr="00A841B4">
        <w:rPr>
          <w:rFonts w:cstheme="minorHAnsi"/>
          <w:b/>
        </w:rPr>
      </w:r>
      <w:r w:rsidR="00A841B4" w:rsidRPr="00A841B4">
        <w:rPr>
          <w:rFonts w:cstheme="minorHAnsi"/>
          <w:b/>
        </w:rPr>
        <w:fldChar w:fldCharType="separate"/>
      </w:r>
      <w:r w:rsidR="00E2070A" w:rsidRPr="00E2070A">
        <w:rPr>
          <w:b/>
        </w:rPr>
        <w:t xml:space="preserve">Figure </w:t>
      </w:r>
      <w:r w:rsidR="00E2070A" w:rsidRPr="00E2070A">
        <w:rPr>
          <w:b/>
          <w:noProof/>
        </w:rPr>
        <w:t>24</w:t>
      </w:r>
      <w:r w:rsidR="00A841B4" w:rsidRPr="00A841B4">
        <w:rPr>
          <w:rFonts w:cstheme="minorHAnsi"/>
          <w:b/>
        </w:rPr>
        <w:fldChar w:fldCharType="end"/>
      </w:r>
      <w:r w:rsidRPr="00A841B4">
        <w:rPr>
          <w:rFonts w:cstheme="minorHAnsi"/>
          <w:b/>
        </w:rPr>
        <w:t>B</w:t>
      </w:r>
      <w:r w:rsidRPr="0060149E">
        <w:rPr>
          <w:rFonts w:cstheme="minorHAnsi"/>
        </w:rPr>
        <w:t>), cells were seeded as above. After 20 h</w:t>
      </w:r>
      <w:r>
        <w:rPr>
          <w:rFonts w:cstheme="minorHAnsi"/>
        </w:rPr>
        <w:t>ou</w:t>
      </w:r>
      <w:r w:rsidRPr="0060149E">
        <w:rPr>
          <w:rFonts w:cstheme="minorHAnsi"/>
        </w:rPr>
        <w:t>r</w:t>
      </w:r>
      <w:r>
        <w:rPr>
          <w:rFonts w:cstheme="minorHAnsi"/>
        </w:rPr>
        <w:t>s</w:t>
      </w:r>
      <w:r w:rsidRPr="0060149E">
        <w:rPr>
          <w:rFonts w:cstheme="minorHAnsi"/>
        </w:rPr>
        <w:t xml:space="preserve"> incubation the media was gently removed from each well, and </w:t>
      </w:r>
      <w:r w:rsidRPr="0060149E">
        <w:rPr>
          <w:rFonts w:cstheme="minorHAnsi"/>
        </w:rPr>
        <w:lastRenderedPageBreak/>
        <w:t xml:space="preserve">1mL of media was added with the desired </w:t>
      </w:r>
      <w:r w:rsidR="007A587E">
        <w:rPr>
          <w:rFonts w:cstheme="minorHAnsi"/>
        </w:rPr>
        <w:t>OSW-1 compound</w:t>
      </w:r>
      <w:r w:rsidRPr="0060149E">
        <w:rPr>
          <w:rFonts w:cstheme="minorHAnsi"/>
        </w:rPr>
        <w:t xml:space="preserve"> concentration to each well, without disturbing the cells. Cells were incubated for 6 h</w:t>
      </w:r>
      <w:r>
        <w:rPr>
          <w:rFonts w:cstheme="minorHAnsi"/>
        </w:rPr>
        <w:t>ou</w:t>
      </w:r>
      <w:r w:rsidRPr="0060149E">
        <w:rPr>
          <w:rFonts w:cstheme="minorHAnsi"/>
        </w:rPr>
        <w:t>r</w:t>
      </w:r>
      <w:r>
        <w:rPr>
          <w:rFonts w:cstheme="minorHAnsi"/>
        </w:rPr>
        <w:t>s</w:t>
      </w:r>
      <w:r w:rsidRPr="0060149E">
        <w:rPr>
          <w:rFonts w:cstheme="minorHAnsi"/>
        </w:rPr>
        <w:t>, after which time the media was removed and cells were gently washed three times with 1.0 mL of FBS-free DMEM media. This was replaced with complete media and cells allowed to incubate for 20 h</w:t>
      </w:r>
      <w:r>
        <w:rPr>
          <w:rFonts w:cstheme="minorHAnsi"/>
        </w:rPr>
        <w:t>ou</w:t>
      </w:r>
      <w:r w:rsidRPr="0060149E">
        <w:rPr>
          <w:rFonts w:cstheme="minorHAnsi"/>
        </w:rPr>
        <w:t>rs. After the media was removed, CoxA9-01 or Echo2-01 viruses, diluted in serum-free DMEM with a M.O.I. of 1.0 was added to the culture. The 2.0 x 10</w:t>
      </w:r>
      <w:r w:rsidRPr="0060149E">
        <w:rPr>
          <w:rFonts w:cstheme="minorHAnsi"/>
          <w:vertAlign w:val="superscript"/>
        </w:rPr>
        <w:t>5</w:t>
      </w:r>
      <w:r w:rsidRPr="0060149E">
        <w:rPr>
          <w:rFonts w:cstheme="minorHAnsi"/>
        </w:rPr>
        <w:t xml:space="preserve"> cells per well was assumed to double and double again during incubation so 8.0 x 10</w:t>
      </w:r>
      <w:r w:rsidRPr="00084AE2">
        <w:rPr>
          <w:rFonts w:cstheme="minorHAnsi"/>
          <w:vertAlign w:val="superscript"/>
        </w:rPr>
        <w:t>5</w:t>
      </w:r>
      <w:r w:rsidRPr="0060149E">
        <w:rPr>
          <w:rFonts w:cstheme="minorHAnsi"/>
        </w:rPr>
        <w:t xml:space="preserve"> pfu/well of virus was used for an M.O.I. of 1.0.  The virus and cells were incubated for 30 minutes at 37 ºC 5% CO2. Then, the virus inoculum was removed, and the culture washed one time with 1.0 mL of serum-free media per well. Then, 1.0 mL of complete media was added to the well, and the infected cells were then incubated for 10 h</w:t>
      </w:r>
      <w:r w:rsidR="00084AE2">
        <w:rPr>
          <w:rFonts w:cstheme="minorHAnsi"/>
        </w:rPr>
        <w:t>ou</w:t>
      </w:r>
      <w:r w:rsidRPr="0060149E">
        <w:rPr>
          <w:rFonts w:cstheme="minorHAnsi"/>
        </w:rPr>
        <w:t>r</w:t>
      </w:r>
      <w:r w:rsidR="00084AE2">
        <w:rPr>
          <w:rFonts w:cstheme="minorHAnsi"/>
        </w:rPr>
        <w:t>s</w:t>
      </w:r>
      <w:r w:rsidRPr="0060149E">
        <w:rPr>
          <w:rFonts w:cstheme="minorHAnsi"/>
        </w:rPr>
        <w:t xml:space="preserve"> at 37 ºC, 5% CO2. After 10 h</w:t>
      </w:r>
      <w:r w:rsidR="00084AE2">
        <w:rPr>
          <w:rFonts w:cstheme="minorHAnsi"/>
        </w:rPr>
        <w:t>ou</w:t>
      </w:r>
      <w:r w:rsidRPr="0060149E">
        <w:rPr>
          <w:rFonts w:cstheme="minorHAnsi"/>
        </w:rPr>
        <w:t>r</w:t>
      </w:r>
      <w:r w:rsidR="00084AE2">
        <w:rPr>
          <w:rFonts w:cstheme="minorHAnsi"/>
        </w:rPr>
        <w:t>s</w:t>
      </w:r>
      <w:r w:rsidRPr="0060149E">
        <w:rPr>
          <w:rFonts w:cstheme="minorHAnsi"/>
        </w:rPr>
        <w:t xml:space="preserve"> incubation, the plate was stored at -80 ⁰C until processing. Then, the plates were rapidly thawed, the cells in media were scrapped from the wells into sterile 1.5 mL centrifuge tubes and the suspension then centrifuged at 10,000 g at 4⁰C to produce the virus containing supernatant, which is assayed for TCID-50 titration on sub-confluent RD cells. </w:t>
      </w:r>
      <w:r w:rsidR="00036A3E">
        <w:rPr>
          <w:rFonts w:cstheme="minorHAnsi"/>
        </w:rPr>
        <w:t>The</w:t>
      </w:r>
      <w:r w:rsidR="00036A3E" w:rsidRPr="0060149E">
        <w:rPr>
          <w:rFonts w:cstheme="minorHAnsi"/>
        </w:rPr>
        <w:t xml:space="preserve"> experiment </w:t>
      </w:r>
      <w:r w:rsidR="00036A3E">
        <w:rPr>
          <w:rFonts w:cstheme="minorHAnsi"/>
        </w:rPr>
        <w:t xml:space="preserve">reported in the </w:t>
      </w:r>
      <w:r w:rsidR="00036A3E" w:rsidRPr="00036A3E">
        <w:rPr>
          <w:rFonts w:cstheme="minorHAnsi"/>
          <w:b/>
        </w:rPr>
        <w:fldChar w:fldCharType="begin"/>
      </w:r>
      <w:r w:rsidR="00036A3E" w:rsidRPr="00036A3E">
        <w:rPr>
          <w:rFonts w:cstheme="minorHAnsi"/>
          <w:b/>
        </w:rPr>
        <w:instrText xml:space="preserve"> REF _Ref530053675 \h </w:instrText>
      </w:r>
      <w:r w:rsidR="00036A3E">
        <w:rPr>
          <w:rFonts w:cstheme="minorHAnsi"/>
          <w:b/>
        </w:rPr>
        <w:instrText xml:space="preserve"> \* MERGEFORMAT </w:instrText>
      </w:r>
      <w:r w:rsidR="00036A3E" w:rsidRPr="00036A3E">
        <w:rPr>
          <w:rFonts w:cstheme="minorHAnsi"/>
          <w:b/>
        </w:rPr>
      </w:r>
      <w:r w:rsidR="00036A3E" w:rsidRPr="00036A3E">
        <w:rPr>
          <w:rFonts w:cstheme="minorHAnsi"/>
          <w:b/>
        </w:rPr>
        <w:fldChar w:fldCharType="separate"/>
      </w:r>
      <w:r w:rsidR="00E2070A" w:rsidRPr="00E2070A">
        <w:rPr>
          <w:b/>
        </w:rPr>
        <w:t xml:space="preserve">Figure </w:t>
      </w:r>
      <w:r w:rsidR="00E2070A" w:rsidRPr="00E2070A">
        <w:rPr>
          <w:b/>
          <w:noProof/>
        </w:rPr>
        <w:t>24</w:t>
      </w:r>
      <w:r w:rsidR="00036A3E" w:rsidRPr="00036A3E">
        <w:rPr>
          <w:rFonts w:cstheme="minorHAnsi"/>
          <w:b/>
        </w:rPr>
        <w:fldChar w:fldCharType="end"/>
      </w:r>
      <w:r w:rsidR="00036A3E">
        <w:rPr>
          <w:rFonts w:cstheme="minorHAnsi"/>
          <w:b/>
        </w:rPr>
        <w:t>B</w:t>
      </w:r>
      <w:r w:rsidR="00036A3E">
        <w:rPr>
          <w:rFonts w:cstheme="minorHAnsi"/>
        </w:rPr>
        <w:t xml:space="preserve"> </w:t>
      </w:r>
      <w:r w:rsidR="00036A3E" w:rsidRPr="0060149E">
        <w:rPr>
          <w:rFonts w:cstheme="minorHAnsi"/>
        </w:rPr>
        <w:t>was</w:t>
      </w:r>
      <w:r w:rsidR="00036A3E">
        <w:rPr>
          <w:rFonts w:cstheme="minorHAnsi"/>
        </w:rPr>
        <w:t xml:space="preserve"> repeated</w:t>
      </w:r>
      <w:r w:rsidR="00036A3E" w:rsidRPr="0060149E">
        <w:rPr>
          <w:rFonts w:cstheme="minorHAnsi"/>
        </w:rPr>
        <w:t xml:space="preserve"> independently three times</w:t>
      </w:r>
      <w:r w:rsidR="00036A3E">
        <w:rPr>
          <w:rFonts w:cstheme="minorHAnsi"/>
        </w:rPr>
        <w:t xml:space="preserve">. </w:t>
      </w:r>
      <w:r w:rsidRPr="0060149E">
        <w:rPr>
          <w:rFonts w:cstheme="minorHAnsi"/>
        </w:rPr>
        <w:t>The TCID-50  titration was performed according to the protocol described b</w:t>
      </w:r>
      <w:r>
        <w:rPr>
          <w:rFonts w:cstheme="minorHAnsi"/>
        </w:rPr>
        <w:t>y Reed et al</w:t>
      </w:r>
      <w:r w:rsidRPr="0060149E">
        <w:rPr>
          <w:rFonts w:cstheme="minorHAnsi"/>
          <w:vertAlign w:val="superscript"/>
        </w:rPr>
        <w:fldChar w:fldCharType="begin" w:fldLock="1"/>
      </w:r>
      <w:r w:rsidR="0057639C">
        <w:rPr>
          <w:rFonts w:cstheme="minorHAnsi"/>
          <w:vertAlign w:val="superscript"/>
        </w:rPr>
        <w:instrText>ADDIN CSL_CITATION {"citationItems":[{"id":"ITEM-1","itemData":{"DOI":"10.1093/oxfordjournals.aje.a118408","ISSN":"1476-6256","author":[{"dropping-particle":"","family":"REED","given":"L.J.","non-dropping-particle":"","parse-names":false,"suffix":""},{"dropping-particle":"","family":"MUENCH","given":"H.","non-dropping-particle":"","parse-names":false,"suffix":""}],"container-title":"American Journal of Epidemiology","id":"ITEM-1","issue":"3","issued":{"date-parts":[["1938","5","1"]]},"page":"493-497","publisher":"Oxford University Press","title":"A SIMPLE METHOD OF ESTIMATING FIFTY PER CENT ENDPOINTS12","type":"article-journal","volume":"27"},"uris":["http://www.mendeley.com/documents/?uuid=66089ab7-62d7-3fa8-9892-139f200f2c54"]}],"mendeley":{"formattedCitation":"(210)","plainTextFormattedCitation":"(210)","previouslyFormattedCitation":"(210)"},"properties":{"noteIndex":0},"schema":"https://github.com/citation-style-language/schema/raw/master/csl-citation.json"}</w:instrText>
      </w:r>
      <w:r w:rsidRPr="0060149E">
        <w:rPr>
          <w:rFonts w:cstheme="minorHAnsi"/>
          <w:vertAlign w:val="superscript"/>
        </w:rPr>
        <w:fldChar w:fldCharType="separate"/>
      </w:r>
      <w:r w:rsidR="0057639C" w:rsidRPr="0057639C">
        <w:rPr>
          <w:rFonts w:cstheme="minorHAnsi"/>
          <w:noProof/>
        </w:rPr>
        <w:t>(210)</w:t>
      </w:r>
      <w:r w:rsidRPr="0060149E">
        <w:rPr>
          <w:rFonts w:cstheme="minorHAnsi"/>
          <w:vertAlign w:val="superscript"/>
        </w:rPr>
        <w:fldChar w:fldCharType="end"/>
      </w:r>
      <w:r>
        <w:rPr>
          <w:rFonts w:cstheme="minorHAnsi"/>
        </w:rPr>
        <w:t>.</w:t>
      </w:r>
      <w:r w:rsidRPr="0060149E">
        <w:rPr>
          <w:rFonts w:cstheme="minorHAnsi"/>
        </w:rPr>
        <w:t xml:space="preserve"> This experiment was performed independently three times to generate the data in the </w:t>
      </w:r>
      <w:r w:rsidR="00A841B4" w:rsidRPr="00A841B4">
        <w:rPr>
          <w:rFonts w:cstheme="minorHAnsi"/>
        </w:rPr>
        <w:t>Figure</w:t>
      </w:r>
      <w:r w:rsidRPr="0060149E">
        <w:rPr>
          <w:rFonts w:cstheme="minorHAnsi"/>
        </w:rPr>
        <w:t>.</w:t>
      </w:r>
      <w:r w:rsidR="002E233D">
        <w:rPr>
          <w:rFonts w:cstheme="minorHAnsi"/>
        </w:rPr>
        <w:t xml:space="preserve"> All viral work was done by Dr. Earl Blewett.</w:t>
      </w:r>
    </w:p>
    <w:p w:rsidR="003F5703" w:rsidRPr="002D46ED" w:rsidRDefault="003F5703" w:rsidP="00042529">
      <w:pPr>
        <w:pStyle w:val="Heading3"/>
      </w:pPr>
      <w:bookmarkStart w:id="144" w:name="_Toc532553125"/>
      <w:r w:rsidRPr="002D46ED">
        <w:t>Plasmid and Cloning</w:t>
      </w:r>
      <w:bookmarkEnd w:id="144"/>
    </w:p>
    <w:p w:rsidR="003F5703" w:rsidRDefault="003F5703" w:rsidP="00FB099D">
      <w:pPr>
        <w:ind w:firstLine="720"/>
        <w:jc w:val="both"/>
        <w:rPr>
          <w:rFonts w:cstheme="minorHAnsi"/>
        </w:rPr>
      </w:pPr>
      <w:r w:rsidRPr="003F5703">
        <w:rPr>
          <w:rFonts w:cstheme="minorHAnsi"/>
        </w:rPr>
        <w:t>Human OSBP cDNA was obtained in a pOTB7 vector from the M</w:t>
      </w:r>
      <w:r>
        <w:rPr>
          <w:rFonts w:cstheme="minorHAnsi"/>
        </w:rPr>
        <w:t xml:space="preserve">ammalian Gene </w:t>
      </w:r>
      <w:r w:rsidRPr="003F5703">
        <w:rPr>
          <w:rFonts w:cstheme="minorHAnsi"/>
        </w:rPr>
        <w:t xml:space="preserve">Collection (Thermo). PCR using 5’-GCTAGCATGGCGGCGACGGAG-3’ forward and 5’AAGCTTGAAAATGTCCGGGCATGAGC-3’ reverse primers amplified a 2.44 kb Nhe IHindIII fragment containing a full-length hOSBP cDNA, which was subcloned into pJET1.1 </w:t>
      </w:r>
      <w:r w:rsidRPr="003F5703">
        <w:rPr>
          <w:rFonts w:cstheme="minorHAnsi"/>
        </w:rPr>
        <w:lastRenderedPageBreak/>
        <w:t>(Thermo) and sequence verified. The fragment was then cloned into the pcDNA™ 3.1/myc-His(-) C mammalian expression vector (Sigma) Nhe I-Hind III doublecut sites. The reverse primer does not include an additional nucleotide between HindIII cut site and the last OSBP codon resulting in an OSBP-tagless protein. ORP4L was cloned from HCT-116 with cDNA with a NheI forward primer 5’-</w:t>
      </w:r>
      <w:r>
        <w:rPr>
          <w:rFonts w:cstheme="minorHAnsi"/>
        </w:rPr>
        <w:t xml:space="preserve">GCTAGCATGGGGAAAGCG-3’ and a HindIII reverse </w:t>
      </w:r>
      <w:r>
        <w:rPr>
          <w:rFonts w:cstheme="minorHAnsi"/>
        </w:rPr>
        <w:tab/>
        <w:t xml:space="preserve">primer </w:t>
      </w:r>
      <w:r>
        <w:rPr>
          <w:rFonts w:cstheme="minorHAnsi"/>
        </w:rPr>
        <w:tab/>
        <w:t>5’-</w:t>
      </w:r>
      <w:r w:rsidRPr="003F5703">
        <w:rPr>
          <w:rFonts w:cstheme="minorHAnsi"/>
        </w:rPr>
        <w:t>AAGCTTCGAAGATGTTGGGGCACATATG-3'. LacZ was PCR amplified from K-12 E. coli with NotI forward 5’- GCGGCCGCATGCCCG TCGTTTTA-3’ and BamHI reverse primer 5’-GGGCGGATCCTTTTTGAC ACCAGACCAA-3’. To generate the proteins expressing tags, the MCS of the completed vector was changed through site-directe</w:t>
      </w:r>
      <w:r>
        <w:rPr>
          <w:rFonts w:cstheme="minorHAnsi"/>
        </w:rPr>
        <w:t>d mutagenesis with a forward 5’-</w:t>
      </w:r>
      <w:r w:rsidRPr="003F5703">
        <w:rPr>
          <w:rFonts w:cstheme="minorHAnsi"/>
        </w:rPr>
        <w:t>AAGCTTACGTACGAACAAAAACTCATCTCAGAAGAG3’ and reverse 5’</w:t>
      </w:r>
      <w:r>
        <w:rPr>
          <w:rFonts w:cstheme="minorHAnsi"/>
        </w:rPr>
        <w:t>-</w:t>
      </w:r>
      <w:r w:rsidRPr="003F5703">
        <w:rPr>
          <w:rFonts w:cstheme="minorHAnsi"/>
        </w:rPr>
        <w:t xml:space="preserve"> CTCTTCTGAGATGAGTTTTTGTTCGTACGTAAGCTT-3’. The plasmid was expanded in E. Coli DH5α, and isolated through miniprep and maxiprep kits (Thermo).  Gene and plasmid MCS were sequence verified through Oklahoma Medical Research Foundation (OMRF).</w:t>
      </w:r>
      <w:r w:rsidR="00B021CD">
        <w:rPr>
          <w:rFonts w:cstheme="minorHAnsi"/>
        </w:rPr>
        <w:t xml:space="preserve"> This work was done by Dr. Juan Nuñez.</w:t>
      </w:r>
    </w:p>
    <w:p w:rsidR="00857551" w:rsidRDefault="003F5703" w:rsidP="00042529">
      <w:pPr>
        <w:pStyle w:val="Heading3"/>
      </w:pPr>
      <w:bookmarkStart w:id="145" w:name="_Toc532553126"/>
      <w:r w:rsidRPr="002D46ED">
        <w:t>([3H]-25-OHC) Charcoal/Dextran Binding Assay</w:t>
      </w:r>
      <w:bookmarkEnd w:id="145"/>
    </w:p>
    <w:p w:rsidR="0019535A" w:rsidRDefault="00B021CD" w:rsidP="00FB099D">
      <w:pPr>
        <w:ind w:firstLine="720"/>
        <w:jc w:val="both"/>
        <w:rPr>
          <w:rFonts w:cstheme="minorHAnsi"/>
        </w:rPr>
      </w:pPr>
      <w:r w:rsidRPr="00B021CD">
        <w:rPr>
          <w:rFonts w:cstheme="minorHAnsi"/>
        </w:rPr>
        <w:t>The [3H]-25-OHC binding assay was run according to the protocol outlined in Burgett et al</w:t>
      </w:r>
      <w:r w:rsidRPr="00B021CD">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Pr="00B021CD">
        <w:rPr>
          <w:rFonts w:cstheme="minorHAnsi"/>
          <w:vertAlign w:val="superscript"/>
        </w:rPr>
        <w:fldChar w:fldCharType="separate"/>
      </w:r>
      <w:r w:rsidR="00393368" w:rsidRPr="00393368">
        <w:rPr>
          <w:rFonts w:cstheme="minorHAnsi"/>
          <w:noProof/>
        </w:rPr>
        <w:t>(46)</w:t>
      </w:r>
      <w:r w:rsidRPr="00B021CD">
        <w:rPr>
          <w:rFonts w:cstheme="minorHAnsi"/>
          <w:vertAlign w:val="superscript"/>
        </w:rPr>
        <w:fldChar w:fldCharType="end"/>
      </w:r>
      <w:r w:rsidRPr="00B021CD">
        <w:rPr>
          <w:rFonts w:cstheme="minorHAnsi"/>
          <w:vertAlign w:val="superscript"/>
        </w:rPr>
        <w:t xml:space="preserve"> </w:t>
      </w:r>
      <w:r w:rsidRPr="00B021CD">
        <w:rPr>
          <w:rFonts w:cstheme="minorHAnsi"/>
        </w:rPr>
        <w:t xml:space="preserve">by Mr. </w:t>
      </w:r>
      <w:r w:rsidR="00E87672">
        <w:rPr>
          <w:rFonts w:cstheme="minorHAnsi"/>
        </w:rPr>
        <w:t>Zachary</w:t>
      </w:r>
      <w:r w:rsidRPr="00B021CD">
        <w:rPr>
          <w:rFonts w:cstheme="minorHAnsi"/>
        </w:rPr>
        <w:t xml:space="preserve"> Severance and Mr. Ryan </w:t>
      </w:r>
      <w:r w:rsidR="00BE3671">
        <w:rPr>
          <w:rFonts w:cstheme="minorHAnsi"/>
        </w:rPr>
        <w:t>Bensen</w:t>
      </w:r>
      <w:r w:rsidRPr="00B021CD">
        <w:rPr>
          <w:rFonts w:cstheme="minorHAnsi"/>
        </w:rPr>
        <w:t>.</w:t>
      </w:r>
    </w:p>
    <w:p w:rsidR="00042529" w:rsidRDefault="00042529" w:rsidP="00042529">
      <w:pPr>
        <w:pStyle w:val="Heading3"/>
      </w:pPr>
      <w:bookmarkStart w:id="146" w:name="_Toc532553127"/>
      <w:r>
        <w:t>Statistical Analysis</w:t>
      </w:r>
      <w:bookmarkEnd w:id="146"/>
      <w:r>
        <w:t xml:space="preserve"> </w:t>
      </w:r>
    </w:p>
    <w:p w:rsidR="00042529" w:rsidRDefault="00042529" w:rsidP="00042529">
      <w:pPr>
        <w:ind w:firstLine="720"/>
      </w:pPr>
      <w:r>
        <w:t>Results are expressed as mean ± s.d. and are n=3 unless otherwise stated. All statistical tests were performed using GraphPad Prism 7.0. Comparison between groups were made by using a one-way ANOVA with a follow up Dunnett’s test. The p values are reported using GraphPad Prism * values: * is p≤0.05, ** is p≤0.01 *** is p≤0.001, and **** is p≤0.0001.</w:t>
      </w:r>
    </w:p>
    <w:p w:rsidR="00D777D3" w:rsidRPr="00D159E6" w:rsidRDefault="00D777D3" w:rsidP="003D18F8">
      <w:pPr>
        <w:jc w:val="both"/>
        <w:rPr>
          <w:rFonts w:cstheme="minorHAnsi"/>
          <w:b/>
        </w:rPr>
      </w:pPr>
    </w:p>
    <w:p w:rsidR="0019535A" w:rsidRDefault="0019535A" w:rsidP="00E87672">
      <w:pPr>
        <w:pStyle w:val="Heading1"/>
      </w:pPr>
      <w:bookmarkStart w:id="147" w:name="_Toc532553128"/>
      <w:bookmarkStart w:id="148" w:name="_GoBack"/>
      <w:bookmarkEnd w:id="148"/>
      <w:r w:rsidRPr="0019535A">
        <w:lastRenderedPageBreak/>
        <w:t xml:space="preserve">Chapter 3: </w:t>
      </w:r>
      <w:r w:rsidR="007A587E">
        <w:t>OSW-1 compound</w:t>
      </w:r>
      <w:r w:rsidRPr="0019535A">
        <w:t xml:space="preserve"> treatment induced OSBP loss occurs through an unknown mechanism</w:t>
      </w:r>
      <w:bookmarkEnd w:id="147"/>
    </w:p>
    <w:p w:rsidR="00787CDA" w:rsidRDefault="00417666" w:rsidP="00FE5149">
      <w:pPr>
        <w:ind w:firstLine="432"/>
        <w:jc w:val="both"/>
      </w:pPr>
      <w:r w:rsidRPr="00417666">
        <w:t>The following chapter is partially taken from the publication in ACS Chemical Biology by the author of this dissertation: Persistent, Multi-Generational Reduction of Oxysterol-Binding Protein Caused by Compound Treatment Induces Prophylactic Anti-Viral Activity. This was a collaborative work that consists of the following authors: Brett L. Roberts, Zachary C. Severance, Ryan C. Bensen, Anh T. Le, Naga Rama Kothapalli, Juan I. Nuñez, Hongyan Ma, Si Wu, Shawna J. Standke, Zhibo Yang, William J. Reddig, Earl L. Blewett, Anthony W. G. Burgett.</w:t>
      </w:r>
    </w:p>
    <w:p w:rsidR="00FE5149" w:rsidRDefault="00787CDA" w:rsidP="00FE5149">
      <w:pPr>
        <w:ind w:firstLine="432"/>
        <w:jc w:val="both"/>
      </w:pPr>
      <w:r>
        <w:t xml:space="preserve">Mr. Zachary Severance conducted the authophagy experiment in </w:t>
      </w:r>
      <w:r w:rsidRPr="00787CDA">
        <w:rPr>
          <w:b/>
        </w:rPr>
        <w:fldChar w:fldCharType="begin"/>
      </w:r>
      <w:r w:rsidRPr="00787CDA">
        <w:rPr>
          <w:b/>
        </w:rPr>
        <w:instrText xml:space="preserve"> REF _Ref530225978 \h </w:instrText>
      </w:r>
      <w:r>
        <w:rPr>
          <w:b/>
        </w:rPr>
        <w:instrText xml:space="preserve"> \* MERGEFORMAT </w:instrText>
      </w:r>
      <w:r w:rsidRPr="00787CDA">
        <w:rPr>
          <w:b/>
        </w:rPr>
      </w:r>
      <w:r w:rsidRPr="00787CDA">
        <w:rPr>
          <w:b/>
        </w:rPr>
        <w:fldChar w:fldCharType="separate"/>
      </w:r>
      <w:r w:rsidR="00E2070A" w:rsidRPr="00E2070A">
        <w:rPr>
          <w:b/>
        </w:rPr>
        <w:t xml:space="preserve">Figure </w:t>
      </w:r>
      <w:r w:rsidR="00E2070A" w:rsidRPr="00E2070A">
        <w:rPr>
          <w:b/>
          <w:noProof/>
        </w:rPr>
        <w:t>26</w:t>
      </w:r>
      <w:r w:rsidRPr="00787CDA">
        <w:rPr>
          <w:b/>
        </w:rPr>
        <w:fldChar w:fldCharType="end"/>
      </w:r>
      <w:r>
        <w:t xml:space="preserve"> and iTRAQ experiment in </w:t>
      </w:r>
      <w:r w:rsidRPr="00787CDA">
        <w:rPr>
          <w:b/>
        </w:rPr>
        <w:fldChar w:fldCharType="begin"/>
      </w:r>
      <w:r w:rsidRPr="00787CDA">
        <w:rPr>
          <w:b/>
        </w:rPr>
        <w:instrText xml:space="preserve"> REF _Ref530227571 \h </w:instrText>
      </w:r>
      <w:r>
        <w:rPr>
          <w:b/>
        </w:rPr>
        <w:instrText xml:space="preserve"> \* MERGEFORMAT </w:instrText>
      </w:r>
      <w:r w:rsidRPr="00787CDA">
        <w:rPr>
          <w:b/>
        </w:rPr>
      </w:r>
      <w:r w:rsidRPr="00787CDA">
        <w:rPr>
          <w:b/>
        </w:rPr>
        <w:fldChar w:fldCharType="separate"/>
      </w:r>
      <w:r w:rsidR="00E2070A" w:rsidRPr="00E2070A">
        <w:rPr>
          <w:b/>
        </w:rPr>
        <w:t xml:space="preserve">Figure </w:t>
      </w:r>
      <w:r w:rsidR="00E2070A" w:rsidRPr="00E2070A">
        <w:rPr>
          <w:b/>
          <w:noProof/>
        </w:rPr>
        <w:t>28</w:t>
      </w:r>
      <w:r w:rsidRPr="00787CDA">
        <w:rPr>
          <w:b/>
        </w:rPr>
        <w:fldChar w:fldCharType="end"/>
      </w:r>
      <w:r>
        <w:t>.</w:t>
      </w:r>
    </w:p>
    <w:p w:rsidR="00FE5149" w:rsidRDefault="00787CDA" w:rsidP="00FE5149">
      <w:pPr>
        <w:ind w:firstLine="576"/>
        <w:jc w:val="both"/>
      </w:pPr>
      <w:r>
        <w:t xml:space="preserve">Mr. Ryan Bensen conducted the </w:t>
      </w:r>
      <w:r w:rsidR="00357203">
        <w:t>ALLN experiments in</w:t>
      </w:r>
      <w:r w:rsidR="00FE5149">
        <w:rPr>
          <w:b/>
        </w:rPr>
        <w:t xml:space="preserve"> </w:t>
      </w:r>
      <w:r w:rsidR="00FE5149" w:rsidRPr="00FE5149">
        <w:rPr>
          <w:b/>
        </w:rPr>
        <w:fldChar w:fldCharType="begin"/>
      </w:r>
      <w:r w:rsidR="00FE5149" w:rsidRPr="00FE5149">
        <w:rPr>
          <w:b/>
        </w:rPr>
        <w:instrText xml:space="preserve"> REF _Ref532556761 \h </w:instrText>
      </w:r>
      <w:r w:rsidR="00FE5149" w:rsidRPr="00FE5149">
        <w:rPr>
          <w:b/>
        </w:rPr>
      </w:r>
      <w:r w:rsidR="00FE5149" w:rsidRPr="00FE5149">
        <w:rPr>
          <w:b/>
        </w:rPr>
        <w:instrText xml:space="preserve"> \* MERGEFORMAT </w:instrText>
      </w:r>
      <w:r w:rsidR="00FE5149" w:rsidRPr="00FE5149">
        <w:rPr>
          <w:b/>
        </w:rPr>
        <w:fldChar w:fldCharType="separate"/>
      </w:r>
      <w:r w:rsidR="00E2070A" w:rsidRPr="00E2070A">
        <w:rPr>
          <w:b/>
        </w:rPr>
        <w:t xml:space="preserve">Figure </w:t>
      </w:r>
      <w:r w:rsidR="00E2070A" w:rsidRPr="00E2070A">
        <w:rPr>
          <w:b/>
          <w:noProof/>
        </w:rPr>
        <w:t>25</w:t>
      </w:r>
      <w:r w:rsidR="00FE5149" w:rsidRPr="00FE5149">
        <w:rPr>
          <w:b/>
        </w:rPr>
        <w:fldChar w:fldCharType="end"/>
      </w:r>
      <w:r w:rsidR="00FE5149" w:rsidRPr="00FE5149">
        <w:t>.</w:t>
      </w:r>
    </w:p>
    <w:p w:rsidR="00417666" w:rsidRPr="00417666" w:rsidRDefault="00787CDA" w:rsidP="00FE5149">
      <w:pPr>
        <w:ind w:firstLine="576"/>
        <w:jc w:val="both"/>
      </w:pPr>
      <w:r>
        <w:t xml:space="preserve">Ms. Hongyan Ma conducted the iTRAQ experiment in </w:t>
      </w:r>
      <w:r w:rsidRPr="00787CDA">
        <w:rPr>
          <w:b/>
        </w:rPr>
        <w:fldChar w:fldCharType="begin"/>
      </w:r>
      <w:r w:rsidRPr="00787CDA">
        <w:rPr>
          <w:b/>
        </w:rPr>
        <w:instrText xml:space="preserve"> REF _Ref530227571 \h </w:instrText>
      </w:r>
      <w:r>
        <w:rPr>
          <w:b/>
        </w:rPr>
        <w:instrText xml:space="preserve"> \* MERGEFORMAT </w:instrText>
      </w:r>
      <w:r w:rsidRPr="00787CDA">
        <w:rPr>
          <w:b/>
        </w:rPr>
      </w:r>
      <w:r w:rsidRPr="00787CDA">
        <w:rPr>
          <w:b/>
        </w:rPr>
        <w:fldChar w:fldCharType="separate"/>
      </w:r>
      <w:r w:rsidR="00E2070A" w:rsidRPr="00E2070A">
        <w:rPr>
          <w:b/>
        </w:rPr>
        <w:t xml:space="preserve">Figure </w:t>
      </w:r>
      <w:r w:rsidR="00E2070A" w:rsidRPr="00E2070A">
        <w:rPr>
          <w:b/>
          <w:noProof/>
        </w:rPr>
        <w:t>28</w:t>
      </w:r>
      <w:r w:rsidRPr="00787CDA">
        <w:rPr>
          <w:b/>
        </w:rPr>
        <w:fldChar w:fldCharType="end"/>
      </w:r>
      <w:r w:rsidRPr="00FE5149">
        <w:t xml:space="preserve">. </w:t>
      </w:r>
      <w:r w:rsidR="00417666" w:rsidRPr="00417666">
        <w:t xml:space="preserve">  </w:t>
      </w:r>
    </w:p>
    <w:p w:rsidR="00F07FA6" w:rsidRPr="00F07FA6" w:rsidRDefault="00F07FA6" w:rsidP="00F07FA6">
      <w:pPr>
        <w:pStyle w:val="ListParagraph"/>
        <w:keepNext/>
        <w:numPr>
          <w:ilvl w:val="0"/>
          <w:numId w:val="31"/>
        </w:numPr>
        <w:contextualSpacing w:val="0"/>
        <w:jc w:val="both"/>
        <w:outlineLvl w:val="1"/>
        <w:rPr>
          <w:rFonts w:asciiTheme="majorHAnsi" w:hAnsiTheme="majorHAnsi"/>
          <w:b/>
          <w:bCs/>
          <w:iCs/>
          <w:vanish/>
          <w:szCs w:val="28"/>
        </w:rPr>
      </w:pPr>
    </w:p>
    <w:p w:rsidR="00F07FA6" w:rsidRDefault="00F07FA6" w:rsidP="00F07FA6">
      <w:pPr>
        <w:pStyle w:val="Heading2"/>
      </w:pPr>
      <w:bookmarkStart w:id="149" w:name="_Toc532553129"/>
      <w:r>
        <w:t>Abstract</w:t>
      </w:r>
      <w:bookmarkEnd w:id="149"/>
    </w:p>
    <w:p w:rsidR="00F07FA6" w:rsidRPr="00F07FA6" w:rsidRDefault="00F07FA6" w:rsidP="00F07FA6">
      <w:pPr>
        <w:ind w:firstLine="576"/>
        <w:jc w:val="both"/>
      </w:pPr>
      <w:r>
        <w:t xml:space="preserve">The natural product OSW-1 causes proteasomal dependent degradation of the </w:t>
      </w:r>
      <w:r w:rsidR="00EE622D">
        <w:t>oxysterol-binding proteins</w:t>
      </w:r>
      <w:r>
        <w:t xml:space="preserve"> OSBP and ORP4.</w:t>
      </w:r>
      <w:r w:rsidR="00EE622D">
        <w:t xml:space="preserve"> Treatment with short </w:t>
      </w:r>
      <w:r w:rsidR="00C65388">
        <w:t>non-toxic</w:t>
      </w:r>
      <w:r>
        <w:t xml:space="preserve"> </w:t>
      </w:r>
      <w:r w:rsidR="00EE622D">
        <w:t>doses of</w:t>
      </w:r>
      <w:r w:rsidR="00C65388">
        <w:t xml:space="preserve"> </w:t>
      </w:r>
      <w:r>
        <w:t>OSW-1</w:t>
      </w:r>
      <w:r w:rsidR="00EE622D">
        <w:t xml:space="preserve"> compound</w:t>
      </w:r>
      <w:r>
        <w:t>, followed by removal</w:t>
      </w:r>
      <w:r w:rsidR="00EE622D">
        <w:t>,</w:t>
      </w:r>
      <w:r>
        <w:t xml:space="preserve"> leads to prolonged r</w:t>
      </w:r>
      <w:r w:rsidR="00C65388">
        <w:t>eduction</w:t>
      </w:r>
      <w:r>
        <w:t xml:space="preserve"> of OSBP</w:t>
      </w:r>
      <w:r w:rsidR="00EE622D">
        <w:t xml:space="preserve"> levels</w:t>
      </w:r>
      <w:r>
        <w:t>, but not ORP4</w:t>
      </w:r>
      <w:r w:rsidR="00EE622D">
        <w:t xml:space="preserve"> (see </w:t>
      </w:r>
      <w:r w:rsidR="00EE622D" w:rsidRPr="00EE622D">
        <w:rPr>
          <w:b/>
        </w:rPr>
        <w:fldChar w:fldCharType="begin"/>
      </w:r>
      <w:r w:rsidR="00EE622D" w:rsidRPr="00EE622D">
        <w:rPr>
          <w:b/>
        </w:rPr>
        <w:instrText xml:space="preserve"> REF _Ref530754809 \h </w:instrText>
      </w:r>
      <w:r w:rsidR="00EE622D">
        <w:rPr>
          <w:b/>
        </w:rPr>
        <w:instrText xml:space="preserve"> \* MERGEFORMAT </w:instrText>
      </w:r>
      <w:r w:rsidR="00EE622D" w:rsidRPr="00EE622D">
        <w:rPr>
          <w:b/>
        </w:rPr>
      </w:r>
      <w:r w:rsidR="00EE622D" w:rsidRPr="00EE622D">
        <w:rPr>
          <w:b/>
        </w:rPr>
        <w:fldChar w:fldCharType="separate"/>
      </w:r>
      <w:r w:rsidR="00E2070A" w:rsidRPr="00E2070A">
        <w:rPr>
          <w:b/>
        </w:rPr>
        <w:t>Chapter 2</w:t>
      </w:r>
      <w:r w:rsidR="00E2070A" w:rsidRPr="00737D20">
        <w:t>: Persistent Reduction of Oxysterol-binding Protein Caused by Compound Treatment Induces P</w:t>
      </w:r>
      <w:r w:rsidR="00E2070A">
        <w:t>rophylactic Anti-Viral Activity</w:t>
      </w:r>
      <w:r w:rsidR="00EE622D" w:rsidRPr="00EE622D">
        <w:rPr>
          <w:b/>
        </w:rPr>
        <w:fldChar w:fldCharType="end"/>
      </w:r>
      <w:r w:rsidR="00EE622D">
        <w:t>). The compound-triggered re</w:t>
      </w:r>
      <w:r w:rsidR="00036A3E">
        <w:t>pression of OSBP results in</w:t>
      </w:r>
      <w:r w:rsidR="00EE622D">
        <w:t xml:space="preserve"> </w:t>
      </w:r>
      <w:r>
        <w:t>a prophylactic anti-viral response</w:t>
      </w:r>
      <w:r w:rsidR="00EE622D">
        <w:t xml:space="preserve"> in cells</w:t>
      </w:r>
      <w:r w:rsidR="00036A3E">
        <w:t xml:space="preserve"> to clinical isolates of</w:t>
      </w:r>
      <w:r>
        <w:t xml:space="preserve"> </w:t>
      </w:r>
      <w:r w:rsidR="00C65388">
        <w:rPr>
          <w:i/>
        </w:rPr>
        <w:t>E</w:t>
      </w:r>
      <w:r w:rsidRPr="00C65388">
        <w:rPr>
          <w:i/>
        </w:rPr>
        <w:t>nteroviruses</w:t>
      </w:r>
      <w:r w:rsidR="00EE622D">
        <w:t>.</w:t>
      </w:r>
      <w:r>
        <w:t xml:space="preserve"> </w:t>
      </w:r>
      <w:r w:rsidR="00EE622D">
        <w:t>The cellular mechanism through which sh</w:t>
      </w:r>
      <w:r w:rsidR="00036A3E">
        <w:t>ort term, lose dose treatment with</w:t>
      </w:r>
      <w:r w:rsidR="00EE622D">
        <w:t xml:space="preserve"> the OSW-1 compound induced a long-term repression of OSBP level in cells</w:t>
      </w:r>
      <w:r>
        <w:t xml:space="preserve"> is unknown. Here we </w:t>
      </w:r>
      <w:r w:rsidR="00EE622D">
        <w:t>report that the long-term</w:t>
      </w:r>
      <w:r>
        <w:t xml:space="preserve"> OSBP </w:t>
      </w:r>
      <w:r w:rsidR="00EE622D">
        <w:t>repression</w:t>
      </w:r>
      <w:r>
        <w:t xml:space="preserve"> does not occur through </w:t>
      </w:r>
      <w:r w:rsidR="00036A3E">
        <w:t xml:space="preserve">a </w:t>
      </w:r>
      <w:r w:rsidR="00EE622D">
        <w:t xml:space="preserve">cellular mechanism of OSBP transcription repression, proteasomal degradation, or autophagy-induced proteolysis. </w:t>
      </w:r>
      <w:r>
        <w:t>The half-life o</w:t>
      </w:r>
      <w:r w:rsidR="00036A3E">
        <w:t xml:space="preserve">f OSBP was </w:t>
      </w:r>
      <w:r w:rsidR="00036A3E">
        <w:lastRenderedPageBreak/>
        <w:t>determined to be greater than</w:t>
      </w:r>
      <w:r>
        <w:t xml:space="preserve"> 24 hours</w:t>
      </w:r>
      <w:r w:rsidR="00C82963">
        <w:t>,</w:t>
      </w:r>
      <w:r>
        <w:t xml:space="preserve"> and</w:t>
      </w:r>
      <w:r w:rsidR="00C82963">
        <w:t xml:space="preserve"> this result shows the rapid loss of </w:t>
      </w:r>
      <w:r>
        <w:t xml:space="preserve">OSBP </w:t>
      </w:r>
      <w:r w:rsidR="00C82963">
        <w:t xml:space="preserve">upon OSW-1 compound treatment is </w:t>
      </w:r>
      <w:r>
        <w:t xml:space="preserve">not due to normal protein turnover. </w:t>
      </w:r>
      <w:r w:rsidR="00C82963">
        <w:t xml:space="preserve">Global analysis of protein levels using </w:t>
      </w:r>
      <w:r w:rsidR="0008433E">
        <w:t>iTRAQ analysis</w:t>
      </w:r>
      <w:r w:rsidR="00C82963">
        <w:t xml:space="preserve"> showed no wide-spread reduction of protein levels similar to the rapid loss of OSBP. This result suggests the cellular mechanism triggered by th</w:t>
      </w:r>
      <w:r w:rsidR="0035790D">
        <w:t>e OSW-1 compound is specific to</w:t>
      </w:r>
      <w:r w:rsidR="00C82963">
        <w:t xml:space="preserve"> OSBP and not a general effect reducing cellular proteins. Future research is required to identify the cellular mechanism through which OSBP levels are repressed upon OSW-1 treatment.</w:t>
      </w:r>
      <w:r>
        <w:t xml:space="preserve"> </w:t>
      </w:r>
    </w:p>
    <w:p w:rsidR="0019535A" w:rsidRPr="0019535A" w:rsidRDefault="0019535A" w:rsidP="00FB099D">
      <w:pPr>
        <w:pStyle w:val="ListParagraph"/>
        <w:numPr>
          <w:ilvl w:val="0"/>
          <w:numId w:val="8"/>
        </w:numPr>
        <w:jc w:val="both"/>
        <w:rPr>
          <w:rFonts w:cstheme="minorHAnsi"/>
          <w:b/>
          <w:vanish/>
        </w:rPr>
      </w:pPr>
    </w:p>
    <w:p w:rsidR="0019535A" w:rsidRDefault="0019535A" w:rsidP="00FB099D">
      <w:pPr>
        <w:pStyle w:val="Heading2"/>
      </w:pPr>
      <w:bookmarkStart w:id="150" w:name="_Toc532553130"/>
      <w:r>
        <w:t>Introduction</w:t>
      </w:r>
      <w:bookmarkEnd w:id="150"/>
    </w:p>
    <w:p w:rsidR="0053031F" w:rsidRDefault="00C82963" w:rsidP="00FB099D">
      <w:pPr>
        <w:ind w:firstLine="720"/>
        <w:jc w:val="both"/>
        <w:rPr>
          <w:rFonts w:cstheme="minorHAnsi"/>
        </w:rPr>
      </w:pPr>
      <w:r>
        <w:rPr>
          <w:rFonts w:cstheme="minorHAnsi"/>
        </w:rPr>
        <w:t xml:space="preserve">The long-term </w:t>
      </w:r>
      <w:r w:rsidR="0035790D">
        <w:rPr>
          <w:rFonts w:cstheme="minorHAnsi"/>
        </w:rPr>
        <w:t xml:space="preserve">repression </w:t>
      </w:r>
      <w:r>
        <w:rPr>
          <w:rFonts w:cstheme="minorHAnsi"/>
        </w:rPr>
        <w:t>of OSBP levels</w:t>
      </w:r>
      <w:r w:rsidR="0035790D">
        <w:rPr>
          <w:rFonts w:cstheme="minorHAnsi"/>
        </w:rPr>
        <w:t xml:space="preserve"> triggered by OSW-1 compound</w:t>
      </w:r>
      <w:r>
        <w:rPr>
          <w:rFonts w:cstheme="minorHAnsi"/>
        </w:rPr>
        <w:t xml:space="preserve"> is an unusual response of cellular regulation of a protein </w:t>
      </w:r>
      <w:r>
        <w:t xml:space="preserve">(see </w:t>
      </w:r>
      <w:r w:rsidRPr="00EE622D">
        <w:rPr>
          <w:b/>
        </w:rPr>
        <w:fldChar w:fldCharType="begin"/>
      </w:r>
      <w:r w:rsidRPr="00EE622D">
        <w:rPr>
          <w:b/>
        </w:rPr>
        <w:instrText xml:space="preserve"> REF _Ref530754809 \h </w:instrText>
      </w:r>
      <w:r>
        <w:rPr>
          <w:b/>
        </w:rPr>
        <w:instrText xml:space="preserve"> \* MERGEFORMAT </w:instrText>
      </w:r>
      <w:r w:rsidRPr="00EE622D">
        <w:rPr>
          <w:b/>
        </w:rPr>
      </w:r>
      <w:r w:rsidRPr="00EE622D">
        <w:rPr>
          <w:b/>
        </w:rPr>
        <w:fldChar w:fldCharType="separate"/>
      </w:r>
      <w:r w:rsidR="00E2070A" w:rsidRPr="00E2070A">
        <w:rPr>
          <w:b/>
        </w:rPr>
        <w:t>Chapter 2</w:t>
      </w:r>
      <w:r w:rsidR="00E2070A" w:rsidRPr="00737D20">
        <w:t>: Persistent Reduction of Oxysterol-binding Protein Caused by Compound Treatment Induces P</w:t>
      </w:r>
      <w:r w:rsidR="00E2070A">
        <w:t>rophylactic Anti-Viral Activity</w:t>
      </w:r>
      <w:r w:rsidRPr="00EE622D">
        <w:rPr>
          <w:b/>
        </w:rPr>
        <w:fldChar w:fldCharType="end"/>
      </w:r>
      <w:r>
        <w:t xml:space="preserve">). </w:t>
      </w:r>
      <w:r w:rsidR="002E233D">
        <w:rPr>
          <w:rFonts w:cstheme="minorHAnsi"/>
        </w:rPr>
        <w:t>Proteins</w:t>
      </w:r>
      <w:r>
        <w:rPr>
          <w:rFonts w:cstheme="minorHAnsi"/>
        </w:rPr>
        <w:t xml:space="preserve"> expression levels</w:t>
      </w:r>
      <w:r w:rsidR="002E233D">
        <w:rPr>
          <w:rFonts w:cstheme="minorHAnsi"/>
        </w:rPr>
        <w:t xml:space="preserve"> can be repressed by various </w:t>
      </w:r>
      <w:r w:rsidR="00746FB9">
        <w:rPr>
          <w:rFonts w:cstheme="minorHAnsi"/>
        </w:rPr>
        <w:t>cellular mechanism</w:t>
      </w:r>
      <w:r w:rsidR="002E233D">
        <w:rPr>
          <w:rFonts w:cstheme="minorHAnsi"/>
        </w:rPr>
        <w:t xml:space="preserve"> </w:t>
      </w:r>
      <w:r w:rsidR="00746FB9">
        <w:rPr>
          <w:rFonts w:cstheme="minorHAnsi"/>
        </w:rPr>
        <w:t>such as</w:t>
      </w:r>
      <w:r w:rsidR="002E233D">
        <w:rPr>
          <w:rFonts w:cstheme="minorHAnsi"/>
        </w:rPr>
        <w:t xml:space="preserve"> transcriptional</w:t>
      </w:r>
      <w:r w:rsidR="003E0D97">
        <w:rPr>
          <w:rFonts w:cstheme="minorHAnsi"/>
        </w:rPr>
        <w:t xml:space="preserve">, translational, </w:t>
      </w:r>
      <w:r w:rsidR="002E233D">
        <w:rPr>
          <w:rFonts w:cstheme="minorHAnsi"/>
        </w:rPr>
        <w:t xml:space="preserve">post-translational </w:t>
      </w:r>
      <w:r w:rsidR="003E0D97">
        <w:rPr>
          <w:rFonts w:cstheme="minorHAnsi"/>
        </w:rPr>
        <w:t>or a combination of the three</w:t>
      </w:r>
      <w:r w:rsidR="008F362C">
        <w:rPr>
          <w:rFonts w:cstheme="minorHAnsi"/>
        </w:rPr>
        <w:fldChar w:fldCharType="begin" w:fldLock="1"/>
      </w:r>
      <w:r w:rsidR="0057639C">
        <w:rPr>
          <w:rFonts w:cstheme="minorHAnsi"/>
        </w:rPr>
        <w:instrText>ADDIN CSL_CITATION {"citationItems":[{"id":"ITEM-1","itemData":{"ISSN":"1369-5274","PMID":"11282469","abstract":"Transcriptional repressors are usually viewed as proteins that bind to promoters in a way that impedes subsequent binding of RNA polymerase. Although this repression mechanism is found at several promoters, there is a growing list of repressors that inhibit transcription initiation in other ways. For example, several repressors allow the simultaneous binding of RNA polymerase to the promoter, but interfere with subsequent events of the initiation process, eventually inhibiting transcription initiation. The recent increase in the number of repressors for which the repression mechanism has been characterized in detail has shown an amazing variety of strategies to repress transcription initiation. It is not surprising to find that the repression mechanism used is usually exquisitely adapted to the characteristics of the promoter and of the repressor involved.","author":[{"dropping-particle":"","family":"Rojo","given":"F","non-dropping-particle":"","parse-names":false,"suffix":""}],"container-title":"Current opinion in microbiology","id":"ITEM-1","issue":"2","issued":{"date-parts":[["2001","4"]]},"page":"145-51","title":"Mechanisms of transcriptional repression.","type":"article-journal","volume":"4"},"uris":["http://www.mendeley.com/documents/?uuid=59d47bee-698d-426d-a99d-ba1125d72aac"]},{"id":"ITEM-2","itemData":{"DOI":"10.1007/s11069-017-3052-7","ISBN":"1879-3088 (Electronic)\\r0962-8924 (Linking)","ISSN":"15730840","PMID":"26437588","abstract":"MicroRNAs (miRNAs) are a class of endogenous small noncoding RNAs, which regulate complementary mRNAs by inducing translational repression and mRNA decay. Although this dual repression system seems to operate in both animals and plants, genetic and biochemical studies suggest that the mechanism underlying the miRNA-mediated silencing is different in the two kingdoms. Here, we review the recent progress in our understanding of how miRNAs mediate translational repression and mRNA decay, and discuss the contributions of the two silencing modes to the overall silencing effect in both kingdoms.","author":[{"dropping-particle":"","family":"Iwakawa","given":"Hiro oki","non-dropping-particle":"","parse-names":false,"suffix":""},{"dropping-particle":"","family":"Tomari","given":"Yukihide","non-dropping-particle":"","parse-names":false,"suffix":""}],"container-title":"Trends in Cell Biology","id":"ITEM-2","issue":"11","issued":{"date-parts":[["2015"]]},"page":"651-665","publisher":"Elsevier Ltd","title":"The Functions of MicroRNAs: mRNA Decay and Translational Repression","type":"article-journal","volume":"25"},"uris":["http://www.mendeley.com/documents/?uuid=d576e462-5499-46c6-bba7-a79c6cce92b3"]}],"mendeley":{"formattedCitation":"(214, 215)","plainTextFormattedCitation":"(214, 215)","previouslyFormattedCitation":"(214, 215)"},"properties":{"noteIndex":0},"schema":"https://github.com/citation-style-language/schema/raw/master/csl-citation.json"}</w:instrText>
      </w:r>
      <w:r w:rsidR="008F362C">
        <w:rPr>
          <w:rFonts w:cstheme="minorHAnsi"/>
        </w:rPr>
        <w:fldChar w:fldCharType="separate"/>
      </w:r>
      <w:r w:rsidR="0057639C" w:rsidRPr="0057639C">
        <w:rPr>
          <w:rFonts w:cstheme="minorHAnsi"/>
          <w:noProof/>
        </w:rPr>
        <w:t>(214, 215)</w:t>
      </w:r>
      <w:r w:rsidR="008F362C">
        <w:rPr>
          <w:rFonts w:cstheme="minorHAnsi"/>
        </w:rPr>
        <w:fldChar w:fldCharType="end"/>
      </w:r>
      <w:r w:rsidR="002E233D">
        <w:rPr>
          <w:rFonts w:cstheme="minorHAnsi"/>
        </w:rPr>
        <w:t xml:space="preserve">. </w:t>
      </w:r>
      <w:r w:rsidR="00FE566F">
        <w:rPr>
          <w:rFonts w:cstheme="minorHAnsi"/>
        </w:rPr>
        <w:t>Transcriptional regulation</w:t>
      </w:r>
      <w:r w:rsidR="003E0D97">
        <w:rPr>
          <w:rFonts w:cstheme="minorHAnsi"/>
        </w:rPr>
        <w:t xml:space="preserve"> can occur from multiple sources within a cell that will lead to the downregulation of mRNA production</w:t>
      </w:r>
      <w:r w:rsidR="008F362C">
        <w:rPr>
          <w:rFonts w:cstheme="minorHAnsi"/>
        </w:rPr>
        <w:fldChar w:fldCharType="begin" w:fldLock="1"/>
      </w:r>
      <w:r w:rsidR="0057639C">
        <w:rPr>
          <w:rFonts w:cstheme="minorHAnsi"/>
        </w:rPr>
        <w:instrText>ADDIN CSL_CITATION {"citationItems":[{"id":"ITEM-1","itemData":{"ISSN":"1369-5274","PMID":"11282469","abstract":"Transcriptional repressors are usually viewed as proteins that bind to promoters in a way that impedes subsequent binding of RNA polymerase. Although this repression mechanism is found at several promoters, there is a growing list of repressors that inhibit transcription initiation in other ways. For example, several repressors allow the simultaneous binding of RNA polymerase to the promoter, but interfere with subsequent events of the initiation process, eventually inhibiting transcription initiation. The recent increase in the number of repressors for which the repression mechanism has been characterized in detail has shown an amazing variety of strategies to repress transcription initiation. It is not surprising to find that the repression mechanism used is usually exquisitely adapted to the characteristics of the promoter and of the repressor involved.","author":[{"dropping-particle":"","family":"Rojo","given":"F","non-dropping-particle":"","parse-names":false,"suffix":""}],"container-title":"Current opinion in microbiology","id":"ITEM-1","issue":"2","issued":{"date-parts":[["2001","4"]]},"page":"145-51","title":"Mechanisms of transcriptional repression.","type":"article-journal","volume":"4"},"uris":["http://www.mendeley.com/documents/?uuid=59d47bee-698d-426d-a99d-ba1125d72aac"]},{"id":"ITEM-2","itemData":{"DOI":"10.1038/nature01763","ISSN":"0028-0836","author":[{"dropping-particle":"","family":"Levine","given":"Michael","non-dropping-particle":"","parse-names":false,"suffix":""},{"dropping-particle":"","family":"Tjian","given":"Robert","non-dropping-particle":"","parse-names":false,"suffix":""}],"container-title":"Nature","id":"ITEM-2","issue":"6945","issued":{"date-parts":[["2003","7","10"]]},"page":"147-151","title":"Transcription regulation and animal diversity","type":"article-journal","volume":"424"},"uris":["http://www.mendeley.com/documents/?uuid=cbcc2522-aae9-456a-b426-6cdbb98c6b94"]}],"mendeley":{"formattedCitation":"(214, 216)","plainTextFormattedCitation":"(214, 216)","previouslyFormattedCitation":"(214, 216)"},"properties":{"noteIndex":0},"schema":"https://github.com/citation-style-language/schema/raw/master/csl-citation.json"}</w:instrText>
      </w:r>
      <w:r w:rsidR="008F362C">
        <w:rPr>
          <w:rFonts w:cstheme="minorHAnsi"/>
        </w:rPr>
        <w:fldChar w:fldCharType="separate"/>
      </w:r>
      <w:r w:rsidR="0057639C" w:rsidRPr="0057639C">
        <w:rPr>
          <w:rFonts w:cstheme="minorHAnsi"/>
          <w:noProof/>
        </w:rPr>
        <w:t>(214, 216)</w:t>
      </w:r>
      <w:r w:rsidR="008F362C">
        <w:rPr>
          <w:rFonts w:cstheme="minorHAnsi"/>
        </w:rPr>
        <w:fldChar w:fldCharType="end"/>
      </w:r>
      <w:r w:rsidR="003E0D97">
        <w:rPr>
          <w:rFonts w:cstheme="minorHAnsi"/>
        </w:rPr>
        <w:t>. Repression of transcription can occur d</w:t>
      </w:r>
      <w:r w:rsidR="0053031F">
        <w:rPr>
          <w:rFonts w:cstheme="minorHAnsi"/>
        </w:rPr>
        <w:t xml:space="preserve">ue to repressor proteins </w:t>
      </w:r>
      <w:r w:rsidR="003E0D97">
        <w:rPr>
          <w:rFonts w:cstheme="minorHAnsi"/>
        </w:rPr>
        <w:t xml:space="preserve">binding to </w:t>
      </w:r>
      <w:r w:rsidR="00070470">
        <w:rPr>
          <w:rFonts w:cstheme="minorHAnsi"/>
        </w:rPr>
        <w:t xml:space="preserve">silencer </w:t>
      </w:r>
      <w:r w:rsidR="003E0D97">
        <w:rPr>
          <w:rFonts w:cstheme="minorHAnsi"/>
        </w:rPr>
        <w:t>DNA sequences that inhibit RNA p</w:t>
      </w:r>
      <w:r w:rsidR="00E334BB">
        <w:rPr>
          <w:rFonts w:cstheme="minorHAnsi"/>
        </w:rPr>
        <w:t>olymerase from binding the gene,</w:t>
      </w:r>
      <w:r w:rsidR="00746FB9">
        <w:rPr>
          <w:rFonts w:cstheme="minorHAnsi"/>
        </w:rPr>
        <w:t xml:space="preserve"> or</w:t>
      </w:r>
      <w:r w:rsidR="00E334BB">
        <w:rPr>
          <w:rFonts w:cstheme="minorHAnsi"/>
        </w:rPr>
        <w:t xml:space="preserve"> </w:t>
      </w:r>
      <w:r w:rsidR="00746FB9">
        <w:rPr>
          <w:rFonts w:cstheme="minorHAnsi"/>
        </w:rPr>
        <w:t>disrupting</w:t>
      </w:r>
      <w:r w:rsidR="003E0D97">
        <w:rPr>
          <w:rFonts w:cstheme="minorHAnsi"/>
        </w:rPr>
        <w:t xml:space="preserve"> protein-protein interactions in the transcriptional machinery</w:t>
      </w:r>
      <w:r w:rsidR="00746FB9">
        <w:rPr>
          <w:rFonts w:cstheme="minorHAnsi"/>
        </w:rPr>
        <w:fldChar w:fldCharType="begin" w:fldLock="1"/>
      </w:r>
      <w:r w:rsidR="0057639C">
        <w:rPr>
          <w:rFonts w:cstheme="minorHAnsi"/>
        </w:rPr>
        <w:instrText>ADDIN CSL_CITATION {"citationItems":[{"id":"ITEM-1","itemData":{"DOI":"10.1038/nature01763","ISSN":"0028-0836","author":[{"dropping-particle":"","family":"Levine","given":"Michael","non-dropping-particle":"","parse-names":false,"suffix":""},{"dropping-particle":"","family":"Tjian","given":"Robert","non-dropping-particle":"","parse-names":false,"suffix":""}],"container-title":"Nature","id":"ITEM-1","issue":"6945","issued":{"date-parts":[["2003","7","10"]]},"page":"147-151","title":"Transcription regulation and animal diversity","type":"article-journal","volume":"424"},"uris":["http://www.mendeley.com/documents/?uuid=cbcc2522-aae9-456a-b426-6cdbb98c6b94"]}],"mendeley":{"formattedCitation":"(216)","plainTextFormattedCitation":"(216)","previouslyFormattedCitation":"(216)"},"properties":{"noteIndex":0},"schema":"https://github.com/citation-style-language/schema/raw/master/csl-citation.json"}</w:instrText>
      </w:r>
      <w:r w:rsidR="00746FB9">
        <w:rPr>
          <w:rFonts w:cstheme="minorHAnsi"/>
        </w:rPr>
        <w:fldChar w:fldCharType="separate"/>
      </w:r>
      <w:r w:rsidR="0057639C" w:rsidRPr="0057639C">
        <w:rPr>
          <w:rFonts w:cstheme="minorHAnsi"/>
          <w:noProof/>
        </w:rPr>
        <w:t>(216)</w:t>
      </w:r>
      <w:r w:rsidR="00746FB9">
        <w:rPr>
          <w:rFonts w:cstheme="minorHAnsi"/>
        </w:rPr>
        <w:fldChar w:fldCharType="end"/>
      </w:r>
      <w:r w:rsidR="00746FB9">
        <w:rPr>
          <w:rFonts w:cstheme="minorHAnsi"/>
        </w:rPr>
        <w:t>. Transcriptional repression can also occur through the</w:t>
      </w:r>
      <w:r w:rsidR="00C26EC5">
        <w:rPr>
          <w:rFonts w:cstheme="minorHAnsi"/>
        </w:rPr>
        <w:t xml:space="preserve"> </w:t>
      </w:r>
      <w:r w:rsidR="00E334BB">
        <w:rPr>
          <w:rFonts w:cstheme="minorHAnsi"/>
        </w:rPr>
        <w:t>methylation</w:t>
      </w:r>
      <w:r w:rsidR="0053031F">
        <w:rPr>
          <w:rFonts w:cstheme="minorHAnsi"/>
        </w:rPr>
        <w:t xml:space="preserve"> of </w:t>
      </w:r>
      <w:r w:rsidR="00C26EC5">
        <w:rPr>
          <w:rFonts w:cstheme="minorHAnsi"/>
        </w:rPr>
        <w:t xml:space="preserve">DNA or </w:t>
      </w:r>
      <w:r w:rsidR="00E334BB">
        <w:rPr>
          <w:rFonts w:cstheme="minorHAnsi"/>
        </w:rPr>
        <w:t>histones</w:t>
      </w:r>
      <w:r w:rsidR="00070470">
        <w:rPr>
          <w:rFonts w:cstheme="minorHAnsi"/>
        </w:rPr>
        <w:fldChar w:fldCharType="begin" w:fldLock="1"/>
      </w:r>
      <w:r w:rsidR="0057639C">
        <w:rPr>
          <w:rFonts w:cstheme="minorHAnsi"/>
        </w:rPr>
        <w:instrText>ADDIN CSL_CITATION {"citationItems":[{"id":"ITEM-1","itemData":{"DOI":"10.1038/nature01763","ISSN":"0028-0836","author":[{"dropping-particle":"","family":"Levine","given":"Michael","non-dropping-particle":"","parse-names":false,"suffix":""},{"dropping-particle":"","family":"Tjian","given":"Robert","non-dropping-particle":"","parse-names":false,"suffix":""}],"container-title":"Nature","id":"ITEM-1","issue":"6945","issued":{"date-parts":[["2003","7","10"]]},"page":"147-151","title":"Transcription regulation and animal diversity","type":"article-journal","volume":"424"},"uris":["http://www.mendeley.com/documents/?uuid=cbcc2522-aae9-456a-b426-6cdbb98c6b94"]}],"mendeley":{"formattedCitation":"(216)","plainTextFormattedCitation":"(216)","previouslyFormattedCitation":"(216)"},"properties":{"noteIndex":0},"schema":"https://github.com/citation-style-language/schema/raw/master/csl-citation.json"}</w:instrText>
      </w:r>
      <w:r w:rsidR="00070470">
        <w:rPr>
          <w:rFonts w:cstheme="minorHAnsi"/>
        </w:rPr>
        <w:fldChar w:fldCharType="separate"/>
      </w:r>
      <w:r w:rsidR="0057639C" w:rsidRPr="0057639C">
        <w:rPr>
          <w:rFonts w:cstheme="minorHAnsi"/>
          <w:noProof/>
        </w:rPr>
        <w:t>(216)</w:t>
      </w:r>
      <w:r w:rsidR="00070470">
        <w:rPr>
          <w:rFonts w:cstheme="minorHAnsi"/>
        </w:rPr>
        <w:fldChar w:fldCharType="end"/>
      </w:r>
      <w:r w:rsidR="003E0D97">
        <w:rPr>
          <w:rFonts w:cstheme="minorHAnsi"/>
        </w:rPr>
        <w:t>.</w:t>
      </w:r>
      <w:r w:rsidR="00E334BB">
        <w:rPr>
          <w:rFonts w:cstheme="minorHAnsi"/>
        </w:rPr>
        <w:t xml:space="preserve"> One </w:t>
      </w:r>
      <w:r w:rsidR="00070470">
        <w:rPr>
          <w:rFonts w:cstheme="minorHAnsi"/>
        </w:rPr>
        <w:t>mechanism of inhibiting translation is through microRNA (miRNA) binding to the mRNA which will lead to either destruction or sequestration of the mRNA</w:t>
      </w:r>
      <w:r w:rsidR="00614F37">
        <w:rPr>
          <w:rFonts w:cstheme="minorHAnsi"/>
        </w:rPr>
        <w:t xml:space="preserve"> target</w:t>
      </w:r>
      <w:r w:rsidR="00070470">
        <w:rPr>
          <w:rFonts w:cstheme="minorHAnsi"/>
        </w:rPr>
        <w:fldChar w:fldCharType="begin" w:fldLock="1"/>
      </w:r>
      <w:r w:rsidR="0057639C">
        <w:rPr>
          <w:rFonts w:cstheme="minorHAnsi"/>
        </w:rPr>
        <w:instrText>ADDIN CSL_CITATION {"citationItems":[{"id":"ITEM-1","itemData":{"DOI":"10.1155/2014/970607","ISBN":"0028-0836 (Print)\\n0028-0836 (Linking)","ISSN":"23144378","PMID":"25180174","abstract":"Discovered in 1993, micoRNAs (miRNAs) are now recognized as one of the major regulatory gene families in eukaryotes. To date, 24521 microRNAs have been discovered and there are certainly more to come. It was primarily acknowledged that miRNAs result in gene expression repression at both the level of mRNA stability by conducting mRNA degradation and the level of translation (at initiation and after initiation) by inhibiting protein translation or degrading the polypeptides through binding complementarily to 3'UTR of the target mRNAs. Nevertheless, some studies revealed that miRNAs have the capability of activating gene expression directly or indirectly in respond to different cell types and conditions and in the presence of distinct cofactors. This reversibility in their posttranslational gene regulatory natures enables the bearing cells to rapidly response to different cell conditions and consequently block unnecessary energy wastage or maintain the cell state. This paper provides an overview of the current understandings of the miRNA characteristics including their genes and biogenesis, as well as their mediated downregulation. We also review up-to-date knowledge of miRNA-mediated gene upregulation through highlighting some notable examples and discuss the emerging concepts of their associations with other posttranscriptional gene regulation processes.","author":[{"dropping-particle":"","family":"Orang","given":"Ayla Valinezhad","non-dropping-particle":"","parse-names":false,"suffix":""},{"dropping-particle":"","family":"Safaralizadeh","given":"Reza","non-dropping-particle":"","parse-names":false,"suffix":""},{"dropping-particle":"","family":"Kazemzadeh-Bavili","given":"Mina","non-dropping-particle":"","parse-names":false,"suffix":""}],"container-title":"International Journal of Genomics","id":"ITEM-1","issue":"June 2013","issued":{"date-parts":[["2014"]]},"publisher":"Hindawi Publishing Corporation","title":"Mechanisms of miRNA-mediated gene regulation from common downregulation to mRNA-specific upregulation","type":"article-journal","volume":"2014"},"uris":["http://www.mendeley.com/documents/?uuid=42788c5b-fc98-4d88-b976-bf60a4187fe6"]}],"mendeley":{"formattedCitation":"(217)","plainTextFormattedCitation":"(217)","previouslyFormattedCitation":"(217)"},"properties":{"noteIndex":0},"schema":"https://github.com/citation-style-language/schema/raw/master/csl-citation.json"}</w:instrText>
      </w:r>
      <w:r w:rsidR="00070470">
        <w:rPr>
          <w:rFonts w:cstheme="minorHAnsi"/>
        </w:rPr>
        <w:fldChar w:fldCharType="separate"/>
      </w:r>
      <w:r w:rsidR="0057639C" w:rsidRPr="0057639C">
        <w:rPr>
          <w:rFonts w:cstheme="minorHAnsi"/>
          <w:noProof/>
        </w:rPr>
        <w:t>(217)</w:t>
      </w:r>
      <w:r w:rsidR="00070470">
        <w:rPr>
          <w:rFonts w:cstheme="minorHAnsi"/>
        </w:rPr>
        <w:fldChar w:fldCharType="end"/>
      </w:r>
      <w:r w:rsidR="00070470">
        <w:rPr>
          <w:rFonts w:cstheme="minorHAnsi"/>
        </w:rPr>
        <w:t>.</w:t>
      </w:r>
      <w:r w:rsidR="00554E31">
        <w:rPr>
          <w:rFonts w:cstheme="minorHAnsi"/>
        </w:rPr>
        <w:t xml:space="preserve"> </w:t>
      </w:r>
      <w:r>
        <w:rPr>
          <w:rFonts w:cstheme="minorHAnsi"/>
        </w:rPr>
        <w:t>Protein</w:t>
      </w:r>
      <w:r w:rsidR="00554E31">
        <w:rPr>
          <w:rFonts w:cstheme="minorHAnsi"/>
        </w:rPr>
        <w:t xml:space="preserve"> repression can occ</w:t>
      </w:r>
      <w:r w:rsidR="00E334BB">
        <w:rPr>
          <w:rFonts w:cstheme="minorHAnsi"/>
        </w:rPr>
        <w:t>ur</w:t>
      </w:r>
      <w:r w:rsidR="00554E31">
        <w:rPr>
          <w:rFonts w:cstheme="minorHAnsi"/>
        </w:rPr>
        <w:t xml:space="preserve"> </w:t>
      </w:r>
      <w:r w:rsidR="00E334BB">
        <w:rPr>
          <w:rFonts w:cstheme="minorHAnsi"/>
        </w:rPr>
        <w:t>in other forms</w:t>
      </w:r>
      <w:r w:rsidR="008F3523">
        <w:rPr>
          <w:rFonts w:cstheme="minorHAnsi"/>
        </w:rPr>
        <w:t>,</w:t>
      </w:r>
      <w:r w:rsidR="00E334BB">
        <w:rPr>
          <w:rFonts w:cstheme="minorHAnsi"/>
        </w:rPr>
        <w:t xml:space="preserve"> such as </w:t>
      </w:r>
      <w:r w:rsidR="00554E31">
        <w:rPr>
          <w:rFonts w:cstheme="minorHAnsi"/>
        </w:rPr>
        <w:t>autophagy</w:t>
      </w:r>
      <w:r w:rsidR="00E334BB">
        <w:rPr>
          <w:rFonts w:cstheme="minorHAnsi"/>
        </w:rPr>
        <w:t xml:space="preserve"> </w:t>
      </w:r>
      <w:r w:rsidR="008120D0">
        <w:rPr>
          <w:rFonts w:cstheme="minorHAnsi"/>
        </w:rPr>
        <w:t>induction (see section</w:t>
      </w:r>
      <w:r w:rsidR="008F362C">
        <w:rPr>
          <w:rFonts w:cstheme="minorHAnsi"/>
        </w:rPr>
        <w:t xml:space="preserve"> 1.6.4 </w:t>
      </w:r>
      <w:r w:rsidR="008F362C" w:rsidRPr="008F362C">
        <w:rPr>
          <w:rFonts w:cstheme="minorHAnsi"/>
          <w:b/>
        </w:rPr>
        <w:fldChar w:fldCharType="begin"/>
      </w:r>
      <w:r w:rsidR="008F362C" w:rsidRPr="008F362C">
        <w:rPr>
          <w:rFonts w:cstheme="minorHAnsi"/>
          <w:b/>
        </w:rPr>
        <w:instrText xml:space="preserve"> REF _Ref530244821 \h </w:instrText>
      </w:r>
      <w:r w:rsidR="008F362C">
        <w:rPr>
          <w:rFonts w:cstheme="minorHAnsi"/>
          <w:b/>
        </w:rPr>
        <w:instrText xml:space="preserve"> \* MERGEFORMAT </w:instrText>
      </w:r>
      <w:r w:rsidR="008F362C" w:rsidRPr="008F362C">
        <w:rPr>
          <w:rFonts w:cstheme="minorHAnsi"/>
          <w:b/>
        </w:rPr>
      </w:r>
      <w:r w:rsidR="008F362C" w:rsidRPr="008F362C">
        <w:rPr>
          <w:rFonts w:cstheme="minorHAnsi"/>
          <w:b/>
        </w:rPr>
        <w:fldChar w:fldCharType="separate"/>
      </w:r>
      <w:r w:rsidR="00E2070A" w:rsidRPr="00E2070A">
        <w:rPr>
          <w:b/>
        </w:rPr>
        <w:t>Autophagy Overview</w:t>
      </w:r>
      <w:r w:rsidR="008F362C" w:rsidRPr="008F362C">
        <w:rPr>
          <w:rFonts w:cstheme="minorHAnsi"/>
          <w:b/>
        </w:rPr>
        <w:fldChar w:fldCharType="end"/>
      </w:r>
      <w:r w:rsidR="00614F37">
        <w:rPr>
          <w:rFonts w:cstheme="minorHAnsi"/>
        </w:rPr>
        <w:t xml:space="preserve">). </w:t>
      </w:r>
      <w:r w:rsidR="00D159E6">
        <w:rPr>
          <w:rFonts w:cstheme="minorHAnsi"/>
        </w:rPr>
        <w:t>Post-translational modifications such as ubiquitin can target a protein f</w:t>
      </w:r>
      <w:r w:rsidR="008120D0">
        <w:rPr>
          <w:rFonts w:cstheme="minorHAnsi"/>
        </w:rPr>
        <w:t>or destruction (see section</w:t>
      </w:r>
      <w:r w:rsidR="008F362C">
        <w:rPr>
          <w:rFonts w:cstheme="minorHAnsi"/>
        </w:rPr>
        <w:t xml:space="preserve"> 1.6.1 </w:t>
      </w:r>
      <w:r w:rsidR="008F362C" w:rsidRPr="008F362C">
        <w:rPr>
          <w:rFonts w:cstheme="minorHAnsi"/>
          <w:b/>
        </w:rPr>
        <w:fldChar w:fldCharType="begin"/>
      </w:r>
      <w:r w:rsidR="008F362C" w:rsidRPr="008F362C">
        <w:rPr>
          <w:rFonts w:cstheme="minorHAnsi"/>
          <w:b/>
        </w:rPr>
        <w:instrText xml:space="preserve"> REF _Ref530244867 \h </w:instrText>
      </w:r>
      <w:r w:rsidR="008F362C">
        <w:rPr>
          <w:rFonts w:cstheme="minorHAnsi"/>
          <w:b/>
        </w:rPr>
        <w:instrText xml:space="preserve"> \* MERGEFORMAT </w:instrText>
      </w:r>
      <w:r w:rsidR="008F362C" w:rsidRPr="008F362C">
        <w:rPr>
          <w:rFonts w:cstheme="minorHAnsi"/>
          <w:b/>
        </w:rPr>
      </w:r>
      <w:r w:rsidR="008F362C" w:rsidRPr="008F362C">
        <w:rPr>
          <w:rFonts w:cstheme="minorHAnsi"/>
          <w:b/>
        </w:rPr>
        <w:fldChar w:fldCharType="separate"/>
      </w:r>
      <w:r w:rsidR="00E2070A" w:rsidRPr="00E2070A">
        <w:rPr>
          <w:b/>
        </w:rPr>
        <w:t>Proteasome Overview</w:t>
      </w:r>
      <w:r w:rsidR="008F362C" w:rsidRPr="008F362C">
        <w:rPr>
          <w:rFonts w:cstheme="minorHAnsi"/>
          <w:b/>
        </w:rPr>
        <w:fldChar w:fldCharType="end"/>
      </w:r>
      <w:r w:rsidR="00614F37">
        <w:rPr>
          <w:rFonts w:cstheme="minorHAnsi"/>
        </w:rPr>
        <w:t>).</w:t>
      </w:r>
    </w:p>
    <w:p w:rsidR="00C26EC5" w:rsidRPr="002E233D" w:rsidRDefault="00C26EC5" w:rsidP="00C82963">
      <w:pPr>
        <w:ind w:firstLine="720"/>
        <w:jc w:val="both"/>
        <w:rPr>
          <w:rFonts w:cstheme="minorHAnsi"/>
        </w:rPr>
      </w:pPr>
      <w:r>
        <w:rPr>
          <w:rFonts w:cstheme="minorHAnsi"/>
        </w:rPr>
        <w:lastRenderedPageBreak/>
        <w:t xml:space="preserve">OSBP is a member of a highly conserved protein family found among all eukaryotes </w:t>
      </w:r>
      <w:r w:rsidR="0035790D">
        <w:rPr>
          <w:rFonts w:cstheme="minorHAnsi"/>
        </w:rPr>
        <w:t>and evidence indicates it has roles in</w:t>
      </w:r>
      <w:r>
        <w:rPr>
          <w:rFonts w:cstheme="minorHAnsi"/>
        </w:rPr>
        <w:t xml:space="preserve"> cholesterol transport and lipid sensing</w:t>
      </w:r>
      <w:r>
        <w:rPr>
          <w:rFonts w:cstheme="minorHAnsi"/>
        </w:rPr>
        <w:fldChar w:fldCharType="begin" w:fldLock="1"/>
      </w:r>
      <w:r w:rsidR="004B0503">
        <w:rPr>
          <w:rFonts w:cstheme="minorHAnsi"/>
        </w:rPr>
        <w:instrText>ADDIN CSL_CITATION {"citationItems":[{"id":"ITEM-1","itemData":{"DOI":"10.1016/bs.ircmb.2015.09.006","ISBN":"9780128047071","ISSN":"19376448","PMID":"26715851","abstract":"Oxysterol-binding protein (OSBP) and its related protein homologs, ORPs, constitute a conserved family of lipid-binding/transfer proteins (LTPs) expressed ubiquitously in eukaryotes. The ligand-binding domain of ORPs accommodates cholesterol and oxysterols, but also glycerophospholipids, particularly phosphatidylinositol-4-phosphate (PI4P). ORPs have been implicated as intracellular lipid sensors or transporters. Most ORPs carry targeting determinants for the endoplasmic reticulum (ER) and non-ER organelle membrane. ORPs are located and function at membrane contact sites (MCSs), at which ER is closely apposed with other organelle limiting membranes. Such sites have roles in lipid transport and metabolism, control of Ca2+fluxes, and signaling events. ORPs are postulated either to transport lipids over MCSs to maintain the distinct lipid compositions of organelle membranes, or to control the activity of enzymes/protein complexes with functions in signaling and lipid metabolism. ORPs may transfer PI4P and another lipid class bidirectionally. Transport of PI4P followed by its hydrolysis would in this model provide the energy for transfer of the other lipid against its concentration gradient. Control of organelle lipid compositions by OSBP/ORPs is important for the life cycles of several pathogenic viruses. Targeting ORPs with small-molecular antagonists is proposed as a new strategy to combat viral infections. Several ORPs are reported to modulate vesicle transport along the secretory or endocytic pathways. Moreover, antagonists of certain ORPs inhibit cancer cell proliferation. Thus, ORPs are LTPs, which mediate interorganelle lipid transport and coordinate lipid signals with a variety of cellular regimes. © 2016 Elsevier Inc.","author":[{"dropping-particle":"","family":"Kentala","given":"Henriikka","non-dropping-particle":"","parse-names":false,"suffix":""},{"dropping-particle":"","family":"Weber-Boyvat","given":"Marion","non-dropping-particle":"","parse-names":false,"suffix":""},{"dropping-particle":"","family":"Olkkonen","given":"Vesa M.","non-dropping-particle":"","parse-names":false,"suffix":""}],"container-title":"International Review of Cell and Molecular Biology","id":"ITEM-1","issued":{"date-parts":[["2016"]]},"page":"299-340","publisher":"Elsevier Inc.","title":"OSBP-Related Protein Family: Mediators of Lipid Transport and Signaling at Membrane Contact Sites","type":"chapter","volume":"321"},"uris":["http://www.mendeley.com/documents/?uuid=6a0e123f-3f73-411f-9291-c5a54c49efd3"]},{"id":"ITEM-2","itemData":{"DOI":"10.1002/ejlt.201200044","ISSN":"14387697","abstract":"Cytoplasmic oxysterol-binding protein homologues, designated OSBP-like\\n(OSBPL) or OSBP-related (ORP) proteins, constitute a family of lipid\\nbinding/transfer proteins present in a wide spectrum of eukaryotes. In\\nmammals these proteins are encoded by 12 genes expressed ubiquitously\\nbut at different quantities in different tissue and cell types. Their\\nunifying feature is a beta-barrel-like ligand-binding domain that has\\nbeen shown to accommodate sterol ligands: oxysterols, cholesterol, or\\nboth, while a recent report shows that also phospholipid can be bound.\\nCertain family members have the capacity to mediate or facilitate\\nintracellular sterol transport or lipid exchange, while others are\\nimplicated as sterol sensors involved in cell regulation: lipid\\nhomeostatic control, signal transduction, organelle motility, or vesicle\\ntransport. Several ORPs have been localized to membrane contact sites,\\nat which endoplasmic reticulum membranes are closely apposed with other\\norganellesindicating functions in the non-vesicular transport of ions or\\nsmall molecules, or in regulation of enzymatic components active at the\\ncontact sites. OSBPL gene polymorphisms are associated with\\ncardiovascular risk factors, and altered ORP expression levels occur in\\ncertain cancers, providing the first indications of ORP involvement in\\nhuman disease. In this review we summarize and analyze the latest\\nfindings concerning the function of OSBPL/ORP proteins.","author":[{"dropping-particle":"","family":"Olkkonen","given":"Vesa M.","non-dropping-particle":"","parse-names":false,"suffix":""},{"dropping-particle":"","family":"Zhou","given":"You","non-dropping-particle":"","parse-names":false,"suffix":""},{"dropping-particle":"","family":"Yan","given":"Daoguang","non-dropping-particle":"","parse-names":false,"suffix":""},{"dropping-particle":"","family":"Vihervaara","given":"Terhi","non-dropping-particle":"","parse-names":false,"suffix":""}],"container-title":"European Journal of Lipid Science and Technology","id":"ITEM-2","issue":"6","issued":{"date-parts":[["2012"]]},"page":"634-643","title":"Oxysterol-binding proteins-emerging roles in cell regulation","type":"article-journal","volume":"114"},"uris":["http://www.mendeley.com/documents/?uuid=ebbf54b8-da36-4a5b-a6d4-b2a84ca33ce0"]}],"mendeley":{"formattedCitation":"(1, 5)","plainTextFormattedCitation":"(1, 5)","previouslyFormattedCitation":"(1, 5)"},"properties":{"noteIndex":0},"schema":"https://github.com/citation-style-language/schema/raw/master/csl-citation.json"}</w:instrText>
      </w:r>
      <w:r>
        <w:rPr>
          <w:rFonts w:cstheme="minorHAnsi"/>
        </w:rPr>
        <w:fldChar w:fldCharType="separate"/>
      </w:r>
      <w:r w:rsidR="00771F51" w:rsidRPr="00771F51">
        <w:rPr>
          <w:rFonts w:cstheme="minorHAnsi"/>
          <w:noProof/>
        </w:rPr>
        <w:t>(1, 5)</w:t>
      </w:r>
      <w:r>
        <w:rPr>
          <w:rFonts w:cstheme="minorHAnsi"/>
        </w:rPr>
        <w:fldChar w:fldCharType="end"/>
      </w:r>
      <w:r>
        <w:rPr>
          <w:rFonts w:cstheme="minorHAnsi"/>
        </w:rPr>
        <w:t>. OSBP transports cholesterol from the ER to the Golgi and counter-transports PI4P</w:t>
      </w:r>
      <w:r>
        <w:rPr>
          <w:rFonts w:cstheme="minorHAnsi"/>
        </w:rPr>
        <w:fldChar w:fldCharType="begin" w:fldLock="1"/>
      </w:r>
      <w:r w:rsidR="00046011">
        <w:rPr>
          <w:rFonts w:cstheme="minorHAnsi"/>
        </w:rPr>
        <w:instrText>ADDIN CSL_CITATION {"citationItems":[{"id":"ITEM-1","itemData":{"DOI":"10.1016/j.cell.2013.09.056","ISBN":"1097-4172 (Electronic)$\\$r0092-8674 (Linking)","ISSN":"00928674","PMID":"24209621","abstract":"Summary Several proteins at endoplasmic reticulum (ER)-Golgi membrane contact sites contain a PH domain that interacts with the Golgi phosphoinositide PI(4)P, a FFAT motif that interacts with the ER protein VAP-A, and a lipid transfer domain. This architecture suggests the ability to both tether organelles and transport lipids between them. We show that in oxysterol binding protein (OSBP) these two activities are coupled by a four-step cycle. Membrane tethering by the PH domain and the FFAT motif enables sterol transfer by the lipid transfer domain (ORD), followed by back transfer of PI(4)P by the ORD. Finally, PI(4)P is hydrolyzed in cis by the ER protein Sac1. The energy provided by PI(4)P hydrolysis drives sterol transfer and allows negative feedback when PI(4)P becomes limiting. Other lipid transfer proteins are tethered by the same mechanism. Thus, OSBP-mediated back transfer of PI(4)P might coordinate the transfer of other lipid species at the ER-Golgi interface. {©} 2013 Elsevier Inc.","author":[{"dropping-particle":"","family":"Mesmin","given":"Bruno","non-dropping-particle":"","parse-names":false,"suffix":""},{"dropping-particle":"","family":"Bigay","given":"Joëlle","non-dropping-particle":"","parse-names":false,"suffix":""},{"dropping-particle":"","family":"Moser Von Filseck","given":"Joachim","non-dropping-particle":"","parse-names":false,"suffix":""},{"dropping-particle":"","family":"Lacas-Gervais","given":"Sandra","non-dropping-particle":"","parse-names":false,"suffix":""},{"dropping-particle":"","family":"Drin","given":"Guillaume","non-dropping-particle":"","parse-names":false,"suffix":""},{"dropping-particle":"","family":"Antonny","given":"Bruno","non-dropping-particle":"","parse-names":false,"suffix":""}],"container-title":"Cell","id":"ITEM-1","issue":"4","issued":{"date-parts":[["2013"]]},"title":"A four-step cycle driven by PI(4)P hydrolysis directs sterol/PI(4)P exchange by the ER-Golgi Tether OSBP","type":"article-journal","volume":"155"},"uris":["http://www.mendeley.com/documents/?uuid=1f022887-7488-4e31-acec-03e43f3244ee"]},{"id":"ITEM-2","itemData":{"DOI":"10.15252/embj.201796687","ISSN":"0261-4189","PMID":"28978670","abstract":"The network of proteins that orchestrate the distribution of cholesterol among cellular organelles is not fully characterized. We previously proposed that oxysterol-binding protein (OSBP) drives cholesterol/PI4P exchange at contact sites between the endoplas-mic reticulum (ER) and the trans-Golgi network (TGN). Using the inhibitor OSW-1, we report here that the sole activity of endoge-nous OSBP makes a major contribution to cholesterol distribution, lipid order, and PI4P turnover in living cells. Blocking OSBP causes accumulation of sterols at ER/lipid droplets at the expense of TGN, thereby reducing the gradient of lipid order along the secretory pathway. OSBP consumes about half of the total cellular pool of PI4P, a consumption that depends on the amount of cholesterol to be transported. Inhibiting the spatially restricted PI4-kinase PI4KIIIb triggers large periodic traveling waves of PI4P across the TGN. These waves are cadenced by long-range PI4P production by PI4KIIa and PI4P consumption by OSBP. Collectively, these data indicate a massive spatiotemporal coupling between cholesterol transport and PI4P turnover via OSBP and PI4-kinases to control the lipid composition of subcellular membranes.","author":[{"dropping-particle":"","family":"Mesmin","given":"Bruno","non-dropping-particle":"","parse-names":false,"suffix":""},{"dropping-particle":"","family":"Bigay","given":"Joëlle","non-dropping-particle":"","parse-names":false,"suffix":""},{"dropping-particle":"","family":"Polidori","given":"Joël","non-dropping-particle":"","parse-names":false,"suffix":""},{"dropping-particle":"","family":"Jamecna","given":"Denisa","non-dropping-particle":"","parse-names":false,"suffix":""},{"dropping-particle":"","family":"Lacas‐Gervais","given":"Sandra","non-dropping-particle":"","parse-names":false,"suffix":""},{"dropping-particle":"","family":"Antonny","given":"Bruno","non-dropping-particle":"","parse-names":false,"suffix":""}],"container-title":"The EMBO Journal","id":"ITEM-2","issue":"21","issued":{"date-parts":[["2017"]]},"page":"e201796687","title":"Sterol transfer, PI4P consumption, and control of membrane lipid order by endogenous OSBP","type":"article-journal","volume":"36"},"uris":["http://www.mendeley.com/documents/?uuid=ab5eb1b3-8377-4683-a898-2e84c44024b8"]}],"mendeley":{"formattedCitation":"(35, 36)","plainTextFormattedCitation":"(35, 36)","previouslyFormattedCitation":"(35, 36)"},"properties":{"noteIndex":0},"schema":"https://github.com/citation-style-language/schema/raw/master/csl-citation.json"}</w:instrText>
      </w:r>
      <w:r>
        <w:rPr>
          <w:rFonts w:cstheme="minorHAnsi"/>
        </w:rPr>
        <w:fldChar w:fldCharType="separate"/>
      </w:r>
      <w:r w:rsidR="00470B16" w:rsidRPr="00470B16">
        <w:rPr>
          <w:rFonts w:cstheme="minorHAnsi"/>
          <w:noProof/>
        </w:rPr>
        <w:t>(35, 36)</w:t>
      </w:r>
      <w:r>
        <w:rPr>
          <w:rFonts w:cstheme="minorHAnsi"/>
        </w:rPr>
        <w:fldChar w:fldCharType="end"/>
      </w:r>
      <w:r>
        <w:rPr>
          <w:rFonts w:cstheme="minorHAnsi"/>
        </w:rPr>
        <w:t>.</w:t>
      </w:r>
      <w:r w:rsidR="00B303C5">
        <w:rPr>
          <w:rFonts w:cstheme="minorHAnsi"/>
        </w:rPr>
        <w:t xml:space="preserve"> OSBP </w:t>
      </w:r>
      <w:r w:rsidR="00B1694D">
        <w:rPr>
          <w:rFonts w:cstheme="minorHAnsi"/>
        </w:rPr>
        <w:t>can act as a sterol/lipid sensor and interact with cellular signaling pathways involved in proliferation and transcription</w:t>
      </w:r>
      <w:r w:rsidR="00B1694D">
        <w:rPr>
          <w:rFonts w:cstheme="minorHAnsi"/>
        </w:rPr>
        <w:fldChar w:fldCharType="begin" w:fldLock="1"/>
      </w:r>
      <w:r w:rsidR="00E921DB">
        <w:rPr>
          <w:rFonts w:cstheme="minorHAnsi"/>
        </w:rPr>
        <w:instrText>ADDIN CSL_CITATION {"citationItems":[{"id":"ITEM-1","itemData":{"DOI":"10.1126/science.1107710","ISSN":"0036-8075","PMID":"15746430","abstract":"Oxysterol-binding protein (OSBP) is the founding member of a family of sterol-binding proteins implicated in vesicle transport, lipid metabolism, and signal transduction. Here, OSBP was found to function as a cholesterol-binding scaffolding protein coordinating the activity of two phosphatases to control the extracellular signal-regulated kinase (ERK) signaling pathway. Cytosolic OSBP formed a approximately 440-kilodalton oligomer with a member of the PTPPBS family of tyrosine phosphatases, the serine/threonine phosphatase PP2A, and cholesterol. This oligomer had dual specific phosphatase activity for phosphorylated ERK (pERK). When cell cholesterol was lowered, the oligomer disassembled and the level of pERK rose. The oligomer also disassembled when exposed to oxysterols. Increasing the amount of OSBP oligomer rendered cells resistant to the effects of cholesterol depletion and decreased the basal level of pERK. Thus, cholesterol functions through its interaction with OSBP outside of membranes to regulate the assembly of an oligomeric phosphatase that controls a key signaling pathway in the cell.","author":[{"dropping-particle":"","family":"Wang","given":"Ping-Yuan","non-dropping-particle":"","parse-names":false,"suffix":""},{"dropping-particle":"","family":"Weng","given":"Jian","non-dropping-particle":"","parse-names":false,"suffix":""},{"dropping-particle":"","family":"Anderson","given":"Richard G W","non-dropping-particle":"","parse-names":false,"suffix":""}],"container-title":"Science (New York, N.Y.)","id":"ITEM-1","issue":"5714","issued":{"date-parts":[["2005"]]},"page":"1472-1476","title":"OSBP is a cholesterol-regulated scaffolding protein in control of ERK 1/2 activation.","type":"article-journal","volume":"307"},"uris":["http://www.mendeley.com/documents/?uuid=5d80aa99-2bda-4702-ab3d-c5e8c11646f2"]},{"id":"ITEM-2","itemData":{"DOI":"10.1074/jbc.M710092200","ISSN":"00219258","PMID":"18230613","abstract":"Endothelial dysfunction plays a central role in diabetic vascular disease, but its molecular bases are not completely defined. We showed previously that the actin-binding protein proflin-1 was increased in the diabetic endothelium and that attenuated expression of profilin-1 protected against atherosclerosis. Also 7-ketocholesterol up-regulated profilin-1 in endothelial cells via transcriptional mechanisms. The present study addressed the pathways responsible for profilin-1 gene expression in 7-ketocholesterol-stimulated endothelial cells and in the diabetic aorta. In luciferase reporter assays, the response to 7-ketocholesterol within the 5'-flanking region of profilin-1 was dependent on a single STAT response element. In aortic endothelial cells, 7-ketocholesterol enhanced STAT3 activation, which required JAK2 and tyrosine 394 phosphorylation of oxysterol-binding protein-1. These changes were recapitulated in the aorta of diabetic rats. Also 7-ketocholesterol in cultured endothelial cells and diabetes in the aorta elicited the recruitment of STAT3 and relevant coregulatory factors to the oxysterol-responsive region of the profilin-1 promoter. These events were required for profilin-1 up-regulation. These studies identify a previously unrecognized oxysterol-binding protein-mediated mode of activation of STAT3 that controls the expression of the proatherogenic protein profilin-1 in response to 7-ketocholesterol and the diabetic milieu.","author":[{"dropping-particle":"","family":"Romeo","given":"Giulio R.","non-dropping-particle":"","parse-names":false,"suffix":""},{"dropping-particle":"","family":"Kazlauskas","given":"Andrius","non-dropping-particle":"","parse-names":false,"suffix":""}],"container-title":"Journal of Biological Chemistry","id":"ITEM-2","issue":"15","issued":{"date-parts":[["2008"]]},"page":"9595-9605","title":"Oxysterol and diabetes activate STAT3 and control endothelial expression of profilin-1 via OSBP1","type":"article-journal","volume":"283"},"uris":["http://www.mendeley.com/documents/?uuid=caa5f084-d1ab-4f08-9b5b-794548d8051a"]}],"mendeley":{"formattedCitation":"(39, 40)","plainTextFormattedCitation":"(39, 40)","previouslyFormattedCitation":"(39, 40)"},"properties":{"noteIndex":0},"schema":"https://github.com/citation-style-language/schema/raw/master/csl-citation.json"}</w:instrText>
      </w:r>
      <w:r w:rsidR="00B1694D">
        <w:rPr>
          <w:rFonts w:cstheme="minorHAnsi"/>
        </w:rPr>
        <w:fldChar w:fldCharType="separate"/>
      </w:r>
      <w:r w:rsidR="00393368" w:rsidRPr="00393368">
        <w:rPr>
          <w:rFonts w:cstheme="minorHAnsi"/>
          <w:noProof/>
        </w:rPr>
        <w:t>(39, 40)</w:t>
      </w:r>
      <w:r w:rsidR="00B1694D">
        <w:rPr>
          <w:rFonts w:cstheme="minorHAnsi"/>
        </w:rPr>
        <w:fldChar w:fldCharType="end"/>
      </w:r>
      <w:r w:rsidR="00B1694D">
        <w:rPr>
          <w:rFonts w:cstheme="minorHAnsi"/>
        </w:rPr>
        <w:t xml:space="preserve">. </w:t>
      </w:r>
      <w:r w:rsidR="00C82963">
        <w:rPr>
          <w:rFonts w:cstheme="minorHAnsi"/>
        </w:rPr>
        <w:t xml:space="preserve">The </w:t>
      </w:r>
      <w:r w:rsidR="00251197">
        <w:rPr>
          <w:rFonts w:cstheme="minorHAnsi"/>
        </w:rPr>
        <w:t>half-life and</w:t>
      </w:r>
      <w:r w:rsidR="00B1694D">
        <w:rPr>
          <w:rFonts w:cstheme="minorHAnsi"/>
        </w:rPr>
        <w:t xml:space="preserve"> </w:t>
      </w:r>
      <w:r w:rsidR="00251197">
        <w:rPr>
          <w:rFonts w:cstheme="minorHAnsi"/>
        </w:rPr>
        <w:t xml:space="preserve">post-translational regulation </w:t>
      </w:r>
      <w:r w:rsidR="00B1694D">
        <w:rPr>
          <w:rFonts w:cstheme="minorHAnsi"/>
        </w:rPr>
        <w:t>of OSBP</w:t>
      </w:r>
      <w:r w:rsidR="00C82963">
        <w:rPr>
          <w:rFonts w:cstheme="minorHAnsi"/>
        </w:rPr>
        <w:t xml:space="preserve"> is not known</w:t>
      </w:r>
      <w:r w:rsidR="00B1694D">
        <w:rPr>
          <w:rFonts w:cstheme="minorHAnsi"/>
        </w:rPr>
        <w:t>.</w:t>
      </w:r>
      <w:r w:rsidR="00C82963">
        <w:rPr>
          <w:rFonts w:cstheme="minorHAnsi"/>
        </w:rPr>
        <w:t xml:space="preserve"> OSW-1 treatment induces a disruption of the trans-Golgi network, presumably through OSBP inhibition.</w:t>
      </w:r>
      <w:r w:rsidR="00C451B2">
        <w:rPr>
          <w:rFonts w:cstheme="minorHAnsi"/>
        </w:rPr>
        <w:t xml:space="preserve">OSW-1 </w:t>
      </w:r>
      <w:r w:rsidR="00B56FF9">
        <w:rPr>
          <w:rFonts w:cstheme="minorHAnsi"/>
        </w:rPr>
        <w:t xml:space="preserve">treatment </w:t>
      </w:r>
      <w:r w:rsidR="00C451B2">
        <w:rPr>
          <w:rFonts w:cstheme="minorHAnsi"/>
        </w:rPr>
        <w:t>has also been shown to induce</w:t>
      </w:r>
      <w:r w:rsidR="00EC6B30">
        <w:rPr>
          <w:rFonts w:cstheme="minorHAnsi"/>
        </w:rPr>
        <w:t xml:space="preserve"> significant changes in the </w:t>
      </w:r>
      <w:r w:rsidR="00B56FF9">
        <w:rPr>
          <w:rFonts w:cstheme="minorHAnsi"/>
        </w:rPr>
        <w:t>expression profiles of tumor related miRNAs</w:t>
      </w:r>
      <w:r w:rsidR="008F362C">
        <w:rPr>
          <w:rFonts w:cstheme="minorHAnsi"/>
        </w:rPr>
        <w:fldChar w:fldCharType="begin" w:fldLock="1"/>
      </w:r>
      <w:r w:rsidR="0057639C">
        <w:rPr>
          <w:rFonts w:cstheme="minorHAnsi"/>
        </w:rPr>
        <w:instrText>ADDIN CSL_CITATION {"citationItems":[{"id":"ITEM-1","itemData":{"DOI":"10.3892/mmr.2013.1428","ISBN":"1791-3004 (Electronic)\\r1791-2997 (Linking)","ISSN":"17912997","PMID":"23588479","abstract":"3β,16β,17α-trihydroxycholest-5-en-22-one 16-O-(2-O-4-methoxybenzoyl-β-D-xylopyranosyl)-(1→3)- (2-O-acet​yl-α-L-arabinopyranoside) (OSW-1) is a member of the cholestane saponin family, which was first isolated from the bulbs of Ornithogalum saundersiae and previously reported to be cytotoxic against several types of malignant cells. However, its antitumor mechanism remains unclear. Therefore, we investigated microRNA (miRNA) expression profiles in order to explore the antitumor activities of OSW-1. Furthermore, following study of differentially expressed miRNAs, the function of novel miRNAs and OSW-1 was determined using known miRNAs and anticarcinogens. The present study demonstrated that treatment with OSW-1 leads to the upregulation and downregulation of a large set of tumor-related miRNAs, including miR-299, miR-1908, miR-125b, miR-187a, miR-1275, hav1-miR-H6-3p, miR-181, miR-210, miR-483, miR-126, miR-208 and others. Notably, miR-141, miR-142, miR-200C and miR-1275 were found to be upregulated by OSW-1 and doxorubicine, as compared with doxorubicine alone. Additionally, the expression fold-change of miR-142-3P was ~58 times higher than its expression with a different treatment. These miRNAs are linked to cancer, including proliferation, differentiation, apoptosis, cell adhesion, migration, polarity and epithelial to mesenchymal transition (EMT).","author":[{"dropping-particle":"","family":"Jin","given":"Ji Chun","non-dropping-particle":"","parse-names":false,"suffix":""},{"dropping-particle":"","family":"Jin","given":"Xing Lin","non-dropping-particle":"","parse-names":false,"suffix":""},{"dropping-particle":"","family":"Zhang","given":"Xian","non-dropping-particle":"","parse-names":false,"suffix":""},{"dropping-particle":"","family":"Piao","given":"Ying Shi","non-dropping-particle":"","parse-names":false,"suffix":""},{"dropping-particle":"","family":"Liu","given":"Shuang Ping","non-dropping-particle":"","parse-names":false,"suffix":""}],"container-title":"Molecular Medicine Reports","id":"ITEM-1","issue":"6","issued":{"date-parts":[["2013"]]},"page":"1831-1837","title":"Effect of OSW-1 on microRNA expression profiles of hepatoma cells and functions of novel microRNAs","type":"article-journal","volume":"7"},"uris":["http://www.mendeley.com/documents/?uuid=e87053e4-0a13-4e7b-a8bb-b50ca9579340"]}],"mendeley":{"formattedCitation":"(218)","plainTextFormattedCitation":"(218)","previouslyFormattedCitation":"(218)"},"properties":{"noteIndex":0},"schema":"https://github.com/citation-style-language/schema/raw/master/csl-citation.json"}</w:instrText>
      </w:r>
      <w:r w:rsidR="008F362C">
        <w:rPr>
          <w:rFonts w:cstheme="minorHAnsi"/>
        </w:rPr>
        <w:fldChar w:fldCharType="separate"/>
      </w:r>
      <w:r w:rsidR="0057639C" w:rsidRPr="0057639C">
        <w:rPr>
          <w:rFonts w:cstheme="minorHAnsi"/>
          <w:noProof/>
        </w:rPr>
        <w:t>(218)</w:t>
      </w:r>
      <w:r w:rsidR="008F362C">
        <w:rPr>
          <w:rFonts w:cstheme="minorHAnsi"/>
        </w:rPr>
        <w:fldChar w:fldCharType="end"/>
      </w:r>
      <w:r w:rsidR="00C82963">
        <w:rPr>
          <w:rFonts w:cstheme="minorHAnsi"/>
        </w:rPr>
        <w:t xml:space="preserve">. </w:t>
      </w:r>
      <w:r w:rsidR="00E56ED2">
        <w:rPr>
          <w:rFonts w:cstheme="minorHAnsi"/>
        </w:rPr>
        <w:t xml:space="preserve">To investigate this mechanism of </w:t>
      </w:r>
      <w:r w:rsidR="0042568D">
        <w:rPr>
          <w:rFonts w:cstheme="minorHAnsi"/>
        </w:rPr>
        <w:t>reduction</w:t>
      </w:r>
      <w:r w:rsidR="00E56ED2">
        <w:rPr>
          <w:rFonts w:cstheme="minorHAnsi"/>
        </w:rPr>
        <w:t xml:space="preserve"> we utilized approaches to determine </w:t>
      </w:r>
      <w:r w:rsidR="00251197">
        <w:rPr>
          <w:rFonts w:cstheme="minorHAnsi"/>
        </w:rPr>
        <w:t>at which step in the central dogma</w:t>
      </w:r>
      <w:r w:rsidR="0042568D">
        <w:rPr>
          <w:rFonts w:cstheme="minorHAnsi"/>
        </w:rPr>
        <w:t xml:space="preserve"> the reduction</w:t>
      </w:r>
      <w:r w:rsidR="00E56ED2">
        <w:rPr>
          <w:rFonts w:cstheme="minorHAnsi"/>
        </w:rPr>
        <w:t xml:space="preserve"> was occurring. </w:t>
      </w:r>
      <w:r w:rsidR="00251197">
        <w:rPr>
          <w:rFonts w:cstheme="minorHAnsi"/>
        </w:rPr>
        <w:t>Our results demonstrate</w:t>
      </w:r>
      <w:r w:rsidR="0042568D">
        <w:rPr>
          <w:rFonts w:cstheme="minorHAnsi"/>
        </w:rPr>
        <w:t xml:space="preserve"> that long-term reduction</w:t>
      </w:r>
      <w:r w:rsidR="00E56ED2">
        <w:rPr>
          <w:rFonts w:cstheme="minorHAnsi"/>
        </w:rPr>
        <w:t xml:space="preserve"> of OSBP does occur through a </w:t>
      </w:r>
      <w:r w:rsidR="00C82963">
        <w:rPr>
          <w:rFonts w:cstheme="minorHAnsi"/>
        </w:rPr>
        <w:t>mRNA transcriptional repression, proteasomal degradation, or autophagy-induced proteolysis</w:t>
      </w:r>
      <w:r w:rsidR="00E56ED2">
        <w:rPr>
          <w:rFonts w:cstheme="minorHAnsi"/>
        </w:rPr>
        <w:t>.</w:t>
      </w:r>
    </w:p>
    <w:p w:rsidR="0019535A" w:rsidRDefault="0019535A" w:rsidP="00FB099D">
      <w:pPr>
        <w:pStyle w:val="Heading2"/>
      </w:pPr>
      <w:bookmarkStart w:id="151" w:name="_Toc532553131"/>
      <w:r>
        <w:t>Results</w:t>
      </w:r>
      <w:bookmarkEnd w:id="151"/>
    </w:p>
    <w:p w:rsidR="0019535A" w:rsidRDefault="0019535A" w:rsidP="00042529">
      <w:pPr>
        <w:pStyle w:val="Heading3"/>
      </w:pPr>
      <w:bookmarkStart w:id="152" w:name="_Toc532553132"/>
      <w:r w:rsidRPr="0019535A">
        <w:t xml:space="preserve">OSW-1 </w:t>
      </w:r>
      <w:r w:rsidR="00F47F31">
        <w:t>“washout effect”</w:t>
      </w:r>
      <w:r>
        <w:t xml:space="preserve"> is not due to prolonged proteasomal degradation</w:t>
      </w:r>
      <w:bookmarkEnd w:id="152"/>
    </w:p>
    <w:p w:rsidR="003D18F8" w:rsidRPr="004578F9" w:rsidRDefault="00C82963" w:rsidP="00D9132A">
      <w:pPr>
        <w:ind w:firstLine="720"/>
        <w:jc w:val="both"/>
        <w:rPr>
          <w:rFonts w:cstheme="minorHAnsi"/>
          <w:b/>
        </w:rPr>
      </w:pPr>
      <w:r>
        <w:rPr>
          <w:rFonts w:cstheme="minorHAnsi"/>
        </w:rPr>
        <w:t>Continual</w:t>
      </w:r>
      <w:r w:rsidR="0019535A">
        <w:rPr>
          <w:rFonts w:cstheme="minorHAnsi"/>
        </w:rPr>
        <w:t xml:space="preserve"> OSW-1 treatment leads to proteasomal dependent degradation of OSBP</w:t>
      </w:r>
      <w:r w:rsidR="0019535A">
        <w:rPr>
          <w:rFonts w:cstheme="minorHAnsi"/>
        </w:rPr>
        <w:fldChar w:fldCharType="begin" w:fldLock="1"/>
      </w:r>
      <w:r w:rsidR="00393368">
        <w:rPr>
          <w:rFonts w:cstheme="minorHAnsi"/>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0019535A">
        <w:rPr>
          <w:rFonts w:cstheme="minorHAnsi"/>
        </w:rPr>
        <w:fldChar w:fldCharType="separate"/>
      </w:r>
      <w:r w:rsidR="00393368" w:rsidRPr="00393368">
        <w:rPr>
          <w:rFonts w:cstheme="minorHAnsi"/>
          <w:noProof/>
        </w:rPr>
        <w:t>(46)</w:t>
      </w:r>
      <w:r w:rsidR="0019535A">
        <w:rPr>
          <w:rFonts w:cstheme="minorHAnsi"/>
        </w:rPr>
        <w:fldChar w:fldCharType="end"/>
      </w:r>
      <w:r w:rsidR="00777B9C">
        <w:rPr>
          <w:rFonts w:cstheme="minorHAnsi"/>
        </w:rPr>
        <w:t xml:space="preserve"> and </w:t>
      </w:r>
      <w:r w:rsidR="0019535A">
        <w:rPr>
          <w:rFonts w:cstheme="minorHAnsi"/>
        </w:rPr>
        <w:t>calpain dependent</w:t>
      </w:r>
      <w:r w:rsidR="00777B9C">
        <w:rPr>
          <w:rFonts w:cstheme="minorHAnsi"/>
        </w:rPr>
        <w:t xml:space="preserve"> degradation of </w:t>
      </w:r>
      <w:r w:rsidR="00072B23">
        <w:rPr>
          <w:rFonts w:cstheme="minorHAnsi"/>
        </w:rPr>
        <w:t>the ER stress protein, glucose-regulated protein 78 (</w:t>
      </w:r>
      <w:r w:rsidR="00777B9C">
        <w:rPr>
          <w:rFonts w:cstheme="minorHAnsi"/>
        </w:rPr>
        <w:t>GRP78</w:t>
      </w:r>
      <w:r w:rsidR="00072B23">
        <w:rPr>
          <w:rFonts w:cstheme="minorHAnsi"/>
        </w:rPr>
        <w:t xml:space="preserve">) </w:t>
      </w:r>
      <w:r w:rsidR="00777B9C">
        <w:rPr>
          <w:rFonts w:cstheme="minorHAnsi"/>
        </w:rPr>
        <w:fldChar w:fldCharType="begin" w:fldLock="1"/>
      </w:r>
      <w:r w:rsidR="00F81397">
        <w:rPr>
          <w:rFonts w:cstheme="minorHAnsi"/>
        </w:rPr>
        <w:instrText>ADDIN CSL_CITATION {"citationItems":[{"id":"ITEM-1","itemData":{"DOI":"10.1074/jbc.M112.384776","ISSN":"00219258","PMID":"23250754","abstract":"3β,16β,17α-Trihydroxycholest-5-en-22-one 16-O-(2-O-4-methoxybenzoyl-β-D-xylopyranosyl)-(1→3)-2-O-acetyl-α-L-arabinopyranoside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leukemia.","author":[{"dropping-particle":"","family":"Garcia-Prieto","given":"Celia","non-dropping-particle":"","parse-names":false,"suffix":""},{"dropping-particle":"","family":"Ahmed","given":"Kausar Begam Riaz","non-dropping-particle":"","parse-names":false,"suffix":""},{"dropping-particle":"","family":"Chen","given":"Zhao","non-dropping-particle":"","parse-names":false,"suffix":""},{"dropping-particle":"","family":"Zhou","given":"Yan","non-dropping-particle":"","parse-names":false,"suffix":""},{"dropping-particle":"","family":"Hammoudi","given":"Naima","non-dropping-particle":"","parse-names":false,"suffix":""},{"dropping-particle":"","family":"Kang","given":"Ying","non-dropping-particle":"","parse-names":false,"suffix":""},{"dropping-particle":"","family":"Lou","given":"Changgang","non-dropping-particle":"","parse-names":false,"suffix":""},{"dropping-particle":"","family":"Mei","given":"Yan","non-dropping-particle":"","parse-names":false,"suffix":""},{"dropping-particle":"","family":"Jin","given":"Zhendong","non-dropping-particle":"","parse-names":false,"suffix":""},{"dropping-particle":"","family":"Huang","given":"Peng","non-dropping-particle":"","parse-names":false,"suffix":""}],"container-title":"Journal of Biological Chemistry","id":"ITEM-1","issue":"5","issued":{"date-parts":[["2013","2","1"]]},"page":"3240-3250","title":"Effective killing of leukemia cells by the natural product OSW-1 through disruption of cellular calcium homeostasis","type":"article-journal","volume":"288"},"uris":["http://www.mendeley.com/documents/?uuid=cc0a9126-34f4-44d0-9c6a-6be26fc49bd6"]}],"mendeley":{"formattedCitation":"(130)","plainTextFormattedCitation":"(130)","previouslyFormattedCitation":"(130)"},"properties":{"noteIndex":0},"schema":"https://github.com/citation-style-language/schema/raw/master/csl-citation.json"}</w:instrText>
      </w:r>
      <w:r w:rsidR="00777B9C">
        <w:rPr>
          <w:rFonts w:cstheme="minorHAnsi"/>
        </w:rPr>
        <w:fldChar w:fldCharType="separate"/>
      </w:r>
      <w:r w:rsidR="005D2ADA" w:rsidRPr="005D2ADA">
        <w:rPr>
          <w:rFonts w:cstheme="minorHAnsi"/>
          <w:noProof/>
        </w:rPr>
        <w:t>(130)</w:t>
      </w:r>
      <w:r w:rsidR="00777B9C">
        <w:rPr>
          <w:rFonts w:cstheme="minorHAnsi"/>
        </w:rPr>
        <w:fldChar w:fldCharType="end"/>
      </w:r>
      <w:r w:rsidR="00777B9C">
        <w:rPr>
          <w:rFonts w:cstheme="minorHAnsi"/>
        </w:rPr>
        <w:t>. To confirm the previous</w:t>
      </w:r>
      <w:r w:rsidR="0042568D">
        <w:rPr>
          <w:rFonts w:cstheme="minorHAnsi"/>
        </w:rPr>
        <w:t>ly</w:t>
      </w:r>
      <w:r w:rsidR="00777B9C">
        <w:rPr>
          <w:rFonts w:cstheme="minorHAnsi"/>
        </w:rPr>
        <w:t xml:space="preserve"> reported results and to determine if calpains degrade OSBP, we utilized various proteasome inhibitors and the calpain inhibitor ALLN</w:t>
      </w:r>
      <w:r w:rsidR="00447AFD">
        <w:rPr>
          <w:rFonts w:cstheme="minorHAnsi"/>
        </w:rPr>
        <w:t xml:space="preserve"> (</w:t>
      </w:r>
      <w:r w:rsidR="00FE5149" w:rsidRPr="00FE5149">
        <w:rPr>
          <w:rFonts w:cstheme="minorHAnsi"/>
          <w:b/>
        </w:rPr>
        <w:fldChar w:fldCharType="begin"/>
      </w:r>
      <w:r w:rsidR="00FE5149" w:rsidRPr="00FE5149">
        <w:rPr>
          <w:rFonts w:cstheme="minorHAnsi"/>
          <w:b/>
        </w:rPr>
        <w:instrText xml:space="preserve"> REF _Ref532556761 \h </w:instrText>
      </w:r>
      <w:r w:rsidR="00FE5149" w:rsidRPr="00FE5149">
        <w:rPr>
          <w:rFonts w:cstheme="minorHAnsi"/>
          <w:b/>
        </w:rPr>
      </w:r>
      <w:r w:rsidR="00FE5149" w:rsidRPr="00FE5149">
        <w:rPr>
          <w:rFonts w:cstheme="minorHAnsi"/>
          <w:b/>
        </w:rPr>
        <w:instrText xml:space="preserve"> \* MERGEFORMAT </w:instrText>
      </w:r>
      <w:r w:rsidR="00FE5149" w:rsidRPr="00FE5149">
        <w:rPr>
          <w:rFonts w:cstheme="minorHAnsi"/>
          <w:b/>
        </w:rPr>
        <w:fldChar w:fldCharType="separate"/>
      </w:r>
      <w:r w:rsidR="00E2070A" w:rsidRPr="00E2070A">
        <w:rPr>
          <w:b/>
        </w:rPr>
        <w:t xml:space="preserve">Figure </w:t>
      </w:r>
      <w:r w:rsidR="00E2070A" w:rsidRPr="00E2070A">
        <w:rPr>
          <w:b/>
          <w:noProof/>
        </w:rPr>
        <w:t>25</w:t>
      </w:r>
      <w:r w:rsidR="00FE5149" w:rsidRPr="00FE5149">
        <w:rPr>
          <w:rFonts w:cstheme="minorHAnsi"/>
          <w:b/>
        </w:rPr>
        <w:fldChar w:fldCharType="end"/>
      </w:r>
      <w:r w:rsidR="00B07B54" w:rsidRPr="00A841B4">
        <w:rPr>
          <w:rFonts w:cstheme="minorHAnsi"/>
          <w:b/>
        </w:rPr>
        <w:t>A</w:t>
      </w:r>
      <w:r w:rsidR="00B07B54">
        <w:rPr>
          <w:rFonts w:cstheme="minorHAnsi"/>
        </w:rPr>
        <w:t>)</w:t>
      </w:r>
      <w:r w:rsidR="00777B9C">
        <w:rPr>
          <w:rFonts w:cstheme="minorHAnsi"/>
        </w:rPr>
        <w:t>.</w:t>
      </w:r>
      <w:r w:rsidR="00B07B54">
        <w:rPr>
          <w:rFonts w:cstheme="minorHAnsi"/>
        </w:rPr>
        <w:t xml:space="preserve"> We found that using any proteasome inhibitor or ALLN lead</w:t>
      </w:r>
      <w:r w:rsidR="0042568D">
        <w:rPr>
          <w:rFonts w:cstheme="minorHAnsi"/>
        </w:rPr>
        <w:t>s</w:t>
      </w:r>
      <w:r w:rsidR="00582A00">
        <w:rPr>
          <w:rFonts w:cstheme="minorHAnsi"/>
        </w:rPr>
        <w:t xml:space="preserve"> to a significant protection</w:t>
      </w:r>
      <w:r w:rsidR="00B07B54">
        <w:rPr>
          <w:rFonts w:cstheme="minorHAnsi"/>
        </w:rPr>
        <w:t xml:space="preserve"> of OSBP in the presence of OSW-1, confirming that OSBPs initial degradation is proteasomal dependent. </w:t>
      </w:r>
      <w:r w:rsidR="0042568D">
        <w:rPr>
          <w:rFonts w:cstheme="minorHAnsi"/>
        </w:rPr>
        <w:t>To determine if long-term reduction</w:t>
      </w:r>
      <w:r w:rsidR="007A56D3">
        <w:rPr>
          <w:rFonts w:cstheme="minorHAnsi"/>
        </w:rPr>
        <w:t xml:space="preserve"> of OSBP </w:t>
      </w:r>
      <w:r w:rsidR="0042568D">
        <w:rPr>
          <w:rFonts w:cstheme="minorHAnsi"/>
        </w:rPr>
        <w:t xml:space="preserve">was proteasomal dependent, we induced the </w:t>
      </w:r>
      <w:r w:rsidR="009520B4">
        <w:rPr>
          <w:rFonts w:cstheme="minorHAnsi"/>
        </w:rPr>
        <w:t xml:space="preserve">OSW-1 </w:t>
      </w:r>
      <w:r w:rsidR="00F47F31">
        <w:rPr>
          <w:rFonts w:cstheme="minorHAnsi"/>
        </w:rPr>
        <w:t>“washout effect”</w:t>
      </w:r>
      <w:r w:rsidR="0042568D">
        <w:rPr>
          <w:rFonts w:cstheme="minorHAnsi"/>
        </w:rPr>
        <w:t xml:space="preserve"> in HCT116 cells and allowed recovery for 24 hours to ensure OSBP reduction</w:t>
      </w:r>
      <w:r w:rsidR="009520B4">
        <w:rPr>
          <w:rFonts w:cstheme="minorHAnsi"/>
        </w:rPr>
        <w:t>. A</w:t>
      </w:r>
      <w:r w:rsidR="0042568D">
        <w:rPr>
          <w:rFonts w:cstheme="minorHAnsi"/>
        </w:rPr>
        <w:t>fter</w:t>
      </w:r>
      <w:r w:rsidR="009520B4">
        <w:rPr>
          <w:rFonts w:cstheme="minorHAnsi"/>
        </w:rPr>
        <w:t xml:space="preserve"> the 24 hour recovery,</w:t>
      </w:r>
      <w:r w:rsidR="0042568D">
        <w:rPr>
          <w:rFonts w:cstheme="minorHAnsi"/>
        </w:rPr>
        <w:t xml:space="preserve"> </w:t>
      </w:r>
      <w:r w:rsidR="009520B4">
        <w:rPr>
          <w:rFonts w:cstheme="minorHAnsi"/>
        </w:rPr>
        <w:t xml:space="preserve">the cells were treated with </w:t>
      </w:r>
      <w:r w:rsidR="0042568D">
        <w:rPr>
          <w:rFonts w:cstheme="minorHAnsi"/>
        </w:rPr>
        <w:t>proteasome inhibitors or ALL</w:t>
      </w:r>
      <w:r w:rsidR="009520B4">
        <w:rPr>
          <w:rFonts w:cstheme="minorHAnsi"/>
        </w:rPr>
        <w:t xml:space="preserve">N for an additional </w:t>
      </w:r>
      <w:r w:rsidR="0042568D">
        <w:rPr>
          <w:rFonts w:cstheme="minorHAnsi"/>
        </w:rPr>
        <w:t xml:space="preserve">24 hours and </w:t>
      </w:r>
      <w:r w:rsidR="009520B4">
        <w:rPr>
          <w:rFonts w:cstheme="minorHAnsi"/>
        </w:rPr>
        <w:t xml:space="preserve">the </w:t>
      </w:r>
      <w:r w:rsidR="0042568D">
        <w:rPr>
          <w:rFonts w:cstheme="minorHAnsi"/>
        </w:rPr>
        <w:t>OSBP</w:t>
      </w:r>
      <w:r w:rsidR="009520B4">
        <w:rPr>
          <w:rFonts w:cstheme="minorHAnsi"/>
        </w:rPr>
        <w:t xml:space="preserve"> proteins</w:t>
      </w:r>
      <w:r w:rsidR="0042568D">
        <w:rPr>
          <w:rFonts w:cstheme="minorHAnsi"/>
        </w:rPr>
        <w:t xml:space="preserve"> levels</w:t>
      </w:r>
      <w:r w:rsidR="009520B4">
        <w:rPr>
          <w:rFonts w:cstheme="minorHAnsi"/>
        </w:rPr>
        <w:t xml:space="preserve"> were compared to</w:t>
      </w:r>
      <w:r w:rsidR="0042568D">
        <w:rPr>
          <w:rFonts w:cstheme="minorHAnsi"/>
        </w:rPr>
        <w:t xml:space="preserve"> </w:t>
      </w:r>
      <w:r w:rsidR="009520B4">
        <w:rPr>
          <w:rFonts w:cstheme="minorHAnsi"/>
        </w:rPr>
        <w:t xml:space="preserve">washout cells that recovered </w:t>
      </w:r>
      <w:r w:rsidR="009520B4">
        <w:rPr>
          <w:rFonts w:cstheme="minorHAnsi"/>
        </w:rPr>
        <w:lastRenderedPageBreak/>
        <w:t xml:space="preserve">for 48 hours without additional treatment </w:t>
      </w:r>
      <w:r w:rsidR="0042568D">
        <w:rPr>
          <w:rFonts w:cstheme="minorHAnsi"/>
        </w:rPr>
        <w:t>(</w:t>
      </w:r>
      <w:r w:rsidR="00FE5149" w:rsidRPr="00FE5149">
        <w:rPr>
          <w:rFonts w:cstheme="minorHAnsi"/>
          <w:b/>
        </w:rPr>
        <w:fldChar w:fldCharType="begin"/>
      </w:r>
      <w:r w:rsidR="00FE5149" w:rsidRPr="00FE5149">
        <w:rPr>
          <w:rFonts w:cstheme="minorHAnsi"/>
          <w:b/>
        </w:rPr>
        <w:instrText xml:space="preserve"> REF _Ref532556761 \h </w:instrText>
      </w:r>
      <w:r w:rsidR="00FE5149" w:rsidRPr="00FE5149">
        <w:rPr>
          <w:rFonts w:cstheme="minorHAnsi"/>
          <w:b/>
        </w:rPr>
      </w:r>
      <w:r w:rsidR="00FE5149" w:rsidRPr="00FE5149">
        <w:rPr>
          <w:rFonts w:cstheme="minorHAnsi"/>
          <w:b/>
        </w:rPr>
        <w:instrText xml:space="preserve"> \* MERGEFORMAT </w:instrText>
      </w:r>
      <w:r w:rsidR="00FE5149" w:rsidRPr="00FE5149">
        <w:rPr>
          <w:rFonts w:cstheme="minorHAnsi"/>
          <w:b/>
        </w:rPr>
        <w:fldChar w:fldCharType="separate"/>
      </w:r>
      <w:r w:rsidR="00E2070A" w:rsidRPr="00E2070A">
        <w:rPr>
          <w:b/>
        </w:rPr>
        <w:t xml:space="preserve">Figure </w:t>
      </w:r>
      <w:r w:rsidR="00E2070A" w:rsidRPr="00E2070A">
        <w:rPr>
          <w:b/>
          <w:noProof/>
        </w:rPr>
        <w:t>25</w:t>
      </w:r>
      <w:r w:rsidR="00FE5149" w:rsidRPr="00FE5149">
        <w:rPr>
          <w:rFonts w:cstheme="minorHAnsi"/>
          <w:b/>
        </w:rPr>
        <w:fldChar w:fldCharType="end"/>
      </w:r>
      <w:r w:rsidR="0042568D" w:rsidRPr="00A841B4">
        <w:rPr>
          <w:rFonts w:cstheme="minorHAnsi"/>
          <w:b/>
        </w:rPr>
        <w:t>B</w:t>
      </w:r>
      <w:r w:rsidR="0042568D">
        <w:rPr>
          <w:rFonts w:cstheme="minorHAnsi"/>
        </w:rPr>
        <w:t>).</w:t>
      </w:r>
      <w:r w:rsidR="00C82F83">
        <w:rPr>
          <w:rFonts w:cstheme="minorHAnsi"/>
        </w:rPr>
        <w:t xml:space="preserve"> </w:t>
      </w:r>
      <w:r>
        <w:rPr>
          <w:rFonts w:cstheme="minorHAnsi"/>
        </w:rPr>
        <w:t>The</w:t>
      </w:r>
      <w:r w:rsidR="009520B4">
        <w:rPr>
          <w:rFonts w:cstheme="minorHAnsi"/>
        </w:rPr>
        <w:t xml:space="preserve"> proteasome</w:t>
      </w:r>
      <w:r w:rsidR="00C82F83">
        <w:rPr>
          <w:rFonts w:cstheme="minorHAnsi"/>
        </w:rPr>
        <w:t xml:space="preserve"> inhibitors</w:t>
      </w:r>
      <w:r>
        <w:rPr>
          <w:rFonts w:cstheme="minorHAnsi"/>
        </w:rPr>
        <w:t xml:space="preserve"> were not able to rescue the OSBP levels at 24 hours</w:t>
      </w:r>
      <w:r w:rsidR="0007634D">
        <w:rPr>
          <w:rFonts w:cstheme="minorHAnsi"/>
        </w:rPr>
        <w:t xml:space="preserve"> post-washout administration (</w:t>
      </w:r>
      <w:r w:rsidR="00FE5149" w:rsidRPr="00FE5149">
        <w:rPr>
          <w:rFonts w:cstheme="minorHAnsi"/>
          <w:b/>
        </w:rPr>
        <w:fldChar w:fldCharType="begin"/>
      </w:r>
      <w:r w:rsidR="00FE5149" w:rsidRPr="00FE5149">
        <w:rPr>
          <w:rFonts w:cstheme="minorHAnsi"/>
          <w:b/>
        </w:rPr>
        <w:instrText xml:space="preserve"> REF _Ref532556761 \h </w:instrText>
      </w:r>
      <w:r w:rsidR="00FE5149" w:rsidRPr="00FE5149">
        <w:rPr>
          <w:rFonts w:cstheme="minorHAnsi"/>
          <w:b/>
        </w:rPr>
      </w:r>
      <w:r w:rsidR="00FE5149" w:rsidRPr="00FE5149">
        <w:rPr>
          <w:rFonts w:cstheme="minorHAnsi"/>
          <w:b/>
        </w:rPr>
        <w:instrText xml:space="preserve"> \* MERGEFORMAT </w:instrText>
      </w:r>
      <w:r w:rsidR="00FE5149" w:rsidRPr="00FE5149">
        <w:rPr>
          <w:rFonts w:cstheme="minorHAnsi"/>
          <w:b/>
        </w:rPr>
        <w:fldChar w:fldCharType="separate"/>
      </w:r>
      <w:r w:rsidR="00E2070A" w:rsidRPr="00E2070A">
        <w:rPr>
          <w:b/>
        </w:rPr>
        <w:t xml:space="preserve">Figure </w:t>
      </w:r>
      <w:r w:rsidR="00E2070A" w:rsidRPr="00E2070A">
        <w:rPr>
          <w:b/>
          <w:noProof/>
        </w:rPr>
        <w:t>25</w:t>
      </w:r>
      <w:r w:rsidR="00FE5149" w:rsidRPr="00FE5149">
        <w:rPr>
          <w:rFonts w:cstheme="minorHAnsi"/>
          <w:b/>
        </w:rPr>
        <w:fldChar w:fldCharType="end"/>
      </w:r>
      <w:r w:rsidR="0007634D" w:rsidRPr="00A841B4">
        <w:rPr>
          <w:rFonts w:cstheme="minorHAnsi"/>
          <w:b/>
        </w:rPr>
        <w:t>B</w:t>
      </w:r>
      <w:r w:rsidR="0007634D">
        <w:rPr>
          <w:rFonts w:cstheme="minorHAnsi"/>
        </w:rPr>
        <w:t>). O</w:t>
      </w:r>
      <w:r w:rsidR="00C82F83">
        <w:rPr>
          <w:rFonts w:cstheme="minorHAnsi"/>
        </w:rPr>
        <w:t xml:space="preserve">nly bortezomib was able to </w:t>
      </w:r>
      <w:r w:rsidR="0007634D">
        <w:rPr>
          <w:rFonts w:cstheme="minorHAnsi"/>
        </w:rPr>
        <w:t>partially</w:t>
      </w:r>
      <w:r w:rsidR="00C82F83">
        <w:rPr>
          <w:rFonts w:cstheme="minorHAnsi"/>
        </w:rPr>
        <w:t xml:space="preserve"> recover OSBP levels</w:t>
      </w:r>
      <w:r w:rsidR="0007634D">
        <w:rPr>
          <w:rFonts w:cstheme="minorHAnsi"/>
        </w:rPr>
        <w:t xml:space="preserve"> up to</w:t>
      </w:r>
      <w:r w:rsidR="00C82F83">
        <w:rPr>
          <w:rFonts w:cstheme="minorHAnsi"/>
        </w:rPr>
        <w:t xml:space="preserve"> (~35%) compared to </w:t>
      </w:r>
      <w:r w:rsidR="0007634D">
        <w:rPr>
          <w:rFonts w:cstheme="minorHAnsi"/>
        </w:rPr>
        <w:t xml:space="preserve">untreated OSW-1 washout cells </w:t>
      </w:r>
      <w:r w:rsidR="00C82F83">
        <w:rPr>
          <w:rFonts w:cstheme="minorHAnsi"/>
        </w:rPr>
        <w:t>(</w:t>
      </w:r>
      <w:r w:rsidR="00FE5149" w:rsidRPr="00FE5149">
        <w:rPr>
          <w:rFonts w:cstheme="minorHAnsi"/>
          <w:b/>
        </w:rPr>
        <w:fldChar w:fldCharType="begin"/>
      </w:r>
      <w:r w:rsidR="00FE5149" w:rsidRPr="00FE5149">
        <w:rPr>
          <w:rFonts w:cstheme="minorHAnsi"/>
          <w:b/>
        </w:rPr>
        <w:instrText xml:space="preserve"> REF _Ref532556761 \h </w:instrText>
      </w:r>
      <w:r w:rsidR="00FE5149" w:rsidRPr="00FE5149">
        <w:rPr>
          <w:rFonts w:cstheme="minorHAnsi"/>
          <w:b/>
        </w:rPr>
      </w:r>
      <w:r w:rsidR="00FE5149" w:rsidRPr="00FE5149">
        <w:rPr>
          <w:rFonts w:cstheme="minorHAnsi"/>
          <w:b/>
        </w:rPr>
        <w:instrText xml:space="preserve"> \* MERGEFORMAT </w:instrText>
      </w:r>
      <w:r w:rsidR="00FE5149" w:rsidRPr="00FE5149">
        <w:rPr>
          <w:rFonts w:cstheme="minorHAnsi"/>
          <w:b/>
        </w:rPr>
        <w:fldChar w:fldCharType="separate"/>
      </w:r>
      <w:r w:rsidR="00E2070A" w:rsidRPr="00E2070A">
        <w:rPr>
          <w:b/>
        </w:rPr>
        <w:t xml:space="preserve">Figure </w:t>
      </w:r>
      <w:r w:rsidR="00E2070A" w:rsidRPr="00E2070A">
        <w:rPr>
          <w:b/>
          <w:noProof/>
        </w:rPr>
        <w:t>25</w:t>
      </w:r>
      <w:r w:rsidR="00FE5149" w:rsidRPr="00FE5149">
        <w:rPr>
          <w:rFonts w:cstheme="minorHAnsi"/>
          <w:b/>
        </w:rPr>
        <w:fldChar w:fldCharType="end"/>
      </w:r>
      <w:r w:rsidR="00C82F83" w:rsidRPr="00A841B4">
        <w:rPr>
          <w:rFonts w:cstheme="minorHAnsi"/>
          <w:b/>
        </w:rPr>
        <w:t>B</w:t>
      </w:r>
      <w:r w:rsidR="00C82F83">
        <w:rPr>
          <w:rFonts w:cstheme="minorHAnsi"/>
        </w:rPr>
        <w:t xml:space="preserve">). </w:t>
      </w:r>
      <w:r w:rsidR="0007634D">
        <w:rPr>
          <w:rFonts w:cstheme="minorHAnsi"/>
        </w:rPr>
        <w:t xml:space="preserve">Similar results were obtained with </w:t>
      </w:r>
      <w:r w:rsidR="009520B4">
        <w:rPr>
          <w:rFonts w:cstheme="minorHAnsi"/>
        </w:rPr>
        <w:t>ALLN treatment</w:t>
      </w:r>
      <w:r w:rsidR="0007634D">
        <w:rPr>
          <w:rFonts w:cstheme="minorHAnsi"/>
        </w:rPr>
        <w:t xml:space="preserve"> in HeLa cells.</w:t>
      </w:r>
      <w:r w:rsidR="009520B4">
        <w:rPr>
          <w:rFonts w:cstheme="minorHAnsi"/>
        </w:rPr>
        <w:t xml:space="preserve"> </w:t>
      </w:r>
      <w:r w:rsidR="0007634D">
        <w:rPr>
          <w:rFonts w:cstheme="minorHAnsi"/>
        </w:rPr>
        <w:t>The ALLn inhibitor restored ~25% of OSBP levels</w:t>
      </w:r>
      <w:r w:rsidR="00C82F83">
        <w:rPr>
          <w:rFonts w:cstheme="minorHAnsi"/>
        </w:rPr>
        <w:t xml:space="preserve"> compared to </w:t>
      </w:r>
      <w:r w:rsidR="009520B4">
        <w:rPr>
          <w:rFonts w:cstheme="minorHAnsi"/>
        </w:rPr>
        <w:t>untreated OSW-1 washout cells</w:t>
      </w:r>
      <w:r w:rsidR="00447AFD">
        <w:rPr>
          <w:rFonts w:cstheme="minorHAnsi"/>
        </w:rPr>
        <w:t xml:space="preserve"> (</w:t>
      </w:r>
      <w:r w:rsidR="00FE5149" w:rsidRPr="00FE5149">
        <w:rPr>
          <w:rFonts w:cstheme="minorHAnsi"/>
          <w:b/>
        </w:rPr>
        <w:fldChar w:fldCharType="begin"/>
      </w:r>
      <w:r w:rsidR="00FE5149" w:rsidRPr="00FE5149">
        <w:rPr>
          <w:rFonts w:cstheme="minorHAnsi"/>
          <w:b/>
        </w:rPr>
        <w:instrText xml:space="preserve"> REF _Ref532556761 \h </w:instrText>
      </w:r>
      <w:r w:rsidR="00FE5149" w:rsidRPr="00FE5149">
        <w:rPr>
          <w:rFonts w:cstheme="minorHAnsi"/>
          <w:b/>
        </w:rPr>
      </w:r>
      <w:r w:rsidR="00FE5149" w:rsidRPr="00FE5149">
        <w:rPr>
          <w:rFonts w:cstheme="minorHAnsi"/>
          <w:b/>
        </w:rPr>
        <w:instrText xml:space="preserve"> \* MERGEFORMAT </w:instrText>
      </w:r>
      <w:r w:rsidR="00FE5149" w:rsidRPr="00FE5149">
        <w:rPr>
          <w:rFonts w:cstheme="minorHAnsi"/>
          <w:b/>
        </w:rPr>
        <w:fldChar w:fldCharType="separate"/>
      </w:r>
      <w:r w:rsidR="00E2070A" w:rsidRPr="00E2070A">
        <w:rPr>
          <w:b/>
        </w:rPr>
        <w:t xml:space="preserve">Figure </w:t>
      </w:r>
      <w:r w:rsidR="00E2070A" w:rsidRPr="00E2070A">
        <w:rPr>
          <w:b/>
          <w:noProof/>
        </w:rPr>
        <w:t>25</w:t>
      </w:r>
      <w:r w:rsidR="00FE5149" w:rsidRPr="00FE5149">
        <w:rPr>
          <w:rFonts w:cstheme="minorHAnsi"/>
          <w:b/>
        </w:rPr>
        <w:fldChar w:fldCharType="end"/>
      </w:r>
      <w:r w:rsidR="00C82F83" w:rsidRPr="00A841B4">
        <w:rPr>
          <w:rFonts w:cstheme="minorHAnsi"/>
          <w:b/>
        </w:rPr>
        <w:t>B</w:t>
      </w:r>
      <w:r w:rsidR="00C82F83">
        <w:rPr>
          <w:rFonts w:cstheme="minorHAnsi"/>
        </w:rPr>
        <w:t>)</w:t>
      </w:r>
      <w:r w:rsidR="00B86BD8">
        <w:rPr>
          <w:rFonts w:cstheme="minorHAnsi"/>
        </w:rPr>
        <w:t>.</w:t>
      </w:r>
      <w:r w:rsidR="003D18F8" w:rsidRPr="003D18F8">
        <w:rPr>
          <w:rFonts w:cstheme="minorHAnsi"/>
          <w:noProof/>
          <w:lang w:bidi="ar-SA"/>
        </w:rPr>
        <w:t xml:space="preserve"> </w:t>
      </w:r>
    </w:p>
    <w:p w:rsidR="00B07B54" w:rsidRPr="00196EDB" w:rsidRDefault="00B07B54" w:rsidP="003D18F8">
      <w:pPr>
        <w:ind w:firstLine="720"/>
        <w:jc w:val="both"/>
        <w:rPr>
          <w:rFonts w:cstheme="minorHAnsi"/>
        </w:rPr>
      </w:pPr>
    </w:p>
    <w:p w:rsidR="004578F9" w:rsidRDefault="004578F9" w:rsidP="00FB099D">
      <w:pPr>
        <w:pStyle w:val="Caption"/>
        <w:jc w:val="both"/>
      </w:pPr>
      <w:bookmarkStart w:id="153" w:name="_Ref530224484"/>
      <w:bookmarkStart w:id="154" w:name="_Toc530673950"/>
    </w:p>
    <w:p w:rsidR="004578F9" w:rsidRPr="004578F9" w:rsidRDefault="004578F9" w:rsidP="004578F9"/>
    <w:p w:rsidR="004578F9" w:rsidRDefault="004578F9" w:rsidP="00FB099D">
      <w:pPr>
        <w:pStyle w:val="Caption"/>
        <w:jc w:val="both"/>
      </w:pPr>
    </w:p>
    <w:p w:rsidR="0015171B" w:rsidRDefault="0015171B" w:rsidP="00FB099D">
      <w:pPr>
        <w:pStyle w:val="Caption"/>
        <w:jc w:val="both"/>
      </w:pPr>
      <w:bookmarkStart w:id="155" w:name="_Ref532554731"/>
      <w:r w:rsidRPr="00B07B54">
        <w:rPr>
          <w:rFonts w:cstheme="minorHAnsi"/>
          <w:noProof/>
          <w:lang w:bidi="ar-SA"/>
        </w:rPr>
        <w:lastRenderedPageBreak/>
        <w:drawing>
          <wp:inline distT="0" distB="0" distL="0" distR="0" wp14:anchorId="7323DEF0" wp14:editId="422CA3FC">
            <wp:extent cx="5381625" cy="5431428"/>
            <wp:effectExtent l="19050" t="19050" r="9525" b="171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t="5872" b="11553"/>
                    <a:stretch/>
                  </pic:blipFill>
                  <pic:spPr bwMode="auto">
                    <a:xfrm>
                      <a:off x="0" y="0"/>
                      <a:ext cx="5393016" cy="54429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E5149" w:rsidRDefault="00FE5149" w:rsidP="00FE5149"/>
    <w:p w:rsidR="00FE5149" w:rsidRPr="00FE5149" w:rsidRDefault="00FE5149" w:rsidP="00FE5149"/>
    <w:p w:rsidR="00B07B54" w:rsidRDefault="00A841B4" w:rsidP="00FB099D">
      <w:pPr>
        <w:pStyle w:val="Caption"/>
        <w:jc w:val="both"/>
        <w:rPr>
          <w:b w:val="0"/>
        </w:rPr>
      </w:pPr>
      <w:bookmarkStart w:id="156" w:name="_Ref532556761"/>
      <w:r w:rsidRPr="00A841B4">
        <w:t>Figure</w:t>
      </w:r>
      <w:r w:rsidR="00B07B54">
        <w:t xml:space="preserve"> </w:t>
      </w:r>
      <w:fldSimple w:instr=" SEQ Figure \* ARABIC ">
        <w:r w:rsidR="00E2070A">
          <w:rPr>
            <w:noProof/>
          </w:rPr>
          <w:t>25</w:t>
        </w:r>
      </w:fldSimple>
      <w:bookmarkEnd w:id="153"/>
      <w:bookmarkEnd w:id="155"/>
      <w:bookmarkEnd w:id="156"/>
      <w:r w:rsidR="00B07B54">
        <w:t xml:space="preserve">: </w:t>
      </w:r>
      <w:r w:rsidR="00B07B54" w:rsidRPr="00B07B54">
        <w:t xml:space="preserve">OSW-1 </w:t>
      </w:r>
      <w:r w:rsidR="00F47F31">
        <w:t>“washout effect”</w:t>
      </w:r>
      <w:r w:rsidR="00B07B54" w:rsidRPr="00B07B54">
        <w:t xml:space="preserve"> is not due to prolonged proteasomal degradation</w:t>
      </w:r>
      <w:r w:rsidR="00B07B54">
        <w:t xml:space="preserve">. </w:t>
      </w:r>
      <w:r w:rsidR="00B07B54" w:rsidRPr="00B07B54">
        <w:rPr>
          <w:b w:val="0"/>
        </w:rPr>
        <w:t xml:space="preserve">(A)Continuous 1nM OSW-1 treatment in HCT-116 or HeLa with proteasome inhibitors (25 </w:t>
      </w:r>
      <w:r w:rsidR="00B07B54">
        <w:rPr>
          <w:b w:val="0"/>
        </w:rPr>
        <w:t>nM Bortezomib= BTZ, 25 nM Carfil</w:t>
      </w:r>
      <w:r w:rsidR="00B07B54" w:rsidRPr="00B07B54">
        <w:rPr>
          <w:b w:val="0"/>
        </w:rPr>
        <w:t xml:space="preserve">zomib = CFZ, and 170 nM MG132) or calpain inhibitor (ALLN) results in significant protection of OSBP levels after 24 hours. (B) </w:t>
      </w:r>
      <w:r w:rsidR="007A587E">
        <w:rPr>
          <w:b w:val="0"/>
        </w:rPr>
        <w:t>OSW-1 compound</w:t>
      </w:r>
      <w:r w:rsidR="00B07B54" w:rsidRPr="00B07B54">
        <w:rPr>
          <w:b w:val="0"/>
        </w:rPr>
        <w:t xml:space="preserve"> washout experiment (6-hour treatment, recovery time of 48 hours) with 1nM OSW-1 treatment results in long term repression of OSBP and addition of select proteasome inhibitors or ALLN at 24 hr pWo show partial recovery of OSBP.</w:t>
      </w:r>
      <w:r w:rsidR="00006268">
        <w:rPr>
          <w:b w:val="0"/>
        </w:rPr>
        <w:t xml:space="preserve"> ALLN results collected by Mr. Ryan </w:t>
      </w:r>
      <w:r w:rsidR="00BE3671">
        <w:rPr>
          <w:b w:val="0"/>
        </w:rPr>
        <w:t>Bensen</w:t>
      </w:r>
      <w:r w:rsidR="00006268">
        <w:rPr>
          <w:b w:val="0"/>
        </w:rPr>
        <w:t>.</w:t>
      </w:r>
      <w:r w:rsidR="00447AFD">
        <w:rPr>
          <w:b w:val="0"/>
        </w:rPr>
        <w:t xml:space="preserve"> (Full blots in</w:t>
      </w:r>
      <w:r w:rsidR="005F53C5">
        <w:rPr>
          <w:b w:val="0"/>
        </w:rPr>
        <w:t xml:space="preserve"> </w:t>
      </w:r>
      <w:r w:rsidR="005F53C5" w:rsidRPr="005F53C5">
        <w:rPr>
          <w:b w:val="0"/>
        </w:rPr>
        <w:fldChar w:fldCharType="begin"/>
      </w:r>
      <w:r w:rsidR="005F53C5" w:rsidRPr="005F53C5">
        <w:rPr>
          <w:b w:val="0"/>
        </w:rPr>
        <w:instrText xml:space="preserve"> REF _Ref530225623 \h  \* MERGEFORMAT </w:instrText>
      </w:r>
      <w:r w:rsidR="005F53C5" w:rsidRPr="005F53C5">
        <w:rPr>
          <w:b w:val="0"/>
        </w:rPr>
      </w:r>
      <w:r w:rsidR="005F53C5" w:rsidRPr="005F53C5">
        <w:rPr>
          <w:b w:val="0"/>
        </w:rPr>
        <w:fldChar w:fldCharType="separate"/>
      </w:r>
      <w:r w:rsidR="00E2070A" w:rsidRPr="00A841B4">
        <w:t>Figure</w:t>
      </w:r>
      <w:r w:rsidR="00E2070A" w:rsidRPr="00E2070A">
        <w:rPr>
          <w:b w:val="0"/>
        </w:rPr>
        <w:t xml:space="preserve"> </w:t>
      </w:r>
      <w:r w:rsidR="00E2070A">
        <w:rPr>
          <w:noProof/>
        </w:rPr>
        <w:t>55</w:t>
      </w:r>
      <w:r w:rsidR="005F53C5" w:rsidRPr="005F53C5">
        <w:rPr>
          <w:b w:val="0"/>
        </w:rPr>
        <w:fldChar w:fldCharType="end"/>
      </w:r>
      <w:r w:rsidR="005F53C5">
        <w:rPr>
          <w:b w:val="0"/>
        </w:rPr>
        <w:t>).</w:t>
      </w:r>
      <w:bookmarkEnd w:id="154"/>
      <w:r w:rsidR="00357203">
        <w:rPr>
          <w:b w:val="0"/>
        </w:rPr>
        <w:t xml:space="preserve"> The author had no contribution to the ALLN results.</w:t>
      </w:r>
    </w:p>
    <w:p w:rsidR="00FE5149" w:rsidRDefault="00FE5149" w:rsidP="00FE5149"/>
    <w:p w:rsidR="00FE5149" w:rsidRPr="00FE5149" w:rsidRDefault="00FE5149" w:rsidP="00FE5149"/>
    <w:p w:rsidR="00B86BD8" w:rsidRDefault="00B86BD8" w:rsidP="00FB099D">
      <w:pPr>
        <w:jc w:val="both"/>
      </w:pPr>
    </w:p>
    <w:p w:rsidR="00B86BD8" w:rsidRPr="008C3F1D" w:rsidRDefault="00B86BD8" w:rsidP="00042529">
      <w:pPr>
        <w:pStyle w:val="Heading3"/>
      </w:pPr>
      <w:bookmarkStart w:id="157" w:name="_Toc532553133"/>
      <w:r w:rsidRPr="008C3F1D">
        <w:t xml:space="preserve">OSW-1 </w:t>
      </w:r>
      <w:r w:rsidR="00F47F31">
        <w:t>“washout effect”</w:t>
      </w:r>
      <w:r w:rsidRPr="008C3F1D">
        <w:t xml:space="preserve"> induces autophagy, but autophagy is not the cause of long-term OSBP repression.</w:t>
      </w:r>
      <w:bookmarkEnd w:id="157"/>
    </w:p>
    <w:p w:rsidR="008C3F1D" w:rsidRDefault="0007634D" w:rsidP="00FB099D">
      <w:pPr>
        <w:ind w:firstLine="720"/>
        <w:jc w:val="both"/>
      </w:pPr>
      <w:r>
        <w:t>With proteasome degradation eliminated as the mechanism of long-term OSBP repression in OSW-1 washout cells, we then determined if the repression of OSBP could be due to autophagy proteolysis. The OSBP-binding natural product compound</w:t>
      </w:r>
      <w:r w:rsidR="009B362D">
        <w:t xml:space="preserve"> Schweinfurthin G</w:t>
      </w:r>
      <w:r>
        <w:t xml:space="preserve"> (see 1.5.2 </w:t>
      </w:r>
      <w:r w:rsidRPr="0007634D">
        <w:rPr>
          <w:b/>
        </w:rPr>
        <w:fldChar w:fldCharType="begin"/>
      </w:r>
      <w:r w:rsidRPr="0007634D">
        <w:rPr>
          <w:b/>
        </w:rPr>
        <w:instrText xml:space="preserve"> REF _Ref530756951 \h </w:instrText>
      </w:r>
      <w:r>
        <w:rPr>
          <w:b/>
        </w:rPr>
        <w:instrText xml:space="preserve"> \* MERGEFORMAT </w:instrText>
      </w:r>
      <w:r w:rsidRPr="0007634D">
        <w:rPr>
          <w:b/>
        </w:rPr>
      </w:r>
      <w:r w:rsidRPr="0007634D">
        <w:rPr>
          <w:b/>
        </w:rPr>
        <w:fldChar w:fldCharType="separate"/>
      </w:r>
      <w:r w:rsidR="00E2070A" w:rsidRPr="00E2070A">
        <w:rPr>
          <w:b/>
        </w:rPr>
        <w:t>Schweinfurthins</w:t>
      </w:r>
      <w:r w:rsidRPr="0007634D">
        <w:rPr>
          <w:b/>
        </w:rPr>
        <w:fldChar w:fldCharType="end"/>
      </w:r>
      <w:r>
        <w:t>)</w:t>
      </w:r>
      <w:r w:rsidR="009B362D">
        <w:t xml:space="preserve"> </w:t>
      </w:r>
      <w:r>
        <w:t>was shown</w:t>
      </w:r>
      <w:r w:rsidR="009B362D">
        <w:t xml:space="preserve"> </w:t>
      </w:r>
      <w:r>
        <w:t>t</w:t>
      </w:r>
      <w:r w:rsidR="009B362D">
        <w:t>o</w:t>
      </w:r>
      <w:r w:rsidR="00B86BD8">
        <w:t xml:space="preserve"> </w:t>
      </w:r>
      <w:r>
        <w:t xml:space="preserve">disrupt AKT signaling and to induce </w:t>
      </w:r>
      <w:r w:rsidR="00B86BD8">
        <w:t>autophagy</w:t>
      </w:r>
      <w:r>
        <w:t xml:space="preserve"> </w:t>
      </w:r>
      <w:r w:rsidR="00B86BD8">
        <w:fldChar w:fldCharType="begin" w:fldLock="1"/>
      </w:r>
      <w:r w:rsidR="00F81397">
        <w:instrText>ADDIN CSL_CITATION {"citationItems":[{"id":"ITEM-1","itemData":{"DOI":"10.1080/15384047.2015.1019184","ISSN":"1538-4047","PMID":"25729885","abstract":"Natural compound schweinfurthins are of considerable interest for novel therapy development because of their selective anti-proliferative activity against human cancer cells. We previously reported the isolation of highly active schweinfurthins E-H, and in the present study, mechanisms of the potent and selective anti-proliferation were investigated. We found that schweinfurthins preferentially inhibited the proliferation of PTEN deficient cancer cells by indirect inhibition of AKT phosphorylation. Mechanistically, schweinfurthins and their analogs arrested trans-Golgi-network trafficking, an intracellular vesicular trafficking system, resulting in the induction of endoplasmic reticulum stress and the suppression of both lipid raft-mediated PI3K activation and mTOR/RheB complex formation, which collectively led to an effective inhibition of mTOR/AKT signaling. The trans-Golgi-network traffic arresting effect of schweinfurthins was associated with their in vitro binding activity to oxysterol-binding proteins that are known to regulate intracellular vesicular trafficking. Moreover, schweinfurthins were found to be highly toxic toward PTEN-deficient B cell lymphoma cells, and displayed 2 orders of magnitude lower activity toward normal human peripheral blood mononuclear cells and primary fibroblasts in vitro. These results revealed a previously unrecognized role of schweinfurthins in regulating trans-Golgi-network trafficking, and linked mechanistically this cellular effect with mTOR/AKT signaling and with cancer cell survival and growth. Our findings suggest the schweinfurthin class of compounds as a novel approach to modulate oncogenic mTOR/AKT signaling for cancer treatment.","author":[{"dropping-particle":"","family":"Bao","given":"Xingfeng","non-dropping-particle":"","parse-names":false,"suffix":""},{"dropping-particle":"","family":"Zheng","given":"Wanjun","non-dropping-particle":"","parse-names":false,"suffix":""},{"dropping-particle":"","family":"Sugi","given":"Naoko Hata","non-dropping-particle":"","parse-names":false,"suffix":""},{"dropping-particle":"","family":"Agarwala","given":"Kishan L","non-dropping-particle":"","parse-names":false,"suffix":""},{"dropping-particle":"","family":"Xu","given":"Qunli","non-dropping-particle":"","parse-names":false,"suffix":""},{"dropping-particle":"","family":"Wang","given":"Zichun","non-dropping-particle":"","parse-names":false,"suffix":""},{"dropping-particle":"","family":"Tendyke","given":"Karen","non-dropping-particle":"","parse-names":false,"suffix":""},{"dropping-particle":"","family":"Lee","given":"Winnie","non-dropping-particle":"","parse-names":false,"suffix":""},{"dropping-particle":"","family":"Parent","given":"Lana","non-dropping-particle":"","parse-names":false,"suffix":""},{"dropping-particle":"","family":"Li","given":"Wei","non-dropping-particle":"","parse-names":false,"suffix":""},{"dropping-particle":"","family":"Cheng","given":"Hongsheng","non-dropping-particle":"","parse-names":false,"suffix":""},{"dropping-particle":"","family":"Shen","given":"Yongchun","non-dropping-particle":"","parse-names":false,"suffix":""},{"dropping-particle":"","family":"Taylor","given":"Noel","non-dropping-particle":"","parse-names":false,"suffix":""},{"dropping-particle":"","family":"Dezso","given":"Zoltan","non-dropping-particle":"","parse-names":false,"suffix":""},{"dropping-particle":"","family":"Du","given":"Hong","non-dropping-particle":"","parse-names":false,"suffix":""},{"dropping-particle":"","family":"Kotake","given":"Yoshihiko","non-dropping-particle":"","parse-names":false,"suffix":""},{"dropping-particle":"","family":"Zhao","given":"Nanding","non-dropping-particle":"","parse-names":false,"suffix":""},{"dropping-particle":"","family":"Wang","given":"John","non-dropping-particle":"","parse-names":false,"suffix":""},{"dropping-particle":"","family":"Postema","given":"Maarten","non-dropping-particle":"","parse-names":false,"suffix":""},{"dropping-particle":"","family":"Woodall-Jappe","given":"Mary","non-dropping-particle":"","parse-names":false,"suffix":""},{"dropping-particle":"","family":"Takase","given":"Yasutaka","non-dropping-particle":"","parse-names":false,"suffix":""},{"dropping-particle":"","family":"Uenaka","given":"Toshimitsu","non-dropping-particle":"","parse-names":false,"suffix":""},{"dropping-particle":"","family":"Kingston","given":"David G I","non-dropping-particle":"","parse-names":false,"suffix":""},{"dropping-particle":"","family":"Nomoto","given":"Kenichi","non-dropping-particle":"","parse-names":false,"suffix":""}],"container-title":"Cancer Biology &amp; Therapy","id":"ITEM-1","issue":"4","issued":{"date-parts":[["2015","4","3"]]},"page":"589-601","title":"Small molecule schweinfurthins selectively inhibit cancer cell proliferation and mTOR/AKT signaling by interfering with trans-Golgi-network trafficking","type":"article-journal","volume":"16"},"uris":["http://www.mendeley.com/documents/?uuid=503f4853-188b-416d-bcbf-eef97cb303e7"]}],"mendeley":{"formattedCitation":"(135)","plainTextFormattedCitation":"(135)","previouslyFormattedCitation":"(135)"},"properties":{"noteIndex":0},"schema":"https://github.com/citation-style-language/schema/raw/master/csl-citation.json"}</w:instrText>
      </w:r>
      <w:r w:rsidR="00B86BD8">
        <w:fldChar w:fldCharType="separate"/>
      </w:r>
      <w:r w:rsidR="005D2ADA" w:rsidRPr="005D2ADA">
        <w:rPr>
          <w:noProof/>
        </w:rPr>
        <w:t>(135)</w:t>
      </w:r>
      <w:r w:rsidR="00B86BD8">
        <w:fldChar w:fldCharType="end"/>
      </w:r>
      <w:r w:rsidR="00F03226">
        <w:t xml:space="preserve">. We found that OSW-1 washout </w:t>
      </w:r>
      <w:r w:rsidR="009B362D">
        <w:t xml:space="preserve">treatment </w:t>
      </w:r>
      <w:r w:rsidR="00B86BD8">
        <w:t>induce</w:t>
      </w:r>
      <w:r w:rsidR="00F03226">
        <w:t>s</w:t>
      </w:r>
      <w:r w:rsidR="00B86BD8">
        <w:t xml:space="preserve"> autophagy</w:t>
      </w:r>
      <w:r w:rsidR="00F03226">
        <w:t xml:space="preserve"> in HEK293 cells</w:t>
      </w:r>
      <w:r w:rsidR="00B86BD8">
        <w:t xml:space="preserve"> </w:t>
      </w:r>
      <w:r w:rsidR="00F03226">
        <w:t>by monitoring the known marker</w:t>
      </w:r>
      <w:r w:rsidR="00687F15">
        <w:t xml:space="preserve">s of induced autophagy: </w:t>
      </w:r>
      <w:r w:rsidR="00F03226">
        <w:t>LC3A/B</w:t>
      </w:r>
      <w:r w:rsidR="00687F15">
        <w:t xml:space="preserve"> and p62</w:t>
      </w:r>
      <w:r w:rsidR="00F03226">
        <w:t xml:space="preserve"> (</w:t>
      </w:r>
      <w:r w:rsidR="00E814F7" w:rsidRPr="00A841B4">
        <w:rPr>
          <w:b/>
        </w:rPr>
        <w:fldChar w:fldCharType="begin"/>
      </w:r>
      <w:r w:rsidR="00E814F7" w:rsidRPr="00A841B4">
        <w:rPr>
          <w:b/>
        </w:rPr>
        <w:instrText xml:space="preserve"> REF _Ref530225978 \h </w:instrText>
      </w:r>
      <w:r w:rsidR="001B3703" w:rsidRPr="00A841B4">
        <w:rPr>
          <w:b/>
        </w:rPr>
        <w:instrText xml:space="preserve"> \* MERGEFORMAT </w:instrText>
      </w:r>
      <w:r w:rsidR="00E814F7" w:rsidRPr="00A841B4">
        <w:rPr>
          <w:b/>
        </w:rPr>
      </w:r>
      <w:r w:rsidR="00E814F7" w:rsidRPr="00A841B4">
        <w:rPr>
          <w:b/>
        </w:rPr>
        <w:fldChar w:fldCharType="separate"/>
      </w:r>
      <w:r w:rsidR="00E2070A" w:rsidRPr="00E2070A">
        <w:rPr>
          <w:b/>
        </w:rPr>
        <w:t xml:space="preserve">Figure </w:t>
      </w:r>
      <w:r w:rsidR="00E2070A" w:rsidRPr="00E2070A">
        <w:rPr>
          <w:b/>
          <w:noProof/>
        </w:rPr>
        <w:t>26</w:t>
      </w:r>
      <w:r w:rsidR="00E814F7" w:rsidRPr="00A841B4">
        <w:rPr>
          <w:b/>
        </w:rPr>
        <w:fldChar w:fldCharType="end"/>
      </w:r>
      <w:r w:rsidR="00F03226" w:rsidRPr="00A841B4">
        <w:rPr>
          <w:b/>
        </w:rPr>
        <w:t>A</w:t>
      </w:r>
      <w:r w:rsidR="008C3F1D">
        <w:t xml:space="preserve"> &amp; </w:t>
      </w:r>
      <w:r w:rsidR="008C3F1D" w:rsidRPr="00A841B4">
        <w:rPr>
          <w:b/>
        </w:rPr>
        <w:t>B</w:t>
      </w:r>
      <w:r w:rsidR="00F03226">
        <w:t>)</w:t>
      </w:r>
      <w:r>
        <w:t xml:space="preserve"> (see 1.6.5 </w:t>
      </w:r>
      <w:r w:rsidRPr="0007634D">
        <w:rPr>
          <w:b/>
        </w:rPr>
        <w:fldChar w:fldCharType="begin"/>
      </w:r>
      <w:r w:rsidRPr="0007634D">
        <w:rPr>
          <w:b/>
        </w:rPr>
        <w:instrText xml:space="preserve"> REF _Ref530757091 \h </w:instrText>
      </w:r>
      <w:r>
        <w:rPr>
          <w:b/>
        </w:rPr>
        <w:instrText xml:space="preserve"> \* MERGEFORMAT </w:instrText>
      </w:r>
      <w:r w:rsidRPr="0007634D">
        <w:rPr>
          <w:b/>
        </w:rPr>
      </w:r>
      <w:r w:rsidRPr="0007634D">
        <w:rPr>
          <w:b/>
        </w:rPr>
        <w:fldChar w:fldCharType="separate"/>
      </w:r>
      <w:r w:rsidR="00E2070A" w:rsidRPr="00E2070A">
        <w:rPr>
          <w:b/>
        </w:rPr>
        <w:t>Autophagy Induces and Inhibitors</w:t>
      </w:r>
      <w:r w:rsidRPr="0007634D">
        <w:rPr>
          <w:b/>
        </w:rPr>
        <w:fldChar w:fldCharType="end"/>
      </w:r>
      <w:r>
        <w:t>)</w:t>
      </w:r>
      <w:r w:rsidR="008C3F1D">
        <w:t xml:space="preserve">. </w:t>
      </w:r>
      <w:r w:rsidR="008C3F1D" w:rsidRPr="008C3F1D">
        <w:t>Chloroquine (CQ) is a chemical inhibitor of the proteolysis of autophagic substrates, and therefore co-administration of CQ is required to measure LC3B levels during autophagy. Rapamycin (Rap) is a mTORC1 inhibitor that i</w:t>
      </w:r>
      <w:r w:rsidR="009B362D">
        <w:t xml:space="preserve">nduces autophagy in cells. Similar to </w:t>
      </w:r>
      <w:r w:rsidR="008C3F1D" w:rsidRPr="008C3F1D">
        <w:t xml:space="preserve">Rap/CQ treatment, </w:t>
      </w:r>
      <w:r w:rsidR="007A587E">
        <w:t>OSW-1 compound</w:t>
      </w:r>
      <w:r w:rsidR="008C3F1D" w:rsidRPr="008C3F1D">
        <w:t xml:space="preserve">/CQ treatment causes a </w:t>
      </w:r>
      <w:r w:rsidR="009B362D">
        <w:t>noticeable</w:t>
      </w:r>
      <w:r w:rsidR="008C3F1D" w:rsidRPr="008C3F1D">
        <w:t xml:space="preserve"> increase in LC3B levels relative to CQ treatment alone in HEK-293 cells over</w:t>
      </w:r>
      <w:r w:rsidR="00E814F7">
        <w:t xml:space="preserve"> the time course observed (</w:t>
      </w:r>
      <w:r w:rsidR="00E814F7" w:rsidRPr="00A841B4">
        <w:rPr>
          <w:b/>
        </w:rPr>
        <w:fldChar w:fldCharType="begin"/>
      </w:r>
      <w:r w:rsidR="00E814F7" w:rsidRPr="00A841B4">
        <w:rPr>
          <w:b/>
        </w:rPr>
        <w:instrText xml:space="preserve"> REF _Ref530225978 \h </w:instrText>
      </w:r>
      <w:r w:rsidR="001B3703" w:rsidRPr="00A841B4">
        <w:rPr>
          <w:b/>
        </w:rPr>
        <w:instrText xml:space="preserve"> \* MERGEFORMAT </w:instrText>
      </w:r>
      <w:r w:rsidR="00E814F7" w:rsidRPr="00A841B4">
        <w:rPr>
          <w:b/>
        </w:rPr>
      </w:r>
      <w:r w:rsidR="00E814F7" w:rsidRPr="00A841B4">
        <w:rPr>
          <w:b/>
        </w:rPr>
        <w:fldChar w:fldCharType="separate"/>
      </w:r>
      <w:r w:rsidR="00E2070A" w:rsidRPr="00E2070A">
        <w:rPr>
          <w:b/>
        </w:rPr>
        <w:t xml:space="preserve">Figure </w:t>
      </w:r>
      <w:r w:rsidR="00E2070A" w:rsidRPr="00E2070A">
        <w:rPr>
          <w:b/>
          <w:noProof/>
        </w:rPr>
        <w:t>26</w:t>
      </w:r>
      <w:r w:rsidR="00E814F7" w:rsidRPr="00A841B4">
        <w:rPr>
          <w:b/>
        </w:rPr>
        <w:fldChar w:fldCharType="end"/>
      </w:r>
      <w:r w:rsidR="00687F15" w:rsidRPr="00A841B4">
        <w:rPr>
          <w:b/>
        </w:rPr>
        <w:t>A</w:t>
      </w:r>
      <w:r w:rsidR="008C3F1D" w:rsidRPr="008C3F1D">
        <w:t>, lower band), indicating t</w:t>
      </w:r>
      <w:r w:rsidR="00E814F7">
        <w:t>he induction of autophagy (</w:t>
      </w:r>
      <w:r w:rsidR="00E814F7" w:rsidRPr="00A841B4">
        <w:rPr>
          <w:b/>
        </w:rPr>
        <w:fldChar w:fldCharType="begin"/>
      </w:r>
      <w:r w:rsidR="00E814F7" w:rsidRPr="00A841B4">
        <w:rPr>
          <w:b/>
        </w:rPr>
        <w:instrText xml:space="preserve"> REF _Ref530225978 \h </w:instrText>
      </w:r>
      <w:r w:rsidR="001B3703" w:rsidRPr="00A841B4">
        <w:rPr>
          <w:b/>
        </w:rPr>
        <w:instrText xml:space="preserve"> \* MERGEFORMAT </w:instrText>
      </w:r>
      <w:r w:rsidR="00E814F7" w:rsidRPr="00A841B4">
        <w:rPr>
          <w:b/>
        </w:rPr>
      </w:r>
      <w:r w:rsidR="00E814F7" w:rsidRPr="00A841B4">
        <w:rPr>
          <w:b/>
        </w:rPr>
        <w:fldChar w:fldCharType="separate"/>
      </w:r>
      <w:r w:rsidR="00E2070A" w:rsidRPr="00E2070A">
        <w:rPr>
          <w:b/>
        </w:rPr>
        <w:t xml:space="preserve">Figure </w:t>
      </w:r>
      <w:r w:rsidR="00E2070A" w:rsidRPr="00E2070A">
        <w:rPr>
          <w:b/>
          <w:noProof/>
        </w:rPr>
        <w:t>26</w:t>
      </w:r>
      <w:r w:rsidR="00E814F7" w:rsidRPr="00A841B4">
        <w:rPr>
          <w:b/>
        </w:rPr>
        <w:fldChar w:fldCharType="end"/>
      </w:r>
      <w:r w:rsidR="00687F15" w:rsidRPr="00A841B4">
        <w:rPr>
          <w:b/>
        </w:rPr>
        <w:t>A</w:t>
      </w:r>
      <w:r w:rsidR="00687F15">
        <w:t xml:space="preserve">). </w:t>
      </w:r>
      <w:r w:rsidR="00687F15" w:rsidRPr="00687F15">
        <w:t xml:space="preserve">Additionally, 1 nM </w:t>
      </w:r>
      <w:r w:rsidR="007A587E">
        <w:t>OSW-1 compound</w:t>
      </w:r>
      <w:r w:rsidR="00687F15" w:rsidRPr="00687F15">
        <w:t xml:space="preserve"> treatment for 6 h</w:t>
      </w:r>
      <w:r w:rsidR="00687F15">
        <w:t>ou</w:t>
      </w:r>
      <w:r w:rsidR="00687F15" w:rsidRPr="00687F15">
        <w:t>r</w:t>
      </w:r>
      <w:r w:rsidR="00687F15">
        <w:t>s</w:t>
      </w:r>
      <w:r w:rsidR="00687F15" w:rsidRPr="00687F15">
        <w:t xml:space="preserve"> resulted in ~60</w:t>
      </w:r>
      <w:r w:rsidR="00E814F7">
        <w:t>% reduction in p62 levels (</w:t>
      </w:r>
      <w:r w:rsidR="00E814F7" w:rsidRPr="00A841B4">
        <w:rPr>
          <w:b/>
        </w:rPr>
        <w:fldChar w:fldCharType="begin"/>
      </w:r>
      <w:r w:rsidR="00E814F7" w:rsidRPr="00A841B4">
        <w:rPr>
          <w:b/>
        </w:rPr>
        <w:instrText xml:space="preserve"> REF _Ref530225978 \h </w:instrText>
      </w:r>
      <w:r w:rsidR="001B3703" w:rsidRPr="00A841B4">
        <w:rPr>
          <w:b/>
        </w:rPr>
        <w:instrText xml:space="preserve"> \* MERGEFORMAT </w:instrText>
      </w:r>
      <w:r w:rsidR="00E814F7" w:rsidRPr="00A841B4">
        <w:rPr>
          <w:b/>
        </w:rPr>
      </w:r>
      <w:r w:rsidR="00E814F7" w:rsidRPr="00A841B4">
        <w:rPr>
          <w:b/>
        </w:rPr>
        <w:fldChar w:fldCharType="separate"/>
      </w:r>
      <w:r w:rsidR="00E2070A" w:rsidRPr="00E2070A">
        <w:rPr>
          <w:b/>
        </w:rPr>
        <w:t xml:space="preserve">Figure </w:t>
      </w:r>
      <w:r w:rsidR="00E2070A" w:rsidRPr="00E2070A">
        <w:rPr>
          <w:b/>
          <w:noProof/>
        </w:rPr>
        <w:t>26</w:t>
      </w:r>
      <w:r w:rsidR="00E814F7" w:rsidRPr="00A841B4">
        <w:rPr>
          <w:b/>
        </w:rPr>
        <w:fldChar w:fldCharType="end"/>
      </w:r>
      <w:r w:rsidR="00687F15" w:rsidRPr="00A841B4">
        <w:rPr>
          <w:b/>
        </w:rPr>
        <w:t>B</w:t>
      </w:r>
      <w:r w:rsidR="00687F15" w:rsidRPr="00687F15">
        <w:t>). The p62 levels returned to normal 24 h</w:t>
      </w:r>
      <w:r w:rsidR="00687F15">
        <w:t>ou</w:t>
      </w:r>
      <w:r w:rsidR="00687F15" w:rsidRPr="00687F15">
        <w:t>r</w:t>
      </w:r>
      <w:r w:rsidR="00687F15">
        <w:t>s</w:t>
      </w:r>
      <w:r w:rsidR="009B362D">
        <w:t xml:space="preserve"> post-washout</w:t>
      </w:r>
      <w:r w:rsidR="00687F15" w:rsidRPr="00687F15">
        <w:t xml:space="preserve">, indicating that the autophagy triggered </w:t>
      </w:r>
      <w:r w:rsidR="009B362D">
        <w:t xml:space="preserve">by </w:t>
      </w:r>
      <w:r w:rsidR="00687F15" w:rsidRPr="00687F15">
        <w:t xml:space="preserve">the </w:t>
      </w:r>
      <w:r w:rsidR="007A587E">
        <w:t>OSW-1 compound</w:t>
      </w:r>
      <w:r w:rsidR="009B362D">
        <w:t xml:space="preserve"> washout treatment is transient. </w:t>
      </w:r>
      <w:r w:rsidR="00E814F7">
        <w:t>(</w:t>
      </w:r>
      <w:r w:rsidR="00E814F7" w:rsidRPr="00A841B4">
        <w:rPr>
          <w:b/>
        </w:rPr>
        <w:fldChar w:fldCharType="begin"/>
      </w:r>
      <w:r w:rsidR="00E814F7" w:rsidRPr="00A841B4">
        <w:rPr>
          <w:b/>
        </w:rPr>
        <w:instrText xml:space="preserve"> REF _Ref530225978 \h </w:instrText>
      </w:r>
      <w:r w:rsidR="001B3703" w:rsidRPr="00A841B4">
        <w:rPr>
          <w:b/>
        </w:rPr>
        <w:instrText xml:space="preserve"> \* MERGEFORMAT </w:instrText>
      </w:r>
      <w:r w:rsidR="00E814F7" w:rsidRPr="00A841B4">
        <w:rPr>
          <w:b/>
        </w:rPr>
      </w:r>
      <w:r w:rsidR="00E814F7" w:rsidRPr="00A841B4">
        <w:rPr>
          <w:b/>
        </w:rPr>
        <w:fldChar w:fldCharType="separate"/>
      </w:r>
      <w:r w:rsidR="00E2070A" w:rsidRPr="00E2070A">
        <w:rPr>
          <w:b/>
        </w:rPr>
        <w:t xml:space="preserve">Figure </w:t>
      </w:r>
      <w:r w:rsidR="00E2070A" w:rsidRPr="00E2070A">
        <w:rPr>
          <w:b/>
          <w:noProof/>
        </w:rPr>
        <w:t>26</w:t>
      </w:r>
      <w:r w:rsidR="00E814F7" w:rsidRPr="00A841B4">
        <w:rPr>
          <w:b/>
        </w:rPr>
        <w:fldChar w:fldCharType="end"/>
      </w:r>
      <w:r w:rsidR="00687F15" w:rsidRPr="00A841B4">
        <w:rPr>
          <w:b/>
        </w:rPr>
        <w:t>A</w:t>
      </w:r>
      <w:r w:rsidR="00687F15">
        <w:t xml:space="preserve"> &amp; </w:t>
      </w:r>
      <w:r w:rsidR="00687F15" w:rsidRPr="00A841B4">
        <w:rPr>
          <w:b/>
        </w:rPr>
        <w:t>B</w:t>
      </w:r>
      <w:r w:rsidR="00687F15" w:rsidRPr="00687F15">
        <w:t>).</w:t>
      </w:r>
      <w:r w:rsidR="00687F15">
        <w:t xml:space="preserve"> Despite this transient autophagy that is induced, co-incubation with 25 </w:t>
      </w:r>
      <w:r w:rsidR="00687F15">
        <w:rPr>
          <w:rFonts w:ascii="Calibri" w:hAnsi="Calibri" w:cs="Calibri"/>
        </w:rPr>
        <w:t>µ</w:t>
      </w:r>
      <w:r w:rsidR="00687F15">
        <w:t xml:space="preserve">M </w:t>
      </w:r>
      <w:r w:rsidR="005C63D2">
        <w:t>CQ and</w:t>
      </w:r>
      <w:r w:rsidR="00687F15">
        <w:t xml:space="preserve"> 1 nM OSW-1 for 6 hours, followed by compound washout and replacement of 25 </w:t>
      </w:r>
      <w:r w:rsidR="00687F15">
        <w:rPr>
          <w:rFonts w:ascii="Calibri" w:hAnsi="Calibri" w:cs="Calibri"/>
        </w:rPr>
        <w:t>µ</w:t>
      </w:r>
      <w:r w:rsidR="00687F15">
        <w:t>M CQ for 24 hours does not r</w:t>
      </w:r>
      <w:r w:rsidR="00E814F7">
        <w:t>esult in OSBP rescue (</w:t>
      </w:r>
      <w:r w:rsidR="00E814F7" w:rsidRPr="00A841B4">
        <w:rPr>
          <w:b/>
        </w:rPr>
        <w:fldChar w:fldCharType="begin"/>
      </w:r>
      <w:r w:rsidR="00E814F7" w:rsidRPr="00A841B4">
        <w:rPr>
          <w:b/>
        </w:rPr>
        <w:instrText xml:space="preserve"> REF _Ref530225978 \h </w:instrText>
      </w:r>
      <w:r w:rsidR="001B3703" w:rsidRPr="00A841B4">
        <w:rPr>
          <w:b/>
        </w:rPr>
        <w:instrText xml:space="preserve"> \* MERGEFORMAT </w:instrText>
      </w:r>
      <w:r w:rsidR="00E814F7" w:rsidRPr="00A841B4">
        <w:rPr>
          <w:b/>
        </w:rPr>
      </w:r>
      <w:r w:rsidR="00E814F7" w:rsidRPr="00A841B4">
        <w:rPr>
          <w:b/>
        </w:rPr>
        <w:fldChar w:fldCharType="separate"/>
      </w:r>
      <w:r w:rsidR="00E2070A" w:rsidRPr="00E2070A">
        <w:rPr>
          <w:b/>
        </w:rPr>
        <w:t xml:space="preserve">Figure </w:t>
      </w:r>
      <w:r w:rsidR="00E2070A" w:rsidRPr="00E2070A">
        <w:rPr>
          <w:b/>
          <w:noProof/>
        </w:rPr>
        <w:t>26</w:t>
      </w:r>
      <w:r w:rsidR="00E814F7" w:rsidRPr="00A841B4">
        <w:rPr>
          <w:b/>
        </w:rPr>
        <w:fldChar w:fldCharType="end"/>
      </w:r>
      <w:r w:rsidR="00687F15" w:rsidRPr="00A841B4">
        <w:rPr>
          <w:b/>
        </w:rPr>
        <w:t>C</w:t>
      </w:r>
      <w:r w:rsidR="00687F15">
        <w:t xml:space="preserve">). </w:t>
      </w:r>
      <w:r w:rsidR="009B362D">
        <w:t>Confirming autophagy is not involved in OSBP reduction, c</w:t>
      </w:r>
      <w:r w:rsidR="00C750DE">
        <w:t xml:space="preserve">ell splitting and cell dilution do not rescue OSBP levels despite increased nutrient availability that </w:t>
      </w:r>
      <w:r w:rsidR="00C750DE">
        <w:lastRenderedPageBreak/>
        <w:t>would inhibit autophagy</w:t>
      </w:r>
      <w:r w:rsidR="00C750DE">
        <w:fldChar w:fldCharType="begin" w:fldLock="1"/>
      </w:r>
      <w:r w:rsidR="0057639C">
        <w:instrText>ADDIN CSL_CITATION {"citationItems":[{"id":"ITEM-1","itemData":{"DOI":"10.1146/annurev-genet-102808-114910","ISBN":"1545-2948 (Electronic)\\r0066-4197 (Linking)","ISSN":"0066-4197","PMID":"19653858","abstract":"Compared 50 female eating disorder patients, 22 substance abuse patients, 17 comorbid eating disorder and substance abuse patients, and 33 college students on measures of borderline personality symptomatology and self-harm behaviors. Compared with Ss in the other groups, women in the eating disorders/substance abuse group were far more likely to be classified as having borderline personality disorder and reported a significantly higher number of (and potentially more lethal) self-destructive behaviors. (PsycINFO Database Record (c) 2012 APA, all rights reserved).","author":[{"dropping-particle":"","family":"He","given":"Congcong","non-dropping-particle":"","parse-names":false,"suffix":""},{"dropping-particle":"","family":"Klionsky","given":"Daniel J.","non-dropping-particle":"","parse-names":false,"suffix":""}],"container-title":"Annual Review of Genetics","id":"ITEM-1","issue":"1","issued":{"date-parts":[["2009","12"]]},"page":"67-93","title":"Regulation Mechanisms and Signaling Pathways of Autophagy","type":"article-journal","volume":"43"},"uris":["http://www.mendeley.com/documents/?uuid=0757ef18-18fa-432d-957e-4d467c659c39"]}],"mendeley":{"formattedCitation":"(219)","plainTextFormattedCitation":"(219)","previouslyFormattedCitation":"(219)"},"properties":{"noteIndex":0},"schema":"https://github.com/citation-style-language/schema/raw/master/csl-citation.json"}</w:instrText>
      </w:r>
      <w:r w:rsidR="00C750DE">
        <w:fldChar w:fldCharType="separate"/>
      </w:r>
      <w:r w:rsidR="0057639C" w:rsidRPr="0057639C">
        <w:rPr>
          <w:noProof/>
        </w:rPr>
        <w:t>(219)</w:t>
      </w:r>
      <w:r w:rsidR="00C750DE">
        <w:fldChar w:fldCharType="end"/>
      </w:r>
      <w:r w:rsidR="00E814F7">
        <w:t xml:space="preserve"> (</w:t>
      </w:r>
      <w:r w:rsidR="00E814F7">
        <w:fldChar w:fldCharType="begin"/>
      </w:r>
      <w:r w:rsidR="00E814F7">
        <w:instrText xml:space="preserve"> REF _Ref530070347 \h </w:instrText>
      </w:r>
      <w:r w:rsidR="001B3703">
        <w:instrText xml:space="preserve"> \* MERGEFORMAT </w:instrText>
      </w:r>
      <w:r w:rsidR="00E814F7">
        <w:fldChar w:fldCharType="separate"/>
      </w:r>
      <w:r w:rsidR="00E2070A" w:rsidRPr="00E2070A">
        <w:rPr>
          <w:b/>
        </w:rPr>
        <w:t>Figure</w:t>
      </w:r>
      <w:r w:rsidR="00E2070A">
        <w:t xml:space="preserve"> </w:t>
      </w:r>
      <w:r w:rsidR="00E2070A" w:rsidRPr="00E2070A">
        <w:rPr>
          <w:b/>
          <w:noProof/>
        </w:rPr>
        <w:t>59</w:t>
      </w:r>
      <w:r w:rsidR="00E814F7">
        <w:fldChar w:fldCharType="end"/>
      </w:r>
      <w:r w:rsidR="00C750DE">
        <w:t xml:space="preserve">). </w:t>
      </w:r>
      <w:r w:rsidR="005C63D2">
        <w:t>These results confirm</w:t>
      </w:r>
      <w:r w:rsidR="00687F15">
        <w:t xml:space="preserve"> that </w:t>
      </w:r>
      <w:r w:rsidR="009B362D">
        <w:t xml:space="preserve">long-term </w:t>
      </w:r>
      <w:r w:rsidR="00687F15">
        <w:t xml:space="preserve">OSBP </w:t>
      </w:r>
      <w:r w:rsidR="009B362D">
        <w:t>reduction</w:t>
      </w:r>
      <w:r w:rsidR="00687F15">
        <w:t xml:space="preserve"> </w:t>
      </w:r>
      <w:r w:rsidR="0015171B" w:rsidRPr="00687F15">
        <w:rPr>
          <w:noProof/>
          <w:lang w:bidi="ar-SA"/>
        </w:rPr>
        <w:drawing>
          <wp:anchor distT="0" distB="0" distL="114300" distR="114300" simplePos="0" relativeHeight="251679744" behindDoc="1" locked="0" layoutInCell="1" allowOverlap="1" wp14:anchorId="459BCBB2" wp14:editId="04E23AA4">
            <wp:simplePos x="0" y="0"/>
            <wp:positionH relativeFrom="margin">
              <wp:posOffset>362585</wp:posOffset>
            </wp:positionH>
            <wp:positionV relativeFrom="paragraph">
              <wp:posOffset>761365</wp:posOffset>
            </wp:positionV>
            <wp:extent cx="5365115" cy="4718685"/>
            <wp:effectExtent l="19050" t="19050" r="26035" b="24765"/>
            <wp:wrapTight wrapText="bothSides">
              <wp:wrapPolygon edited="0">
                <wp:start x="-77" y="-87"/>
                <wp:lineTo x="-77" y="21626"/>
                <wp:lineTo x="21628" y="21626"/>
                <wp:lineTo x="21628" y="-87"/>
                <wp:lineTo x="-77" y="-87"/>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b="28030"/>
                    <a:stretch/>
                  </pic:blipFill>
                  <pic:spPr bwMode="auto">
                    <a:xfrm>
                      <a:off x="0" y="0"/>
                      <a:ext cx="5365115" cy="471868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362D">
        <w:t xml:space="preserve">is not </w:t>
      </w:r>
      <w:r w:rsidR="00687F15">
        <w:t>due to</w:t>
      </w:r>
      <w:r w:rsidR="00582A00">
        <w:t xml:space="preserve"> sustained</w:t>
      </w:r>
      <w:r w:rsidR="00687F15">
        <w:t xml:space="preserve"> autophagy or proteasome </w:t>
      </w:r>
      <w:r w:rsidR="005C63D2">
        <w:t>induced degradation.</w:t>
      </w:r>
    </w:p>
    <w:p w:rsidR="008C3F1D" w:rsidRDefault="00A841B4" w:rsidP="00FB099D">
      <w:pPr>
        <w:pStyle w:val="Caption"/>
        <w:jc w:val="both"/>
        <w:rPr>
          <w:b w:val="0"/>
        </w:rPr>
      </w:pPr>
      <w:bookmarkStart w:id="158" w:name="_Ref530225978"/>
      <w:bookmarkStart w:id="159" w:name="_Toc530673951"/>
      <w:r w:rsidRPr="00A841B4">
        <w:t>Figure</w:t>
      </w:r>
      <w:r w:rsidR="008C3F1D">
        <w:t xml:space="preserve"> </w:t>
      </w:r>
      <w:fldSimple w:instr=" SEQ Figure \* ARABIC ">
        <w:r w:rsidR="00E2070A">
          <w:rPr>
            <w:noProof/>
          </w:rPr>
          <w:t>26</w:t>
        </w:r>
      </w:fldSimple>
      <w:bookmarkEnd w:id="158"/>
      <w:r w:rsidR="008C3F1D">
        <w:t xml:space="preserve">: </w:t>
      </w:r>
      <w:r w:rsidR="008C3F1D" w:rsidRPr="008C3F1D">
        <w:t xml:space="preserve">OSW-1 </w:t>
      </w:r>
      <w:r w:rsidR="00F47F31">
        <w:t>“washout effect”</w:t>
      </w:r>
      <w:r w:rsidR="008C3F1D" w:rsidRPr="008C3F1D">
        <w:t xml:space="preserve"> induces autophagy, but autophagy is not the cause of long-term OSBP repression. </w:t>
      </w:r>
      <w:r w:rsidR="008C3F1D" w:rsidRPr="008C3F1D">
        <w:rPr>
          <w:b w:val="0"/>
        </w:rPr>
        <w:t>Treatment of HEK-293 cells for 6 h</w:t>
      </w:r>
      <w:r w:rsidR="008C3F1D">
        <w:rPr>
          <w:b w:val="0"/>
        </w:rPr>
        <w:t>ou</w:t>
      </w:r>
      <w:r w:rsidR="008C3F1D" w:rsidRPr="008C3F1D">
        <w:rPr>
          <w:b w:val="0"/>
        </w:rPr>
        <w:t xml:space="preserve">rs with 1 nM OSW-1 decreases </w:t>
      </w:r>
      <w:r w:rsidR="008C3F1D">
        <w:rPr>
          <w:b w:val="0"/>
        </w:rPr>
        <w:t xml:space="preserve">(A) </w:t>
      </w:r>
      <w:r w:rsidR="008C3F1D" w:rsidRPr="008C3F1D">
        <w:rPr>
          <w:b w:val="0"/>
        </w:rPr>
        <w:t xml:space="preserve">p62 and </w:t>
      </w:r>
      <w:r w:rsidR="008C3F1D">
        <w:rPr>
          <w:b w:val="0"/>
        </w:rPr>
        <w:t xml:space="preserve">(B) </w:t>
      </w:r>
      <w:r w:rsidR="008C3F1D" w:rsidRPr="008C3F1D">
        <w:rPr>
          <w:b w:val="0"/>
        </w:rPr>
        <w:t>increases LC3B (lower band on Western blot), which are markers of cellular autophagy. Rap= Rapamycin, a known autophagy inducing compound</w:t>
      </w:r>
      <w:r w:rsidR="008C3F1D">
        <w:rPr>
          <w:b w:val="0"/>
        </w:rPr>
        <w:t xml:space="preserve"> and CQ= chloroquine, a known autophagy inhibitor</w:t>
      </w:r>
      <w:r w:rsidR="008C3F1D" w:rsidRPr="008C3F1D">
        <w:rPr>
          <w:b w:val="0"/>
        </w:rPr>
        <w:t>.</w:t>
      </w:r>
      <w:r w:rsidR="008C3F1D">
        <w:rPr>
          <w:b w:val="0"/>
        </w:rPr>
        <w:t xml:space="preserve"> (C</w:t>
      </w:r>
      <w:r w:rsidR="008C3F1D" w:rsidRPr="008C3F1D">
        <w:rPr>
          <w:b w:val="0"/>
        </w:rPr>
        <w:t xml:space="preserve">) Inhibition of autophagy-induced proteolysis using 25 µM </w:t>
      </w:r>
      <w:r w:rsidR="008C3F1D">
        <w:rPr>
          <w:b w:val="0"/>
        </w:rPr>
        <w:t>CQ</w:t>
      </w:r>
      <w:r w:rsidR="008C3F1D" w:rsidRPr="008C3F1D">
        <w:rPr>
          <w:b w:val="0"/>
        </w:rPr>
        <w:t xml:space="preserve"> in HEK-293 cells does not rescue OSBP levels in OSW-1 washout experiment (i.e., 6-hour, 1 nM OSW-1 treatment, followed by compound washout and 24-hour recovery). CQ treatment increases OSBP levels compared to DMSO vehicle control in cells.</w:t>
      </w:r>
      <w:r w:rsidR="00006268">
        <w:rPr>
          <w:b w:val="0"/>
        </w:rPr>
        <w:t xml:space="preserve"> Work was completed by Mr. </w:t>
      </w:r>
      <w:r w:rsidR="00E87672">
        <w:rPr>
          <w:b w:val="0"/>
        </w:rPr>
        <w:t>Zachary</w:t>
      </w:r>
      <w:r w:rsidR="00006268">
        <w:rPr>
          <w:b w:val="0"/>
        </w:rPr>
        <w:t xml:space="preserve"> Severance</w:t>
      </w:r>
      <w:r w:rsidR="00E814F7">
        <w:rPr>
          <w:b w:val="0"/>
        </w:rPr>
        <w:t>. (Full blots in</w:t>
      </w:r>
      <w:r w:rsidR="00895AD7">
        <w:rPr>
          <w:b w:val="0"/>
        </w:rPr>
        <w:t xml:space="preserve"> </w:t>
      </w:r>
      <w:r w:rsidR="00895AD7" w:rsidRPr="008120D0">
        <w:rPr>
          <w:b w:val="0"/>
        </w:rPr>
        <w:fldChar w:fldCharType="begin"/>
      </w:r>
      <w:r w:rsidR="00895AD7" w:rsidRPr="008120D0">
        <w:rPr>
          <w:b w:val="0"/>
        </w:rPr>
        <w:instrText xml:space="preserve"> REF _Ref530226798 \h </w:instrText>
      </w:r>
      <w:r w:rsidR="008120D0" w:rsidRPr="008120D0">
        <w:rPr>
          <w:b w:val="0"/>
        </w:rPr>
        <w:instrText xml:space="preserve"> \* MERGEFORMAT </w:instrText>
      </w:r>
      <w:r w:rsidR="00895AD7" w:rsidRPr="008120D0">
        <w:rPr>
          <w:b w:val="0"/>
        </w:rPr>
      </w:r>
      <w:r w:rsidR="00895AD7" w:rsidRPr="008120D0">
        <w:rPr>
          <w:b w:val="0"/>
        </w:rPr>
        <w:fldChar w:fldCharType="separate"/>
      </w:r>
      <w:r w:rsidR="00E2070A" w:rsidRPr="00A841B4">
        <w:t>Figure</w:t>
      </w:r>
      <w:r w:rsidR="00E2070A" w:rsidRPr="00E2070A">
        <w:rPr>
          <w:b w:val="0"/>
        </w:rPr>
        <w:t xml:space="preserve"> </w:t>
      </w:r>
      <w:r w:rsidR="00E2070A">
        <w:rPr>
          <w:noProof/>
        </w:rPr>
        <w:t>56</w:t>
      </w:r>
      <w:r w:rsidR="00895AD7" w:rsidRPr="008120D0">
        <w:rPr>
          <w:b w:val="0"/>
        </w:rPr>
        <w:fldChar w:fldCharType="end"/>
      </w:r>
      <w:r w:rsidR="00895AD7" w:rsidRPr="008120D0">
        <w:rPr>
          <w:b w:val="0"/>
        </w:rPr>
        <w:t xml:space="preserve">, </w:t>
      </w:r>
      <w:r w:rsidR="00895AD7" w:rsidRPr="008120D0">
        <w:rPr>
          <w:b w:val="0"/>
        </w:rPr>
        <w:fldChar w:fldCharType="begin"/>
      </w:r>
      <w:r w:rsidR="00895AD7" w:rsidRPr="008120D0">
        <w:rPr>
          <w:b w:val="0"/>
        </w:rPr>
        <w:instrText xml:space="preserve"> REF _Ref530226799 \h </w:instrText>
      </w:r>
      <w:r w:rsidR="008120D0" w:rsidRPr="008120D0">
        <w:rPr>
          <w:b w:val="0"/>
        </w:rPr>
        <w:instrText xml:space="preserve"> \* MERGEFORMAT </w:instrText>
      </w:r>
      <w:r w:rsidR="00895AD7" w:rsidRPr="008120D0">
        <w:rPr>
          <w:b w:val="0"/>
        </w:rPr>
      </w:r>
      <w:r w:rsidR="00895AD7" w:rsidRPr="008120D0">
        <w:rPr>
          <w:b w:val="0"/>
        </w:rPr>
        <w:fldChar w:fldCharType="separate"/>
      </w:r>
      <w:r w:rsidR="00E2070A" w:rsidRPr="00A841B4">
        <w:t>Figure</w:t>
      </w:r>
      <w:r w:rsidR="00E2070A" w:rsidRPr="00E2070A">
        <w:rPr>
          <w:b w:val="0"/>
        </w:rPr>
        <w:t xml:space="preserve"> </w:t>
      </w:r>
      <w:r w:rsidR="00E2070A">
        <w:rPr>
          <w:noProof/>
        </w:rPr>
        <w:t>57</w:t>
      </w:r>
      <w:r w:rsidR="00895AD7" w:rsidRPr="008120D0">
        <w:rPr>
          <w:b w:val="0"/>
        </w:rPr>
        <w:fldChar w:fldCharType="end"/>
      </w:r>
      <w:r w:rsidR="00895AD7" w:rsidRPr="008120D0">
        <w:rPr>
          <w:b w:val="0"/>
        </w:rPr>
        <w:t xml:space="preserve"> &amp; </w:t>
      </w:r>
      <w:r w:rsidR="00895AD7" w:rsidRPr="008120D0">
        <w:rPr>
          <w:b w:val="0"/>
        </w:rPr>
        <w:fldChar w:fldCharType="begin"/>
      </w:r>
      <w:r w:rsidR="00895AD7" w:rsidRPr="008120D0">
        <w:rPr>
          <w:b w:val="0"/>
        </w:rPr>
        <w:instrText xml:space="preserve"> REF _Ref530226800 \h </w:instrText>
      </w:r>
      <w:r w:rsidR="008120D0" w:rsidRPr="008120D0">
        <w:rPr>
          <w:b w:val="0"/>
        </w:rPr>
        <w:instrText xml:space="preserve"> \* MERGEFORMAT </w:instrText>
      </w:r>
      <w:r w:rsidR="00895AD7" w:rsidRPr="008120D0">
        <w:rPr>
          <w:b w:val="0"/>
        </w:rPr>
      </w:r>
      <w:r w:rsidR="00895AD7" w:rsidRPr="008120D0">
        <w:rPr>
          <w:b w:val="0"/>
        </w:rPr>
        <w:fldChar w:fldCharType="separate"/>
      </w:r>
      <w:r w:rsidR="00E2070A" w:rsidRPr="00A841B4">
        <w:t>Figure</w:t>
      </w:r>
      <w:r w:rsidR="00E2070A" w:rsidRPr="00E2070A">
        <w:rPr>
          <w:b w:val="0"/>
        </w:rPr>
        <w:t xml:space="preserve"> </w:t>
      </w:r>
      <w:r w:rsidR="00E2070A">
        <w:rPr>
          <w:noProof/>
        </w:rPr>
        <w:t>58</w:t>
      </w:r>
      <w:r w:rsidR="00895AD7" w:rsidRPr="008120D0">
        <w:rPr>
          <w:b w:val="0"/>
        </w:rPr>
        <w:fldChar w:fldCharType="end"/>
      </w:r>
      <w:r w:rsidR="00895AD7">
        <w:rPr>
          <w:b w:val="0"/>
        </w:rPr>
        <w:t>).</w:t>
      </w:r>
      <w:bookmarkEnd w:id="159"/>
      <w:r w:rsidR="00357203">
        <w:rPr>
          <w:b w:val="0"/>
        </w:rPr>
        <w:t xml:space="preserve"> The author had no contribution to the autophagy results.</w:t>
      </w:r>
    </w:p>
    <w:p w:rsidR="00722A6D" w:rsidRDefault="00722A6D" w:rsidP="00FB099D">
      <w:pPr>
        <w:jc w:val="both"/>
      </w:pPr>
    </w:p>
    <w:p w:rsidR="00722A6D" w:rsidRDefault="00582A00" w:rsidP="00042529">
      <w:pPr>
        <w:pStyle w:val="Heading3"/>
      </w:pPr>
      <w:bookmarkStart w:id="160" w:name="_Toc532553134"/>
      <w:r>
        <w:lastRenderedPageBreak/>
        <w:t xml:space="preserve">Sustained </w:t>
      </w:r>
      <w:r w:rsidR="00722A6D" w:rsidRPr="00722A6D">
        <w:t>OSBP loss is not due to rapid protein turnover</w:t>
      </w:r>
      <w:bookmarkEnd w:id="160"/>
    </w:p>
    <w:p w:rsidR="004D069C" w:rsidRPr="004578F9" w:rsidRDefault="0007634D" w:rsidP="004578F9">
      <w:pPr>
        <w:ind w:firstLine="720"/>
        <w:jc w:val="both"/>
        <w:rPr>
          <w:b/>
        </w:rPr>
      </w:pPr>
      <w:r>
        <w:t>We next determined</w:t>
      </w:r>
      <w:r w:rsidR="00722A6D" w:rsidRPr="00722A6D">
        <w:t xml:space="preserve"> </w:t>
      </w:r>
      <w:r>
        <w:t xml:space="preserve">if translational repression could be responsible for the compound-triggered </w:t>
      </w:r>
      <w:r w:rsidR="00582A00">
        <w:t xml:space="preserve">sustained </w:t>
      </w:r>
      <w:r>
        <w:t>reduction of OSBP levels.</w:t>
      </w:r>
      <w:r w:rsidR="00722A6D" w:rsidRPr="00722A6D">
        <w:t xml:space="preserve"> </w:t>
      </w:r>
      <w:r w:rsidR="00940CAD">
        <w:t xml:space="preserve">To identify if translational repression was occurring </w:t>
      </w:r>
      <w:r w:rsidR="00722A6D" w:rsidRPr="00722A6D">
        <w:t>we determined the half-life of OSBP by using the translational inhibitor cycloheximide</w:t>
      </w:r>
      <w:r w:rsidR="00123068">
        <w:t xml:space="preserve"> (CHX)</w:t>
      </w:r>
      <w:r w:rsidR="00722A6D" w:rsidRPr="00722A6D">
        <w:t xml:space="preserve">. </w:t>
      </w:r>
      <w:r w:rsidR="00123068">
        <w:t>CHX</w:t>
      </w:r>
      <w:r w:rsidR="00722A6D" w:rsidRPr="00722A6D">
        <w:t xml:space="preserve"> blocks the translocation step in protein synthesis, leading to inhibition of translational elongation. If OSW-1 </w:t>
      </w:r>
      <w:r w:rsidR="00123068">
        <w:t xml:space="preserve">treatment </w:t>
      </w:r>
      <w:r w:rsidR="00722A6D" w:rsidRPr="00722A6D">
        <w:t>causes translational repression</w:t>
      </w:r>
      <w:r w:rsidR="00123068">
        <w:t xml:space="preserve"> of OSBP</w:t>
      </w:r>
      <w:r w:rsidR="00722A6D" w:rsidRPr="00722A6D">
        <w:t xml:space="preserve">, the protein half-life should overlap with the degradation </w:t>
      </w:r>
      <w:r w:rsidR="00722A6D">
        <w:t>of the protein und</w:t>
      </w:r>
      <w:r w:rsidR="00895AD7">
        <w:t>er continual treatment</w:t>
      </w:r>
      <w:r w:rsidR="00123068">
        <w:t xml:space="preserve"> with OSW-1</w:t>
      </w:r>
      <w:r w:rsidR="00895AD7">
        <w:t xml:space="preserve"> (</w:t>
      </w:r>
      <w:r w:rsidR="004578F9" w:rsidRPr="004578F9">
        <w:rPr>
          <w:b/>
        </w:rPr>
        <w:fldChar w:fldCharType="begin"/>
      </w:r>
      <w:r w:rsidR="004578F9" w:rsidRPr="004578F9">
        <w:rPr>
          <w:b/>
        </w:rPr>
        <w:instrText xml:space="preserve"> REF _Ref532554289 \h </w:instrText>
      </w:r>
      <w:r w:rsidR="004578F9" w:rsidRPr="004578F9">
        <w:rPr>
          <w:b/>
        </w:rPr>
      </w:r>
      <w:r w:rsidR="004578F9" w:rsidRPr="004578F9">
        <w:rPr>
          <w:b/>
        </w:rPr>
        <w:instrText xml:space="preserve"> \* MERGEFORMAT </w:instrText>
      </w:r>
      <w:r w:rsidR="004578F9" w:rsidRPr="004578F9">
        <w:rPr>
          <w:b/>
        </w:rPr>
        <w:fldChar w:fldCharType="separate"/>
      </w:r>
      <w:r w:rsidR="00E2070A" w:rsidRPr="00E2070A">
        <w:rPr>
          <w:b/>
        </w:rPr>
        <w:t xml:space="preserve">Figure </w:t>
      </w:r>
      <w:r w:rsidR="00E2070A" w:rsidRPr="00E2070A">
        <w:rPr>
          <w:b/>
          <w:noProof/>
        </w:rPr>
        <w:t>17</w:t>
      </w:r>
      <w:r w:rsidR="004578F9" w:rsidRPr="004578F9">
        <w:rPr>
          <w:b/>
        </w:rPr>
        <w:fldChar w:fldCharType="end"/>
      </w:r>
      <w:r w:rsidR="00722A6D" w:rsidRPr="00A841B4">
        <w:rPr>
          <w:b/>
        </w:rPr>
        <w:t>B</w:t>
      </w:r>
      <w:r w:rsidR="00722A6D">
        <w:t>)</w:t>
      </w:r>
      <w:r w:rsidR="00722A6D" w:rsidRPr="00722A6D">
        <w:t xml:space="preserve">. HCT116 cells were treated with 178 µM </w:t>
      </w:r>
      <w:r w:rsidR="00123068">
        <w:t>CHX</w:t>
      </w:r>
      <w:r w:rsidR="00722A6D" w:rsidRPr="00722A6D">
        <w:t xml:space="preserve"> for the indicated time and OSBP pro</w:t>
      </w:r>
      <w:r w:rsidR="00123068">
        <w:t>tein levels were determined by W</w:t>
      </w:r>
      <w:r w:rsidR="00722A6D" w:rsidRPr="00722A6D">
        <w:t xml:space="preserve">estern blotting. The results show that the half-life of the control protein, p21, is </w:t>
      </w:r>
      <w:r w:rsidR="00123068">
        <w:t>~</w:t>
      </w:r>
      <w:r w:rsidR="00722A6D" w:rsidRPr="00722A6D">
        <w:t xml:space="preserve">2 hours which is consistent </w:t>
      </w:r>
      <w:r w:rsidR="00D20F1F">
        <w:t>with previous reports</w:t>
      </w:r>
      <w:r w:rsidR="00D20F1F">
        <w:fldChar w:fldCharType="begin" w:fldLock="1"/>
      </w:r>
      <w:r w:rsidR="0057639C">
        <w:instrText>ADDIN CSL_CITATION {"citationItems":[{"id":"ITEM-1","itemData":{"DOI":"10.1038/sj.onc.1202686","ISBN":"0950-9232 (Print)\\n0950-9232 (Linking)","ISSN":"09509232","PMID":"10439039","abstract":"The CDK inhibitor, p21WAF1/Cip1 blocks cell cycle progression. In vitro, the N-terminus of p21 binds and inhibits CDK-cyclin kinase activity, whereas the C-terminus binds and inhibits PCNA (proliferating cell nuclear antigen) function. PCNA is essential for processivity of both DNA polymerase delta and epsilon. We have performed a detailed analysis of growth inhibition by the N- and C-terminal regions of p21, and determined whether the N- and C-terminal regions mediate this effect by different mechanisms. Expression of either the N- or the C-terminal region of p21 inhibits DNA synthesis and cell growth, but not as efficiently as full length p21. The effectiveness of the two p21 domains is dependent on their stability which is determined by the ubiquitin-proteasome pathway. The stabilization of the N- and C-terminal region of p21 increases their effectiveness as inhibitors of DNA synthesis to levels comparable to full length p21. Inhibition of DNA synthesis by the N-terminal region of p21 involves suppression of E2F activity. In contrast, inhibition by the C-terminal region of p21 is not accompanied by suppression of E2F activity, but is mediated via PCNA binding. The C-terminal region of p21 therefore inhibits cell growth by a mechanism distinct from that of the N-terminal region containing the CDK-cyclin inhibitory domain.","author":[{"dropping-particle":"","family":"Rousseau","given":"Denis","non-dropping-particle":"","parse-names":false,"suffix":""},{"dropping-particle":"","family":"Cannella","given":"Dominique","non-dropping-particle":"","parse-names":false,"suffix":""},{"dropping-particle":"","family":"Boulaire","given":"Jerome","non-dropping-particle":"","parse-names":false,"suffix":""},{"dropping-particle":"","family":"Fitzgerald","given":"Patrick","non-dropping-particle":"","parse-names":false,"suffix":""},{"dropping-particle":"","family":"Fotedar","given":"Arun","non-dropping-particle":"","parse-names":false,"suffix":""},{"dropping-particle":"","family":"Fotedar","given":"Rati","non-dropping-particle":"","parse-names":false,"suffix":""}],"container-title":"Oncogene","id":"ITEM-1","issue":"30","issued":{"date-parts":[["1999"]]},"page":"4313-4325","title":"Growth inhibition by CDK-cyclin and PCNA binding domains of p21 occurs by distinct mechanisms and is regulated by ubiquitin-proteasome pathway","type":"article-journal","volume":"18"},"uris":["http://www.mendeley.com/documents/?uuid=7f516d6c-0e69-408a-bdf1-99023844c1eb"]},{"id":"ITEM-2","itemData":{"DOI":"10.1016/S0092-8674(03)00755-4","ISBN":"0092-8674 (Print)\\r0092-8674 (Linking)","ISSN":"00928674","PMID":"14532004","abstract":"We examined the mechanism responsible for the degradation of p21, a negative regulator of the cell division cycle. We found that p21 proteolysis requires functional ubiquitin and Nedd8 systems. Ubiquitinylated forms of p21 and p21(K0), a p21 mutant missing all lysines, are detected in vivo and in vitro, showing that the presence of lysines is dispensable for p21 ubiquitinylation. Instead, the free amino group of the N-terminal methionine of p21 is a site for ubiquitinylation in vivo. Although wild-type p21 is more abundantly ubiquitinylated than p21(K0) mutant due to the presence of internal lysine residues, their rates of proteolysis are indistinguishable. These results demonstrate that proteasomal degradation of p21 is regulated by the ubiquitin pathway and suggest that the site of the ubiquitin chain is critical in making p21 a competent substrate for the proteasome.","author":[{"dropping-particle":"","family":"Bloom","given":"Joanna","non-dropping-particle":"","parse-names":false,"suffix":""},{"dropping-particle":"","family":"Amador","given":"Virginia","non-dropping-particle":"","parse-names":false,"suffix":""},{"dropping-particle":"","family":"Bartolini","given":"Francesca","non-dropping-particle":"","parse-names":false,"suffix":""},{"dropping-particle":"","family":"DeMartino","given":"George","non-dropping-particle":"","parse-names":false,"suffix":""},{"dropping-particle":"","family":"Pagano","given":"Michele","non-dropping-particle":"","parse-names":false,"suffix":""}],"container-title":"Cell","id":"ITEM-2","issue":"1","issued":{"date-parts":[["2003"]]},"page":"71-82","title":"Proteasome-mediated degradation of p21 via N-terminal ubiquitinylation","type":"article-journal","volume":"115"},"uris":["http://www.mendeley.com/documents/?uuid=ba0e95b5-a9d9-461e-8f52-9386da71e36c"]},{"id":"ITEM-3","itemData":{"DOI":"10.1186/1476-4598-6-16","ISBN":"1476-4598 (Electronic)\\r1476-4598 (Linking)","ISSN":"14764598","PMID":"17300726","abstract":"BACKGROUND: The PTEN (Phosphatase and Tensin homolog deleted on chromosome Ten) tumor suppressor gene is frequently mutated or deleted in a wide variety of solid tumors, and these cancers are generally more aggressive and difficult to treat than those possessing wild type PTEN. While PTEN lies upstream of the phosphoinositide-3 kinase signaling pathway, the mechanisms that mediate its effects on tumor survival remain incompletely understood. Renal cell carcinoma (RCC) is associated with frequent treatment failures (approximately 90% in metastatic cases), and these tumors frequently contain PTEN abnormalities. RESULTS: Using the ACHN cell line containing wild type PTEN, we generated a stable PTEN knockdown RCC cell line using RNA interference. We then used this PTEN knockdown cell line to show that PTEN attenuation increases resistance to cisplatin-induced apoptosis, a finding associated with increased levels of the cyclin kinase inhibitor p21. Elevated levels of p21 result from stabilization of the protein, and they are dependent on the activities of phosphoinositide-3 kinase and Akt. More specifically, the accumulation of p21 occurs preferentially in the cytosolic compartment, which likely contributes to both cell cycle progression and resistance to apoptosis. CONCLUSION: Since p21 regulates a decision point between repair and apoptosis after DNA damage, our data suggest that p21 plays a key role in mechanisms used by PTEN-deficient tumors to escape chemotherapy. This in turn raises the possibility to use p21 attenuators as chemotherapy sensitizers, an area under active continuing investigation in our laboratories.","author":[{"dropping-particle":"","family":"Lin","given":"Pei Yin","non-dropping-particle":"","parse-names":false,"suffix":""},{"dropping-particle":"","family":"Fosmire","given":"Susan P.","non-dropping-particle":"","parse-names":false,"suffix":""},{"dropping-particle":"","family":"Park","given":"See Hyoung","non-dropping-particle":"","parse-names":false,"suffix":""},{"dropping-particle":"","family":"Park","given":"Jin Young","non-dropping-particle":"","parse-names":false,"suffix":""},{"dropping-particle":"","family":"Baksh","given":"Shairaz","non-dropping-particle":"","parse-names":false,"suffix":""},{"dropping-particle":"","family":"Modiano","given":"Jaime F.","non-dropping-particle":"","parse-names":false,"suffix":""},{"dropping-particle":"","family":"Weiss","given":"Robert H.","non-dropping-particle":"","parse-names":false,"suffix":""}],"container-title":"Molecular Cancer","id":"ITEM-3","issued":{"date-parts":[["2007"]]},"page":"1-14","title":"Attenuation of PTEN increases p21 stability and cytosolic localization in kidney cancer cells: A potential mechanism of apoptosis resistance","type":"article-journal","volume":"6"},"uris":["http://www.mendeley.com/documents/?uuid=19e02b31-9a12-4a0b-b536-7df6d6e8d53a"]}],"mendeley":{"formattedCitation":"(220–222)","plainTextFormattedCitation":"(220–222)","previouslyFormattedCitation":"(220–222)"},"properties":{"noteIndex":0},"schema":"https://github.com/citation-style-language/schema/raw/master/csl-citation.json"}</w:instrText>
      </w:r>
      <w:r w:rsidR="00D20F1F">
        <w:fldChar w:fldCharType="separate"/>
      </w:r>
      <w:r w:rsidR="0057639C" w:rsidRPr="0057639C">
        <w:rPr>
          <w:noProof/>
        </w:rPr>
        <w:t>(220–222)</w:t>
      </w:r>
      <w:r w:rsidR="00D20F1F">
        <w:fldChar w:fldCharType="end"/>
      </w:r>
      <w:r w:rsidR="00895AD7">
        <w:t xml:space="preserve"> (</w:t>
      </w:r>
      <w:r w:rsidR="00895AD7" w:rsidRPr="00A841B4">
        <w:rPr>
          <w:b/>
        </w:rPr>
        <w:fldChar w:fldCharType="begin"/>
      </w:r>
      <w:r w:rsidR="00895AD7" w:rsidRPr="00A841B4">
        <w:rPr>
          <w:b/>
        </w:rPr>
        <w:instrText xml:space="preserve"> REF _Ref530226858 \h </w:instrText>
      </w:r>
      <w:r w:rsidR="001B3703" w:rsidRPr="00A841B4">
        <w:rPr>
          <w:b/>
        </w:rPr>
        <w:instrText xml:space="preserve"> \* MERGEFORMAT </w:instrText>
      </w:r>
      <w:r w:rsidR="00895AD7" w:rsidRPr="00A841B4">
        <w:rPr>
          <w:b/>
        </w:rPr>
      </w:r>
      <w:r w:rsidR="00895AD7" w:rsidRPr="00A841B4">
        <w:rPr>
          <w:b/>
        </w:rPr>
        <w:fldChar w:fldCharType="separate"/>
      </w:r>
      <w:r w:rsidR="00E2070A" w:rsidRPr="00E2070A">
        <w:rPr>
          <w:b/>
        </w:rPr>
        <w:t xml:space="preserve">Figure </w:t>
      </w:r>
      <w:r w:rsidR="00E2070A" w:rsidRPr="00E2070A">
        <w:rPr>
          <w:b/>
          <w:noProof/>
        </w:rPr>
        <w:t>27</w:t>
      </w:r>
      <w:r w:rsidR="00895AD7" w:rsidRPr="00A841B4">
        <w:rPr>
          <w:b/>
        </w:rPr>
        <w:fldChar w:fldCharType="end"/>
      </w:r>
      <w:r w:rsidR="006212D9" w:rsidRPr="00A841B4">
        <w:rPr>
          <w:b/>
        </w:rPr>
        <w:t>B</w:t>
      </w:r>
      <w:r w:rsidR="00722A6D" w:rsidRPr="00722A6D">
        <w:t xml:space="preserve">). OSBP has a half-life </w:t>
      </w:r>
      <w:r w:rsidR="00940CAD">
        <w:t xml:space="preserve">of </w:t>
      </w:r>
      <w:r w:rsidR="00722A6D" w:rsidRPr="00722A6D">
        <w:t>longer than 24 hours</w:t>
      </w:r>
      <w:r w:rsidR="00940CAD">
        <w:t>; at 24 hours, the CHX-induced protein translation block begins to be toxic to the cells. The half-life of OSBP was also determined in the HEK293 cell line and showed similar results (</w:t>
      </w:r>
      <w:r w:rsidR="00940CAD" w:rsidRPr="00A841B4">
        <w:rPr>
          <w:b/>
        </w:rPr>
        <w:fldChar w:fldCharType="begin"/>
      </w:r>
      <w:r w:rsidR="00940CAD" w:rsidRPr="00A841B4">
        <w:rPr>
          <w:b/>
        </w:rPr>
        <w:instrText xml:space="preserve"> REF _Ref530072335 \h  \* MERGEFORMAT </w:instrText>
      </w:r>
      <w:r w:rsidR="00940CAD" w:rsidRPr="00A841B4">
        <w:rPr>
          <w:b/>
        </w:rPr>
      </w:r>
      <w:r w:rsidR="00940CAD" w:rsidRPr="00A841B4">
        <w:rPr>
          <w:b/>
        </w:rPr>
        <w:fldChar w:fldCharType="separate"/>
      </w:r>
      <w:r w:rsidR="00E2070A" w:rsidRPr="00E2070A">
        <w:rPr>
          <w:b/>
        </w:rPr>
        <w:t xml:space="preserve">Figure </w:t>
      </w:r>
      <w:r w:rsidR="00E2070A" w:rsidRPr="00E2070A">
        <w:rPr>
          <w:b/>
          <w:noProof/>
        </w:rPr>
        <w:t>61</w:t>
      </w:r>
      <w:r w:rsidR="00940CAD" w:rsidRPr="00A841B4">
        <w:rPr>
          <w:b/>
        </w:rPr>
        <w:fldChar w:fldCharType="end"/>
      </w:r>
      <w:r w:rsidR="00940CAD" w:rsidRPr="00A841B4">
        <w:rPr>
          <w:b/>
        </w:rPr>
        <w:t>A</w:t>
      </w:r>
      <w:r w:rsidR="00940CAD">
        <w:t>) Similarly, ORP4 half-life correlates with OSBP, in that it is over 24 hours in the HCT116 cell line (</w:t>
      </w:r>
      <w:r w:rsidR="00940CAD" w:rsidRPr="00A841B4">
        <w:rPr>
          <w:b/>
        </w:rPr>
        <w:fldChar w:fldCharType="begin"/>
      </w:r>
      <w:r w:rsidR="00940CAD" w:rsidRPr="00A841B4">
        <w:rPr>
          <w:b/>
        </w:rPr>
        <w:instrText xml:space="preserve"> REF _Ref530072335 \h  \* MERGEFORMAT </w:instrText>
      </w:r>
      <w:r w:rsidR="00940CAD" w:rsidRPr="00A841B4">
        <w:rPr>
          <w:b/>
        </w:rPr>
      </w:r>
      <w:r w:rsidR="00940CAD" w:rsidRPr="00A841B4">
        <w:rPr>
          <w:b/>
        </w:rPr>
        <w:fldChar w:fldCharType="separate"/>
      </w:r>
      <w:r w:rsidR="00E2070A" w:rsidRPr="00E2070A">
        <w:rPr>
          <w:b/>
        </w:rPr>
        <w:t xml:space="preserve">Figure </w:t>
      </w:r>
      <w:r w:rsidR="00E2070A" w:rsidRPr="00E2070A">
        <w:rPr>
          <w:b/>
          <w:noProof/>
        </w:rPr>
        <w:t>61</w:t>
      </w:r>
      <w:r w:rsidR="00940CAD" w:rsidRPr="00A841B4">
        <w:rPr>
          <w:b/>
        </w:rPr>
        <w:fldChar w:fldCharType="end"/>
      </w:r>
      <w:r w:rsidR="00940CAD" w:rsidRPr="00A841B4">
        <w:rPr>
          <w:b/>
        </w:rPr>
        <w:t>B</w:t>
      </w:r>
      <w:r w:rsidR="00940CAD">
        <w:t>). This is the first reported protein turnover rate of OSBP and ORP4. The long lifespan of OSBP in cells indicates that the long-term, compound induced reduction of OSBP levels is not due to rapid cycling of the protein under normal conditions</w:t>
      </w:r>
      <w:r w:rsidR="00895AD7">
        <w:t xml:space="preserve"> (</w:t>
      </w:r>
      <w:r w:rsidR="00895AD7" w:rsidRPr="00A841B4">
        <w:rPr>
          <w:b/>
        </w:rPr>
        <w:fldChar w:fldCharType="begin"/>
      </w:r>
      <w:r w:rsidR="00895AD7" w:rsidRPr="00A841B4">
        <w:rPr>
          <w:b/>
        </w:rPr>
        <w:instrText xml:space="preserve"> REF _Ref530226858 \h </w:instrText>
      </w:r>
      <w:r w:rsidR="001B3703" w:rsidRPr="00A841B4">
        <w:rPr>
          <w:b/>
        </w:rPr>
        <w:instrText xml:space="preserve"> \* MERGEFORMAT </w:instrText>
      </w:r>
      <w:r w:rsidR="00895AD7" w:rsidRPr="00A841B4">
        <w:rPr>
          <w:b/>
        </w:rPr>
      </w:r>
      <w:r w:rsidR="00895AD7" w:rsidRPr="00A841B4">
        <w:rPr>
          <w:b/>
        </w:rPr>
        <w:fldChar w:fldCharType="separate"/>
      </w:r>
      <w:r w:rsidR="00E2070A" w:rsidRPr="00E2070A">
        <w:rPr>
          <w:b/>
        </w:rPr>
        <w:t xml:space="preserve">Figure </w:t>
      </w:r>
      <w:r w:rsidR="00E2070A" w:rsidRPr="00E2070A">
        <w:rPr>
          <w:b/>
          <w:noProof/>
        </w:rPr>
        <w:t>27</w:t>
      </w:r>
      <w:r w:rsidR="00895AD7" w:rsidRPr="00A841B4">
        <w:rPr>
          <w:b/>
        </w:rPr>
        <w:fldChar w:fldCharType="end"/>
      </w:r>
      <w:r w:rsidR="006212D9" w:rsidRPr="00A841B4">
        <w:rPr>
          <w:b/>
        </w:rPr>
        <w:t>A</w:t>
      </w:r>
      <w:r w:rsidR="006212D9">
        <w:t>)</w:t>
      </w:r>
      <w:r w:rsidR="00940CAD">
        <w:t>. The rapid reduction of OSBP upon OSW-1 treatment is not a standard cellular process,</w:t>
      </w:r>
      <w:r w:rsidR="00EA7996">
        <w:t xml:space="preserve"> but </w:t>
      </w:r>
      <w:r w:rsidR="00940CAD">
        <w:t xml:space="preserve">instead </w:t>
      </w:r>
      <w:r w:rsidR="00EA7996">
        <w:t>the</w:t>
      </w:r>
      <w:r w:rsidR="00940CAD">
        <w:t xml:space="preserve"> compound treatment causes a different process of OSBP regulation to become activated.</w:t>
      </w:r>
      <w:r w:rsidR="004D069C">
        <w:t xml:space="preserve"> </w:t>
      </w:r>
    </w:p>
    <w:p w:rsidR="004D069C" w:rsidRDefault="004D069C" w:rsidP="00FB099D">
      <w:pPr>
        <w:keepNext/>
        <w:jc w:val="both"/>
      </w:pPr>
      <w:r w:rsidRPr="004D069C">
        <w:rPr>
          <w:noProof/>
          <w:lang w:bidi="ar-SA"/>
        </w:rPr>
        <w:lastRenderedPageBreak/>
        <w:drawing>
          <wp:inline distT="0" distB="0" distL="0" distR="0" wp14:anchorId="75F06A49" wp14:editId="232A6204">
            <wp:extent cx="4333875" cy="5873750"/>
            <wp:effectExtent l="19050" t="19050" r="28575"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7967" t="4460" r="14674" b="9757"/>
                    <a:stretch/>
                  </pic:blipFill>
                  <pic:spPr bwMode="auto">
                    <a:xfrm>
                      <a:off x="0" y="0"/>
                      <a:ext cx="4333875" cy="58737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D069C" w:rsidRDefault="00A841B4" w:rsidP="00FB099D">
      <w:pPr>
        <w:pStyle w:val="Caption"/>
        <w:jc w:val="both"/>
        <w:rPr>
          <w:b w:val="0"/>
        </w:rPr>
      </w:pPr>
      <w:bookmarkStart w:id="161" w:name="_Ref530226858"/>
      <w:bookmarkStart w:id="162" w:name="_Toc530673952"/>
      <w:r w:rsidRPr="00A841B4">
        <w:t>Figure</w:t>
      </w:r>
      <w:r w:rsidR="004D069C">
        <w:t xml:space="preserve"> </w:t>
      </w:r>
      <w:fldSimple w:instr=" SEQ Figure \* ARABIC ">
        <w:r w:rsidR="00E2070A">
          <w:rPr>
            <w:noProof/>
          </w:rPr>
          <w:t>27</w:t>
        </w:r>
      </w:fldSimple>
      <w:bookmarkEnd w:id="161"/>
      <w:r w:rsidR="004D069C">
        <w:t xml:space="preserve">: </w:t>
      </w:r>
      <w:r w:rsidR="00582A00">
        <w:t xml:space="preserve">Sustained </w:t>
      </w:r>
      <w:r w:rsidR="004D069C" w:rsidRPr="004D069C">
        <w:t>OSBP loss is not due to rapid protein turnover</w:t>
      </w:r>
      <w:r w:rsidR="004D069C">
        <w:t xml:space="preserve">. </w:t>
      </w:r>
      <w:r w:rsidR="004D069C" w:rsidRPr="004D069C">
        <w:rPr>
          <w:b w:val="0"/>
        </w:rPr>
        <w:t xml:space="preserve">(A) OSBP half-life is over 24 hrs as determined by 178 </w:t>
      </w:r>
      <w:r w:rsidR="004D069C" w:rsidRPr="004D069C">
        <w:rPr>
          <w:rFonts w:ascii="Calibri" w:hAnsi="Calibri" w:cs="Calibri"/>
          <w:b w:val="0"/>
        </w:rPr>
        <w:t>µ</w:t>
      </w:r>
      <w:r w:rsidR="004D069C" w:rsidRPr="004D069C">
        <w:rPr>
          <w:b w:val="0"/>
        </w:rPr>
        <w:t>M cycloheximide while (B) p21 has a relatively short protein half-life and serves as a control.</w:t>
      </w:r>
      <w:r w:rsidR="00895AD7">
        <w:rPr>
          <w:b w:val="0"/>
        </w:rPr>
        <w:t xml:space="preserve"> (Full blots in</w:t>
      </w:r>
      <w:r w:rsidR="008120D0">
        <w:rPr>
          <w:b w:val="0"/>
        </w:rPr>
        <w:t xml:space="preserve"> </w:t>
      </w:r>
      <w:r w:rsidR="008120D0" w:rsidRPr="008120D0">
        <w:rPr>
          <w:b w:val="0"/>
        </w:rPr>
        <w:fldChar w:fldCharType="begin"/>
      </w:r>
      <w:r w:rsidR="008120D0" w:rsidRPr="008120D0">
        <w:rPr>
          <w:b w:val="0"/>
        </w:rPr>
        <w:instrText xml:space="preserve"> REF _Ref530245094 \h  \* MERGEFORMAT </w:instrText>
      </w:r>
      <w:r w:rsidR="008120D0" w:rsidRPr="008120D0">
        <w:rPr>
          <w:b w:val="0"/>
        </w:rPr>
      </w:r>
      <w:r w:rsidR="008120D0" w:rsidRPr="008120D0">
        <w:rPr>
          <w:b w:val="0"/>
        </w:rPr>
        <w:fldChar w:fldCharType="separate"/>
      </w:r>
      <w:r w:rsidR="00E2070A" w:rsidRPr="00A841B4">
        <w:t>Figure</w:t>
      </w:r>
      <w:r w:rsidR="00E2070A" w:rsidRPr="00E2070A">
        <w:rPr>
          <w:b w:val="0"/>
        </w:rPr>
        <w:t xml:space="preserve"> </w:t>
      </w:r>
      <w:r w:rsidR="00E2070A">
        <w:rPr>
          <w:noProof/>
        </w:rPr>
        <w:t>60</w:t>
      </w:r>
      <w:r w:rsidR="008120D0" w:rsidRPr="008120D0">
        <w:rPr>
          <w:b w:val="0"/>
        </w:rPr>
        <w:fldChar w:fldCharType="end"/>
      </w:r>
      <w:r w:rsidR="008120D0">
        <w:rPr>
          <w:b w:val="0"/>
        </w:rPr>
        <w:t>)</w:t>
      </w:r>
      <w:bookmarkEnd w:id="162"/>
      <w:r w:rsidR="00123068">
        <w:rPr>
          <w:b w:val="0"/>
        </w:rPr>
        <w:t>.</w:t>
      </w:r>
    </w:p>
    <w:p w:rsidR="00EA7996" w:rsidRDefault="00EA7996" w:rsidP="00FB099D">
      <w:pPr>
        <w:jc w:val="both"/>
      </w:pPr>
    </w:p>
    <w:p w:rsidR="00EA7996" w:rsidRPr="00EA7996" w:rsidRDefault="00940CAD" w:rsidP="00042529">
      <w:pPr>
        <w:pStyle w:val="Heading3"/>
      </w:pPr>
      <w:bookmarkStart w:id="163" w:name="_Toc532553135"/>
      <w:r>
        <w:t xml:space="preserve">OSBP mRNA </w:t>
      </w:r>
      <w:r w:rsidR="00EA7996" w:rsidRPr="00EA7996">
        <w:t xml:space="preserve">transcript </w:t>
      </w:r>
      <w:r w:rsidR="00582A00">
        <w:t>remains stable throughout washout recovery</w:t>
      </w:r>
      <w:r w:rsidR="00EA7996" w:rsidRPr="00EA7996">
        <w:t>.</w:t>
      </w:r>
      <w:bookmarkEnd w:id="163"/>
    </w:p>
    <w:p w:rsidR="003C608E" w:rsidRDefault="00940CAD" w:rsidP="00FB099D">
      <w:pPr>
        <w:ind w:firstLine="720"/>
        <w:jc w:val="both"/>
      </w:pPr>
      <w:r>
        <w:t xml:space="preserve">Since post-translational and translational repression are not responsible for the long-term repression of OSBP upon OSW-1 compound treatment, the effect of OSW-1 compound treatment on OSBP mRNA levels was determined. </w:t>
      </w:r>
      <w:r w:rsidR="00D20F1F" w:rsidRPr="00D20F1F">
        <w:t xml:space="preserve">RT-PCR analysis </w:t>
      </w:r>
      <w:r w:rsidR="00582A00">
        <w:t xml:space="preserve">using intron spanning primers </w:t>
      </w:r>
      <w:r w:rsidR="00D20F1F" w:rsidRPr="00D20F1F">
        <w:t>of the</w:t>
      </w:r>
      <w:r w:rsidR="00582A00">
        <w:t xml:space="preserve"> </w:t>
      </w:r>
      <w:r w:rsidR="00582A00">
        <w:lastRenderedPageBreak/>
        <w:t>OSBP</w:t>
      </w:r>
      <w:r w:rsidR="000E5593">
        <w:t xml:space="preserve"> mRNA</w:t>
      </w:r>
      <w:r>
        <w:t xml:space="preserve"> of OSW-1 compound </w:t>
      </w:r>
      <w:r w:rsidR="000E5593">
        <w:t xml:space="preserve">washout </w:t>
      </w:r>
      <w:r>
        <w:t xml:space="preserve">treated </w:t>
      </w:r>
      <w:r w:rsidR="000E5593">
        <w:t>cell</w:t>
      </w:r>
      <w:r>
        <w:t>s</w:t>
      </w:r>
      <w:r w:rsidR="00D20F1F" w:rsidRPr="00D20F1F">
        <w:t xml:space="preserve"> show that OSBP mRNA levels were </w:t>
      </w:r>
      <w:r>
        <w:t>are not changed relative to the DMSO vehicle control from 0-72 hours post washout</w:t>
      </w:r>
      <w:r w:rsidR="000E5593">
        <w:t xml:space="preserve"> (</w:t>
      </w:r>
      <w:r w:rsidR="000E5593" w:rsidRPr="00A841B4">
        <w:rPr>
          <w:b/>
        </w:rPr>
        <w:fldChar w:fldCharType="begin"/>
      </w:r>
      <w:r w:rsidR="000E5593" w:rsidRPr="00A841B4">
        <w:rPr>
          <w:b/>
        </w:rPr>
        <w:instrText xml:space="preserve"> REF _Ref530227571 \h  \* MERGEFORMAT </w:instrText>
      </w:r>
      <w:r w:rsidR="000E5593" w:rsidRPr="00A841B4">
        <w:rPr>
          <w:b/>
        </w:rPr>
      </w:r>
      <w:r w:rsidR="000E5593" w:rsidRPr="00A841B4">
        <w:rPr>
          <w:b/>
        </w:rPr>
        <w:fldChar w:fldCharType="separate"/>
      </w:r>
      <w:r w:rsidR="00E2070A" w:rsidRPr="00E2070A">
        <w:rPr>
          <w:b/>
        </w:rPr>
        <w:t xml:space="preserve">Figure </w:t>
      </w:r>
      <w:r w:rsidR="00E2070A" w:rsidRPr="00E2070A">
        <w:rPr>
          <w:b/>
          <w:noProof/>
        </w:rPr>
        <w:t>28</w:t>
      </w:r>
      <w:r w:rsidR="000E5593" w:rsidRPr="00A841B4">
        <w:rPr>
          <w:b/>
        </w:rPr>
        <w:fldChar w:fldCharType="end"/>
      </w:r>
      <w:r w:rsidR="000E5593" w:rsidRPr="00A841B4">
        <w:rPr>
          <w:b/>
        </w:rPr>
        <w:t>A</w:t>
      </w:r>
      <w:r w:rsidR="000E5593" w:rsidRPr="00D20F1F">
        <w:t>)</w:t>
      </w:r>
      <w:r w:rsidR="00D20F1F" w:rsidRPr="00D20F1F">
        <w:t>.</w:t>
      </w:r>
      <w:r>
        <w:t xml:space="preserve"> This result clearly shows that transcriptional repression of OSBP mRNA levels is not responsible for the long-term reduction of OSBP protein levels triggered by OSW-1 treatment.</w:t>
      </w:r>
    </w:p>
    <w:p w:rsidR="003C608E" w:rsidRDefault="00940CAD" w:rsidP="00042529">
      <w:pPr>
        <w:pStyle w:val="Heading3"/>
      </w:pPr>
      <w:bookmarkStart w:id="164" w:name="_Toc532553136"/>
      <w:r>
        <w:t>OSW-1 Compound Triggered Long-term Reduction of OSBP Levels is Specific for OSBP and Not a General Proteome Reduction</w:t>
      </w:r>
      <w:bookmarkEnd w:id="164"/>
    </w:p>
    <w:p w:rsidR="0015171B" w:rsidRDefault="003C608E" w:rsidP="00FB099D">
      <w:pPr>
        <w:ind w:firstLine="720"/>
        <w:jc w:val="both"/>
      </w:pPr>
      <w:r>
        <w:t xml:space="preserve">Cellular iTRAQ proteomic analysis demonstrates that the </w:t>
      </w:r>
      <w:r w:rsidR="007A587E">
        <w:t>OSW-1 compound</w:t>
      </w:r>
      <w:r w:rsidR="000E5593">
        <w:t xml:space="preserve"> washout treatment in HEK</w:t>
      </w:r>
      <w:r>
        <w:t>293 cells does not induce broad degra</w:t>
      </w:r>
      <w:r w:rsidR="0005398D">
        <w:t>dation of cellular proteins (</w:t>
      </w:r>
      <w:r w:rsidR="0005398D" w:rsidRPr="00A841B4">
        <w:rPr>
          <w:b/>
        </w:rPr>
        <w:fldChar w:fldCharType="begin"/>
      </w:r>
      <w:r w:rsidR="0005398D" w:rsidRPr="00A841B4">
        <w:rPr>
          <w:b/>
        </w:rPr>
        <w:instrText xml:space="preserve"> REF _Ref530227571 \h </w:instrText>
      </w:r>
      <w:r w:rsidR="001B3703" w:rsidRPr="00A841B4">
        <w:rPr>
          <w:b/>
        </w:rPr>
        <w:instrText xml:space="preserve"> \* MERGEFORMAT </w:instrText>
      </w:r>
      <w:r w:rsidR="0005398D" w:rsidRPr="00A841B4">
        <w:rPr>
          <w:b/>
        </w:rPr>
      </w:r>
      <w:r w:rsidR="0005398D" w:rsidRPr="00A841B4">
        <w:rPr>
          <w:b/>
        </w:rPr>
        <w:fldChar w:fldCharType="separate"/>
      </w:r>
      <w:r w:rsidR="00E2070A" w:rsidRPr="00E2070A">
        <w:rPr>
          <w:b/>
        </w:rPr>
        <w:t xml:space="preserve">Figure </w:t>
      </w:r>
      <w:r w:rsidR="00E2070A" w:rsidRPr="00E2070A">
        <w:rPr>
          <w:b/>
          <w:noProof/>
        </w:rPr>
        <w:t>28</w:t>
      </w:r>
      <w:r w:rsidR="0005398D" w:rsidRPr="00A841B4">
        <w:rPr>
          <w:b/>
        </w:rPr>
        <w:fldChar w:fldCharType="end"/>
      </w:r>
      <w:r w:rsidR="0005398D" w:rsidRPr="00A841B4">
        <w:rPr>
          <w:b/>
        </w:rPr>
        <w:t>B &amp; C</w:t>
      </w:r>
      <w:r>
        <w:t>). Only a few of the (469) proteins confidently identified and quantified in the iTRAQ experiment showed significant changes in measure</w:t>
      </w:r>
      <w:r w:rsidR="000E5593">
        <w:t>d level (p &lt;0.05) at 24-hour post-washout</w:t>
      </w:r>
      <w:r>
        <w:t xml:space="preserve">, and the expression levels for these proteins return to levels similar to the vehicle control </w:t>
      </w:r>
      <w:r w:rsidR="000E5593">
        <w:t>at 72-hour post-washout</w:t>
      </w:r>
      <w:r>
        <w:t xml:space="preserve">. The top three most significantly changed proteins are: PEBP1 (phosphatidylethanolamine-binding protein 1), a negative regulator of autophagy and RAF kinase inhibitor; RPL13 (60s </w:t>
      </w:r>
      <w:r w:rsidRPr="003C608E">
        <w:t>Ribosomal Protein L13), a component of the large ribosome; and EIF4G1, a eukaryotic translation initiation scaffold protein. At the</w:t>
      </w:r>
      <w:r w:rsidR="000E5593">
        <w:t xml:space="preserve"> 24-hour recovery time point post-washout</w:t>
      </w:r>
      <w:r w:rsidRPr="003C608E">
        <w:t>, many of the quantified proteins exhibit a small non-significant (p&gt;0.05) reduction in expression levels (</w:t>
      </w:r>
      <w:r w:rsidR="0005398D" w:rsidRPr="00A841B4">
        <w:rPr>
          <w:b/>
        </w:rPr>
        <w:fldChar w:fldCharType="begin"/>
      </w:r>
      <w:r w:rsidR="0005398D" w:rsidRPr="00A841B4">
        <w:rPr>
          <w:b/>
        </w:rPr>
        <w:instrText xml:space="preserve"> REF _Ref530227571 \h </w:instrText>
      </w:r>
      <w:r w:rsidR="001B3703" w:rsidRPr="00A841B4">
        <w:rPr>
          <w:b/>
        </w:rPr>
        <w:instrText xml:space="preserve"> \* MERGEFORMAT </w:instrText>
      </w:r>
      <w:r w:rsidR="0005398D" w:rsidRPr="00A841B4">
        <w:rPr>
          <w:b/>
        </w:rPr>
      </w:r>
      <w:r w:rsidR="0005398D" w:rsidRPr="00A841B4">
        <w:rPr>
          <w:b/>
        </w:rPr>
        <w:fldChar w:fldCharType="separate"/>
      </w:r>
      <w:r w:rsidR="00E2070A" w:rsidRPr="00E2070A">
        <w:rPr>
          <w:b/>
        </w:rPr>
        <w:t xml:space="preserve">Figure </w:t>
      </w:r>
      <w:r w:rsidR="00E2070A" w:rsidRPr="00E2070A">
        <w:rPr>
          <w:b/>
          <w:noProof/>
        </w:rPr>
        <w:t>28</w:t>
      </w:r>
      <w:r w:rsidR="0005398D" w:rsidRPr="00A841B4">
        <w:rPr>
          <w:b/>
        </w:rPr>
        <w:fldChar w:fldCharType="end"/>
      </w:r>
      <w:r w:rsidRPr="00A841B4">
        <w:rPr>
          <w:b/>
        </w:rPr>
        <w:t>C</w:t>
      </w:r>
      <w:r w:rsidR="000B42FB" w:rsidRPr="00A841B4">
        <w:rPr>
          <w:b/>
        </w:rPr>
        <w:t xml:space="preserve"> &amp; D</w:t>
      </w:r>
      <w:r w:rsidRPr="003C608E">
        <w:t xml:space="preserve">), which might indicate a possible </w:t>
      </w:r>
      <w:r w:rsidR="000E5593">
        <w:t>decrease</w:t>
      </w:r>
      <w:r w:rsidRPr="003C608E">
        <w:t xml:space="preserve"> in translation</w:t>
      </w:r>
      <w:r w:rsidR="000E5593">
        <w:t xml:space="preserve"> rate</w:t>
      </w:r>
      <w:r w:rsidRPr="003C608E">
        <w:t xml:space="preserve">.  The statistically significant (p &lt;0.05) decrease in the proteins RPL13, EIF4G1, EEF1A2, DARS2, which are involved in multiple levels of protein translation, could contribute to the general, non-significant reduction of many identified proteins 24 </w:t>
      </w:r>
      <w:r w:rsidR="000B42FB">
        <w:t xml:space="preserve">hours </w:t>
      </w:r>
      <w:r w:rsidR="000E5593">
        <w:t>post-washout</w:t>
      </w:r>
      <w:r w:rsidRPr="003C608E">
        <w:t xml:space="preserve">. The iTRAQ results, in combination with the lack of cytotoxicity and growth arrest in the </w:t>
      </w:r>
      <w:r w:rsidR="007A587E">
        <w:t>OSW-1 compound</w:t>
      </w:r>
      <w:r w:rsidRPr="003C608E">
        <w:t xml:space="preserve"> washout experiment (</w:t>
      </w:r>
      <w:r w:rsidR="0005398D">
        <w:fldChar w:fldCharType="begin"/>
      </w:r>
      <w:r w:rsidR="0005398D">
        <w:instrText xml:space="preserve"> REF _Ref530134120 \h </w:instrText>
      </w:r>
      <w:r w:rsidR="001B3703">
        <w:instrText xml:space="preserve"> \* MERGEFORMAT </w:instrText>
      </w:r>
      <w:r w:rsidR="0005398D">
        <w:fldChar w:fldCharType="separate"/>
      </w:r>
      <w:r w:rsidR="00E2070A" w:rsidRPr="00E2070A">
        <w:rPr>
          <w:b/>
        </w:rPr>
        <w:t>Figure</w:t>
      </w:r>
      <w:r w:rsidR="00E2070A">
        <w:t xml:space="preserve"> </w:t>
      </w:r>
      <w:r w:rsidR="00E2070A" w:rsidRPr="00E2070A">
        <w:rPr>
          <w:b/>
          <w:noProof/>
        </w:rPr>
        <w:t>21</w:t>
      </w:r>
      <w:r w:rsidR="0005398D">
        <w:fldChar w:fldCharType="end"/>
      </w:r>
      <w:r w:rsidR="000E5593">
        <w:t>), indicate</w:t>
      </w:r>
      <w:r w:rsidRPr="003C608E">
        <w:t xml:space="preserve"> t</w:t>
      </w:r>
      <w:r w:rsidR="000E5593">
        <w:t>hat the reduction of OSBP</w:t>
      </w:r>
      <w:r w:rsidRPr="003C608E">
        <w:t xml:space="preserve"> is targeted for that specific protein and </w:t>
      </w:r>
      <w:r w:rsidR="000E5593">
        <w:t xml:space="preserve">is </w:t>
      </w:r>
      <w:r w:rsidRPr="003C608E">
        <w:t xml:space="preserve">not the result of a widespread reduction of </w:t>
      </w:r>
      <w:r w:rsidR="0005398D" w:rsidRPr="0026786B">
        <w:rPr>
          <w:b/>
          <w:noProof/>
          <w:lang w:bidi="ar-SA"/>
        </w:rPr>
        <w:lastRenderedPageBreak/>
        <w:drawing>
          <wp:inline distT="0" distB="0" distL="0" distR="0" wp14:anchorId="2BFEF1B8" wp14:editId="6E8BF782">
            <wp:extent cx="4916319" cy="6010275"/>
            <wp:effectExtent l="19050" t="19050" r="1778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4947303" cy="6048153"/>
                    </a:xfrm>
                    <a:prstGeom prst="rect">
                      <a:avLst/>
                    </a:prstGeom>
                    <a:ln>
                      <a:solidFill>
                        <a:schemeClr val="tx1"/>
                      </a:solidFill>
                    </a:ln>
                  </pic:spPr>
                </pic:pic>
              </a:graphicData>
            </a:graphic>
          </wp:inline>
        </w:drawing>
      </w:r>
      <w:r w:rsidR="00895AD7">
        <w:rPr>
          <w:noProof/>
          <w:lang w:bidi="ar-SA"/>
        </w:rPr>
        <mc:AlternateContent>
          <mc:Choice Requires="wps">
            <w:drawing>
              <wp:inline distT="0" distB="0" distL="0" distR="0" wp14:anchorId="0AA32400" wp14:editId="2FA8CB86">
                <wp:extent cx="5285105" cy="635"/>
                <wp:effectExtent l="0" t="0" r="0" b="0"/>
                <wp:docPr id="49" name="Text Box 49"/>
                <wp:cNvGraphicFramePr/>
                <a:graphic xmlns:a="http://schemas.openxmlformats.org/drawingml/2006/main">
                  <a:graphicData uri="http://schemas.microsoft.com/office/word/2010/wordprocessingShape">
                    <wps:wsp>
                      <wps:cNvSpPr txBox="1"/>
                      <wps:spPr>
                        <a:xfrm>
                          <a:off x="0" y="0"/>
                          <a:ext cx="5285105" cy="635"/>
                        </a:xfrm>
                        <a:prstGeom prst="rect">
                          <a:avLst/>
                        </a:prstGeom>
                        <a:solidFill>
                          <a:prstClr val="white"/>
                        </a:solidFill>
                        <a:ln>
                          <a:noFill/>
                        </a:ln>
                      </wps:spPr>
                      <wps:txbx>
                        <w:txbxContent>
                          <w:p w:rsidR="00D9132A" w:rsidRPr="00357203" w:rsidRDefault="00D9132A" w:rsidP="00E87672">
                            <w:pPr>
                              <w:pStyle w:val="Caption"/>
                              <w:jc w:val="both"/>
                              <w:rPr>
                                <w:b w:val="0"/>
                                <w:szCs w:val="24"/>
                              </w:rPr>
                            </w:pPr>
                            <w:bookmarkStart w:id="165" w:name="_Ref530227571"/>
                            <w:bookmarkStart w:id="166" w:name="_Toc530673953"/>
                            <w:r w:rsidRPr="00A841B4">
                              <w:t>Figure</w:t>
                            </w:r>
                            <w:r>
                              <w:t xml:space="preserve"> </w:t>
                            </w:r>
                            <w:fldSimple w:instr=" SEQ Figure \* ARABIC ">
                              <w:r w:rsidR="00E2070A">
                                <w:rPr>
                                  <w:noProof/>
                                </w:rPr>
                                <w:t>28</w:t>
                              </w:r>
                            </w:fldSimple>
                            <w:bookmarkEnd w:id="165"/>
                            <w:r>
                              <w:t>: OSW-1 compound</w:t>
                            </w:r>
                            <w:r w:rsidRPr="00895AD7">
                              <w:t xml:space="preserve"> washout does not induce OSBP transcript loss or wide-spread protein loss. </w:t>
                            </w:r>
                            <w:r w:rsidRPr="0005398D">
                              <w:rPr>
                                <w:b w:val="0"/>
                              </w:rPr>
                              <w:t xml:space="preserve">(A) RT-PCR quantification of OSBP mRNA levels shows no reduction in transcript up to 72-hour pWO during the OSW-1 washout experiment (6-hour, 1 nM treatment) in HCT116 cells. (B) iTRAQ LC/MS/MS analysis (n=3) of </w:t>
                            </w:r>
                            <w:r>
                              <w:rPr>
                                <w:b w:val="0"/>
                              </w:rPr>
                              <w:t>OSW-1 compound</w:t>
                            </w:r>
                            <w:r w:rsidRPr="0005398D">
                              <w:rPr>
                                <w:b w:val="0"/>
                              </w:rPr>
                              <w:t xml:space="preserve"> treated lysates relative to vehicle control. All significantly changed proteins were decreased (24-hour pWO), except for SSBP1 (Single Stranded Binding Protein 1), which showed a slight increase in protein levels 72-hour pWO. (C) Table of proteins with significant changes (&lt;0.05). Trend shows significant deviation from vehicle control protein levels after 24-hour pWO and begin to return to control levels 72-hour pWO. </w:t>
                            </w:r>
                            <w:r>
                              <w:rPr>
                                <w:b w:val="0"/>
                              </w:rPr>
                              <w:t>iTRAQ analysis was conducted</w:t>
                            </w:r>
                            <w:r w:rsidRPr="0005398D">
                              <w:rPr>
                                <w:b w:val="0"/>
                              </w:rPr>
                              <w:t xml:space="preserve"> by Mr. Zachery Severance and analyzed by Dr. Si Wu’s lab.</w:t>
                            </w:r>
                            <w:bookmarkEnd w:id="166"/>
                            <w:r>
                              <w:rPr>
                                <w:b w:val="0"/>
                              </w:rPr>
                              <w:t xml:space="preserve"> The author had no contribution to producing the iTRAQ results.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0AA32400" id="Text Box 49" o:spid="_x0000_s1029" type="#_x0000_t202" style="width:416.1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" stroked="f">
                <v:textbox style="mso-fit-shape-to-text:t" inset="0,0,0,0">
                  <w:txbxContent>
                    <w:p w:rsidR="00D9132A" w:rsidRPr="00357203" w:rsidRDefault="00D9132A" w:rsidP="00E87672">
                      <w:pPr>
                        <w:pStyle w:val="Caption"/>
                        <w:jc w:val="both"/>
                        <w:rPr>
                          <w:b w:val="0"/>
                          <w:szCs w:val="24"/>
                        </w:rPr>
                      </w:pPr>
                      <w:bookmarkStart w:id="167" w:name="_Ref530227571"/>
                      <w:bookmarkStart w:id="168" w:name="_Toc530673953"/>
                      <w:r w:rsidRPr="00A841B4">
                        <w:t>Figure</w:t>
                      </w:r>
                      <w:r>
                        <w:t xml:space="preserve"> </w:t>
                      </w:r>
                      <w:fldSimple w:instr=" SEQ Figure \* ARABIC ">
                        <w:r w:rsidR="00E2070A">
                          <w:rPr>
                            <w:noProof/>
                          </w:rPr>
                          <w:t>28</w:t>
                        </w:r>
                      </w:fldSimple>
                      <w:bookmarkEnd w:id="167"/>
                      <w:r>
                        <w:t>: OSW-1 compound</w:t>
                      </w:r>
                      <w:r w:rsidRPr="00895AD7">
                        <w:t xml:space="preserve"> washout does not induce OSBP transcript loss or wide-spread protein loss. </w:t>
                      </w:r>
                      <w:r w:rsidRPr="0005398D">
                        <w:rPr>
                          <w:b w:val="0"/>
                        </w:rPr>
                        <w:t xml:space="preserve">(A) RT-PCR quantification of OSBP mRNA levels shows no reduction in transcript up to 72-hour pWO during the OSW-1 washout experiment (6-hour, 1 nM treatment) in HCT116 cells. (B) iTRAQ LC/MS/MS analysis (n=3) of </w:t>
                      </w:r>
                      <w:r>
                        <w:rPr>
                          <w:b w:val="0"/>
                        </w:rPr>
                        <w:t>OSW-1 compound</w:t>
                      </w:r>
                      <w:r w:rsidRPr="0005398D">
                        <w:rPr>
                          <w:b w:val="0"/>
                        </w:rPr>
                        <w:t xml:space="preserve"> treated lysates relative to vehicle control. All significantly changed proteins were decreased (24-hour pWO), except for SSBP1 (Single Stranded Binding Protein 1), which showed a slight increase in protein levels 72-hour pWO. (C) Table of proteins with significant changes (&lt;0.05). Trend shows significant deviation from vehicle control protein levels after 24-hour pWO and begin to return to control levels 72-hour pWO. </w:t>
                      </w:r>
                      <w:r>
                        <w:rPr>
                          <w:b w:val="0"/>
                        </w:rPr>
                        <w:t>iTRAQ analysis was conducted</w:t>
                      </w:r>
                      <w:r w:rsidRPr="0005398D">
                        <w:rPr>
                          <w:b w:val="0"/>
                        </w:rPr>
                        <w:t xml:space="preserve"> by Mr. Zachery Severance and analyzed by Dr. Si Wu’s lab.</w:t>
                      </w:r>
                      <w:bookmarkEnd w:id="168"/>
                      <w:r>
                        <w:rPr>
                          <w:b w:val="0"/>
                        </w:rPr>
                        <w:t xml:space="preserve"> The author had no contribution to producing the iTRAQ results.</w:t>
                      </w:r>
                    </w:p>
                  </w:txbxContent>
                </v:textbox>
                <w10:anchorlock/>
              </v:shape>
            </w:pict>
          </mc:Fallback>
        </mc:AlternateContent>
      </w:r>
    </w:p>
    <w:p w:rsidR="003C608E" w:rsidRDefault="003C608E" w:rsidP="0015171B">
      <w:pPr>
        <w:jc w:val="both"/>
      </w:pPr>
      <w:r w:rsidRPr="003C608E">
        <w:lastRenderedPageBreak/>
        <w:t>cellular proteins.</w:t>
      </w:r>
      <w:r w:rsidR="000B42FB">
        <w:t xml:space="preserve"> </w:t>
      </w:r>
      <w:r w:rsidR="000B42FB" w:rsidRPr="000B42FB">
        <w:t xml:space="preserve">Taken together, these results suggest a </w:t>
      </w:r>
      <w:r w:rsidR="00582A00">
        <w:t xml:space="preserve">possible </w:t>
      </w:r>
      <w:r w:rsidR="000B42FB" w:rsidRPr="000B42FB">
        <w:t>unique method of long-term prote</w:t>
      </w:r>
      <w:r w:rsidR="000E5593">
        <w:t>in reduction</w:t>
      </w:r>
      <w:r w:rsidR="000B42FB" w:rsidRPr="000B42FB">
        <w:t xml:space="preserve"> that cannot be fully explained by a single mechanism.</w:t>
      </w:r>
    </w:p>
    <w:p w:rsidR="00A512BB" w:rsidRDefault="00A512BB" w:rsidP="00FB099D">
      <w:pPr>
        <w:pStyle w:val="Heading2"/>
      </w:pPr>
      <w:bookmarkStart w:id="169" w:name="_Toc532553137"/>
      <w:r w:rsidRPr="00A512BB">
        <w:t>Discussion</w:t>
      </w:r>
      <w:bookmarkEnd w:id="169"/>
    </w:p>
    <w:p w:rsidR="00A512BB" w:rsidRPr="00D9132A" w:rsidRDefault="00A512BB" w:rsidP="00D9132A">
      <w:pPr>
        <w:ind w:firstLine="720"/>
        <w:rPr>
          <w:b/>
        </w:rPr>
      </w:pPr>
      <w:r>
        <w:t>The initial degradation of OSBP due to OSW-1 treatment is proteasome dependent as suggested by the protection afforded by the proteasome a</w:t>
      </w:r>
      <w:r w:rsidR="0005398D">
        <w:t>nd calpain inhibitors (</w:t>
      </w:r>
      <w:r w:rsidR="00D9132A" w:rsidRPr="00D9132A">
        <w:rPr>
          <w:b/>
        </w:rPr>
        <w:fldChar w:fldCharType="begin"/>
      </w:r>
      <w:r w:rsidR="00D9132A" w:rsidRPr="00D9132A">
        <w:rPr>
          <w:b/>
        </w:rPr>
        <w:instrText xml:space="preserve"> REF _Ref532556761 \h </w:instrText>
      </w:r>
      <w:r w:rsidR="00D9132A" w:rsidRPr="00D9132A">
        <w:rPr>
          <w:b/>
        </w:rPr>
      </w:r>
      <w:r w:rsidR="00D9132A" w:rsidRPr="00D9132A">
        <w:rPr>
          <w:b/>
        </w:rPr>
        <w:instrText xml:space="preserve"> \* MERGEFORMAT </w:instrText>
      </w:r>
      <w:r w:rsidR="00D9132A" w:rsidRPr="00D9132A">
        <w:rPr>
          <w:b/>
        </w:rPr>
        <w:fldChar w:fldCharType="separate"/>
      </w:r>
      <w:r w:rsidR="00E2070A" w:rsidRPr="00E2070A">
        <w:rPr>
          <w:b/>
        </w:rPr>
        <w:t xml:space="preserve">Figure </w:t>
      </w:r>
      <w:r w:rsidR="00E2070A" w:rsidRPr="00E2070A">
        <w:rPr>
          <w:b/>
          <w:noProof/>
        </w:rPr>
        <w:t>25</w:t>
      </w:r>
      <w:r w:rsidR="00D9132A" w:rsidRPr="00D9132A">
        <w:rPr>
          <w:b/>
        </w:rPr>
        <w:fldChar w:fldCharType="end"/>
      </w:r>
      <w:r w:rsidRPr="00A841B4">
        <w:rPr>
          <w:b/>
        </w:rPr>
        <w:t>A</w:t>
      </w:r>
      <w:r>
        <w:t>). While the initial loss of the protein is b</w:t>
      </w:r>
      <w:r w:rsidR="00F16961">
        <w:t>y the proteasome, the reduction seen during the post-washout recovery</w:t>
      </w:r>
      <w:r>
        <w:t xml:space="preserve"> cannot be fully explained by these mechanisms. Addition of proteasome and calpain inhibitors during the recovery phase </w:t>
      </w:r>
      <w:r w:rsidR="00940CAD">
        <w:t>after OSW-1 compound washout did not rescue OSBP levels</w:t>
      </w:r>
      <w:r w:rsidR="005C5180">
        <w:t xml:space="preserve"> completely, but did show some protective effects resulting in more accumulation of OSBP during recovery</w:t>
      </w:r>
      <w:r w:rsidR="0005398D">
        <w:t xml:space="preserve"> (</w:t>
      </w:r>
      <w:r w:rsidR="00D9132A" w:rsidRPr="00D9132A">
        <w:rPr>
          <w:b/>
        </w:rPr>
        <w:fldChar w:fldCharType="begin"/>
      </w:r>
      <w:r w:rsidR="00D9132A" w:rsidRPr="00D9132A">
        <w:rPr>
          <w:b/>
        </w:rPr>
        <w:instrText xml:space="preserve"> REF _Ref532556761 \h </w:instrText>
      </w:r>
      <w:r w:rsidR="00D9132A" w:rsidRPr="00D9132A">
        <w:rPr>
          <w:b/>
        </w:rPr>
      </w:r>
      <w:r w:rsidR="00D9132A" w:rsidRPr="00D9132A">
        <w:rPr>
          <w:b/>
        </w:rPr>
        <w:instrText xml:space="preserve"> \* MERGEFORMAT </w:instrText>
      </w:r>
      <w:r w:rsidR="00D9132A" w:rsidRPr="00D9132A">
        <w:rPr>
          <w:b/>
        </w:rPr>
        <w:fldChar w:fldCharType="separate"/>
      </w:r>
      <w:r w:rsidR="00E2070A" w:rsidRPr="00E2070A">
        <w:rPr>
          <w:b/>
        </w:rPr>
        <w:t xml:space="preserve">Figure </w:t>
      </w:r>
      <w:r w:rsidR="00E2070A" w:rsidRPr="00E2070A">
        <w:rPr>
          <w:b/>
          <w:noProof/>
        </w:rPr>
        <w:t>25</w:t>
      </w:r>
      <w:r w:rsidR="00D9132A" w:rsidRPr="00D9132A">
        <w:rPr>
          <w:b/>
        </w:rPr>
        <w:fldChar w:fldCharType="end"/>
      </w:r>
      <w:r w:rsidRPr="00A841B4">
        <w:rPr>
          <w:b/>
        </w:rPr>
        <w:t>B</w:t>
      </w:r>
      <w:r>
        <w:t>). This suggest</w:t>
      </w:r>
      <w:r w:rsidR="00F16961">
        <w:t>s</w:t>
      </w:r>
      <w:r>
        <w:t xml:space="preserve"> that either the proteasome is only partial</w:t>
      </w:r>
      <w:r w:rsidR="00F16961">
        <w:t>ly responsible</w:t>
      </w:r>
      <w:r>
        <w:t xml:space="preserve"> </w:t>
      </w:r>
      <w:r w:rsidR="00F16961">
        <w:t>for</w:t>
      </w:r>
      <w:r>
        <w:t xml:space="preserve"> </w:t>
      </w:r>
      <w:r w:rsidR="00F16961">
        <w:t xml:space="preserve">the long-term </w:t>
      </w:r>
      <w:r w:rsidR="00940CAD">
        <w:t xml:space="preserve">OSBP </w:t>
      </w:r>
      <w:r>
        <w:t>re</w:t>
      </w:r>
      <w:r w:rsidR="00F16961">
        <w:t xml:space="preserve">duction, or the OSW-1 induced cellular mechanism is disrupted by </w:t>
      </w:r>
      <w:r>
        <w:t xml:space="preserve">these compounds </w:t>
      </w:r>
      <w:r w:rsidR="00F16961">
        <w:t xml:space="preserve">and </w:t>
      </w:r>
      <w:r>
        <w:t xml:space="preserve">triggers small amounts of expression. </w:t>
      </w:r>
      <w:r w:rsidR="00F16961">
        <w:t>The</w:t>
      </w:r>
      <w:r>
        <w:t xml:space="preserve"> calpain inhibitor ALLN protects OSBP to the same extent as the proteasome inhibitor bortezomib during continual treatment </w:t>
      </w:r>
      <w:r w:rsidR="00F16961">
        <w:t>which is potentially due</w:t>
      </w:r>
      <w:r>
        <w:t xml:space="preserve"> the promiscuity of the compound. ALLN can inhibit most major proteases and has a Ki of 6 µM for the proteasome</w:t>
      </w:r>
      <w:r>
        <w:fldChar w:fldCharType="begin" w:fldLock="1"/>
      </w:r>
      <w:r w:rsidR="005F35B5">
        <w:instrText>ADDIN CSL_CITATION {"citationItems":[{"id":"ITEM-1","itemData":{"DOI":"10.1016/S1074-5521(01)00056-4","ISBN":"1074-5521","ISSN":"10745521","PMID":"11514224","abstract":"The 26S proteasome is a 2.4 MDa multifunctional ATP-dependent proteolytic complex, which degrades the majority of cellular polypeptides by an unusual enzyme mechanism. Several groups of proteasome inhibitors have been developed and are now widely used as research tools to study the role of the ubiquitin^ proteasome pathway in various cellular processes, and two inhibitors are now in clinical trials for treatment of multiple cancers and stroke.","author":[{"dropping-particle":"","family":"Kisselev","given":"Alexei F.","non-dropping-particle":"","parse-names":false,"suffix":""},{"dropping-particle":"","family":"Goldberg","given":"Alfred L.","non-dropping-particle":"","parse-names":false,"suffix":""}],"container-title":"Chemistry &amp; Biology","id":"ITEM-1","issue":"8","issued":{"date-parts":[["2001"]]},"page":"739-758","title":"Proteasome inhibitors: from research tools to drug candidates","type":"article-journal","volume":"8"},"uris":["http://www.mendeley.com/documents/?uuid=53dd6faa-9622-4725-a5c0-927eb53431c9"]}],"mendeley":{"formattedCitation":"(168)","plainTextFormattedCitation":"(168)","previouslyFormattedCitation":"(168)"},"properties":{"noteIndex":0},"schema":"https://github.com/citation-style-language/schema/raw/master/csl-citation.json"}</w:instrText>
      </w:r>
      <w:r>
        <w:fldChar w:fldCharType="separate"/>
      </w:r>
      <w:r w:rsidR="003D4B48" w:rsidRPr="003D4B48">
        <w:rPr>
          <w:noProof/>
        </w:rPr>
        <w:t>(168)</w:t>
      </w:r>
      <w:r>
        <w:fldChar w:fldCharType="end"/>
      </w:r>
      <w:r>
        <w:t xml:space="preserve">. The treatment concentration of 10 µM </w:t>
      </w:r>
      <w:r w:rsidR="006A6E20">
        <w:t>c</w:t>
      </w:r>
      <w:r>
        <w:t>ould inhibit not only calpain activity but also that of the proteasome. This overlap of inhibition helps to reconfirm the idea that neither proteolysis method is responsible for the long-term loss of OSBP.</w:t>
      </w:r>
    </w:p>
    <w:p w:rsidR="0026786B" w:rsidRPr="004578F9" w:rsidRDefault="00A512BB" w:rsidP="004578F9">
      <w:pPr>
        <w:ind w:firstLine="720"/>
        <w:jc w:val="both"/>
        <w:rPr>
          <w:b/>
        </w:rPr>
      </w:pPr>
      <w:r>
        <w:t xml:space="preserve">Cycloheximide </w:t>
      </w:r>
      <w:r w:rsidR="00244696">
        <w:t xml:space="preserve">chase experiments found </w:t>
      </w:r>
      <w:r>
        <w:t xml:space="preserve">that the half-life </w:t>
      </w:r>
      <w:r w:rsidR="0005398D">
        <w:t>of OSBP is over 24 hours (</w:t>
      </w:r>
      <w:r w:rsidR="0005398D" w:rsidRPr="00A841B4">
        <w:rPr>
          <w:b/>
        </w:rPr>
        <w:fldChar w:fldCharType="begin"/>
      </w:r>
      <w:r w:rsidR="0005398D" w:rsidRPr="00A841B4">
        <w:rPr>
          <w:b/>
        </w:rPr>
        <w:instrText xml:space="preserve"> REF _Ref530226858 \h </w:instrText>
      </w:r>
      <w:r w:rsidR="001B3703" w:rsidRPr="00A841B4">
        <w:rPr>
          <w:b/>
        </w:rPr>
        <w:instrText xml:space="preserve"> \* MERGEFORMAT </w:instrText>
      </w:r>
      <w:r w:rsidR="0005398D" w:rsidRPr="00A841B4">
        <w:rPr>
          <w:b/>
        </w:rPr>
      </w:r>
      <w:r w:rsidR="0005398D" w:rsidRPr="00A841B4">
        <w:rPr>
          <w:b/>
        </w:rPr>
        <w:fldChar w:fldCharType="separate"/>
      </w:r>
      <w:r w:rsidR="00E2070A" w:rsidRPr="00E2070A">
        <w:rPr>
          <w:b/>
        </w:rPr>
        <w:t xml:space="preserve">Figure </w:t>
      </w:r>
      <w:r w:rsidR="00E2070A" w:rsidRPr="00E2070A">
        <w:rPr>
          <w:b/>
          <w:noProof/>
        </w:rPr>
        <w:t>27</w:t>
      </w:r>
      <w:r w:rsidR="0005398D" w:rsidRPr="00A841B4">
        <w:rPr>
          <w:b/>
        </w:rPr>
        <w:fldChar w:fldCharType="end"/>
      </w:r>
      <w:r w:rsidRPr="00A841B4">
        <w:rPr>
          <w:b/>
        </w:rPr>
        <w:t>A</w:t>
      </w:r>
      <w:r w:rsidR="00244696">
        <w:t>),</w:t>
      </w:r>
      <w:r>
        <w:t xml:space="preserve"> </w:t>
      </w:r>
      <w:r w:rsidR="00244696">
        <w:t>which is considered standard because</w:t>
      </w:r>
      <w:r>
        <w:t xml:space="preserve"> most of the proteome </w:t>
      </w:r>
      <w:r w:rsidR="00244696">
        <w:t>has a half-life</w:t>
      </w:r>
      <w:r>
        <w:t xml:space="preserve"> between 20 and 40 hours</w:t>
      </w:r>
      <w:r w:rsidR="00B96547">
        <w:fldChar w:fldCharType="begin" w:fldLock="1"/>
      </w:r>
      <w:r w:rsidR="0057639C">
        <w:instrText>ADDIN CSL_CITATION {"citationItems":[{"id":"ITEM-1","itemData":{"DOI":"10.1021/pr101183k","ISBN":"1535-3893","ISSN":"15353893","PMID":"22050367","abstract":"The turnover of each protein in the mammalian proteome is a functionally important characteristic. Here, we employed high-resolution mass spectrometry to quantify protein dynamics in nondividing mammalian cells. The ratio of externally supplied versus endogenous amino acids to de novo protein synthesis was about 17:1. Using subsaturating SILAC labeling, we obtained accurate turnover rates of 4106 proteins in HeLa and 3528 proteins in C2C12 cells. Comparison of these human and mouse cell lines revealed a highly significant turnover correlation of protein orthologs and thus high species conservation. Functionally, we observed statistically significant trends for the turnover of phosphoproteins and gene ontology categories that showed extensive covariation between mouse and human. Likewise, the members of some protein complexes, such as the proteasome, have highly similar turnover rates. The high species conservation and the low complex variances thus imply great regulatory fine-tuning of protein turnover.","author":[{"dropping-particle":"","family":"Cambridge","given":"Sidney B.","non-dropping-particle":"","parse-names":false,"suffix":""},{"dropping-particle":"","family":"Gnad","given":"Florian","non-dropping-particle":"","parse-names":false,"suffix":""},{"dropping-particle":"","family":"Nguyen","given":"Chuong","non-dropping-particle":"","parse-names":false,"suffix":""},{"dropping-particle":"","family":"Bermejo","given":"Justo Lorenzo","non-dropping-particle":"","parse-names":false,"suffix":""},{"dropping-particle":"","family":"Krüger","given":"Marcus","non-dropping-particle":"","parse-names":false,"suffix":""},{"dropping-particle":"","family":"Mann","given":"Matthias","non-dropping-particle":"","parse-names":false,"suffix":""}],"container-title":"Journal of Proteome Research","id":"ITEM-1","issue":"12","issued":{"date-parts":[["2011"]]},"page":"5275-5284","title":"Systems-wide proteomic analysis in mammalian cells reveals conserved, functional protein turnover","type":"article-journal","volume":"10"},"uris":["http://www.mendeley.com/documents/?uuid=6d6c4307-684d-461b-bfbe-5370401006b7"]}],"mendeley":{"formattedCitation":"(223)","plainTextFormattedCitation":"(223)","previouslyFormattedCitation":"(223)"},"properties":{"noteIndex":0},"schema":"https://github.com/citation-style-language/schema/raw/master/csl-citation.json"}</w:instrText>
      </w:r>
      <w:r w:rsidR="00B96547">
        <w:fldChar w:fldCharType="separate"/>
      </w:r>
      <w:r w:rsidR="0057639C" w:rsidRPr="0057639C">
        <w:rPr>
          <w:noProof/>
        </w:rPr>
        <w:t>(223)</w:t>
      </w:r>
      <w:r w:rsidR="00B96547">
        <w:fldChar w:fldCharType="end"/>
      </w:r>
      <w:r w:rsidR="00B96547">
        <w:t>.</w:t>
      </w:r>
      <w:r w:rsidR="0005398D">
        <w:t xml:space="preserve"> The initial loss of OSBP</w:t>
      </w:r>
      <w:r w:rsidR="006A6E20">
        <w:t xml:space="preserve"> upon OSW-1 treatment</w:t>
      </w:r>
      <w:r w:rsidR="0005398D">
        <w:t xml:space="preserve"> (</w:t>
      </w:r>
      <w:r w:rsidR="004578F9" w:rsidRPr="004578F9">
        <w:rPr>
          <w:b/>
        </w:rPr>
        <w:fldChar w:fldCharType="begin"/>
      </w:r>
      <w:r w:rsidR="004578F9" w:rsidRPr="004578F9">
        <w:rPr>
          <w:b/>
        </w:rPr>
        <w:instrText xml:space="preserve"> REF _Ref532554289 \h </w:instrText>
      </w:r>
      <w:r w:rsidR="004578F9" w:rsidRPr="004578F9">
        <w:rPr>
          <w:b/>
        </w:rPr>
      </w:r>
      <w:r w:rsidR="004578F9" w:rsidRPr="004578F9">
        <w:rPr>
          <w:b/>
        </w:rPr>
        <w:instrText xml:space="preserve"> \* MERGEFORMAT </w:instrText>
      </w:r>
      <w:r w:rsidR="004578F9" w:rsidRPr="004578F9">
        <w:rPr>
          <w:b/>
        </w:rPr>
        <w:fldChar w:fldCharType="separate"/>
      </w:r>
      <w:r w:rsidR="00E2070A" w:rsidRPr="00E2070A">
        <w:rPr>
          <w:b/>
        </w:rPr>
        <w:t xml:space="preserve">Figure </w:t>
      </w:r>
      <w:r w:rsidR="00E2070A" w:rsidRPr="00E2070A">
        <w:rPr>
          <w:b/>
          <w:noProof/>
        </w:rPr>
        <w:t>17</w:t>
      </w:r>
      <w:r w:rsidR="004578F9" w:rsidRPr="004578F9">
        <w:rPr>
          <w:b/>
        </w:rPr>
        <w:fldChar w:fldCharType="end"/>
      </w:r>
      <w:r w:rsidR="00B96547" w:rsidRPr="00A841B4">
        <w:rPr>
          <w:b/>
        </w:rPr>
        <w:t>B</w:t>
      </w:r>
      <w:r>
        <w:t xml:space="preserve">) appears to be an active process that occurs relatively quickly compared to the natural turn-over of the </w:t>
      </w:r>
      <w:r w:rsidR="0005398D">
        <w:t xml:space="preserve">protein </w:t>
      </w:r>
      <w:r w:rsidR="0005398D">
        <w:lastRenderedPageBreak/>
        <w:t>(</w:t>
      </w:r>
      <w:r w:rsidR="0005398D" w:rsidRPr="00A841B4">
        <w:rPr>
          <w:b/>
        </w:rPr>
        <w:fldChar w:fldCharType="begin"/>
      </w:r>
      <w:r w:rsidR="0005398D" w:rsidRPr="00A841B4">
        <w:rPr>
          <w:b/>
        </w:rPr>
        <w:instrText xml:space="preserve"> REF _Ref530226858 \h </w:instrText>
      </w:r>
      <w:r w:rsidR="001B3703" w:rsidRPr="00A841B4">
        <w:rPr>
          <w:b/>
        </w:rPr>
        <w:instrText xml:space="preserve"> \* MERGEFORMAT </w:instrText>
      </w:r>
      <w:r w:rsidR="0005398D" w:rsidRPr="00A841B4">
        <w:rPr>
          <w:b/>
        </w:rPr>
      </w:r>
      <w:r w:rsidR="0005398D" w:rsidRPr="00A841B4">
        <w:rPr>
          <w:b/>
        </w:rPr>
        <w:fldChar w:fldCharType="separate"/>
      </w:r>
      <w:r w:rsidR="00E2070A" w:rsidRPr="00E2070A">
        <w:rPr>
          <w:b/>
        </w:rPr>
        <w:t xml:space="preserve">Figure </w:t>
      </w:r>
      <w:r w:rsidR="00E2070A" w:rsidRPr="00E2070A">
        <w:rPr>
          <w:b/>
          <w:noProof/>
        </w:rPr>
        <w:t>27</w:t>
      </w:r>
      <w:r w:rsidR="0005398D" w:rsidRPr="00A841B4">
        <w:rPr>
          <w:b/>
        </w:rPr>
        <w:fldChar w:fldCharType="end"/>
      </w:r>
      <w:r w:rsidR="00B96547" w:rsidRPr="00A841B4">
        <w:rPr>
          <w:b/>
        </w:rPr>
        <w:t>A</w:t>
      </w:r>
      <w:r>
        <w:t>). Despite the quick degradation and prolonged loss of the protein, the mRNA of OSBP stays at a constant level thro</w:t>
      </w:r>
      <w:r w:rsidR="0005398D">
        <w:t>ughout the recovery period (</w:t>
      </w:r>
      <w:r w:rsidR="0005398D" w:rsidRPr="00A841B4">
        <w:rPr>
          <w:b/>
        </w:rPr>
        <w:fldChar w:fldCharType="begin"/>
      </w:r>
      <w:r w:rsidR="0005398D" w:rsidRPr="00A841B4">
        <w:rPr>
          <w:b/>
        </w:rPr>
        <w:instrText xml:space="preserve"> REF _Ref530227571 \h </w:instrText>
      </w:r>
      <w:r w:rsidR="001B3703" w:rsidRPr="00A841B4">
        <w:rPr>
          <w:b/>
        </w:rPr>
        <w:instrText xml:space="preserve"> \* MERGEFORMAT </w:instrText>
      </w:r>
      <w:r w:rsidR="0005398D" w:rsidRPr="00A841B4">
        <w:rPr>
          <w:b/>
        </w:rPr>
      </w:r>
      <w:r w:rsidR="0005398D" w:rsidRPr="00A841B4">
        <w:rPr>
          <w:b/>
        </w:rPr>
        <w:fldChar w:fldCharType="separate"/>
      </w:r>
      <w:r w:rsidR="00E2070A" w:rsidRPr="00E2070A">
        <w:rPr>
          <w:b/>
        </w:rPr>
        <w:t xml:space="preserve">Figure </w:t>
      </w:r>
      <w:r w:rsidR="00E2070A" w:rsidRPr="00E2070A">
        <w:rPr>
          <w:b/>
          <w:noProof/>
        </w:rPr>
        <w:t>28</w:t>
      </w:r>
      <w:r w:rsidR="0005398D" w:rsidRPr="00A841B4">
        <w:rPr>
          <w:b/>
        </w:rPr>
        <w:fldChar w:fldCharType="end"/>
      </w:r>
      <w:r w:rsidR="00B96547" w:rsidRPr="00A841B4">
        <w:rPr>
          <w:b/>
        </w:rPr>
        <w:t>A</w:t>
      </w:r>
      <w:r>
        <w:t>).</w:t>
      </w:r>
    </w:p>
    <w:p w:rsidR="0026786B" w:rsidRDefault="00A512BB" w:rsidP="004578F9">
      <w:pPr>
        <w:ind w:firstLine="720"/>
        <w:jc w:val="both"/>
      </w:pPr>
      <w:r>
        <w:t>Interestingly, thapsigargin treatment</w:t>
      </w:r>
      <w:r w:rsidR="00244696">
        <w:t xml:space="preserve"> in INS-1E cells has a similar effect on GRP78 protein as OSW-1 washout treatment has on OSBP</w:t>
      </w:r>
      <w:r w:rsidR="00244696">
        <w:fldChar w:fldCharType="begin" w:fldLock="1"/>
      </w:r>
      <w:r w:rsidR="0057639C">
        <w:instrText>ADDIN CSL_CITATION {"citationItems":[{"id":"ITEM-1","itemData":{"DOI":"10.1002/jcb.24032","ISBN":"1097-4644 (Electronic)\r0730-2312 (Linking)","ISSN":"07302312","PMID":"22189689","abstract":"Pancreatic β-cells have a well-developed endoplasmic reticulum (ER) and express large amounts of chaperones and protein disulfide isomerases (PDI) to meet the high demand for synthesis of proteins. We have observed an unexpected decrease in chaperone protein level in the β-cell model INS-1E after exposure to the ER stress inducing agent thapsigargin. As these cells are a commonly used model for primary β-cells and has been shown to be vulnerable to ER stress, we hypothesize these cells are incapable of mounting a chaperone defense upon activation of ER stress. To investigate the chaperone expression during an ER stress response, induced by thapsigargin in INS-1E cells, we used quantitative mass spectrometry based proteomics. The results displayed a decrease of GRP78/BiP, PDIA3 and PDIA6. Decrease of GRP78/BiP was verified by Western blot and occurred in parallel with enhanced levels of p-eIF2α and CHOP. In contrast to INS-1E cells, GRP78/BiP was not decreased in MIN6 cell or rat and mouse islets after thapsigargin exposure. Investigation of the decreased protein levels of GRP78/BiP indicates that this is not a consequence of reduced mRNA expression. Rather the reduction results from the combined effect of reduced protein synthesis and enhanced proteosomal degradation and possibly also degradation via autophagy. Induction of ER stress with thapsigargin leads to lower protein levels of GRP78/BiP, PDIA3 and PDIA6 in INS-1E cells which may contribute to the susceptibility of ER stress in this β-cell model.","author":[{"dropping-particle":"","family":"Rosengren","given":"Victoria","non-dropping-particle":"","parse-names":false,"suffix":""},{"dropping-particle":"","family":"Johansson","given":"Henrik","non-dropping-particle":"","parse-names":false,"suffix":""},{"dropping-particle":"","family":"Lehtiö","given":"Janne","non-dropping-particle":"","parse-names":false,"suffix":""},{"dropping-particle":"","family":"Fransson","given":"Liselotte","non-dropping-particle":"","parse-names":false,"suffix":""},{"dropping-particle":"","family":"Sjöholm","given":"Åke","non-dropping-particle":"","parse-names":false,"suffix":""},{"dropping-particle":"","family":"Ortsäter","given":"Henrik","non-dropping-particle":"","parse-names":false,"suffix":""}],"container-title":"Journal of Cellular Biochemistry","id":"ITEM-1","issue":"5","issued":{"date-parts":[["2012"]]},"page":"1635-1644","title":"Thapsigargin down-regulates protein levels of GRP78/BiP in INS-1E cells","type":"article-journal","volume":"113"},"uris":["http://www.mendeley.com/documents/?uuid=3c73ab07-996b-40b7-93d5-f2b08a3efde6"]}],"mendeley":{"formattedCitation":"(224)","plainTextFormattedCitation":"(224)","previouslyFormattedCitation":"(224)"},"properties":{"noteIndex":0},"schema":"https://github.com/citation-style-language/schema/raw/master/csl-citation.json"}</w:instrText>
      </w:r>
      <w:r w:rsidR="00244696">
        <w:fldChar w:fldCharType="separate"/>
      </w:r>
      <w:r w:rsidR="0057639C" w:rsidRPr="0057639C">
        <w:rPr>
          <w:noProof/>
        </w:rPr>
        <w:t>(224)</w:t>
      </w:r>
      <w:r w:rsidR="00244696">
        <w:fldChar w:fldCharType="end"/>
      </w:r>
      <w:r w:rsidR="00244696">
        <w:t xml:space="preserve">. Thapsigargin treatment </w:t>
      </w:r>
      <w:r>
        <w:t>usually causes an increase in GRP78,</w:t>
      </w:r>
      <w:r w:rsidR="00244696">
        <w:t xml:space="preserve"> but in INS-1E cells</w:t>
      </w:r>
      <w:r>
        <w:t xml:space="preserve"> GRP78 </w:t>
      </w:r>
      <w:r w:rsidR="00244696">
        <w:t>protein levels decrease</w:t>
      </w:r>
      <w:r w:rsidR="00244696">
        <w:fldChar w:fldCharType="begin" w:fldLock="1"/>
      </w:r>
      <w:r w:rsidR="0057639C">
        <w:instrText>ADDIN CSL_CITATION {"citationItems":[{"id":"ITEM-1","itemData":{"DOI":"10.1002/jcb.24032","ISBN":"1097-4644 (Electronic)\r0730-2312 (Linking)","ISSN":"07302312","PMID":"22189689","abstract":"Pancreatic β-cells have a well-developed endoplasmic reticulum (ER) and express large amounts of chaperones and protein disulfide isomerases (PDI) to meet the high demand for synthesis of proteins. We have observed an unexpected decrease in chaperone protein level in the β-cell model INS-1E after exposure to the ER stress inducing agent thapsigargin. As these cells are a commonly used model for primary β-cells and has been shown to be vulnerable to ER stress, we hypothesize these cells are incapable of mounting a chaperone defense upon activation of ER stress. To investigate the chaperone expression during an ER stress response, induced by thapsigargin in INS-1E cells, we used quantitative mass spectrometry based proteomics. The results displayed a decrease of GRP78/BiP, PDIA3 and PDIA6. Decrease of GRP78/BiP was verified by Western blot and occurred in parallel with enhanced levels of p-eIF2α and CHOP. In contrast to INS-1E cells, GRP78/BiP was not decreased in MIN6 cell or rat and mouse islets after thapsigargin exposure. Investigation of the decreased protein levels of GRP78/BiP indicates that this is not a consequence of reduced mRNA expression. Rather the reduction results from the combined effect of reduced protein synthesis and enhanced proteosomal degradation and possibly also degradation via autophagy. Induction of ER stress with thapsigargin leads to lower protein levels of GRP78/BiP, PDIA3 and PDIA6 in INS-1E cells which may contribute to the susceptibility of ER stress in this β-cell model.","author":[{"dropping-particle":"","family":"Rosengren","given":"Victoria","non-dropping-particle":"","parse-names":false,"suffix":""},{"dropping-particle":"","family":"Johansson","given":"Henrik","non-dropping-particle":"","parse-names":false,"suffix":""},{"dropping-particle":"","family":"Lehtiö","given":"Janne","non-dropping-particle":"","parse-names":false,"suffix":""},{"dropping-particle":"","family":"Fransson","given":"Liselotte","non-dropping-particle":"","parse-names":false,"suffix":""},{"dropping-particle":"","family":"Sjöholm","given":"Åke","non-dropping-particle":"","parse-names":false,"suffix":""},{"dropping-particle":"","family":"Ortsäter","given":"Henrik","non-dropping-particle":"","parse-names":false,"suffix":""}],"container-title":"Journal of Cellular Biochemistry","id":"ITEM-1","issue":"5","issued":{"date-parts":[["2012"]]},"page":"1635-1644","title":"Thapsigargin down-regulates protein levels of GRP78/BiP in INS-1E cells","type":"article-journal","volume":"113"},"uris":["http://www.mendeley.com/documents/?uuid=3c73ab07-996b-40b7-93d5-f2b08a3efde6"]}],"mendeley":{"formattedCitation":"(224)","plainTextFormattedCitation":"(224)","previouslyFormattedCitation":"(224)"},"properties":{"noteIndex":0},"schema":"https://github.com/citation-style-language/schema/raw/master/csl-citation.json"}</w:instrText>
      </w:r>
      <w:r w:rsidR="00244696">
        <w:fldChar w:fldCharType="separate"/>
      </w:r>
      <w:r w:rsidR="0057639C" w:rsidRPr="0057639C">
        <w:rPr>
          <w:noProof/>
        </w:rPr>
        <w:t>(224)</w:t>
      </w:r>
      <w:r w:rsidR="00244696">
        <w:fldChar w:fldCharType="end"/>
      </w:r>
      <w:r w:rsidR="00244696">
        <w:t xml:space="preserve">. </w:t>
      </w:r>
      <w:r>
        <w:t xml:space="preserve">mRNA levels are increased </w:t>
      </w:r>
      <w:r w:rsidR="00B96547">
        <w:t>throughout treatment time</w:t>
      </w:r>
      <w:r w:rsidR="00244696">
        <w:t xml:space="preserve"> and proteasomal degradation of GRP78 is only partially responsible for reduction</w:t>
      </w:r>
      <w:r w:rsidR="00B96547">
        <w:fldChar w:fldCharType="begin" w:fldLock="1"/>
      </w:r>
      <w:r w:rsidR="0057639C">
        <w:instrText>ADDIN CSL_CITATION {"citationItems":[{"id":"ITEM-1","itemData":{"DOI":"10.1002/jcb.24032","ISBN":"1097-4644 (Electronic)\r0730-2312 (Linking)","ISSN":"07302312","PMID":"22189689","abstract":"Pancreatic β-cells have a well-developed endoplasmic reticulum (ER) and express large amounts of chaperones and protein disulfide isomerases (PDI) to meet the high demand for synthesis of proteins. We have observed an unexpected decrease in chaperone protein level in the β-cell model INS-1E after exposure to the ER stress inducing agent thapsigargin. As these cells are a commonly used model for primary β-cells and has been shown to be vulnerable to ER stress, we hypothesize these cells are incapable of mounting a chaperone defense upon activation of ER stress. To investigate the chaperone expression during an ER stress response, induced by thapsigargin in INS-1E cells, we used quantitative mass spectrometry based proteomics. The results displayed a decrease of GRP78/BiP, PDIA3 and PDIA6. Decrease of GRP78/BiP was verified by Western blot and occurred in parallel with enhanced levels of p-eIF2α and CHOP. In contrast to INS-1E cells, GRP78/BiP was not decreased in MIN6 cell or rat and mouse islets after thapsigargin exposure. Investigation of the decreased protein levels of GRP78/BiP indicates that this is not a consequence of reduced mRNA expression. Rather the reduction results from the combined effect of reduced protein synthesis and enhanced proteosomal degradation and possibly also degradation via autophagy. Induction of ER stress with thapsigargin leads to lower protein levels of GRP78/BiP, PDIA3 and PDIA6 in INS-1E cells which may contribute to the susceptibility of ER stress in this β-cell model.","author":[{"dropping-particle":"","family":"Rosengren","given":"Victoria","non-dropping-particle":"","parse-names":false,"suffix":""},{"dropping-particle":"","family":"Johansson","given":"Henrik","non-dropping-particle":"","parse-names":false,"suffix":""},{"dropping-particle":"","family":"Lehtiö","given":"Janne","non-dropping-particle":"","parse-names":false,"suffix":""},{"dropping-particle":"","family":"Fransson","given":"Liselotte","non-dropping-particle":"","parse-names":false,"suffix":""},{"dropping-particle":"","family":"Sjöholm","given":"Åke","non-dropping-particle":"","parse-names":false,"suffix":""},{"dropping-particle":"","family":"Ortsäter","given":"Henrik","non-dropping-particle":"","parse-names":false,"suffix":""}],"container-title":"Journal of Cellular Biochemistry","id":"ITEM-1","issue":"5","issued":{"date-parts":[["2012"]]},"page":"1635-1644","title":"Thapsigargin down-regulates protein levels of GRP78/BiP in INS-1E cells","type":"article-journal","volume":"113"},"uris":["http://www.mendeley.com/documents/?uuid=3c73ab07-996b-40b7-93d5-f2b08a3efde6"]}],"mendeley":{"formattedCitation":"(224)","plainTextFormattedCitation":"(224)","previouslyFormattedCitation":"(224)"},"properties":{"noteIndex":0},"schema":"https://github.com/citation-style-language/schema/raw/master/csl-citation.json"}</w:instrText>
      </w:r>
      <w:r w:rsidR="00B96547">
        <w:fldChar w:fldCharType="separate"/>
      </w:r>
      <w:r w:rsidR="0057639C" w:rsidRPr="0057639C">
        <w:rPr>
          <w:noProof/>
        </w:rPr>
        <w:t>(224)</w:t>
      </w:r>
      <w:r w:rsidR="00B96547">
        <w:fldChar w:fldCharType="end"/>
      </w:r>
      <w:r>
        <w:t xml:space="preserve">. </w:t>
      </w:r>
      <w:r w:rsidR="00244696">
        <w:t>Similarly, t</w:t>
      </w:r>
      <w:r>
        <w:t>reatment of macrophages with the trichothecene my</w:t>
      </w:r>
      <w:r w:rsidR="00244696">
        <w:t>cotoxin deoxynivalenol also led</w:t>
      </w:r>
      <w:r>
        <w:t xml:space="preserve"> to degradation of GRP78 protein but not mRNA levels, res</w:t>
      </w:r>
      <w:r w:rsidR="00B96547">
        <w:t>ulting in an ER stress response</w:t>
      </w:r>
      <w:r w:rsidR="00B96547">
        <w:fldChar w:fldCharType="begin" w:fldLock="1"/>
      </w:r>
      <w:r w:rsidR="0057639C">
        <w:instrText>ADDIN CSL_CITATION {"citationItems":[{"id":"ITEM-1","itemData":{"DOI":"10.1093/toxsci/kfp060","ISBN":"1096-6080","ISSN":"10966080","PMID":"19336499","abstract":"The trichothecene mycotoxin deoxynivalenol (DON) induces systemic expression of the interleukin-6 (IL-6) and other proinflammatory cytokines in the mouse. The purpose of this study was to test the hypothesis that DON triggers an endoplasmic reticulum (ER) stress response in murine macrophages capable of driving IL-6 gene expression. DON at concentrations up 5000 ng/ml. was not cytotoxic to peritoneal cells. However, DON markedly decreased protein levels but not the mRNA levels of glucose-regulated protein (GRP) 78 (BiP), a chaperone known to mediate ER stress. Inhibitor studies suggested that DON-induced GRP78 degradation was cathepsin and calpain dependent but was proteosome-independent. RNAi-mediated knockdown of GRP78 resulted in increased IL-6 gene expression indicating a potential downregulatory role for this chaperone. GRP78 is critical to the regulation of the two transcription factors, X-box binding protein 1 (XBP1) and activating transcription factor 6 (ATF6), which bind to cAMP-response element (CRE) and drive expression of CRE-dependent genes such as IL-6. DON exposure was found to increase IRE1alpha protein, its modified products spliced XBP1 mRNA and XBP1 protein as well as ATF6. Knockdown of ATF6 but not XBP1 partially inhibited DON-induced IL-6 expression in the macrophages. Three other trichothecenes (satratoxin G, roridin, T-2 toxin) and the ribosome inhibitory protein ricin were also found to induce GRP78 degradation suggesting that other translation inhibitors might evoke ER stress. Taken together, these data suggest that in the macrophage DON induces GRP78 degradation and evokes an ER stress response that could contribute, in part, to DON-induced IL-6 gene expression.","author":[{"dropping-particle":"","family":"Shi","given":"Yuhui","non-dropping-particle":"","parse-names":false,"suffix":""},{"dropping-particle":"","family":"Porter","given":"Katie","non-dropping-particle":"","parse-names":false,"suffix":""},{"dropping-particle":"","family":"Parameswaran","given":"Narayanan","non-dropping-particle":"","parse-names":false,"suffix":""},{"dropping-particle":"","family":"Bae","given":"Hee Kyong","non-dropping-particle":"","parse-names":false,"suffix":""},{"dropping-particle":"","family":"Pestka","given":"James J.","non-dropping-particle":"","parse-names":false,"suffix":""}],"container-title":"Toxicological Sciences","id":"ITEM-1","issue":"2","issued":{"date-parts":[["2009"]]},"page":"247-255","title":"Role of GRP78/BiP degradation and ER stress in deoxynivalenol-induced interleukin-6 upregulation in the macrophage","type":"article-journal","volume":"109"},"uris":["http://www.mendeley.com/documents/?uuid=f209667d-cb63-4b4a-87f3-3936c5776d70"]}],"mendeley":{"formattedCitation":"(225)","plainTextFormattedCitation":"(225)","previouslyFormattedCitation":"(225)"},"properties":{"noteIndex":0},"schema":"https://github.com/citation-style-language/schema/raw/master/csl-citation.json"}</w:instrText>
      </w:r>
      <w:r w:rsidR="00B96547">
        <w:fldChar w:fldCharType="separate"/>
      </w:r>
      <w:r w:rsidR="0057639C" w:rsidRPr="0057639C">
        <w:rPr>
          <w:noProof/>
        </w:rPr>
        <w:t>(225)</w:t>
      </w:r>
      <w:r w:rsidR="00B96547">
        <w:fldChar w:fldCharType="end"/>
      </w:r>
      <w:r>
        <w:t>. Continual treatment of OSW-1 has also been shown to decre</w:t>
      </w:r>
      <w:r w:rsidR="00B96547">
        <w:t>ase GRP78 levels after 24 hours</w:t>
      </w:r>
      <w:r w:rsidR="00B96547">
        <w:fldChar w:fldCharType="begin" w:fldLock="1"/>
      </w:r>
      <w:r w:rsidR="00F81397">
        <w:instrText>ADDIN CSL_CITATION {"citationItems":[{"id":"ITEM-1","itemData":{"DOI":"10.1074/jbc.M112.384776","ISSN":"00219258","PMID":"23250754","abstract":"3β,16β,17α-Trihydroxycholest-5-en-22-one 16-O-(2-O-4-methoxybenzoyl-β-D-xylopyranosyl)-(1→3)-2-O-acetyl-α-L-arabinopyranoside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leukemia.","author":[{"dropping-particle":"","family":"Garcia-Prieto","given":"Celia","non-dropping-particle":"","parse-names":false,"suffix":""},{"dropping-particle":"","family":"Ahmed","given":"Kausar Begam Riaz","non-dropping-particle":"","parse-names":false,"suffix":""},{"dropping-particle":"","family":"Chen","given":"Zhao","non-dropping-particle":"","parse-names":false,"suffix":""},{"dropping-particle":"","family":"Zhou","given":"Yan","non-dropping-particle":"","parse-names":false,"suffix":""},{"dropping-particle":"","family":"Hammoudi","given":"Naima","non-dropping-particle":"","parse-names":false,"suffix":""},{"dropping-particle":"","family":"Kang","given":"Ying","non-dropping-particle":"","parse-names":false,"suffix":""},{"dropping-particle":"","family":"Lou","given":"Changgang","non-dropping-particle":"","parse-names":false,"suffix":""},{"dropping-particle":"","family":"Mei","given":"Yan","non-dropping-particle":"","parse-names":false,"suffix":""},{"dropping-particle":"","family":"Jin","given":"Zhendong","non-dropping-particle":"","parse-names":false,"suffix":""},{"dropping-particle":"","family":"Huang","given":"Peng","non-dropping-particle":"","parse-names":false,"suffix":""}],"container-title":"Journal of Biological Chemistry","id":"ITEM-1","issue":"5","issued":{"date-parts":[["2013","2","1"]]},"page":"3240-3250","title":"Effective killing of leukemia cells by the natural product OSW-1 through disruption of cellular calcium homeostasis","type":"article-journal","volume":"288"},"uris":["http://www.mendeley.com/documents/?uuid=cc0a9126-34f4-44d0-9c6a-6be26fc49bd6"]}],"mendeley":{"formattedCitation":"(130)","plainTextFormattedCitation":"(130)","previouslyFormattedCitation":"(130)"},"properties":{"noteIndex":0},"schema":"https://github.com/citation-style-language/schema/raw/master/csl-citation.json"}</w:instrText>
      </w:r>
      <w:r w:rsidR="00B96547">
        <w:fldChar w:fldCharType="separate"/>
      </w:r>
      <w:r w:rsidR="005D2ADA" w:rsidRPr="005D2ADA">
        <w:rPr>
          <w:noProof/>
        </w:rPr>
        <w:t>(130)</w:t>
      </w:r>
      <w:r w:rsidR="00B96547">
        <w:fldChar w:fldCharType="end"/>
      </w:r>
      <w:r>
        <w:t xml:space="preserve">, suggesting a possible overlap of response to the compounds through an ER </w:t>
      </w:r>
      <w:r w:rsidR="00244696">
        <w:t xml:space="preserve">induced </w:t>
      </w:r>
      <w:r>
        <w:t xml:space="preserve">stress mechanism. More studies need to be conducted to determine </w:t>
      </w:r>
      <w:r w:rsidR="00244696">
        <w:t>if ER stress is induced during the</w:t>
      </w:r>
      <w:r>
        <w:t xml:space="preserve"> washout treatment.</w:t>
      </w:r>
    </w:p>
    <w:p w:rsidR="008E0489" w:rsidRDefault="00A512BB" w:rsidP="004578F9">
      <w:pPr>
        <w:ind w:firstLine="720"/>
        <w:jc w:val="both"/>
      </w:pPr>
      <w:r>
        <w:t>Despite the possibility</w:t>
      </w:r>
      <w:r w:rsidR="00244696">
        <w:t xml:space="preserve"> of ER stress induced reduction</w:t>
      </w:r>
      <w:r>
        <w:t xml:space="preserve"> of OSBP, it is highly unlikely that the stress response could be sustained for multiple days without loss of viability. An alternative </w:t>
      </w:r>
      <w:r w:rsidR="00244696">
        <w:t xml:space="preserve">explanation for </w:t>
      </w:r>
      <w:r>
        <w:t>the re</w:t>
      </w:r>
      <w:r w:rsidR="00244696">
        <w:t>duction</w:t>
      </w:r>
      <w:r>
        <w:t xml:space="preserve"> could be due to mRNA sequestration into p-bodies because of a stress event</w:t>
      </w:r>
      <w:r w:rsidR="005C5180">
        <w:fldChar w:fldCharType="begin" w:fldLock="1"/>
      </w:r>
      <w:r w:rsidR="00741009">
        <w:instrText>ADDIN CSL_CITATION {"citationItems":[{"id":"ITEM-1","itemData":{"DOI":"10.1101/cshperspect.a012286","ISSN":"1943-0264","PMID":"22763747","author":[{"dropping-particle":"","family":"Decker","given":"Carolyn J","non-dropping-particle":"","parse-names":false,"suffix":""},{"dropping-particle":"","family":"Parker","given":"Roy","non-dropping-particle":"","parse-names":false,"suffix":""}],"container-title":"Cold Spring Harbor Perspectives in Biology","id":"ITEM-1","issue":"9","issued":{"date-parts":[["2012","9","1"]]},"page":"a012286-a012286","title":"P-Bodies and Stress Granules: Possible Roles in the Control of Translation and mRNA Degradation","type":"article-journal","volume":"4"},"uris":["http://www.mendeley.com/documents/?uuid=0448de2c-a97d-48d1-a501-51321945b338"]}],"mendeley":{"formattedCitation":"(226)","plainTextFormattedCitation":"(226)","previouslyFormattedCitation":"(226)"},"properties":{"noteIndex":0},"schema":"https://github.com/citation-style-language/schema/raw/master/csl-citation.json"}</w:instrText>
      </w:r>
      <w:r w:rsidR="005C5180">
        <w:fldChar w:fldCharType="separate"/>
      </w:r>
      <w:r w:rsidR="005C5180" w:rsidRPr="005C5180">
        <w:rPr>
          <w:noProof/>
        </w:rPr>
        <w:t>(226)</w:t>
      </w:r>
      <w:r w:rsidR="005C5180">
        <w:fldChar w:fldCharType="end"/>
      </w:r>
      <w:r>
        <w:t xml:space="preserve">, which could be supported by the fact that the mRNA level of OSBP does not change throughout the recovery period. </w:t>
      </w:r>
      <w:r w:rsidR="00887C1C" w:rsidRPr="00887C1C">
        <w:t xml:space="preserve">mRNA sequestration or a specific inhibition of OSBP mRNA translation through micro RNA (miRNA) are possible routes to explain the </w:t>
      </w:r>
      <w:r w:rsidR="00887C1C">
        <w:t>observed OSBP repression. ORP6</w:t>
      </w:r>
      <w:r w:rsidR="006760F9">
        <w:fldChar w:fldCharType="begin" w:fldLock="1"/>
      </w:r>
      <w:r w:rsidR="00393368">
        <w:instrText>ADDIN CSL_CITATION {"citationItems":[{"id":"ITEM-1","itemData":{"DOI":"10.1161/ATVBAHA.116.307282","ISBN":"6176323479","ISSN":"15244636","PMID":"26941018","abstract":"OBJECTIVE: Cholesterol homeostasis is fundamental to human health and is, thus, tightly regulated. MicroRNAs exert potent effects on biological pathways, including cholesterol metabolism, by repressing genes with related functions. We reasoned that this mode of pathway regulation could be exploited to identify novel genes involved in cholesterol homeostasis. APPROACH AND RESULTS: Here, we identify oxysterol-binding protein-like 6 (OSBPL6) as a novel target of 2 miRNA hubs regulating cholesterol homeostasis: miR-33 and miR-27b. Characterization of OSBPL6 revealed that it is transcriptionally regulated in macrophages and hepatocytes by liver X receptor and in response to cholesterol loading and in mice and nonhuman primates by Western diet feeding. OSBPL6 encodes the OSBPL-related protein 6 (ORP6), which contains dual membrane- and endoplasmic reticulum-targeting motifs. Subcellular localization studies showed that ORP6 is associated with the endolysosomal network and endoplasmic reticulum, suggesting a role for ORP6 in cholesterol trafficking between these compartments. Accordingly, knockdown of OSBPL6 results in aberrant clustering of endosomes and promotes the accumulation of free cholesterol in these structures, resulting in reduced cholesterol esterification at the endoplasmic reticulum. Conversely, ORP6 overexpression enhances cholesterol trafficking and efflux in macrophages and hepatocytes. Moreover, we show that hepatic expression of OSBPL6 is positively correlated with plasma levels of high-density lipoprotein cholesterol in a cohort of 200 healthy individuals, whereas its expression is reduced in human atherosclerotic plaques. CONCLUSIONS: These studies identify ORP6 as a novel regulator of cholesterol trafficking that is part of the miR-33 and miR-27b target gene networks that contribute to the maintenance of cholesterol homeostasis.","author":[{"dropping-particle":"","family":"Ouimet","given":"Mireille","non-dropping-particle":"","parse-names":false,"suffix":""},{"dropping-particle":"","family":"Hennessy","given":"Elizabeth J.","non-dropping-particle":"","parse-names":false,"suffix":""},{"dropping-particle":"","family":"Solingen","given":"Coen","non-dropping-particle":"Van","parse-names":false,"suffix":""},{"dropping-particle":"","family":"Koelwyn","given":"Graeme J.","non-dropping-particle":"","parse-names":false,"suffix":""},{"dropping-particle":"","family":"Hussein","given":"Maryem A.","non-dropping-particle":"","parse-names":false,"suffix":""},{"dropping-particle":"","family":"Ramkhelawon","given":"Bhama","non-dropping-particle":"","parse-names":false,"suffix":""},{"dropping-particle":"","family":"Rayner","given":"Katey J.","non-dropping-particle":"","parse-names":false,"suffix":""},{"dropping-particle":"","family":"Temel","given":"Ryan E.","non-dropping-particle":"","parse-names":false,"suffix":""},{"dropping-particle":"","family":"Perisic","given":"Ljubica","non-dropping-particle":"","parse-names":false,"suffix":""},{"dropping-particle":"","family":"Hedin","given":"Ulf","non-dropping-particle":"","parse-names":false,"suffix":""},{"dropping-particle":"","family":"Maegdefessel","given":"Lars","non-dropping-particle":"","parse-names":false,"suffix":""},{"dropping-particle":"","family":"Garabedian","given":"Michael J.","non-dropping-particle":"","parse-names":false,"suffix":""},{"dropping-particle":"","family":"Holdt","given":"Lesca M.","non-dropping-particle":"","parse-names":false,"suffix":""},{"dropping-particle":"","family":"Teupser","given":"Daniel","non-dropping-particle":"","parse-names":false,"suffix":""},{"dropping-particle":"","family":"Moore","given":"Kathryn J.","non-dropping-particle":"","parse-names":false,"suffix":""}],"container-title":"Arteriosclerosis, Thrombosis, and Vascular Biology","id":"ITEM-1","issue":"5","issued":{"date-parts":[["2016"]]},"page":"942-951","title":"MiRNA targeting of oxysterol-binding protein-like 6 regulates cholesterol trafficking and efflux","type":"article-journal","volume":"36"},"uris":["http://www.mendeley.com/documents/?uuid=bd181021-4e32-451c-95d1-8a1ad6649151"]}],"mendeley":{"formattedCitation":"(64)","plainTextFormattedCitation":"(64)","previouslyFormattedCitation":"(64)"},"properties":{"noteIndex":0},"schema":"https://github.com/citation-style-language/schema/raw/master/csl-citation.json"}</w:instrText>
      </w:r>
      <w:r w:rsidR="006760F9">
        <w:fldChar w:fldCharType="separate"/>
      </w:r>
      <w:r w:rsidR="00393368" w:rsidRPr="00393368">
        <w:rPr>
          <w:noProof/>
        </w:rPr>
        <w:t>(64)</w:t>
      </w:r>
      <w:r w:rsidR="006760F9">
        <w:fldChar w:fldCharType="end"/>
      </w:r>
      <w:r w:rsidR="006760F9">
        <w:t>, ORP8</w:t>
      </w:r>
      <w:r w:rsidR="006760F9">
        <w:fldChar w:fldCharType="begin" w:fldLock="1"/>
      </w:r>
      <w:r w:rsidR="00741009">
        <w:instrText>ADDIN CSL_CITATION {"citationItems":[{"id":"ITEM-1","itemData":{"DOI":"10.1038/ncb2211","ISSN":"1465-7392","author":[{"dropping-particle":"","family":"Jordan","given":"Sabine D.","non-dropping-particle":"","parse-names":false,"suffix":""},{"dropping-particle":"","family":"Krüger","given":"Markus","non-dropping-particle":"","parse-names":false,"suffix":""},{"dropping-particle":"","family":"Willmes","given":"Diana M.","non-dropping-particle":"","parse-names":false,"suffix":""},{"dropping-particle":"","family":"Redemann","given":"Nora","non-dropping-particle":"","parse-names":false,"suffix":""},{"dropping-particle":"","family":"Wunderlich","given":"F. Thomas","non-dropping-particle":"","parse-names":false,"suffix":""},{"dropping-particle":"","family":"Brönneke","given":"Hella S.","non-dropping-particle":"","parse-names":false,"suffix":""},{"dropping-particle":"","family":"Merkwirth","given":"Carsten","non-dropping-particle":"","parse-names":false,"suffix":""},{"dropping-particle":"","family":"Kashkar","given":"Hamid","non-dropping-particle":"","parse-names":false,"suffix":""},{"dropping-particle":"","family":"Olkkonen","given":"Vesa M.","non-dropping-particle":"","parse-names":false,"suffix":""},{"dropping-particle":"","family":"Böttger","given":"Thomas","non-dropping-particle":"","parse-names":false,"suffix":""},{"dropping-particle":"","family":"Braun","given":"Thomas","non-dropping-particle":"","parse-names":false,"suffix":""},{"dropping-particle":"","family":"Seibler","given":"Jost","non-dropping-particle":"","parse-names":false,"suffix":""},{"dropping-particle":"","family":"Brüning","given":"Jens C.","non-dropping-particle":"","parse-names":false,"suffix":""}],"container-title":"Nature Cell Biology","id":"ITEM-1","issue":"4","issued":{"date-parts":[["2011","4","27"]]},"page":"434-446","title":"Obesity-induced overexpression of miRNA-143 inhibits insulin-stimulated AKT activation and impairs glucose metabolism","type":"article-journal","volume":"13"},"uris":["http://www.mendeley.com/documents/?uuid=f662c724-ef3e-3bb7-b0ca-baead04c008a"]}],"mendeley":{"formattedCitation":"(227)","plainTextFormattedCitation":"(227)","previouslyFormattedCitation":"(227)"},"properties":{"noteIndex":0},"schema":"https://github.com/citation-style-language/schema/raw/master/csl-citation.json"}</w:instrText>
      </w:r>
      <w:r w:rsidR="006760F9">
        <w:fldChar w:fldCharType="separate"/>
      </w:r>
      <w:r w:rsidR="005C5180" w:rsidRPr="005C5180">
        <w:rPr>
          <w:noProof/>
        </w:rPr>
        <w:t>(227)</w:t>
      </w:r>
      <w:r w:rsidR="006760F9">
        <w:fldChar w:fldCharType="end"/>
      </w:r>
      <w:r w:rsidR="006760F9">
        <w:t>, and ORP9</w:t>
      </w:r>
      <w:r w:rsidR="006760F9">
        <w:fldChar w:fldCharType="begin" w:fldLock="1"/>
      </w:r>
      <w:r w:rsidR="00741009">
        <w:instrText>ADDIN CSL_CITATION {"citationItems":[{"id":"ITEM-1","itemData":{"DOI":"10.1093/cvr/cvp121","ISBN":"1755-3245 (Electronic)\\n0008-6363 (Linking)","ISSN":"00086363","PMID":"19377067","abstract":"AIMS: The inflammatory responses of monocytes/macrophages and the stimulation of lipid uptake into these cells by oxidized low density lipoprotein (oxLDL) are critical to the initiation and development of atherosclerosis. Increasing evidence has demonstrated that many microRNAs play important roles in the cell proliferation, apoptosis, and differentiation that accompany inflammatory responses. However, whether microRNAs are associated with monocyte/macrophage inflammatory responses or oxLDL stimulation is not yet known. The aim of the present study is to investigate microRNAs in monocytes/macrophages and their potential role in oxLDL-stimulation of lipid uptake and other atherosclerotic responses. METHODS AND RESULTS: Microarrays were used to analyse the global expression of microRNAs in oxLDL-stimulated human primary peripheral blood monocytes. Expression profiles of the microRNAs were verified using TaqMan real-time PCR. Five microRNAs (microRNA-125a-5p, microRNA-9, microRNA-146a, microRNA-146b-5p, and microRNA-155) were aberrantly expressed after oxLDL treatment of human primary monocytes. Bioinformatics analysis suggested that microRNA-125a-5p is related to a protein similar to ORP9 (oxysterol binding protein-like 9) and this was confirmed by a luciferase reporter assay. MicroRNA-125a-5p was found to mediate lipid uptake and to decrease the secretion of some inflammatory cytokines (interleukin-2, interleukin-6, tumour necrosis factor-alpha, transforming growth factor-beta) in oxLDL-stimulated monocyte-derived macrophages. CONCLUSION: MicroRNA-125a-5p may partly provide post-transcriptional regulation of the proinflammatory response, lipid uptake, and expression of ORP9 in oxLDL-stimulated monocyte/macrophages.","author":[{"dropping-particle":"","family":"Chen","given":"Ting","non-dropping-particle":"","parse-names":false,"suffix":""},{"dropping-particle":"","family":"Huang","given":"Zhouqing","non-dropping-particle":"","parse-names":false,"suffix":""},{"dropping-particle":"","family":"Wang","given":"Liansheng","non-dropping-particle":"","parse-names":false,"suffix":""},{"dropping-particle":"","family":"Wang","given":"Yue","non-dropping-particle":"","parse-names":false,"suffix":""},{"dropping-particle":"","family":"Wu","given":"Feizhen","non-dropping-particle":"","parse-names":false,"suffix":""},{"dropping-particle":"","family":"Meng","given":"Shu","non-dropping-particle":"","parse-names":false,"suffix":""},{"dropping-particle":"","family":"Wang","given":"Changqian","non-dropping-particle":"","parse-names":false,"suffix":""}],"container-title":"Cardiovascular Research","id":"ITEM-1","issue":"1","issued":{"date-parts":[["2009"]]},"page":"131-139","title":"MicroRNA-125a-5p partly regulates the inflammatory response, lipid uptake, and ORP9 expression in oxLDL-stimulated monocyte/macrophages","type":"article-journal","volume":"83"},"uris":["http://www.mendeley.com/documents/?uuid=66fd3a43-ecb4-4ec0-89ff-693a7648ef55"]}],"mendeley":{"formattedCitation":"(228)","plainTextFormattedCitation":"(228)","previouslyFormattedCitation":"(228)"},"properties":{"noteIndex":0},"schema":"https://github.com/citation-style-language/schema/raw/master/csl-citation.json"}</w:instrText>
      </w:r>
      <w:r w:rsidR="006760F9">
        <w:fldChar w:fldCharType="separate"/>
      </w:r>
      <w:r w:rsidR="005C5180" w:rsidRPr="005C5180">
        <w:rPr>
          <w:noProof/>
        </w:rPr>
        <w:t>(228)</w:t>
      </w:r>
      <w:r w:rsidR="006760F9">
        <w:fldChar w:fldCharType="end"/>
      </w:r>
      <w:r w:rsidR="00887C1C" w:rsidRPr="00887C1C">
        <w:t>, close relatives of OSBP, are targeted by certain miRNAs to regulate homeostasis of cholesterol, insulin-mediated AKT activation, and</w:t>
      </w:r>
      <w:r w:rsidR="006760F9">
        <w:t xml:space="preserve"> lipid uptake respectively</w:t>
      </w:r>
      <w:r w:rsidR="006760F9">
        <w:fldChar w:fldCharType="begin" w:fldLock="1"/>
      </w:r>
      <w:r w:rsidR="00741009">
        <w:instrText>ADDIN CSL_CITATION {"citationItems":[{"id":"ITEM-1","itemData":{"DOI":"10.1161/ATVBAHA.116.307282","ISBN":"6176323479","ISSN":"15244636","PMID":"26941018","abstract":"OBJECTIVE: Cholesterol homeostasis is fundamental to human health and is, thus, tightly regulated. MicroRNAs exert potent effects on biological pathways, including cholesterol metabolism, by repressing genes with related functions. We reasoned that this mode of pathway regulation could be exploited to identify novel genes involved in cholesterol homeostasis. APPROACH AND RESULTS: Here, we identify oxysterol-binding protein-like 6 (OSBPL6) as a novel target of 2 miRNA hubs regulating cholesterol homeostasis: miR-33 and miR-27b. Characterization of OSBPL6 revealed that it is transcriptionally regulated in macrophages and hepatocytes by liver X receptor and in response to cholesterol loading and in mice and nonhuman primates by Western diet feeding. OSBPL6 encodes the OSBPL-related protein 6 (ORP6), which contains dual membrane- and endoplasmic reticulum-targeting motifs. Subcellular localization studies showed that ORP6 is associated with the endolysosomal network and endoplasmic reticulum, suggesting a role for ORP6 in cholesterol trafficking between these compartments. Accordingly, knockdown of OSBPL6 results in aberrant clustering of endosomes and promotes the accumulation of free cholesterol in these structures, resulting in reduced cholesterol esterification at the endoplasmic reticulum. Conversely, ORP6 overexpression enhances cholesterol trafficking and efflux in macrophages and hepatocytes. Moreover, we show that hepatic expression of OSBPL6 is positively correlated with plasma levels of high-density lipoprotein cholesterol in a cohort of 200 healthy individuals, whereas its expression is reduced in human atherosclerotic plaques. CONCLUSIONS: These studies identify ORP6 as a novel regulator of cholesterol trafficking that is part of the miR-33 and miR-27b target gene networks that contribute to the maintenance of cholesterol homeostasis.","author":[{"dropping-particle":"","family":"Ouimet","given":"Mireille","non-dropping-particle":"","parse-names":false,"suffix":""},{"dropping-particle":"","family":"Hennessy","given":"Elizabeth J.","non-dropping-particle":"","parse-names":false,"suffix":""},{"dropping-particle":"","family":"Solingen","given":"Coen","non-dropping-particle":"Van","parse-names":false,"suffix":""},{"dropping-particle":"","family":"Koelwyn","given":"Graeme J.","non-dropping-particle":"","parse-names":false,"suffix":""},{"dropping-particle":"","family":"Hussein","given":"Maryem A.","non-dropping-particle":"","parse-names":false,"suffix":""},{"dropping-particle":"","family":"Ramkhelawon","given":"Bhama","non-dropping-particle":"","parse-names":false,"suffix":""},{"dropping-particle":"","family":"Rayner","given":"Katey J.","non-dropping-particle":"","parse-names":false,"suffix":""},{"dropping-particle":"","family":"Temel","given":"Ryan E.","non-dropping-particle":"","parse-names":false,"suffix":""},{"dropping-particle":"","family":"Perisic","given":"Ljubica","non-dropping-particle":"","parse-names":false,"suffix":""},{"dropping-particle":"","family":"Hedin","given":"Ulf","non-dropping-particle":"","parse-names":false,"suffix":""},{"dropping-particle":"","family":"Maegdefessel","given":"Lars","non-dropping-particle":"","parse-names":false,"suffix":""},{"dropping-particle":"","family":"Garabedian","given":"Michael J.","non-dropping-particle":"","parse-names":false,"suffix":""},{"dropping-particle":"","family":"Holdt","given":"Lesca M.","non-dropping-particle":"","parse-names":false,"suffix":""},{"dropping-particle":"","family":"Teupser","given":"Daniel","non-dropping-particle":"","parse-names":false,"suffix":""},{"dropping-particle":"","family":"Moore","given":"Kathryn J.","non-dropping-particle":"","parse-names":false,"suffix":""}],"container-title":"Arteriosclerosis, Thrombosis, and Vascular Biology","id":"ITEM-1","issue":"5","issued":{"date-parts":[["2016"]]},"page":"942-951","title":"MiRNA targeting of oxysterol-binding protein-like 6 regulates cholesterol trafficking and efflux","type":"article-journal","volume":"36"},"uris":["http://www.mendeley.com/documents/?uuid=bd181021-4e32-451c-95d1-8a1ad6649151"]},{"id":"ITEM-2","itemData":{"DOI":"10.1038/ncb2211","ISSN":"1465-7392","author":[{"dropping-particle":"","family":"Jordan","given":"Sabine D.","non-dropping-particle":"","parse-names":false,"suffix":""},{"dropping-particle":"","family":"Krüger","given":"Markus","non-dropping-particle":"","parse-names":false,"suffix":""},{"dropping-particle":"","family":"Willmes","given":"Diana M.","non-dropping-particle":"","parse-names":false,"suffix":""},{"dropping-particle":"","family":"Redemann","given":"Nora","non-dropping-particle":"","parse-names":false,"suffix":""},{"dropping-particle":"","family":"Wunderlich","given":"F. Thomas","non-dropping-particle":"","parse-names":false,"suffix":""},{"dropping-particle":"","family":"Brönneke","given":"Hella S.","non-dropping-particle":"","parse-names":false,"suffix":""},{"dropping-particle":"","family":"Merkwirth","given":"Carsten","non-dropping-particle":"","parse-names":false,"suffix":""},{"dropping-particle":"","family":"Kashkar","given":"Hamid","non-dropping-particle":"","parse-names":false,"suffix":""},{"dropping-particle":"","family":"Olkkonen","given":"Vesa M.","non-dropping-particle":"","parse-names":false,"suffix":""},{"dropping-particle":"","family":"Böttger","given":"Thomas","non-dropping-particle":"","parse-names":false,"suffix":""},{"dropping-particle":"","family":"Braun","given":"Thomas","non-dropping-particle":"","parse-names":false,"suffix":""},{"dropping-particle":"","family":"Seibler","given":"Jost","non-dropping-particle":"","parse-names":false,"suffix":""},{"dropping-particle":"","family":"Brüning","given":"Jens C.","non-dropping-particle":"","parse-names":false,"suffix":""}],"container-title":"Nature Cell Biology","id":"ITEM-2","issue":"4","issued":{"date-parts":[["2011","4","27"]]},"page":"434-446","title":"Obesity-induced overexpression of miRNA-143 inhibits insulin-stimulated AKT activation and impairs glucose metabolism","type":"article-journal","volume":"13"},"uris":["http://www.mendeley.com/documents/?uuid=f662c724-ef3e-3bb7-b0ca-baead04c008a"]},{"id":"ITEM-3","itemData":{"DOI":"10.1093/cvr/cvp121","ISBN":"1755-3245 (Electronic)\\n0008-6363 (Linking)","ISSN":"00086363","PMID":"19377067","abstract":"AIMS: The inflammatory responses of monocytes/macrophages and the stimulation of lipid uptake into these cells by oxidized low density lipoprotein (oxLDL) are critical to the initiation and development of atherosclerosis. Increasing evidence has demonstrated that many microRNAs play important roles in the cell proliferation, apoptosis, and differentiation that accompany inflammatory responses. However, whether microRNAs are associated with monocyte/macrophage inflammatory responses or oxLDL stimulation is not yet known. The aim of the present study is to investigate microRNAs in monocytes/macrophages and their potential role in oxLDL-stimulation of lipid uptake and other atherosclerotic responses. METHODS AND RESULTS: Microarrays were used to analyse the global expression of microRNAs in oxLDL-stimulated human primary peripheral blood monocytes. Expression profiles of the microRNAs were verified using TaqMan real-time PCR. Five microRNAs (microRNA-125a-5p, microRNA-9, microRNA-146a, microRNA-146b-5p, and microRNA-155) were aberrantly expressed after oxLDL treatment of human primary monocytes. Bioinformatics analysis suggested that microRNA-125a-5p is related to a protein similar to ORP9 (oxysterol binding protein-like 9) and this was confirmed by a luciferase reporter assay. MicroRNA-125a-5p was found to mediate lipid uptake and to decrease the secretion of some inflammatory cytokines (interleukin-2, interleukin-6, tumour necrosis factor-alpha, transforming growth factor-beta) in oxLDL-stimulated monocyte-derived macrophages. CONCLUSION: MicroRNA-125a-5p may partly provide post-transcriptional regulation of the proinflammatory response, lipid uptake, and expression of ORP9 in oxLDL-stimulated monocyte/macrophages.","author":[{"dropping-particle":"","family":"Chen","given":"Ting","non-dropping-particle":"","parse-names":false,"suffix":""},{"dropping-particle":"","family":"Huang","given":"Zhouqing","non-dropping-particle":"","parse-names":false,"suffix":""},{"dropping-particle":"","family":"Wang","given":"Liansheng","non-dropping-particle":"","parse-names":false,"suffix":""},{"dropping-particle":"","family":"Wang","given":"Yue","non-dropping-particle":"","parse-names":false,"suffix":""},{"dropping-particle":"","family":"Wu","given":"Feizhen","non-dropping-particle":"","parse-names":false,"suffix":""},{"dropping-particle":"","family":"Meng","given":"Shu","non-dropping-particle":"","parse-names":false,"suffix":""},{"dropping-particle":"","family":"Wang","given":"Changqian","non-dropping-particle":"","parse-names":false,"suffix":""}],"container-title":"Cardiovascular Research","id":"ITEM-3","issue":"1","issued":{"date-parts":[["2009"]]},"page":"131-139","title":"MicroRNA-125a-5p partly regulates the inflammatory response, lipid uptake, and ORP9 expression in oxLDL-stimulated monocyte/macrophages","type":"article-journal","volume":"83"},"uris":["http://www.mendeley.com/documents/?uuid=66fd3a43-ecb4-4ec0-89ff-693a7648ef55"]}],"mendeley":{"formattedCitation":"(64, 227, 228)","plainTextFormattedCitation":"(64, 227, 228)","previouslyFormattedCitation":"(64, 227, 228)"},"properties":{"noteIndex":0},"schema":"https://github.com/citation-style-language/schema/raw/master/csl-citation.json"}</w:instrText>
      </w:r>
      <w:r w:rsidR="006760F9">
        <w:fldChar w:fldCharType="separate"/>
      </w:r>
      <w:r w:rsidR="005C5180" w:rsidRPr="005C5180">
        <w:rPr>
          <w:noProof/>
        </w:rPr>
        <w:t>(64, 227, 228)</w:t>
      </w:r>
      <w:r w:rsidR="006760F9">
        <w:fldChar w:fldCharType="end"/>
      </w:r>
      <w:r w:rsidR="006760F9">
        <w:t>.</w:t>
      </w:r>
      <w:r w:rsidR="00887C1C" w:rsidRPr="00887C1C">
        <w:t xml:space="preserve"> Additionally, OSBP mRNA is reportedly targeted by a brain-specific miR</w:t>
      </w:r>
      <w:r w:rsidR="006760F9">
        <w:t>NA during neurite elongation</w:t>
      </w:r>
      <w:r w:rsidR="006760F9">
        <w:fldChar w:fldCharType="begin" w:fldLock="1"/>
      </w:r>
      <w:r w:rsidR="00741009">
        <w:instrText>ADDIN CSL_CITATION {"citationItems":[{"id":"ITEM-1","itemData":{"DOI":"10.1007/s12035-015-9540-4","ISBN":"1203501595","ISSN":"15591182","PMID":"26576957","abstract":"MicroRNA-124 (miR-124), a brain-specific miRNA molecule, has been implicated in stimulating neurite outgrowth and elongation during neuronal differentiation. However, the direct target genes and the mechanisms of miR-124-induced neurite outgrowth are poorly understood. In this study, we demonstrated that miR-124 directly targeted and downregulated the endogenous expression of oxysterol-binding protein (OSBP). A previous study found that the expression of miR-124 increased during brain development. In the present study, we demonstrated that the expression of OSBP decreased during the development of the C57BL/6 mouse cortex, which was negatively correlated with miR-124 expression. OSBP knockdown using specific shRNAs promoted neurite outgrowth and elongation in both Neuro-2a cells and primary cultured mouse cortical neurons. Conversely, OSBP overexpression strongly repressed the neurite elongation-enhancing effect of miR-124 in Neuro-2a cells. Our results suggested that OSBP may be a target and downstream effector of miR-124 for regulating neurite outgrowth and elongation.","author":[{"dropping-particle":"","family":"Gu","given":"Xi","non-dropping-particle":"","parse-names":false,"suffix":""},{"dropping-particle":"","family":"Li","given":"Aili","non-dropping-particle":"","parse-names":false,"suffix":""},{"dropping-particle":"","family":"Liu","given":"Shuhu","non-dropping-particle":"","parse-names":false,"suffix":""},{"dropping-particle":"","family":"Lin","given":"Lifang","non-dropping-particle":"","parse-names":false,"suffix":""},{"dropping-particle":"","family":"Xu","given":"Shuang","non-dropping-particle":"","parse-names":false,"suffix":""},{"dropping-particle":"","family":"Zhang","given":"Peidong","non-dropping-particle":"","parse-names":false,"suffix":""},{"dropping-particle":"","family":"Li","given":"Shuji","non-dropping-particle":"","parse-names":false,"suffix":""},{"dropping-particle":"","family":"Li","given":"Xiaowen","non-dropping-particle":"","parse-names":false,"suffix":""},{"dropping-particle":"","family":"Tian","given":"Bo","non-dropping-particle":"","parse-names":false,"suffix":""},{"dropping-particle":"","family":"Zhu","given":"Xinhong","non-dropping-particle":"","parse-names":false,"suffix":""},{"dropping-particle":"","family":"Wang","given":"Xuemin","non-dropping-particle":"","parse-names":false,"suffix":""}],"container-title":"Molecular Neurobiology","id":"ITEM-1","issue":"9","issued":{"date-parts":[["2016"]]},"page":"6388-6396","title":"MicroRNA124 Regulated Neurite Elongation by Targeting OSBP","type":"article-journal","volume":"53"},"uris":["http://www.mendeley.com/documents/?uuid=b7a2f1b3-c53b-4125-b393-dd7d2dbe4f9c","http://www.mendeley.com/documents/?uuid=a24e3cd0-a53e-47ab-a9d0-ce9919de4078"]}],"mendeley":{"formattedCitation":"(229)","plainTextFormattedCitation":"(229)","previouslyFormattedCitation":"(229)"},"properties":{"noteIndex":0},"schema":"https://github.com/citation-style-language/schema/raw/master/csl-citation.json"}</w:instrText>
      </w:r>
      <w:r w:rsidR="006760F9">
        <w:fldChar w:fldCharType="separate"/>
      </w:r>
      <w:r w:rsidR="005C5180" w:rsidRPr="005C5180">
        <w:rPr>
          <w:noProof/>
        </w:rPr>
        <w:t>(229)</w:t>
      </w:r>
      <w:r w:rsidR="006760F9">
        <w:fldChar w:fldCharType="end"/>
      </w:r>
      <w:r w:rsidR="006760F9">
        <w:t xml:space="preserve">. </w:t>
      </w:r>
      <w:r w:rsidR="00887C1C" w:rsidRPr="00887C1C">
        <w:t xml:space="preserve">However, it is currently unclear how the </w:t>
      </w:r>
      <w:r w:rsidR="007A587E">
        <w:t>OSW-1 compound</w:t>
      </w:r>
      <w:r w:rsidR="00887C1C" w:rsidRPr="00887C1C">
        <w:t xml:space="preserve"> binding to and inducing the degradation of OSBP would then trigger a specific </w:t>
      </w:r>
      <w:r w:rsidR="00887C1C" w:rsidRPr="00887C1C">
        <w:lastRenderedPageBreak/>
        <w:t>suppression of subsequent OSBP levels, through miRNA targeting or any other mechanism.</w:t>
      </w:r>
      <w:r w:rsidR="00887C1C">
        <w:t xml:space="preserve"> </w:t>
      </w:r>
      <w:r w:rsidR="009B34DF">
        <w:t>Additional experiments need to be performed to determine the exact mechanism</w:t>
      </w:r>
      <w:r>
        <w:t xml:space="preserve"> </w:t>
      </w:r>
      <w:r w:rsidR="009B34DF">
        <w:t>of long-term OSBP reduction by OSW-1 treatment</w:t>
      </w:r>
      <w:r>
        <w:t>.</w:t>
      </w:r>
    </w:p>
    <w:p w:rsidR="00A512BB" w:rsidRDefault="008E0489" w:rsidP="00FB099D">
      <w:pPr>
        <w:pStyle w:val="Heading2"/>
      </w:pPr>
      <w:bookmarkStart w:id="170" w:name="_Toc532553138"/>
      <w:r w:rsidRPr="008E0489">
        <w:t>Conclusion</w:t>
      </w:r>
      <w:bookmarkEnd w:id="170"/>
    </w:p>
    <w:p w:rsidR="009F260B" w:rsidRDefault="006A6E20" w:rsidP="00FB099D">
      <w:pPr>
        <w:ind w:firstLine="720"/>
        <w:jc w:val="both"/>
      </w:pPr>
      <w:r>
        <w:t>These results show the OSW-1 compound induced repression of OSBP proceeds through an unknown but non-typical cellular regulatory mechanism. This OSW-1 induced repression of OSBP is specific for OSBP and does not cause a</w:t>
      </w:r>
      <w:r w:rsidR="005A4419">
        <w:t xml:space="preserve"> global or wide spread change</w:t>
      </w:r>
      <w:r>
        <w:t xml:space="preserve"> of protein levels. The OSW-1 compound induces a rapid loss of OSBP through proteasomal degradation, but the long-term repression of OSBP levels is not due to the proteasome. </w:t>
      </w:r>
      <w:r w:rsidR="007A587E">
        <w:t>OSW-1 compound</w:t>
      </w:r>
      <w:r w:rsidR="00151211">
        <w:t xml:space="preserve"> treatment</w:t>
      </w:r>
      <w:r>
        <w:t xml:space="preserve"> is shown to induce</w:t>
      </w:r>
      <w:r w:rsidR="00151211">
        <w:t xml:space="preserve"> autophagy</w:t>
      </w:r>
      <w:r>
        <w:t xml:space="preserve"> for the first time, but the long-term reduction of O</w:t>
      </w:r>
      <w:r w:rsidR="00EB1566">
        <w:t xml:space="preserve">SBP </w:t>
      </w:r>
      <w:r>
        <w:t>levels triggered by the OSW-1 washout condition is not due to autophagy-induced proteolysis.</w:t>
      </w:r>
      <w:r w:rsidR="00EB1566">
        <w:t xml:space="preserve"> </w:t>
      </w:r>
      <w:r>
        <w:t>The p</w:t>
      </w:r>
      <w:r w:rsidR="008E0489">
        <w:t>revious</w:t>
      </w:r>
      <w:r w:rsidR="00151211">
        <w:t>ly</w:t>
      </w:r>
      <w:r>
        <w:t xml:space="preserve"> unknown half-lives</w:t>
      </w:r>
      <w:r w:rsidR="008E0489">
        <w:t xml:space="preserve"> of OSBP and ORP4</w:t>
      </w:r>
      <w:r w:rsidR="00151211">
        <w:t xml:space="preserve"> </w:t>
      </w:r>
      <w:r>
        <w:t>were established to be</w:t>
      </w:r>
      <w:r w:rsidR="008E0489">
        <w:t xml:space="preserve"> </w:t>
      </w:r>
      <w:r>
        <w:t xml:space="preserve">over </w:t>
      </w:r>
      <w:r w:rsidR="008E0489">
        <w:t>24 hours</w:t>
      </w:r>
      <w:r w:rsidR="00151211">
        <w:t xml:space="preserve"> </w:t>
      </w:r>
      <w:r>
        <w:t xml:space="preserve">in cells. This shows that OSBP is not a short lived, rapidly-turned over protein, but has a longevity </w:t>
      </w:r>
      <w:r w:rsidR="00151211">
        <w:t>similar to the</w:t>
      </w:r>
      <w:r w:rsidR="008E0489">
        <w:t xml:space="preserve"> majority of </w:t>
      </w:r>
      <w:r w:rsidR="00151211">
        <w:t xml:space="preserve">cellular </w:t>
      </w:r>
      <w:r w:rsidR="008E0489">
        <w:t>proteins</w:t>
      </w:r>
      <w:r w:rsidR="008E0489">
        <w:fldChar w:fldCharType="begin" w:fldLock="1"/>
      </w:r>
      <w:r w:rsidR="0057639C">
        <w:instrText>ADDIN CSL_CITATION {"citationItems":[{"id":"ITEM-1","itemData":{"DOI":"10.1021/pr101183k","ISBN":"1535-3893","ISSN":"15353893","PMID":"22050367","abstract":"The turnover of each protein in the mammalian proteome is a functionally important characteristic. Here, we employed high-resolution mass spectrometry to quantify protein dynamics in nondividing mammalian cells. The ratio of externally supplied versus endogenous amino acids to de novo protein synthesis was about 17:1. Using subsaturating SILAC labeling, we obtained accurate turnover rates of 4106 proteins in HeLa and 3528 proteins in C2C12 cells. Comparison of these human and mouse cell lines revealed a highly significant turnover correlation of protein orthologs and thus high species conservation. Functionally, we observed statistically significant trends for the turnover of phosphoproteins and gene ontology categories that showed extensive covariation between mouse and human. Likewise, the members of some protein complexes, such as the proteasome, have highly similar turnover rates. The high species conservation and the low complex variances thus imply great regulatory fine-tuning of protein turnover.","author":[{"dropping-particle":"","family":"Cambridge","given":"Sidney B.","non-dropping-particle":"","parse-names":false,"suffix":""},{"dropping-particle":"","family":"Gnad","given":"Florian","non-dropping-particle":"","parse-names":false,"suffix":""},{"dropping-particle":"","family":"Nguyen","given":"Chuong","non-dropping-particle":"","parse-names":false,"suffix":""},{"dropping-particle":"","family":"Bermejo","given":"Justo Lorenzo","non-dropping-particle":"","parse-names":false,"suffix":""},{"dropping-particle":"","family":"Krüger","given":"Marcus","non-dropping-particle":"","parse-names":false,"suffix":""},{"dropping-particle":"","family":"Mann","given":"Matthias","non-dropping-particle":"","parse-names":false,"suffix":""}],"container-title":"Journal of Proteome Research","id":"ITEM-1","issue":"12","issued":{"date-parts":[["2011"]]},"page":"5275-5284","title":"Systems-wide proteomic analysis in mammalian cells reveals conserved, functional protein turnover","type":"article-journal","volume":"10"},"uris":["http://www.mendeley.com/documents/?uuid=6d6c4307-684d-461b-bfbe-5370401006b7"]}],"mendeley":{"formattedCitation":"(223)","plainTextFormattedCitation":"(223)","previouslyFormattedCitation":"(223)"},"properties":{"noteIndex":0},"schema":"https://github.com/citation-style-language/schema/raw/master/csl-citation.json"}</w:instrText>
      </w:r>
      <w:r w:rsidR="008E0489">
        <w:fldChar w:fldCharType="separate"/>
      </w:r>
      <w:r w:rsidR="0057639C" w:rsidRPr="0057639C">
        <w:rPr>
          <w:noProof/>
        </w:rPr>
        <w:t>(223)</w:t>
      </w:r>
      <w:r w:rsidR="008E0489">
        <w:fldChar w:fldCharType="end"/>
      </w:r>
      <w:r w:rsidR="008E0489">
        <w:t>.</w:t>
      </w:r>
      <w:r w:rsidR="003278AA">
        <w:t xml:space="preserve"> </w:t>
      </w:r>
      <w:r>
        <w:t>The rapid OSW-1 induced reduction of OSBP levels, and the long-term repression of OSBP caused by the compound in the washout condition clearly indicate a different cellular regulation of OSBP is being triggered. The</w:t>
      </w:r>
      <w:r w:rsidR="00116A66">
        <w:t xml:space="preserve"> </w:t>
      </w:r>
      <w:r w:rsidR="003278AA">
        <w:t xml:space="preserve">OSBP </w:t>
      </w:r>
      <w:r w:rsidR="00116A66">
        <w:t xml:space="preserve">mRNA </w:t>
      </w:r>
      <w:r w:rsidR="003278AA">
        <w:t>transcript</w:t>
      </w:r>
      <w:r>
        <w:t xml:space="preserve"> levels are not affected by OSW-1 compound</w:t>
      </w:r>
      <w:r w:rsidR="00233EB1">
        <w:t xml:space="preserve"> treatment, including up to 48 and 72 hours post-washout. Future research is needed to identify the cellular mechanisms responsible for the long-term OSBP reduction triggered by OSW-1 compound treatment. A possible mechanism could be miRNA targeting of OSBP mRNA in OSW-1 compound treated cells.</w:t>
      </w:r>
      <w:r w:rsidR="00151211">
        <w:t xml:space="preserve"> </w:t>
      </w:r>
    </w:p>
    <w:p w:rsidR="008E0489" w:rsidRDefault="009F260B" w:rsidP="00FB099D">
      <w:pPr>
        <w:pStyle w:val="Heading2"/>
      </w:pPr>
      <w:bookmarkStart w:id="171" w:name="_Toc532553139"/>
      <w:r w:rsidRPr="009F260B">
        <w:lastRenderedPageBreak/>
        <w:t>Methods</w:t>
      </w:r>
      <w:bookmarkEnd w:id="171"/>
    </w:p>
    <w:p w:rsidR="009F260B" w:rsidRDefault="000E7056" w:rsidP="00042529">
      <w:pPr>
        <w:pStyle w:val="Heading3"/>
      </w:pPr>
      <w:bookmarkStart w:id="172" w:name="_Toc532553140"/>
      <w:r w:rsidRPr="000E7056">
        <w:t>Cell Culture</w:t>
      </w:r>
      <w:bookmarkEnd w:id="172"/>
    </w:p>
    <w:p w:rsidR="000E7056" w:rsidRDefault="000E7056" w:rsidP="00FB099D">
      <w:pPr>
        <w:ind w:firstLine="720"/>
        <w:jc w:val="both"/>
      </w:pPr>
      <w:r w:rsidRPr="000E7056">
        <w:t>HEK293 STF (ATCC CRL-3249) and HeLa (ATCC CCL-2) were cultured in DMEM (Thermo 11995073) supplemented with 10% Hyclone (Fisher Sci SH3006603) and 1% penicillin-streptomycin (Thermo 15140122). HCT116 (ATCC CCL-247) was cultured in McCoy 5A media (Thermo 16600108) supplemented with 10% Hyclone and 1% penicillin streptomycin. HCT116 p21-/- cells were a gift from the Vogelstein Laboratory (Johns Hopkins University) and cultured in McCoy 5A media (Thermo 16600108) supplemented with 10% Hyclone and 1% penicillin streptomycin.</w:t>
      </w:r>
    </w:p>
    <w:p w:rsidR="000E7056" w:rsidRPr="000E7056" w:rsidRDefault="000E7056" w:rsidP="00042529">
      <w:pPr>
        <w:pStyle w:val="Heading3"/>
      </w:pPr>
      <w:bookmarkStart w:id="173" w:name="_Toc532553141"/>
      <w:r w:rsidRPr="000E7056">
        <w:t>General Cell Culture</w:t>
      </w:r>
      <w:bookmarkEnd w:id="173"/>
    </w:p>
    <w:p w:rsidR="000E7056" w:rsidRDefault="000E7056" w:rsidP="00FB099D">
      <w:pPr>
        <w:ind w:firstLine="720"/>
        <w:jc w:val="both"/>
      </w:pPr>
      <w:r>
        <w:t>All mammalian cell lines were cultured at 37 ºC in 5% CO2. All handling of the mammalian cell culture was performed in a standard tissue culture hood using standard aseptic technique. Cell lines were cultured in the complete media described above. Cell culture stocks were aliquoted in complete media with 10% DMSO in 2 mL cryogenic vials (Corning 430659) and stored in liquid nitrogen vapor phase. Before beginning a new culture, the freezer stocks were thawed, diluted in 9 mL complete media and plated in Nunclon Delta 10 cm</w:t>
      </w:r>
      <w:r>
        <w:rPr>
          <w:vertAlign w:val="superscript"/>
        </w:rPr>
        <w:t>3</w:t>
      </w:r>
      <w:r>
        <w:t xml:space="preserve"> dishes (VWR 10171744). After allowing ~16 hours for the revived cells to attach, the DMSO containing media was replaced with DMSO free complete media. All revived cultures were split at least twice prior to use in an experiment. Cell cultures were restarted approximately every 3-4 weeks. All cell-based experiments reported used multiple restarted cell cultures in the independent experiments that make up the replicate results. For experiments, cell cultures were used with a confluency of ~70%. The cell cultures were not allowed to ever become superconfluent, and the cellular morphology and proliferation rate of the cell culture was carefully tracked to identify any abnormalities; any </w:t>
      </w:r>
      <w:r>
        <w:lastRenderedPageBreak/>
        <w:t>cell culture showing the slightest abnormalities were discard and the cell line restarted from frozen stocks. For experiments, cells were allowed to recover from splitting and replating a minimum of 16 hr prior to the start of an experiment.</w:t>
      </w:r>
    </w:p>
    <w:p w:rsidR="000E7056" w:rsidRDefault="000E7056" w:rsidP="00FB099D">
      <w:pPr>
        <w:ind w:firstLine="720"/>
        <w:jc w:val="both"/>
      </w:pPr>
      <w:r>
        <w:t>The adherent mammalian cell lines are split every ~3 days with the following general procedure: the complete media is removed via aspiration and the cells are gently washed with 5 mL of 1X PBS. TrypLE trypsin reagent (2.5 mL for 10 cm</w:t>
      </w:r>
      <w:r>
        <w:rPr>
          <w:vertAlign w:val="superscript"/>
        </w:rPr>
        <w:t>3</w:t>
      </w:r>
      <w:r>
        <w:t xml:space="preserve"> plate) is added and incubated for approximately 10 min at 37 ºC. After 10 mins 7.5 mL of the complete culture media is added to inactivate the TrypLE reagent. Cells were counted using a TC20™ Automated Cell Counter (BioRad), by combining 10 µL of cell solution with 10 µL Trypan Blue stain (Thermo 15250061).</w:t>
      </w:r>
    </w:p>
    <w:p w:rsidR="000E7056" w:rsidRDefault="000E7056" w:rsidP="00042529">
      <w:pPr>
        <w:pStyle w:val="Heading3"/>
      </w:pPr>
      <w:bookmarkStart w:id="174" w:name="_Toc532553142"/>
      <w:r w:rsidRPr="000E7056">
        <w:t>OSW-1 Compound</w:t>
      </w:r>
      <w:bookmarkEnd w:id="174"/>
    </w:p>
    <w:p w:rsidR="00CD6B8E" w:rsidRDefault="000E7056" w:rsidP="00FB099D">
      <w:pPr>
        <w:ind w:firstLine="720"/>
        <w:jc w:val="both"/>
      </w:pPr>
      <w:r>
        <w:t xml:space="preserve">The OSW-1 compound used was obtained through total synthesis in the Burgett lab or from isolation from the natural source. OSW-1 used in the experiments was of &gt;95% purity as determined with </w:t>
      </w:r>
      <w:r>
        <w:rPr>
          <w:vertAlign w:val="superscript"/>
        </w:rPr>
        <w:t>1</w:t>
      </w:r>
      <w:r>
        <w:t>H-NMR and LCMS analysis. Solid OSW-1 compound was dissolved in analytical grade DMSO solution to produce 10mM stocks for experimentation. The 10 mM OSW-1 stock solution was aliquoted into Eppendorf brand 1.5 mL centrifuge tubes; Each individual 10 mM OSW-1 aliquots were thawed no more than three times. Additional cycles of freeze/thaws caused partial loss of OSW-1 compound in the aliquots.</w:t>
      </w:r>
    </w:p>
    <w:p w:rsidR="00CD6B8E" w:rsidRDefault="00CD6B8E" w:rsidP="00042529">
      <w:pPr>
        <w:pStyle w:val="Heading3"/>
      </w:pPr>
      <w:bookmarkStart w:id="175" w:name="_Toc532553143"/>
      <w:r>
        <w:t>Cell Lysis</w:t>
      </w:r>
      <w:bookmarkEnd w:id="175"/>
    </w:p>
    <w:p w:rsidR="00CD6B8E" w:rsidRDefault="00CD6B8E" w:rsidP="00FB099D">
      <w:pPr>
        <w:ind w:firstLine="720"/>
        <w:jc w:val="both"/>
      </w:pPr>
      <w:r>
        <w:t>Cells were cultured in Nunclon Delta 10 cm</w:t>
      </w:r>
      <w:r>
        <w:rPr>
          <w:vertAlign w:val="superscript"/>
        </w:rPr>
        <w:t>3</w:t>
      </w:r>
      <w:r>
        <w:t xml:space="preserve"> dishes (VWR 10171744) and </w:t>
      </w:r>
      <w:r w:rsidR="007718FE">
        <w:t>prepared for lysis</w:t>
      </w:r>
      <w:r>
        <w:t xml:space="preserve"> by removing the media, washing with 1X PBS, followed by addition of 1 mL PBS and scraping. Cells were collected in a 1.5 mL Eppendorf brand centrifuge tubes and </w:t>
      </w:r>
      <w:r w:rsidR="007718FE">
        <w:t>centrifuged</w:t>
      </w:r>
      <w:r>
        <w:t xml:space="preserve"> at 14,000 x g for 45 seconds. Supernatant was removed, and the cells were resuspended in 50 µL of AC Lysis buffer (150 mM NaCl, 1.5 mM MgCl</w:t>
      </w:r>
      <w:r>
        <w:rPr>
          <w:vertAlign w:val="subscript"/>
        </w:rPr>
        <w:t>2</w:t>
      </w:r>
      <w:r>
        <w:t xml:space="preserve">, 5% glycerol, 0.8% NP40, 1mM DTT, 50 mM </w:t>
      </w:r>
      <w:r>
        <w:lastRenderedPageBreak/>
        <w:t>HEPES, 25 mM NaF, 1 mM Na</w:t>
      </w:r>
      <w:r w:rsidRPr="00CD6B8E">
        <w:rPr>
          <w:vertAlign w:val="subscript"/>
        </w:rPr>
        <w:t>3</w:t>
      </w:r>
      <w:r>
        <w:t>PO</w:t>
      </w:r>
      <w:r w:rsidRPr="00CD6B8E">
        <w:rPr>
          <w:vertAlign w:val="subscript"/>
        </w:rPr>
        <w:t>4</w:t>
      </w:r>
      <w:r>
        <w:t xml:space="preserve">) with 3X HALT/EDTA protease inhibitor (Thermo 78438) and 0.2 mM phenylmethanesulfonylfluoride (Goldbio). </w:t>
      </w:r>
      <w:r w:rsidR="007718FE">
        <w:t>Cell lysis</w:t>
      </w:r>
      <w:r>
        <w:t xml:space="preserve"> </w:t>
      </w:r>
      <w:r w:rsidR="007718FE">
        <w:t>was performed by freezing cells in liquid nitrogen and thawing</w:t>
      </w:r>
      <w:r>
        <w:t xml:space="preserve"> in a 37°C bead bath three times, followed by a 14,000 x g </w:t>
      </w:r>
      <w:r w:rsidR="007718FE">
        <w:t>centrifugation</w:t>
      </w:r>
      <w:r>
        <w:t xml:space="preserve"> for 15 minutes. Supernatant was transferred to a new tube and a portion was taken for protein quantification using a Bradford assay (Bio-Rad Protein Assay Dye Reagent Concentrate #5000006, BSA-Santa Cruz sc-2323). After protein quantification, the lysates were diluted to the desired concentra</w:t>
      </w:r>
      <w:r w:rsidR="007718FE">
        <w:t>tion using AC lysis buffer and a final concentration of 1</w:t>
      </w:r>
      <w:r>
        <w:t>X Laemmli buffer (1 M Tris pH 6.8, 8% SDS, 40% glycerol, 20% β-mercaptoethanol, and 0.2% bromophenol blue), followed by dry bath heating at 95°C for 10 minutes.</w:t>
      </w:r>
    </w:p>
    <w:p w:rsidR="000E7056" w:rsidRDefault="00CD6B8E" w:rsidP="00FB099D">
      <w:pPr>
        <w:ind w:firstLine="720"/>
        <w:jc w:val="both"/>
      </w:pPr>
      <w:r>
        <w:t xml:space="preserve">Cells cultured on 6-well plates (Greiner 657160) were </w:t>
      </w:r>
      <w:r w:rsidR="007718FE">
        <w:t>prepared for lysis by removing media, washing</w:t>
      </w:r>
      <w:r>
        <w:t xml:space="preserve"> with 1X PBS, followed by adding 0.5 mL TrypLE</w:t>
      </w:r>
      <w:r w:rsidRPr="00CD6B8E">
        <w:rPr>
          <w:vertAlign w:val="superscript"/>
        </w:rPr>
        <w:t>TM</w:t>
      </w:r>
      <w:r>
        <w:t xml:space="preserve"> Express (Gibco 12605010) and incubated at 37°C for 5 minutes. TrypLE</w:t>
      </w:r>
      <w:r w:rsidRPr="00CD6B8E">
        <w:rPr>
          <w:vertAlign w:val="superscript"/>
        </w:rPr>
        <w:t>TM</w:t>
      </w:r>
      <w:r>
        <w:t xml:space="preserve"> was neutralized using 0.5 mL of media and cells were then transferred to a 1.5 mL Eppendorf tube </w:t>
      </w:r>
      <w:r w:rsidR="007718FE">
        <w:t>and centrifuged</w:t>
      </w:r>
      <w:r>
        <w:t xml:space="preserve"> at 14,000 x g for 45 seconds. Supernatant was removed, and 1 mL of PBS was added to wash the cells. Cells were </w:t>
      </w:r>
      <w:r w:rsidR="007718FE">
        <w:t>centrifuged</w:t>
      </w:r>
      <w:r>
        <w:t xml:space="preserve"> at 14,000 x g for 45 seconds, supernatant was removed, and the cells were resuspended in 50 µL of AC lysis buffer. Freeze/thaw </w:t>
      </w:r>
      <w:r w:rsidR="007718FE">
        <w:t xml:space="preserve">lysis </w:t>
      </w:r>
      <w:r>
        <w:t>method was continued as described above.</w:t>
      </w:r>
    </w:p>
    <w:p w:rsidR="00CD6B8E" w:rsidRDefault="00CD6B8E" w:rsidP="00042529">
      <w:pPr>
        <w:pStyle w:val="Heading3"/>
      </w:pPr>
      <w:bookmarkStart w:id="176" w:name="_Toc532553144"/>
      <w:r w:rsidRPr="00CD6B8E">
        <w:t>Western Blotting</w:t>
      </w:r>
      <w:bookmarkEnd w:id="176"/>
    </w:p>
    <w:p w:rsidR="002436AD" w:rsidRDefault="00CD6B8E" w:rsidP="00FB099D">
      <w:pPr>
        <w:ind w:firstLine="720"/>
        <w:jc w:val="both"/>
      </w:pPr>
      <w:r>
        <w:t xml:space="preserve">SDS-PAGE gels (8.5 or 12%) containing 25 µg of </w:t>
      </w:r>
      <w:r w:rsidR="007718FE">
        <w:t xml:space="preserve">total </w:t>
      </w:r>
      <w:r>
        <w:t xml:space="preserve">protein per well were transferred to 0.45 µm nitrocellulose (Bio-Rad 1620115) using constant voltage (100V) for 1 hour at 4°C in 1X transfer buffer with 10% ethanol. After transferring, the nitrocellulose membrane was blocked with 5% milk 1X TBST at room temperature for 30 minutes. The membranes were then washed three times, five minutes each, with 1X TBST. Primary incubation with antibodies was done overnight at 4°C. After primary incubation, the blots were washed five times, five minutes each, </w:t>
      </w:r>
      <w:r>
        <w:lastRenderedPageBreak/>
        <w:t>with 1X TBST and then incubated in secondary antibody in 1% milk TBST for thirty minutes at room temperature. After secondary antibody incubation, the blots were washed five times, five minutes each, with 1X TBST and then once with 1X TBS for ten minutes. TBS was removed, and the blots were incubated in Clarity</w:t>
      </w:r>
      <w:r w:rsidRPr="00CD6B8E">
        <w:rPr>
          <w:vertAlign w:val="superscript"/>
        </w:rPr>
        <w:t xml:space="preserve">TM </w:t>
      </w:r>
      <w:r>
        <w:t>Western ECL substrate (Bio-Rad 1705061) and imaged on the Bio-Rad ChemiDoc</w:t>
      </w:r>
      <w:r w:rsidRPr="00CD6B8E">
        <w:rPr>
          <w:vertAlign w:val="superscript"/>
        </w:rPr>
        <w:t>TM</w:t>
      </w:r>
      <w:r>
        <w:t xml:space="preserve"> Touch Imaging System using the chemiluminescence setting with 2x2 binning. Ladder images were taken using the colorimetric setting. After development, the membranes were washed with 1X TBST twice for five minutes each. 1:1000 β-actin HRP (Santa Cruz sc-47778 HRP) in 1% milk TBST was added and incubated for 1.5 hours at room temperature. Developing occurred the same as after secondary antibody incubation. Primary antibodies used were 1:500 OSBP A-5 (Santa Cruz sc-365771), 1:500 p21 C-19 (Santa Cruz sc-397), 1:1000 OSBP2 B-1 (Santa Cruz sc-365922), 1:100 SQSTM1 (p62) D-3 (Santa Cruz sc-28359) and 1:1000 LC3A/B D3U4C XP</w:t>
      </w:r>
      <w:r w:rsidRPr="00CD6B8E">
        <w:rPr>
          <w:vertAlign w:val="superscript"/>
        </w:rPr>
        <w:t>®</w:t>
      </w:r>
      <w:r>
        <w:t xml:space="preserve"> (Cell Signaling 12741). Secondary antibodies used were 1:1000-1:3000 goat anti-mouse IgG</w:t>
      </w:r>
      <w:r w:rsidRPr="00CD6B8E">
        <w:rPr>
          <w:vertAlign w:val="subscript"/>
        </w:rPr>
        <w:t>1</w:t>
      </w:r>
      <w:r>
        <w:t>-HRP (Santa Cruz sc-2060), 1:3000 goat anti-rabbit IgG-HRP (Santa Cruz sc-2004) and 1:2000 goat antirabbit IgG-HRP (Cell Signaling 7074S).</w:t>
      </w:r>
    </w:p>
    <w:p w:rsidR="002436AD" w:rsidRDefault="002436AD" w:rsidP="00042529">
      <w:pPr>
        <w:pStyle w:val="Heading3"/>
      </w:pPr>
      <w:bookmarkStart w:id="177" w:name="_Toc532553145"/>
      <w:r>
        <w:t>Cycloheximide Chase Experiments</w:t>
      </w:r>
      <w:bookmarkEnd w:id="177"/>
    </w:p>
    <w:p w:rsidR="002436AD" w:rsidRPr="002436AD" w:rsidRDefault="002436AD" w:rsidP="00FB099D">
      <w:pPr>
        <w:ind w:firstLine="720"/>
        <w:jc w:val="both"/>
        <w:rPr>
          <w:i/>
        </w:rPr>
      </w:pPr>
      <w:r>
        <w:t>HCT116 and HEK293 cells were seeded at 1.6x10</w:t>
      </w:r>
      <w:r w:rsidRPr="002436AD">
        <w:rPr>
          <w:vertAlign w:val="superscript"/>
        </w:rPr>
        <w:t xml:space="preserve">5 </w:t>
      </w:r>
      <w:r>
        <w:t xml:space="preserve">cell per well into six well plates (Greiner 657160) and left to rest for 20 hours. Media containing 177 </w:t>
      </w:r>
      <w:r w:rsidRPr="002436AD">
        <w:rPr>
          <w:rFonts w:ascii="Calibri" w:eastAsia="Calibri" w:hAnsi="Calibri" w:cs="Calibri"/>
        </w:rPr>
        <w:t>µ</w:t>
      </w:r>
      <w:r>
        <w:t>M cycloheximide (Sigma C7698-1G) was added to the plates and the cells were incubated for the times indicated before the cells were lysed and analyzed by Western blotting.</w:t>
      </w:r>
    </w:p>
    <w:p w:rsidR="002436AD" w:rsidRDefault="002436AD" w:rsidP="00042529">
      <w:pPr>
        <w:pStyle w:val="Heading3"/>
      </w:pPr>
      <w:bookmarkStart w:id="178" w:name="_Toc532553146"/>
      <w:r>
        <w:t>Proteasome Inhibitor Assays</w:t>
      </w:r>
      <w:bookmarkEnd w:id="178"/>
    </w:p>
    <w:p w:rsidR="002436AD" w:rsidRDefault="002436AD" w:rsidP="00FB099D">
      <w:pPr>
        <w:ind w:firstLine="720"/>
        <w:jc w:val="both"/>
      </w:pPr>
      <w:r>
        <w:t xml:space="preserve">HCT116 cells were seeded out into plates and left to rest for 20 hours. For the co-incubation experiments, the cells were treated with DMSO (Sigma 472301), 1 nM OSW-1, 25 nM Bortezomib (Sigma 5043140001), 25 nM Carfilzomib (AdooQ Bioscience A11278), 170 nM MG-132 (Sigma </w:t>
      </w:r>
      <w:r>
        <w:lastRenderedPageBreak/>
        <w:t>474787), or a combination of treatments for 24 hours. Cells were lysed and analyzed by western blotting. For the washout experiments, the cells were treated with media containing DMSO or 1 nM OSW-1 for 6 hours, washed 3 times with 5 mL of media, and then allowed to recover for 24 hours. After the 24-hour recovery, one set of treatments were lysed as a control to ensure OSPB loss while the other cells were treated with media containing 25 nM Bortezomib, 25 nM Carfilzomib, 170 nM MG-132, or DMSO for 24 hours. Cells were lysed and analyzed by western blot.</w:t>
      </w:r>
    </w:p>
    <w:p w:rsidR="002436AD" w:rsidRDefault="002436AD" w:rsidP="00042529">
      <w:pPr>
        <w:pStyle w:val="Heading3"/>
      </w:pPr>
      <w:bookmarkStart w:id="179" w:name="_Toc532553147"/>
      <w:r w:rsidRPr="002436AD">
        <w:t>Calpain Anaysis</w:t>
      </w:r>
      <w:bookmarkEnd w:id="179"/>
    </w:p>
    <w:p w:rsidR="002436AD" w:rsidRDefault="002436AD" w:rsidP="00FB099D">
      <w:pPr>
        <w:ind w:firstLine="720"/>
        <w:jc w:val="both"/>
      </w:pPr>
      <w:r>
        <w:t>For the continual treatment, HeLa cells were seeded out in a 6 well plate. Upon 70% confluency, cells were treated with DMSO, DMSO and ALLN (10µM), OSW-1 (1nM), or OSW-1 (1nM) and ALLN (10µM) for 24 hours. Cells were lysed and analyzed following the 6-well lysis method and the western blot protocol. Under the washout experimental conditions, cells were treated with DMSO or OSW-1 (1nM) for 6 hours. Cells were washed out according to the washout experimental method. After 24-hour recovery, one set of DMSO and one set of OSW-1 was lysed following the 6 well lysis method. At the same time (24 hours post-wash), ALLN (10µM) was added to one set of DMSO and one set of OSW-1. The cells continued to incubate until 48 hours post-wash, at which point they were lysed and analyzed using the western blot method.</w:t>
      </w:r>
      <w:r w:rsidR="007718FE">
        <w:t xml:space="preserve"> Experiments and analysis were performed by Mr. Ryan </w:t>
      </w:r>
      <w:r w:rsidR="00BE3671">
        <w:t>Bensen</w:t>
      </w:r>
    </w:p>
    <w:p w:rsidR="002436AD" w:rsidRDefault="002436AD" w:rsidP="00042529">
      <w:pPr>
        <w:pStyle w:val="Heading3"/>
      </w:pPr>
      <w:bookmarkStart w:id="180" w:name="_Toc532553148"/>
      <w:r>
        <w:t>RT-PCR Analysis</w:t>
      </w:r>
      <w:bookmarkEnd w:id="180"/>
    </w:p>
    <w:p w:rsidR="002436AD" w:rsidRDefault="002436AD" w:rsidP="00FB099D">
      <w:pPr>
        <w:ind w:firstLine="720"/>
        <w:jc w:val="both"/>
      </w:pPr>
      <w:r>
        <w:t>HCT116 and HEK293 cells were seeded at 0.85x10</w:t>
      </w:r>
      <w:r w:rsidRPr="002436AD">
        <w:rPr>
          <w:vertAlign w:val="superscript"/>
        </w:rPr>
        <w:t>5</w:t>
      </w:r>
      <w:r>
        <w:t xml:space="preserve"> cells/mL into 10 cm</w:t>
      </w:r>
      <w:r>
        <w:rPr>
          <w:vertAlign w:val="superscript"/>
        </w:rPr>
        <w:t>3</w:t>
      </w:r>
      <w:r>
        <w:t xml:space="preserve"> plates and left to rest for 20 hours. Cells were treated in the same manner as the washout with 1 nM Taxol, 1 nM OSW-1, and DMSO and left to recover for 0-72 hours. Once each time point was reached, media was removed from cell plates and 1 mL of TRIzol (Thermo 15596026) was added to the plates and </w:t>
      </w:r>
      <w:r>
        <w:lastRenderedPageBreak/>
        <w:t>cells were scraped and collected in a 1.5 mL Eppendorf tube and incubated at room temperature for 5 minutes to ensure nucleoprotein complex dissociation. To each tube, 0.2 mL of chloroform was added and incubated for 2.5 minutes at room temperature. The samples were then spun down at 12,000 x g for 15 minutes at 4°C. After spinning the upper aqueous phase was transferred into a fresh 1.5 mL Eppendorf tube. 0.5 mL of 100% isopropanol was added and the tubes were mixed by inversion followed by a 10-minute incubation at room temperature. Samples were then spun down at 12,000 x g for 10 minutes at 4°C. Supernatant was discarded and 1 mL of 75% ethanol was added to the pellet to wash the RNA. The sample was vortexed briefly to dislodge pellet and then spun down at 7,500 x g for 5 minutes at 4°C. Supernatant was discarded and pellets were left to air dry for 5 minutes, after which 100 µL of MQ H</w:t>
      </w:r>
      <w:r w:rsidRPr="002436AD">
        <w:rPr>
          <w:vertAlign w:val="subscript"/>
        </w:rPr>
        <w:t>2</w:t>
      </w:r>
      <w:r>
        <w:t>O were added to resuspend the RNA. Samples were then heated at 60°C for 10 minutes. RNA concentration was taken using a nano-drop before being stored at -80°C. cDNA was made by using the Maxima First Strand cDNA Synthesis Kit (Thermo K1671). 4 µg of RNA was added to a PCR tube containing µ1 L of dsDNase, 1 µL of 10x dsDNase buffer, and MQ H</w:t>
      </w:r>
      <w:r w:rsidRPr="002436AD">
        <w:rPr>
          <w:vertAlign w:val="subscript"/>
        </w:rPr>
        <w:t>2</w:t>
      </w:r>
      <w:r>
        <w:t>O to 10 µL. PCR tube was then incubated at 37°C for 2 minutes, placed on ice, spun down briefly, and placed back on ice. 1 µL of 100 mM DTT was added to the tube and incubated at 55°C for 5 minutes, placed on ice, spun down briefly, and placed back on ice. 1 µL of 10 mM dNTPs, 1 µL random primers, and MQ H</w:t>
      </w:r>
      <w:r w:rsidRPr="002436AD">
        <w:rPr>
          <w:vertAlign w:val="subscript"/>
        </w:rPr>
        <w:t>2</w:t>
      </w:r>
      <w:r>
        <w:t xml:space="preserve">O to 15 µL. Tubes were briefly mixed and incubated at 65°C for 5 minutes, put on ice, spun down, and put back on ice. 4 µL of 5X RT buffer and 1 µL of Maxima enzyme were added to the tube and then incubated at 25°C for 20 minutes, 50° for 30 minutes, followed by an inactivation at 85°C for 5 minutes. cDNA was stored at -20°C. cDNA synthesis was confirmed by PCR with intron spanning β-Actin primers. Once verification was confirmed, RT-PCR was set up using Fast SYBR Green (Thermo 4385612) with intron spanning primers (OSBP, ORP4, and β-Actin). 10 µL of Fast SYBR </w:t>
      </w:r>
      <w:r>
        <w:lastRenderedPageBreak/>
        <w:t>Green was mixed with 0.3 µL of 100 µmoles forward and reverse primer solution, 1 µL of cDNA, and MQ H</w:t>
      </w:r>
      <w:r w:rsidRPr="002436AD">
        <w:rPr>
          <w:vertAlign w:val="subscript"/>
        </w:rPr>
        <w:t>2</w:t>
      </w:r>
      <w:r>
        <w:t>O to 20 µL. Each gene was done in triplicate for each time point. The plate was then run on a Roche LightCycler480 using SYBR green protocol.</w:t>
      </w:r>
    </w:p>
    <w:p w:rsidR="002436AD" w:rsidRDefault="002436AD" w:rsidP="00042529">
      <w:pPr>
        <w:pStyle w:val="Heading3"/>
      </w:pPr>
      <w:bookmarkStart w:id="181" w:name="_Toc532553149"/>
      <w:r>
        <w:t>Autophagy Experiments</w:t>
      </w:r>
      <w:bookmarkEnd w:id="181"/>
    </w:p>
    <w:p w:rsidR="002436AD" w:rsidRDefault="002436AD" w:rsidP="00FB099D">
      <w:pPr>
        <w:ind w:firstLine="720"/>
        <w:jc w:val="both"/>
      </w:pPr>
      <w:r>
        <w:t>HEK293 cells were seeded into 10 cm</w:t>
      </w:r>
      <w:r w:rsidRPr="002436AD">
        <w:rPr>
          <w:vertAlign w:val="superscript"/>
        </w:rPr>
        <w:t>2</w:t>
      </w:r>
      <w:r>
        <w:t xml:space="preserve"> plates. Upon 70% confluency, cells were treated with DMSO as a vehicle control, 1 nM OSW-1, 25 µM chloroquine, or 100nM rapamycin, or a combination of treatments for 6 hours in 10 mL DMEM media for each 10cm</w:t>
      </w:r>
      <w:r>
        <w:rPr>
          <w:vertAlign w:val="superscript"/>
        </w:rPr>
        <w:t>3</w:t>
      </w:r>
      <w:r>
        <w:t xml:space="preserve"> plate. After 6 hours, the media containing the </w:t>
      </w:r>
      <w:r w:rsidR="007A587E">
        <w:t>OSW-1 compound</w:t>
      </w:r>
      <w:r>
        <w:t xml:space="preserve"> was washed out with three separate 5 mL drug free media washes (same as the washout experimental protocol). Cells were then treated with either drug free media, 100 nM rapamycin, 25 µM chloroquine, or a combination of treatments, and allowed to recover from OSW-1 compound treatment for 6, 15, or 24 hours. After the indicated post washout time point, the cells were lysed using AC lysis buffer according to the cell lysis protocol described previously. Lysates were analyzed via Western blot using OSBP, SQSTM1 (p62), and LC3-A/B antibodies, with β-actin antibody used as a loading control for quantification (antibody information can be found in ‘Western blotting’ experimental methods).</w:t>
      </w:r>
      <w:r w:rsidR="007718FE">
        <w:t xml:space="preserve"> Experiments and analysis were performed by Mr. </w:t>
      </w:r>
      <w:r w:rsidR="00E87672">
        <w:t>Zachary</w:t>
      </w:r>
      <w:r w:rsidR="007718FE">
        <w:t xml:space="preserve"> Severance</w:t>
      </w:r>
    </w:p>
    <w:p w:rsidR="002436AD" w:rsidRDefault="002436AD" w:rsidP="00042529">
      <w:pPr>
        <w:pStyle w:val="Heading3"/>
      </w:pPr>
      <w:bookmarkStart w:id="182" w:name="_Toc532553150"/>
      <w:r>
        <w:t>iTRAQ Experiments</w:t>
      </w:r>
      <w:bookmarkEnd w:id="182"/>
    </w:p>
    <w:p w:rsidR="002436AD" w:rsidRDefault="002436AD" w:rsidP="00FB099D">
      <w:pPr>
        <w:ind w:firstLine="720"/>
        <w:jc w:val="both"/>
        <w:rPr>
          <w:i/>
        </w:rPr>
      </w:pPr>
      <w:r>
        <w:t xml:space="preserve">HEK293 cells were seeded and treated according to the 0-72-hour recovery washout experimental procedure previously described (1nM OSW-1 or DMSO, 6-hour treatment). After the desired post washout time point, the cells were lysed according to the AC lysis protocol (lysis method 1) using modified AC lysis buffer. The modified AC lysis buffer contained no DTT and only 3X HALT (no EDTA or PMSF) for protease inhibitor. Free thiols can interfere with the </w:t>
      </w:r>
      <w:r>
        <w:lastRenderedPageBreak/>
        <w:t>cysteine blocking step prior to iTRAQ tagging and protease inhibitors were kept to a minimum to avoid inhibiting trypsin during the digestion process.</w:t>
      </w:r>
    </w:p>
    <w:p w:rsidR="007718FE" w:rsidRPr="007718FE" w:rsidRDefault="002436AD" w:rsidP="007718FE">
      <w:pPr>
        <w:ind w:firstLine="360"/>
        <w:jc w:val="both"/>
      </w:pPr>
      <w:r>
        <w:t>Effective treatment was confirmed via Western blot using OSBP antibody and β-Actin antibody as a loading control. A Multiplex Buffer Kit (Sciex 4381664) was used for the denaturing, reducing, and blocking steps. Trypsin with CaCl</w:t>
      </w:r>
      <w:r w:rsidRPr="002436AD">
        <w:rPr>
          <w:vertAlign w:val="subscript"/>
        </w:rPr>
        <w:t>2</w:t>
      </w:r>
      <w:r>
        <w:t xml:space="preserve"> (Sciex 4352157) was used for digestion; and iTRAQ Reagent-8Plex Multiplex Kit (Sciex 4390812) was used for iTRAQ labeling. These kits were utilized according to the iTRAQ Reagents- 8plex Protocol. After tagging, the pH of the samples was lowered to approximately 3, using 1N Phosphoric Acid, and ran through a cation-exchange cartridge system (Sciex cationexchange cartridge 4326747, cartridge holder 4326688, outlet connector 4326690, and needleport adapter 4326689) to remove any substances that could interfere with LC/MS/MS analysis. The protein eluate was quantified using a NanoDrop One</w:t>
      </w:r>
      <w:r w:rsidRPr="002436AD">
        <w:rPr>
          <w:vertAlign w:val="superscript"/>
        </w:rPr>
        <w:t xml:space="preserve">C </w:t>
      </w:r>
      <w:r>
        <w:t>(Thermo). Samples were normalized to a "mixed" sample that contained 5.5 µg of protein from each sample. Only shared proteins in all 3 biological replicates were used to test for changes in different conditions. P-values were generated using multiple t-tests in GraphPad Prism 7 (P&lt;0.05 for significantly changed proteins). Volcano plots were also generated in GraphPad Prism 7 to display P values against fold changes between the two treatment conditions.</w:t>
      </w:r>
      <w:r w:rsidR="007718FE">
        <w:t xml:space="preserve"> Cell treatments, lysate tagging, and protein quantification confirmation were performed by Mr. </w:t>
      </w:r>
      <w:r w:rsidR="00E87672">
        <w:t>Zachary</w:t>
      </w:r>
      <w:r w:rsidR="007718FE">
        <w:t xml:space="preserve"> Sevarance and the LC/MS/MS experiments and analysis were performed by Ms</w:t>
      </w:r>
      <w:r w:rsidR="007718FE" w:rsidRPr="007718FE">
        <w:t xml:space="preserve">. Hongyan Ma; Ms. Ma is a graduate student in the lab of Dr. Si Wu, Department of Chemistry and Biochemistry, Univ. of Oklahoma. </w:t>
      </w:r>
    </w:p>
    <w:p w:rsidR="002436AD" w:rsidRDefault="002436AD" w:rsidP="00042529">
      <w:pPr>
        <w:pStyle w:val="Heading3"/>
        <w:rPr>
          <w:rFonts w:cstheme="minorHAnsi"/>
        </w:rPr>
      </w:pPr>
      <w:bookmarkStart w:id="183" w:name="_Toc532553151"/>
      <w:r w:rsidRPr="002436AD">
        <w:t>LC-MS/MS analysis of labeled peptides</w:t>
      </w:r>
      <w:bookmarkEnd w:id="183"/>
    </w:p>
    <w:p w:rsidR="002436AD" w:rsidRPr="007718FE" w:rsidRDefault="002436AD" w:rsidP="007718FE">
      <w:pPr>
        <w:ind w:firstLine="360"/>
        <w:jc w:val="both"/>
      </w:pPr>
      <w:r w:rsidRPr="002436AD">
        <w:rPr>
          <w:rFonts w:cstheme="minorHAnsi"/>
        </w:rPr>
        <w:t>Mixed peptide samples were analyzed using the LC-MS/MS following previously published protocol</w:t>
      </w:r>
      <w:r w:rsidRPr="002436AD">
        <w:rPr>
          <w:rFonts w:cstheme="minorHAnsi"/>
          <w:vertAlign w:val="superscript"/>
        </w:rPr>
        <w:fldChar w:fldCharType="begin" w:fldLock="1"/>
      </w:r>
      <w:r w:rsidR="00741009">
        <w:rPr>
          <w:rFonts w:cstheme="minorHAnsi"/>
          <w:vertAlign w:val="superscript"/>
        </w:rPr>
        <w:instrText>ADDIN CSL_CITATION {"citationItems":[{"id":"ITEM-1","itemData":{"DOI":"10.1007/s13361-016-1569-8","ISBN":"9781493973712","ISSN":"1044-0305","PMID":"26928661","abstract":"Mitochondria are cellular organelles that harvest energy in the form of ATP through a process termed oxidative phosphorylation (OXPHOS), which occurs via the protein complexes of the electron transport chain (ETC). In recent years it has become unequivocally clear that mitochondrial complexes of the ETC are not static entities in the inner mitochondrial membrane. These complexes are dynamic and in mammals they aggregate in different stoichiometric combinations to form supercomplexes (SCs) or respirasomes. It has been proposed that the net respiration is more efficient via SCs than via isolated complexes. However, it still needs to be determined whether the activity of a particular SC is associated with a disease etiology. Here we describe a simplified method to visualize and assess in-gel activity of SCs and the individual complexes with good resolution using blue native polyacrylamide gel electrophoresis (BN-PAGE).","author":[{"dropping-particle":"","family":"Ma","given":"Hongyan","non-dropping-particle":"","parse-names":false,"suffix":""},{"dropping-particle":"","family":"Delafield","given":"Daniel G.","non-dropping-particle":"","parse-names":false,"suffix":""},{"dropping-particle":"","family":"Wang","given":"Zhe","non-dropping-particle":"","parse-names":false,"suffix":""},{"dropping-particle":"","family":"You","given":"Jianlan","non-dropping-particle":"","parse-names":false,"suffix":""},{"dropping-particle":"","family":"Wu","given":"Si","non-dropping-particle":"","parse-names":false,"suffix":""}],"container-title":"Journal of The American Society for Mass Spectrometry","id":"ITEM-1","issue":"4","issued":{"date-parts":[["2017","4","12"]]},"page":"655-663","title":"Finding Biomass Degrading Enzymes Through an Activity-Correlated Quantitative Proteomics Platform (ACPP)","type":"article-journal","volume":"28"},"uris":["http://www.mendeley.com/documents/?uuid=90acda9d-7d96-43a4-9699-a1cadb6f7e6a"]},{"id":"ITEM-2","itemData":{"DOI":"10.1016/j.ijms.2017.09.001","abstract":"Advancements in chromatographic separation are critical to in-depth top-down proteomics of complex intact protein samples. Reversed-phase liquid chromatography is the most prevalent technique for topdown proteomics. However, in cases of high complexities and large dynamic ranges, 1D-RPLC may not provide sufficient coverage of the proteome. To address these challenges, orthogonal separation techniques are often combined to improve the coverage and the dynamic range of detection. In this study, a “salt-free” high-pH RPLC was evaluated as an orthogonal dimension of separation to conventional low-pH RPLC with top-down MS. The RPLC separations with low-pH conditions (pH = 2) and high-pH conditions (pH = 10) were compared to confirm the good orthogonality between high-pH and low-pH RPLC’s. The offline 2D RPLC-RPLC–MS/MS analyses of intact E. coli samples were evaluated for the improvement of intact protein identifications as well as intact proteoform characterizations. Compared to the 163 proteins and 328 proteoforms identified using a 1D RPLC–MS approach, 365 proteins and 886 proteoforms were identified using the 2D RPLC–RPLC top-down MS approach. Our results demonstrate that the 2D RPLC–RPLC top-down approach holds great potential for in-depth top-down proteomics studies by utilizing the high resolving power of RPLC separations and by using mass spectrometry compatible buffers for easy sample handling for online MS analysis","author":[{"dropping-particle":"","family":"Wang","given":"Zhe","non-dropping-particle":"","parse-names":false,"suffix":""},{"dropping-particle":"","family":"Ma","given":"Hongyan","non-dropping-particle":"","parse-names":false,"suffix":""},{"dropping-particle":"","family":"Smith","given":"Kenneth","non-dropping-particle":"","parse-names":false,"suffix":""},{"dropping-particle":"","family":"Wu","given":"Si","non-dropping-particle":"","parse-names":false,"suffix":""}],"container-title":"International Journal of Mass Spectrometry","id":"ITEM-2","issued":{"date-parts":[["2018"]]},"page":"43-51","title":"Two-dimensional separation using high-pH and low-pH reversed phase liquid chromatography for top-down proteomics","type":"article-journal","volume":"427"},"uris":["http://www.mendeley.com/documents/?uuid=be0d9542-e628-4109-a127-0d92c4070d9f"]}],"mendeley":{"formattedCitation":"(203, 230)","plainTextFormattedCitation":"(203, 230)","previouslyFormattedCitation":"(203, 230)"},"properties":{"noteIndex":0},"schema":"https://github.com/citation-style-language/schema/raw/master/csl-citation.json"}</w:instrText>
      </w:r>
      <w:r w:rsidRPr="002436AD">
        <w:rPr>
          <w:rFonts w:cstheme="minorHAnsi"/>
          <w:vertAlign w:val="superscript"/>
        </w:rPr>
        <w:fldChar w:fldCharType="separate"/>
      </w:r>
      <w:r w:rsidR="005C5180" w:rsidRPr="005C5180">
        <w:rPr>
          <w:rFonts w:cstheme="minorHAnsi"/>
          <w:noProof/>
        </w:rPr>
        <w:t>(203, 230)</w:t>
      </w:r>
      <w:r w:rsidRPr="002436AD">
        <w:rPr>
          <w:rFonts w:cstheme="minorHAnsi"/>
          <w:vertAlign w:val="superscript"/>
        </w:rPr>
        <w:fldChar w:fldCharType="end"/>
      </w:r>
      <w:r w:rsidRPr="002436AD">
        <w:rPr>
          <w:rFonts w:cstheme="minorHAnsi"/>
        </w:rPr>
        <w:t xml:space="preserve">. Peptide samples were desalted, dried in SpeedVac, and resuspended in buffer </w:t>
      </w:r>
      <w:r w:rsidRPr="002436AD">
        <w:rPr>
          <w:rFonts w:cstheme="minorHAnsi"/>
        </w:rPr>
        <w:lastRenderedPageBreak/>
        <w:t>A (0.1% formic acid in water). 1 µg of the digested sample was injected onto a custom-packed C18 RPLC column (75 µm i.d., 150 mm length, 2 µm C18 resin, Thermo) using a Waters (Milford, MA, USA) nano-Acquity UPLC system, which is online coupled with a LTQ Orbitrap Velos Pro mass spectrometer (Thermo) through a custom nano-ESI interface. For peptide separation, a 100-min gradient was applied from 3% buffer A to 35% buffer B (0.1% formic acid in acetonitrile). Full MS spectra were acquired at a resolution of 60K (m/z range between 350 and 2000). The data-dependent higher-energy collisional dissociation (HCD) based MS/MS spectra were acquired at a resolution of 15K with a normalized collisional energy of 33% using the ten most abundant parent ions. Peptides were identified using MSGF+ to search LC-MS/MS against the annotated Uniprot human protein database</w:t>
      </w:r>
      <w:r w:rsidRPr="002436AD">
        <w:rPr>
          <w:rFonts w:cstheme="minorHAnsi"/>
          <w:vertAlign w:val="superscript"/>
        </w:rPr>
        <w:fldChar w:fldCharType="begin" w:fldLock="1"/>
      </w:r>
      <w:r w:rsidR="00741009">
        <w:rPr>
          <w:rFonts w:cstheme="minorHAnsi"/>
          <w:vertAlign w:val="superscript"/>
        </w:rPr>
        <w:instrText>ADDIN CSL_CITATION {"citationItems":[{"id":"ITEM-1","itemData":{"DOI":"10.1007/978-1-4939-6783-4_1","ISBN":"978-1-4939-6781-0","ISSN":"10643745","abstract":"The number of promising macromolecular targets involved in drug discograms has considerably increased because of the recent advances in human genomics and proteomics. In this respect, modern techniques like virtual screening in combination with high-throughput screening are well established approaches to assist identification of novel lead compounds. In particular, structure-based virtual screening is widely applied to search for new hit molecules among a large number of chemical compounds against therapeutically relevant protein targets with known three-dimensional structures. Here, we introduce the main techniques and programs applied for structure-based virtual screening with a focus on the molecular docking-scoring methodology and we discuss key issues that still need to be improved. In addition, we give recent examples of successful applications of hierarchical structure-based virtual screening methods combined with ligand-based ones. © 2011 Bentham Science Publishers Ltd. All rights reserved.","author":[{"dropping-particle":"","family":"Chen","given":"Chuming","non-dropping-particle":"","parse-names":false,"suffix":""},{"dropping-particle":"","family":"Huang","given":"Hongzhan","non-dropping-particle":"","parse-names":false,"suffix":""},{"dropping-particle":"","family":"Wu","given":"Cathy H.","non-dropping-particle":"","parse-names":false,"suffix":""}],"id":"ITEM-1","issue":"302","issued":{"date-parts":[["2017"]]},"page":"3-39","title":"Protein Bioinformatics Databases and Resources","type":"chapter","volume":"1558"},"uris":["http://www.mendeley.com/documents/?uuid=1fee24b4-15b5-416a-90b0-c5e4dcb75024"]},{"id":"ITEM-2","itemData":{"DOI":"10.1038/ncomms6277","ISBN":"2041-1723 (Electronic)\\r2041-1723 (Linking)","ISSN":"20411723","PMID":"25358478","abstract":"Mass spectrometry (MS) instruments and experimental protocols are rapidly advancing, but the software tools to analyse tandem mass spectra are lagging behind. We present a database search tool MS-GF þ that is sensitive (it identifies more peptides than most other database search tools) and universal (it works well for diverse types of spectra, different configurations of MS instruments and different experimental protocols). We benchmark MS-GF þ using diverse spectral data sets: (i) spectra of varying fragmentation methods; (ii) spectra of multiple enzyme digests; (iii) spectra of phosphorylated peptides; and (iv) spectra of peptides with unusual fragmentation propensities produced by a novel alpha-lytic protease. For all these data sets, MS-GF þ significantly increases the number of identified peptides compared with commonly used methods for peptide identifications. We emphasize that although MS-GF þ is not specifically designed for any particular experimental set-up, it improves on the performance of tools specifically designed for these applications (for example, specialized tools for phosphoproteomics).","author":[{"dropping-particle":"","family":"Kim","given":"Sangtae","non-dropping-particle":"","parse-names":false,"suffix":""},{"dropping-particle":"","family":"Pevzner","given":"Pavel A.","non-dropping-particle":"","parse-names":false,"suffix":""}],"container-title":"Nature Communications","id":"ITEM-2","issued":{"date-parts":[["2014"]]},"page":"1-10","publisher":"Nature Publishing Group","title":"MS-GF+ makes progress towards a universal database search tool for proteomics","type":"article-journal","volume":"5"},"uris":["http://www.mendeley.com/documents/?uuid=42f23db6-1dc0-4e6f-bdfe-25861357ef34"]}],"mendeley":{"formattedCitation":"(231, 232)","plainTextFormattedCitation":"(231, 232)","previouslyFormattedCitation":"(231, 232)"},"properties":{"noteIndex":0},"schema":"https://github.com/citation-style-language/schema/raw/master/csl-citation.json"}</w:instrText>
      </w:r>
      <w:r w:rsidRPr="002436AD">
        <w:rPr>
          <w:rFonts w:cstheme="minorHAnsi"/>
          <w:vertAlign w:val="superscript"/>
        </w:rPr>
        <w:fldChar w:fldCharType="separate"/>
      </w:r>
      <w:r w:rsidR="005C5180" w:rsidRPr="005C5180">
        <w:rPr>
          <w:rFonts w:cstheme="minorHAnsi"/>
          <w:noProof/>
        </w:rPr>
        <w:t>(231, 232)</w:t>
      </w:r>
      <w:r w:rsidRPr="002436AD">
        <w:rPr>
          <w:rFonts w:cstheme="minorHAnsi"/>
          <w:vertAlign w:val="superscript"/>
        </w:rPr>
        <w:fldChar w:fldCharType="end"/>
      </w:r>
      <w:r w:rsidRPr="002436AD">
        <w:rPr>
          <w:rFonts w:cstheme="minorHAnsi"/>
        </w:rPr>
        <w:t>. Peptide identifications were filtered with a MSGF cut-off score lower than the calculated FDR&lt;1% at the unique peptide level against decoy database. The iTRAQ reporter ion intensities of each HCD scan were extracted and analyzed using in-house developed software.</w:t>
      </w:r>
      <w:r w:rsidR="007718FE">
        <w:rPr>
          <w:rFonts w:cstheme="minorHAnsi"/>
        </w:rPr>
        <w:t xml:space="preserve"> </w:t>
      </w:r>
      <w:r w:rsidR="007718FE">
        <w:t>Experiments and analysis were performed by Ms</w:t>
      </w:r>
      <w:r w:rsidR="007718FE" w:rsidRPr="007718FE">
        <w:t xml:space="preserve">. Hongyan Ma; Ms. Ma is a graduate student in the lab of Dr. Si Wu, Department of Chemistry and Biochemistry, Univ. of Oklahoma. </w:t>
      </w:r>
    </w:p>
    <w:p w:rsidR="002436AD" w:rsidRDefault="00E63B94" w:rsidP="00042529">
      <w:pPr>
        <w:pStyle w:val="Heading3"/>
      </w:pPr>
      <w:bookmarkStart w:id="184" w:name="_Toc532553152"/>
      <w:r>
        <w:t>Cell Splitting and Density Experiment</w:t>
      </w:r>
      <w:bookmarkEnd w:id="184"/>
    </w:p>
    <w:p w:rsidR="001A6B1E" w:rsidRDefault="00E63B94" w:rsidP="00FB099D">
      <w:pPr>
        <w:ind w:firstLine="720"/>
        <w:jc w:val="both"/>
      </w:pPr>
      <w:r>
        <w:t xml:space="preserve">HEK293 cells were cultured to ~70% confluency and then treated with either 1 nM </w:t>
      </w:r>
      <w:r w:rsidR="007A587E">
        <w:t>OSW-1 compound</w:t>
      </w:r>
      <w:r>
        <w:t xml:space="preserve"> or DMSO for 6 hours, followed by washout. Cells were split following protocol outlined in General Cell Culture. Cells were plated with placing back all of the cells (1:1), placing back half the cells (1:2), or placing back only 20% of the cells (1:5). All cells were allowed to recover for 24 hours</w:t>
      </w:r>
      <w:r w:rsidR="00233EB1">
        <w:t xml:space="preserve"> before lysis and analysis by W</w:t>
      </w:r>
      <w:r>
        <w:t>estern bot</w:t>
      </w:r>
      <w:r w:rsidR="007718FE">
        <w:t>ting</w:t>
      </w:r>
      <w:r>
        <w:t>.</w:t>
      </w:r>
    </w:p>
    <w:p w:rsidR="00042529" w:rsidRDefault="00042529" w:rsidP="00042529">
      <w:pPr>
        <w:pStyle w:val="Heading3"/>
      </w:pPr>
      <w:bookmarkStart w:id="185" w:name="_Toc532553153"/>
      <w:r>
        <w:t>Statistical Analysis</w:t>
      </w:r>
      <w:bookmarkEnd w:id="185"/>
    </w:p>
    <w:p w:rsidR="00042529" w:rsidRDefault="00042529" w:rsidP="00042529">
      <w:pPr>
        <w:ind w:firstLine="720"/>
      </w:pPr>
      <w:r>
        <w:t xml:space="preserve">Results are expressed as mean ± s.d. and are n=3 unless otherwise stated. All statistical tests were performed using GraphPad Prism 7.0. Comparison between groups were made by </w:t>
      </w:r>
      <w:r>
        <w:lastRenderedPageBreak/>
        <w:t>using a one-way ANOVA with a follow up Dunnett’s test. The p values are reported using GraphPad Prism * values: * is p≤0.05, ** is p≤0.01 *** is p≤0.001, and **** is p≤0.0001.</w:t>
      </w:r>
    </w:p>
    <w:p w:rsidR="001A6B1E" w:rsidRDefault="001A6B1E" w:rsidP="00FB099D">
      <w:pPr>
        <w:ind w:firstLine="720"/>
        <w:jc w:val="both"/>
      </w:pPr>
    </w:p>
    <w:p w:rsidR="001A6B1E" w:rsidRDefault="001A6B1E"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817F5D" w:rsidRDefault="00817F5D" w:rsidP="00FB099D">
      <w:pPr>
        <w:jc w:val="both"/>
      </w:pPr>
    </w:p>
    <w:p w:rsidR="00E63B94" w:rsidRDefault="001A6B1E" w:rsidP="00E87672">
      <w:pPr>
        <w:pStyle w:val="Heading1"/>
      </w:pPr>
      <w:bookmarkStart w:id="186" w:name="_Toc532553154"/>
      <w:r w:rsidRPr="00EB2BBA">
        <w:lastRenderedPageBreak/>
        <w:t>Chapter 4:</w:t>
      </w:r>
      <w:r w:rsidR="00EB2BBA">
        <w:t xml:space="preserve"> </w:t>
      </w:r>
      <w:bookmarkStart w:id="187" w:name="OLE_LINK2"/>
      <w:r w:rsidR="00EB2BBA" w:rsidRPr="00EB2BBA">
        <w:t>The compound OSW-1 is a unique ORPphillin that has prophylactic anti-viral capabilities</w:t>
      </w:r>
      <w:bookmarkEnd w:id="186"/>
      <w:bookmarkEnd w:id="187"/>
    </w:p>
    <w:p w:rsidR="00C421EE" w:rsidRDefault="00417666" w:rsidP="00817F5D">
      <w:pPr>
        <w:ind w:firstLine="432"/>
        <w:jc w:val="both"/>
      </w:pPr>
      <w:r w:rsidRPr="00417666">
        <w:t xml:space="preserve">The following </w:t>
      </w:r>
      <w:r>
        <w:t xml:space="preserve">chapter is partially taken from a previous unpublished prepared manuscript. </w:t>
      </w:r>
      <w:r w:rsidRPr="00417666">
        <w:t>This was a collaborative work that consists of the following authors: Brett L. Roberts, Zachary C. Severance, Ryan C. Bensen, Anh T. Le,</w:t>
      </w:r>
      <w:r>
        <w:t xml:space="preserve"> Cori A. Malinky</w:t>
      </w:r>
      <w:r w:rsidR="00270D3C">
        <w:t>, Evan M. Mettenbrink,</w:t>
      </w:r>
      <w:r>
        <w:t xml:space="preserve"> </w:t>
      </w:r>
      <w:r w:rsidRPr="00417666">
        <w:t>William J. Reddig, Earl L. Blewett, Anthony W. G. Burgett.</w:t>
      </w:r>
    </w:p>
    <w:p w:rsidR="00817F5D" w:rsidRDefault="00C421EE" w:rsidP="00817F5D">
      <w:pPr>
        <w:ind w:firstLine="432"/>
        <w:jc w:val="both"/>
      </w:pPr>
      <w:r>
        <w:t xml:space="preserve">Mr. Zachary Severance conducted the radioactive binding assay in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p>
    <w:p w:rsidR="00C421EE" w:rsidRDefault="00C421EE" w:rsidP="00817F5D">
      <w:pPr>
        <w:ind w:firstLine="432"/>
        <w:jc w:val="both"/>
      </w:pPr>
      <w:r>
        <w:t xml:space="preserve"> and the HeLa cell protein determination in </w:t>
      </w:r>
      <w:r w:rsidRPr="00C421EE">
        <w:rPr>
          <w:b/>
        </w:rPr>
        <w:fldChar w:fldCharType="begin"/>
      </w:r>
      <w:r w:rsidRPr="00C421EE">
        <w:rPr>
          <w:b/>
        </w:rPr>
        <w:instrText xml:space="preserve"> REF _Ref530234236 \h </w:instrText>
      </w:r>
      <w:r>
        <w:rPr>
          <w:b/>
        </w:rPr>
        <w:instrText xml:space="preserve"> \* MERGEFORMAT </w:instrText>
      </w:r>
      <w:r w:rsidRPr="00C421EE">
        <w:rPr>
          <w:b/>
        </w:rPr>
      </w:r>
      <w:r w:rsidRPr="00C421EE">
        <w:rPr>
          <w:b/>
        </w:rPr>
        <w:fldChar w:fldCharType="separate"/>
      </w:r>
      <w:r w:rsidR="00E2070A" w:rsidRPr="00E2070A">
        <w:rPr>
          <w:b/>
        </w:rPr>
        <w:t xml:space="preserve">Figure </w:t>
      </w:r>
      <w:r w:rsidR="00E2070A" w:rsidRPr="00E2070A">
        <w:rPr>
          <w:b/>
          <w:noProof/>
        </w:rPr>
        <w:t>33</w:t>
      </w:r>
      <w:r w:rsidRPr="00C421EE">
        <w:rPr>
          <w:b/>
        </w:rPr>
        <w:fldChar w:fldCharType="end"/>
      </w:r>
      <w:r w:rsidRPr="00C421EE">
        <w:t>.</w:t>
      </w:r>
    </w:p>
    <w:p w:rsidR="00417666" w:rsidRDefault="00C421EE" w:rsidP="00817F5D">
      <w:pPr>
        <w:ind w:firstLine="432"/>
        <w:jc w:val="both"/>
      </w:pPr>
      <w:r>
        <w:t>Mr. Ryan Bensen conducted the radioactive binding assay in</w:t>
      </w:r>
      <w:r w:rsidR="00817F5D">
        <w:t xml:space="preserve">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00817F5D">
        <w:t>.</w:t>
      </w:r>
      <w:r w:rsidR="00417666" w:rsidRPr="00417666">
        <w:t xml:space="preserve"> </w:t>
      </w:r>
    </w:p>
    <w:p w:rsidR="00C421EE" w:rsidRPr="00417666" w:rsidRDefault="00C421EE" w:rsidP="00817F5D">
      <w:pPr>
        <w:ind w:firstLine="432"/>
        <w:jc w:val="both"/>
      </w:pPr>
      <w:r>
        <w:t xml:space="preserve">Dr. Earl Blewett conducted the anti-viral assays in </w:t>
      </w:r>
      <w:r w:rsidRPr="00C421EE">
        <w:rPr>
          <w:b/>
        </w:rPr>
        <w:fldChar w:fldCharType="begin"/>
      </w:r>
      <w:r w:rsidRPr="00C421EE">
        <w:rPr>
          <w:b/>
        </w:rPr>
        <w:instrText xml:space="preserve"> REF _Ref530234236 \h </w:instrText>
      </w:r>
      <w:r>
        <w:rPr>
          <w:b/>
        </w:rPr>
        <w:instrText xml:space="preserve"> \* MERGEFORMAT </w:instrText>
      </w:r>
      <w:r w:rsidRPr="00C421EE">
        <w:rPr>
          <w:b/>
        </w:rPr>
      </w:r>
      <w:r w:rsidRPr="00C421EE">
        <w:rPr>
          <w:b/>
        </w:rPr>
        <w:fldChar w:fldCharType="separate"/>
      </w:r>
      <w:r w:rsidR="00E2070A" w:rsidRPr="00E2070A">
        <w:rPr>
          <w:b/>
        </w:rPr>
        <w:t xml:space="preserve">Figure </w:t>
      </w:r>
      <w:r w:rsidR="00E2070A" w:rsidRPr="00E2070A">
        <w:rPr>
          <w:b/>
          <w:noProof/>
        </w:rPr>
        <w:t>33</w:t>
      </w:r>
      <w:r w:rsidRPr="00C421EE">
        <w:rPr>
          <w:b/>
        </w:rPr>
        <w:fldChar w:fldCharType="end"/>
      </w:r>
      <w:r>
        <w:t>.</w:t>
      </w:r>
    </w:p>
    <w:p w:rsidR="00CB5008" w:rsidRPr="00CB5008" w:rsidRDefault="00CB5008" w:rsidP="00CB5008">
      <w:pPr>
        <w:pStyle w:val="ListParagraph"/>
        <w:keepNext/>
        <w:numPr>
          <w:ilvl w:val="0"/>
          <w:numId w:val="31"/>
        </w:numPr>
        <w:contextualSpacing w:val="0"/>
        <w:jc w:val="both"/>
        <w:outlineLvl w:val="1"/>
        <w:rPr>
          <w:rFonts w:asciiTheme="majorHAnsi" w:hAnsiTheme="majorHAnsi"/>
          <w:b/>
          <w:bCs/>
          <w:iCs/>
          <w:vanish/>
          <w:szCs w:val="28"/>
        </w:rPr>
      </w:pPr>
    </w:p>
    <w:p w:rsidR="00CB5008" w:rsidRDefault="00CB5008" w:rsidP="00CB5008">
      <w:pPr>
        <w:pStyle w:val="Heading2"/>
      </w:pPr>
      <w:bookmarkStart w:id="188" w:name="_Toc532553155"/>
      <w:r>
        <w:t>Abstract</w:t>
      </w:r>
      <w:bookmarkEnd w:id="188"/>
    </w:p>
    <w:p w:rsidR="00CB5008" w:rsidRPr="00CB5008" w:rsidRDefault="00CB5008" w:rsidP="00CB5008">
      <w:pPr>
        <w:ind w:firstLine="576"/>
        <w:jc w:val="both"/>
      </w:pPr>
      <w:r w:rsidRPr="00CB5008">
        <w:t xml:space="preserve">The genus </w:t>
      </w:r>
      <w:r w:rsidRPr="00B15DB7">
        <w:rPr>
          <w:i/>
        </w:rPr>
        <w:t>Enterovirus</w:t>
      </w:r>
      <w:r w:rsidR="00233EB1">
        <w:t xml:space="preserve"> </w:t>
      </w:r>
      <w:r w:rsidRPr="00CB5008">
        <w:t>contains many important human pathogens</w:t>
      </w:r>
      <w:r w:rsidR="00233EB1">
        <w:t xml:space="preserve"> </w:t>
      </w:r>
      <w:r w:rsidR="00233EB1" w:rsidRPr="00CB5008">
        <w:t>(e.g. coxsackievirus, enteroviruses, human rhinovirus, polio virus)</w:t>
      </w:r>
      <w:r w:rsidRPr="00CB5008">
        <w:t xml:space="preserve"> that </w:t>
      </w:r>
      <w:r w:rsidR="00233EB1">
        <w:t>cause</w:t>
      </w:r>
      <w:r w:rsidRPr="00CB5008">
        <w:t xml:space="preserve"> a variety </w:t>
      </w:r>
      <w:r w:rsidR="00B15DB7">
        <w:t>of diseases that currently lack</w:t>
      </w:r>
      <w:r w:rsidRPr="00CB5008">
        <w:t xml:space="preserve"> approved therapy. Targeting host proteins that are hijacked</w:t>
      </w:r>
      <w:r w:rsidR="00B15DB7">
        <w:t xml:space="preserve"> for use</w:t>
      </w:r>
      <w:r w:rsidRPr="00CB5008">
        <w:t xml:space="preserve"> in a conserved </w:t>
      </w:r>
      <w:r w:rsidR="00B15DB7">
        <w:t xml:space="preserve">viral replication </w:t>
      </w:r>
      <w:r w:rsidRPr="00CB5008">
        <w:t xml:space="preserve">step in the early stages of infection </w:t>
      </w:r>
      <w:r w:rsidR="00B15DB7">
        <w:t>enables</w:t>
      </w:r>
      <w:r w:rsidRPr="00CB5008">
        <w:t xml:space="preserve"> broad-spectrum inhibition</w:t>
      </w:r>
      <w:r w:rsidR="007718FE">
        <w:t xml:space="preserve"> and provides fundamental knowledge about how these viruses hijack cells for replication</w:t>
      </w:r>
      <w:r w:rsidRPr="00CB5008">
        <w:t xml:space="preserve">. Currently the host protein OSBP is a desirable target due to its involvement in the formation of </w:t>
      </w:r>
      <w:r w:rsidR="00B15DB7">
        <w:t>viral replication organelles where it</w:t>
      </w:r>
      <w:r w:rsidRPr="00CB5008">
        <w:t xml:space="preserve"> supplies cholesterol </w:t>
      </w:r>
      <w:r w:rsidR="006B31E1">
        <w:t xml:space="preserve">to maintain </w:t>
      </w:r>
      <w:r w:rsidRPr="00CB5008">
        <w:t>efficient</w:t>
      </w:r>
      <w:r w:rsidR="006B31E1">
        <w:t xml:space="preserve"> membrane lipid homeostasis required for</w:t>
      </w:r>
      <w:r w:rsidRPr="00CB5008">
        <w:t xml:space="preserve"> viral genome replication. Compounds that target OSBP, which are called ORPphillins (OSW-1, Itraconazole, TTP-8307, and T-00127-HEV2), have been shown to have broad-spectrum anti</w:t>
      </w:r>
      <w:r w:rsidR="006B31E1">
        <w:t>-entero</w:t>
      </w:r>
      <w:r w:rsidRPr="00CB5008">
        <w:t xml:space="preserve">viral activity. Here we show that of the ORPphillins tested, only OSW-1 can reduce OSBP </w:t>
      </w:r>
      <w:r>
        <w:t xml:space="preserve">protein </w:t>
      </w:r>
      <w:r w:rsidRPr="00CB5008">
        <w:t>levels</w:t>
      </w:r>
      <w:r>
        <w:t xml:space="preserve"> with treatment</w:t>
      </w:r>
      <w:r w:rsidRPr="00CB5008">
        <w:t xml:space="preserve">. </w:t>
      </w:r>
      <w:r>
        <w:t>OSW-1 and T-00127-HEV2 show competitive binding to OSBP in a radioactive 25-OHC binding assay</w:t>
      </w:r>
      <w:r w:rsidR="00505D66">
        <w:t>.</w:t>
      </w:r>
      <w:r>
        <w:t xml:space="preserve"> </w:t>
      </w:r>
      <w:r w:rsidR="00505D66">
        <w:t>T-00127-HEV2, but not oxysterols,</w:t>
      </w:r>
      <w:r w:rsidRPr="00CB5008">
        <w:t xml:space="preserve"> can rescue OSBP l</w:t>
      </w:r>
      <w:r>
        <w:t xml:space="preserve">evels in the </w:t>
      </w:r>
      <w:r>
        <w:lastRenderedPageBreak/>
        <w:t>presence of OSW-1.</w:t>
      </w:r>
      <w:r w:rsidR="00505D66">
        <w:t xml:space="preserve"> </w:t>
      </w:r>
      <w:r w:rsidR="00B15DB7">
        <w:t xml:space="preserve">Similarly, </w:t>
      </w:r>
      <w:r w:rsidR="00505D66">
        <w:t xml:space="preserve">T-00127-HEV2 induces a ~2-fold change in </w:t>
      </w:r>
      <w:r w:rsidR="00B15DB7">
        <w:t xml:space="preserve">the </w:t>
      </w:r>
      <w:r w:rsidR="00505D66">
        <w:t>relative GI</w:t>
      </w:r>
      <w:r w:rsidR="00505D66">
        <w:rPr>
          <w:vertAlign w:val="subscript"/>
        </w:rPr>
        <w:t xml:space="preserve">50 </w:t>
      </w:r>
      <w:r w:rsidR="00505D66">
        <w:t xml:space="preserve">in the presence of OSW-1. </w:t>
      </w:r>
      <w:r w:rsidRPr="00CB5008">
        <w:t>All the compounds tested have anti-viral activity</w:t>
      </w:r>
      <w:r w:rsidR="00B15DB7">
        <w:t xml:space="preserve"> with continual</w:t>
      </w:r>
      <w:r w:rsidR="00505D66">
        <w:t xml:space="preserve"> treatment</w:t>
      </w:r>
      <w:r w:rsidRPr="00CB5008">
        <w:t xml:space="preserve">, but only OSW-1 induces </w:t>
      </w:r>
      <w:r w:rsidR="00505D66">
        <w:t>an anti</w:t>
      </w:r>
      <w:r w:rsidR="00B15DB7">
        <w:t>-</w:t>
      </w:r>
      <w:r w:rsidR="00505D66">
        <w:t>viral</w:t>
      </w:r>
      <w:r w:rsidRPr="00CB5008">
        <w:t xml:space="preserve"> response</w:t>
      </w:r>
      <w:r w:rsidR="00505D66">
        <w:t xml:space="preserve"> 24 hours after the compounds </w:t>
      </w:r>
      <w:r w:rsidR="00B15DB7">
        <w:t>have been</w:t>
      </w:r>
      <w:r w:rsidR="00505D66">
        <w:t xml:space="preserve"> removed</w:t>
      </w:r>
      <w:r w:rsidRPr="00CB5008">
        <w:t xml:space="preserve">. Therefore, OSW-1 presents itself as the best candidate for further development as a broad spectrum anti-viral due to its prophylactic ability.             </w:t>
      </w:r>
    </w:p>
    <w:p w:rsidR="002E233D" w:rsidRPr="002E233D" w:rsidRDefault="002E233D" w:rsidP="00FB099D">
      <w:pPr>
        <w:pStyle w:val="ListParagraph"/>
        <w:numPr>
          <w:ilvl w:val="0"/>
          <w:numId w:val="8"/>
        </w:numPr>
        <w:jc w:val="both"/>
        <w:rPr>
          <w:b/>
          <w:vanish/>
        </w:rPr>
      </w:pPr>
    </w:p>
    <w:p w:rsidR="001A6B1E" w:rsidRPr="00EB2BBA" w:rsidRDefault="000326F6" w:rsidP="00FB099D">
      <w:pPr>
        <w:pStyle w:val="Heading2"/>
      </w:pPr>
      <w:bookmarkStart w:id="189" w:name="_Toc532553156"/>
      <w:r w:rsidRPr="00EB2BBA">
        <w:t>Introduction</w:t>
      </w:r>
      <w:bookmarkEnd w:id="189"/>
    </w:p>
    <w:p w:rsidR="0026786B" w:rsidRPr="000639E3" w:rsidRDefault="001A6B1E" w:rsidP="000639E3">
      <w:pPr>
        <w:ind w:firstLine="720"/>
        <w:jc w:val="both"/>
      </w:pPr>
      <w:r w:rsidRPr="0026786B">
        <w:t xml:space="preserve">Picornaviridae </w:t>
      </w:r>
      <w:r>
        <w:t>is a family of positive-s</w:t>
      </w:r>
      <w:r w:rsidR="00007ACD">
        <w:t>ense RNA viruses with little therapeutic treatment, which includes</w:t>
      </w:r>
      <w:r>
        <w:t xml:space="preserve"> many viruses that impact human health</w:t>
      </w:r>
      <w:r w:rsidR="00007ACD">
        <w:t>, one of the most notable being the</w:t>
      </w:r>
      <w:r>
        <w:t xml:space="preserve"> </w:t>
      </w:r>
      <w:r w:rsidRPr="001A6B1E">
        <w:rPr>
          <w:i/>
        </w:rPr>
        <w:t>Enterovirus</w:t>
      </w:r>
      <w:r w:rsidR="00007ACD">
        <w:rPr>
          <w:i/>
        </w:rPr>
        <w:t xml:space="preserve">es </w:t>
      </w:r>
      <w:r w:rsidR="00007ACD">
        <w:t xml:space="preserve">(see section 1.4.1.2 </w:t>
      </w:r>
      <w:r w:rsidR="00007ACD" w:rsidRPr="00007ACD">
        <w:fldChar w:fldCharType="begin"/>
      </w:r>
      <w:r w:rsidR="00007ACD" w:rsidRPr="00007ACD">
        <w:instrText xml:space="preserve"> REF _Ref530664219 \h  \* MERGEFORMAT </w:instrText>
      </w:r>
      <w:r w:rsidR="00007ACD" w:rsidRPr="00007ACD">
        <w:fldChar w:fldCharType="separate"/>
      </w:r>
      <w:r w:rsidR="00E2070A" w:rsidRPr="00E2070A">
        <w:rPr>
          <w:b/>
        </w:rPr>
        <w:t>Enteroviruses</w:t>
      </w:r>
      <w:r w:rsidR="00007ACD" w:rsidRPr="00007ACD">
        <w:fldChar w:fldCharType="end"/>
      </w:r>
      <w:r w:rsidR="00007ACD">
        <w:t xml:space="preserve">). </w:t>
      </w:r>
      <w:r>
        <w:t>Oxys</w:t>
      </w:r>
      <w:r w:rsidR="00007ACD">
        <w:t xml:space="preserve">terol-binding protein (OSBP), </w:t>
      </w:r>
      <w:r>
        <w:t xml:space="preserve">a member of </w:t>
      </w:r>
      <w:r w:rsidR="00007ACD">
        <w:t xml:space="preserve">a </w:t>
      </w:r>
      <w:r>
        <w:t>highly conserved</w:t>
      </w:r>
      <w:r w:rsidR="00007ACD">
        <w:t xml:space="preserve"> eukaryotic protein family, is associated with viral replication through its function as a lipid transport protein between the ER and Golgi (see section 1.4.1 </w:t>
      </w:r>
      <w:r w:rsidR="00007ACD" w:rsidRPr="00007ACD">
        <w:rPr>
          <w:b/>
        </w:rPr>
        <w:fldChar w:fldCharType="begin"/>
      </w:r>
      <w:r w:rsidR="00007ACD" w:rsidRPr="00007ACD">
        <w:rPr>
          <w:b/>
        </w:rPr>
        <w:instrText xml:space="preserve"> REF _Ref530671192 \h </w:instrText>
      </w:r>
      <w:r w:rsidR="00007ACD">
        <w:rPr>
          <w:b/>
        </w:rPr>
        <w:instrText xml:space="preserve"> \* MERGEFORMAT </w:instrText>
      </w:r>
      <w:r w:rsidR="00007ACD" w:rsidRPr="00007ACD">
        <w:rPr>
          <w:b/>
        </w:rPr>
      </w:r>
      <w:r w:rsidR="00007ACD" w:rsidRPr="00007ACD">
        <w:rPr>
          <w:b/>
        </w:rPr>
        <w:fldChar w:fldCharType="separate"/>
      </w:r>
      <w:r w:rsidR="00E2070A" w:rsidRPr="00E2070A">
        <w:rPr>
          <w:b/>
        </w:rPr>
        <w:t>OSBP Function in Virus Replication</w:t>
      </w:r>
      <w:r w:rsidR="00007ACD" w:rsidRPr="00007ACD">
        <w:rPr>
          <w:b/>
        </w:rPr>
        <w:fldChar w:fldCharType="end"/>
      </w:r>
      <w:r w:rsidR="00007ACD">
        <w:t xml:space="preserve">). </w:t>
      </w:r>
      <w:r>
        <w:t xml:space="preserve">The natural product OSW-1, </w:t>
      </w:r>
      <w:r w:rsidR="00007ACD">
        <w:t xml:space="preserve">is a </w:t>
      </w:r>
      <w:r>
        <w:t xml:space="preserve">high affinity ligand of OSBP </w:t>
      </w:r>
      <w:r w:rsidR="00B15DB7">
        <w:t>and</w:t>
      </w:r>
      <w:r w:rsidR="00007ACD">
        <w:t xml:space="preserve"> has</w:t>
      </w:r>
      <w:r>
        <w:t xml:space="preserve"> broad-spectrum anti-enteroviral activity through inhibiting OSBP cellular functions</w:t>
      </w:r>
      <w:r w:rsidR="00007ACD">
        <w:t xml:space="preserve"> (see section 1.5.1 </w:t>
      </w:r>
      <w:r w:rsidR="00007ACD" w:rsidRPr="00007ACD">
        <w:rPr>
          <w:b/>
        </w:rPr>
        <w:fldChar w:fldCharType="begin"/>
      </w:r>
      <w:r w:rsidR="00007ACD" w:rsidRPr="00007ACD">
        <w:rPr>
          <w:b/>
        </w:rPr>
        <w:instrText xml:space="preserve"> REF _Ref530671302 \h </w:instrText>
      </w:r>
      <w:r w:rsidR="00007ACD">
        <w:rPr>
          <w:b/>
        </w:rPr>
        <w:instrText xml:space="preserve"> \* MERGEFORMAT </w:instrText>
      </w:r>
      <w:r w:rsidR="00007ACD" w:rsidRPr="00007ACD">
        <w:rPr>
          <w:b/>
        </w:rPr>
      </w:r>
      <w:r w:rsidR="00007ACD" w:rsidRPr="00007ACD">
        <w:rPr>
          <w:b/>
        </w:rPr>
        <w:fldChar w:fldCharType="separate"/>
      </w:r>
      <w:r w:rsidR="00E2070A" w:rsidRPr="00E2070A">
        <w:rPr>
          <w:b/>
        </w:rPr>
        <w:t>OSW-1</w:t>
      </w:r>
      <w:r w:rsidR="00007ACD" w:rsidRPr="00007ACD">
        <w:rPr>
          <w:b/>
        </w:rPr>
        <w:fldChar w:fldCharType="end"/>
      </w:r>
      <w:r w:rsidR="00007ACD">
        <w:t>)</w:t>
      </w:r>
      <w:r w:rsidR="000639E3">
        <w:t xml:space="preserve">. </w:t>
      </w:r>
      <w:r>
        <w:t>Recent literature has identified other OSBP binding compounds th</w:t>
      </w:r>
      <w:r w:rsidR="000639E3">
        <w:t>at have anti-enteroviral activity</w:t>
      </w:r>
      <w:r w:rsidR="00B15DB7">
        <w:t>,</w:t>
      </w:r>
      <w:r w:rsidR="000639E3">
        <w:t xml:space="preserve"> presumably through OSBP inhibition, but the cellular effects of </w:t>
      </w:r>
      <w:r>
        <w:t>these compounds on OSBP protein level</w:t>
      </w:r>
      <w:r w:rsidR="000639E3">
        <w:t>s remain</w:t>
      </w:r>
      <w:r>
        <w:t xml:space="preserve"> unknown</w:t>
      </w:r>
      <w:r w:rsidR="000639E3">
        <w:t xml:space="preserve"> (see section 1.5 </w:t>
      </w:r>
      <w:r w:rsidR="000639E3" w:rsidRPr="000639E3">
        <w:rPr>
          <w:b/>
        </w:rPr>
        <w:fldChar w:fldCharType="begin"/>
      </w:r>
      <w:r w:rsidR="000639E3" w:rsidRPr="000639E3">
        <w:rPr>
          <w:b/>
        </w:rPr>
        <w:instrText xml:space="preserve"> REF _Ref530671483 \h </w:instrText>
      </w:r>
      <w:r w:rsidR="000639E3">
        <w:rPr>
          <w:b/>
        </w:rPr>
        <w:instrText xml:space="preserve"> \* MERGEFORMAT </w:instrText>
      </w:r>
      <w:r w:rsidR="000639E3" w:rsidRPr="000639E3">
        <w:rPr>
          <w:b/>
        </w:rPr>
      </w:r>
      <w:r w:rsidR="000639E3" w:rsidRPr="000639E3">
        <w:rPr>
          <w:b/>
        </w:rPr>
        <w:fldChar w:fldCharType="separate"/>
      </w:r>
      <w:r w:rsidR="00E2070A" w:rsidRPr="00E2070A">
        <w:rPr>
          <w:b/>
        </w:rPr>
        <w:t>ORPphillins and OSBP/ORP4</w:t>
      </w:r>
      <w:r w:rsidR="000639E3" w:rsidRPr="000639E3">
        <w:rPr>
          <w:b/>
        </w:rPr>
        <w:fldChar w:fldCharType="end"/>
      </w:r>
      <w:r w:rsidR="000639E3">
        <w:rPr>
          <w:b/>
        </w:rPr>
        <w:t>)</w:t>
      </w:r>
      <w:r w:rsidRPr="000639E3">
        <w:t>.</w:t>
      </w:r>
      <w:r w:rsidR="000639E3">
        <w:rPr>
          <w:b/>
        </w:rPr>
        <w:t xml:space="preserve"> </w:t>
      </w:r>
      <w:r w:rsidR="000639E3">
        <w:t>We have previously shown that short low nanomolar doses of OSW-1 followed by removal</w:t>
      </w:r>
      <w:r w:rsidR="00B15DB7">
        <w:t xml:space="preserve"> of the compound from cells leads to reduction</w:t>
      </w:r>
      <w:r w:rsidR="000639E3">
        <w:t xml:space="preserve"> of OSBP up to 72 hours post compound removal. </w:t>
      </w:r>
      <w:r w:rsidR="006A1879">
        <w:t>C</w:t>
      </w:r>
      <w:r w:rsidR="000639E3">
        <w:t>ells</w:t>
      </w:r>
      <w:r w:rsidR="006A1879">
        <w:t xml:space="preserve"> treated with this OSW-1 washout</w:t>
      </w:r>
      <w:r w:rsidR="000639E3">
        <w:t xml:space="preserve"> were also resistant to enteroviral infection</w:t>
      </w:r>
      <w:r w:rsidR="006A1879">
        <w:t>s</w:t>
      </w:r>
      <w:r w:rsidR="000639E3">
        <w:t xml:space="preserve"> post compound removal.</w:t>
      </w:r>
    </w:p>
    <w:p w:rsidR="001A6B1E" w:rsidRDefault="006B31E1" w:rsidP="00FB099D">
      <w:pPr>
        <w:ind w:firstLine="720"/>
        <w:jc w:val="both"/>
      </w:pPr>
      <w:r>
        <w:t xml:space="preserve">In this study, we investigated a panel of OSBP targeting small molecules anti-viral abilities collectively as well determining their ability to </w:t>
      </w:r>
      <w:r w:rsidR="001A6B1E">
        <w:t xml:space="preserve">produce a prophylactic anti-viral after compound </w:t>
      </w:r>
      <w:r>
        <w:t>washout</w:t>
      </w:r>
      <w:r w:rsidR="001A6B1E">
        <w:t xml:space="preserve">. We show that OSW-1 is the only compound to produce a reduction in OSBP levels in a </w:t>
      </w:r>
      <w:r w:rsidR="001A6B1E">
        <w:lastRenderedPageBreak/>
        <w:t xml:space="preserve">panel of cell lines. Interestingly, co-incubation of THEV2, and to a lesser extent ITZ, with OSW-1 could rescue OSBP levels but TTP could not. Direct binding assays reveal that THEV2 has a </w:t>
      </w:r>
      <w:r w:rsidR="006A1879">
        <w:t>similar</w:t>
      </w:r>
      <w:r w:rsidR="001A6B1E">
        <w:t xml:space="preserve"> Ki </w:t>
      </w:r>
      <w:r w:rsidR="006A1879">
        <w:t>to</w:t>
      </w:r>
      <w:r w:rsidR="001A6B1E">
        <w:t xml:space="preserve"> OSW-1</w:t>
      </w:r>
      <w:r w:rsidR="006A1879">
        <w:t>,</w:t>
      </w:r>
      <w:r w:rsidR="001A6B1E">
        <w:t xml:space="preserve"> while the other compounds </w:t>
      </w:r>
      <w:r w:rsidR="006A1879">
        <w:t>were non-</w:t>
      </w:r>
      <w:r w:rsidR="00042529">
        <w:t>determinable.</w:t>
      </w:r>
      <w:r w:rsidR="001A6B1E">
        <w:t xml:space="preserve"> W</w:t>
      </w:r>
      <w:r w:rsidR="006A1879">
        <w:t>e provide evidence that continual</w:t>
      </w:r>
      <w:r w:rsidR="001A6B1E">
        <w:t xml:space="preserve"> treatment of all the compounds show anti-viral activity, but OSW-1 is the only compound to show anti-viral activity following pretreatment and removal of the compound. This provides evidence that OSW-1 has a unique effect on the cellular biology</w:t>
      </w:r>
      <w:r w:rsidR="006A1879">
        <w:t xml:space="preserve"> of OSBP</w:t>
      </w:r>
      <w:r w:rsidR="001A6B1E">
        <w:t>, which makes it a promising compound for anti-viral pursuit.</w:t>
      </w:r>
    </w:p>
    <w:p w:rsidR="00923D09" w:rsidRPr="00923D09" w:rsidRDefault="00923D09" w:rsidP="00FB099D">
      <w:pPr>
        <w:pStyle w:val="Heading2"/>
      </w:pPr>
      <w:bookmarkStart w:id="190" w:name="_Toc532553157"/>
      <w:r w:rsidRPr="00923D09">
        <w:t>Results</w:t>
      </w:r>
      <w:bookmarkEnd w:id="190"/>
    </w:p>
    <w:p w:rsidR="000D6C7C" w:rsidRDefault="000D6C7C" w:rsidP="00042529">
      <w:pPr>
        <w:pStyle w:val="Heading3"/>
      </w:pPr>
      <w:bookmarkStart w:id="191" w:name="_Toc532553158"/>
      <w:r w:rsidRPr="000D6C7C">
        <w:t>OSW-1</w:t>
      </w:r>
      <w:r w:rsidR="00EF6E46">
        <w:t>, but no other ORPphillin,</w:t>
      </w:r>
      <w:r w:rsidRPr="000D6C7C">
        <w:t xml:space="preserve"> affects </w:t>
      </w:r>
      <w:r w:rsidR="006B31E1">
        <w:t xml:space="preserve">cell growth or </w:t>
      </w:r>
      <w:r w:rsidRPr="000D6C7C">
        <w:t>OSBP protein expression</w:t>
      </w:r>
      <w:bookmarkEnd w:id="191"/>
    </w:p>
    <w:p w:rsidR="00EF6E46" w:rsidRDefault="000D6C7C" w:rsidP="00FB099D">
      <w:pPr>
        <w:ind w:firstLine="720"/>
        <w:jc w:val="both"/>
      </w:pPr>
      <w:r w:rsidRPr="000D6C7C">
        <w:t>We found that none of the compounds</w:t>
      </w:r>
      <w:r w:rsidR="001577CF">
        <w:t>, besides OSW-1,</w:t>
      </w:r>
      <w:r w:rsidRPr="000D6C7C">
        <w:t xml:space="preserve"> showed significant growth inhibition on HCT116 cells at the highest</w:t>
      </w:r>
      <w:r w:rsidR="0026786B">
        <w:t xml:space="preserve"> </w:t>
      </w:r>
      <w:r w:rsidR="00703E43">
        <w:t>concentrations tested (</w:t>
      </w:r>
      <w:r w:rsidR="00835528" w:rsidRPr="00A841B4">
        <w:rPr>
          <w:b/>
        </w:rPr>
        <w:fldChar w:fldCharType="begin"/>
      </w:r>
      <w:r w:rsidR="00835528" w:rsidRPr="00A841B4">
        <w:rPr>
          <w:b/>
        </w:rPr>
        <w:instrText xml:space="preserve"> REF _Ref530052556 \h </w:instrText>
      </w:r>
      <w:r w:rsidR="001B3703" w:rsidRPr="00A841B4">
        <w:rPr>
          <w:b/>
        </w:rPr>
        <w:instrText xml:space="preserve"> \* MERGEFORMAT </w:instrText>
      </w:r>
      <w:r w:rsidR="00835528" w:rsidRPr="00A841B4">
        <w:rPr>
          <w:b/>
        </w:rPr>
      </w:r>
      <w:r w:rsidR="00835528" w:rsidRPr="00A841B4">
        <w:rPr>
          <w:b/>
        </w:rPr>
        <w:fldChar w:fldCharType="separate"/>
      </w:r>
      <w:r w:rsidR="00E2070A" w:rsidRPr="00E2070A">
        <w:rPr>
          <w:b/>
        </w:rPr>
        <w:t xml:space="preserve">Figure </w:t>
      </w:r>
      <w:r w:rsidR="00E2070A" w:rsidRPr="00E2070A">
        <w:rPr>
          <w:b/>
          <w:noProof/>
        </w:rPr>
        <w:t>29</w:t>
      </w:r>
      <w:r w:rsidR="00835528" w:rsidRPr="00A841B4">
        <w:rPr>
          <w:b/>
        </w:rPr>
        <w:fldChar w:fldCharType="end"/>
      </w:r>
      <w:r w:rsidRPr="00A841B4">
        <w:rPr>
          <w:b/>
        </w:rPr>
        <w:t>A</w:t>
      </w:r>
      <w:r w:rsidRPr="000D6C7C">
        <w:t>)</w:t>
      </w:r>
      <w:r w:rsidR="001577CF">
        <w:t>. T</w:t>
      </w:r>
      <w:r w:rsidRPr="000D6C7C">
        <w:t>reatment</w:t>
      </w:r>
      <w:r>
        <w:t xml:space="preserve"> with OSW-1 a</w:t>
      </w:r>
      <w:r w:rsidR="001577CF">
        <w:t xml:space="preserve">nd taxol gave </w:t>
      </w:r>
      <w:r>
        <w:t>GI</w:t>
      </w:r>
      <w:r w:rsidRPr="000D6C7C">
        <w:rPr>
          <w:vertAlign w:val="subscript"/>
        </w:rPr>
        <w:t>50</w:t>
      </w:r>
      <w:r w:rsidR="001577CF">
        <w:t>s</w:t>
      </w:r>
      <w:r w:rsidR="001577CF">
        <w:rPr>
          <w:vertAlign w:val="subscript"/>
        </w:rPr>
        <w:t xml:space="preserve"> </w:t>
      </w:r>
      <w:r w:rsidR="00703E43">
        <w:t xml:space="preserve"> near </w:t>
      </w:r>
      <w:r w:rsidR="001577CF">
        <w:t xml:space="preserve">previously </w:t>
      </w:r>
      <w:r w:rsidR="00703E43">
        <w:t>reported values</w:t>
      </w:r>
      <w:r w:rsidR="001577CF">
        <w:fldChar w:fldCharType="begin" w:fldLock="1"/>
      </w:r>
      <w:r w:rsidR="00080423">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rsidR="001577CF">
        <w:fldChar w:fldCharType="separate"/>
      </w:r>
      <w:r w:rsidR="001577CF" w:rsidRPr="001577CF">
        <w:rPr>
          <w:noProof/>
        </w:rPr>
        <w:t>(46)</w:t>
      </w:r>
      <w:r w:rsidR="001577CF">
        <w:fldChar w:fldCharType="end"/>
      </w:r>
      <w:r w:rsidR="00703E43">
        <w:t xml:space="preserve"> (</w:t>
      </w:r>
      <w:r w:rsidR="00835528" w:rsidRPr="00A841B4">
        <w:rPr>
          <w:b/>
        </w:rPr>
        <w:fldChar w:fldCharType="begin"/>
      </w:r>
      <w:r w:rsidR="00835528" w:rsidRPr="00A841B4">
        <w:rPr>
          <w:b/>
        </w:rPr>
        <w:instrText xml:space="preserve"> REF _Ref530052556 \h </w:instrText>
      </w:r>
      <w:r w:rsidR="001B3703" w:rsidRPr="00A841B4">
        <w:rPr>
          <w:b/>
        </w:rPr>
        <w:instrText xml:space="preserve"> \* MERGEFORMAT </w:instrText>
      </w:r>
      <w:r w:rsidR="00835528" w:rsidRPr="00A841B4">
        <w:rPr>
          <w:b/>
        </w:rPr>
      </w:r>
      <w:r w:rsidR="00835528" w:rsidRPr="00A841B4">
        <w:rPr>
          <w:b/>
        </w:rPr>
        <w:fldChar w:fldCharType="separate"/>
      </w:r>
      <w:r w:rsidR="00E2070A" w:rsidRPr="00E2070A">
        <w:rPr>
          <w:b/>
        </w:rPr>
        <w:t xml:space="preserve">Figure </w:t>
      </w:r>
      <w:r w:rsidR="00E2070A" w:rsidRPr="00E2070A">
        <w:rPr>
          <w:b/>
          <w:noProof/>
        </w:rPr>
        <w:t>29</w:t>
      </w:r>
      <w:r w:rsidR="00835528" w:rsidRPr="00A841B4">
        <w:rPr>
          <w:b/>
        </w:rPr>
        <w:fldChar w:fldCharType="end"/>
      </w:r>
      <w:r w:rsidRPr="00A841B4">
        <w:rPr>
          <w:b/>
        </w:rPr>
        <w:t>A</w:t>
      </w:r>
      <w:r w:rsidRPr="000D6C7C">
        <w:t xml:space="preserve">). </w:t>
      </w:r>
      <w:r w:rsidR="001577CF">
        <w:t>Due</w:t>
      </w:r>
      <w:r w:rsidRPr="000D6C7C">
        <w:t xml:space="preserve"> to </w:t>
      </w:r>
      <w:r w:rsidR="001577CF">
        <w:t xml:space="preserve">the </w:t>
      </w:r>
      <w:r w:rsidRPr="000D6C7C">
        <w:t>solubility issues</w:t>
      </w:r>
      <w:r w:rsidR="001577CF">
        <w:t xml:space="preserve"> of ITZ and TTP, coupled with the lack of cytotoxicity, all compounds besides OSW-1 were tested at the highest soluble concentration (10</w:t>
      </w:r>
      <w:r w:rsidR="001577CF">
        <w:rPr>
          <w:rFonts w:cstheme="minorHAnsi"/>
        </w:rPr>
        <w:t>µ</w:t>
      </w:r>
      <w:r w:rsidR="001577CF">
        <w:t>M)</w:t>
      </w:r>
      <w:r w:rsidRPr="000D6C7C">
        <w:t xml:space="preserve">. </w:t>
      </w:r>
      <w:r w:rsidR="00080423">
        <w:t>HCT116 cells were treated continual with the compounds for 24 hours to determine if they reduced OSBP levels similar to OSW-1 continual treatment</w:t>
      </w:r>
      <w:r w:rsidRPr="000D6C7C">
        <w:t xml:space="preserve">. </w:t>
      </w:r>
      <w:r w:rsidR="00080423">
        <w:t>Only</w:t>
      </w:r>
      <w:r w:rsidRPr="000D6C7C">
        <w:t xml:space="preserve"> OSW-1 </w:t>
      </w:r>
      <w:r w:rsidR="00080423">
        <w:t>reduced</w:t>
      </w:r>
      <w:r w:rsidRPr="000D6C7C">
        <w:t xml:space="preserve"> OSBP protein levels in HCT116 cells</w:t>
      </w:r>
      <w:r w:rsidR="00703E43">
        <w:t xml:space="preserve"> (</w:t>
      </w:r>
      <w:r w:rsidR="00835528" w:rsidRPr="00A841B4">
        <w:rPr>
          <w:b/>
        </w:rPr>
        <w:fldChar w:fldCharType="begin"/>
      </w:r>
      <w:r w:rsidR="00835528" w:rsidRPr="00A841B4">
        <w:rPr>
          <w:b/>
        </w:rPr>
        <w:instrText xml:space="preserve"> REF _Ref530052556 \h </w:instrText>
      </w:r>
      <w:r w:rsidR="001B3703" w:rsidRPr="00A841B4">
        <w:rPr>
          <w:b/>
        </w:rPr>
        <w:instrText xml:space="preserve"> \* MERGEFORMAT </w:instrText>
      </w:r>
      <w:r w:rsidR="00835528" w:rsidRPr="00A841B4">
        <w:rPr>
          <w:b/>
        </w:rPr>
      </w:r>
      <w:r w:rsidR="00835528" w:rsidRPr="00A841B4">
        <w:rPr>
          <w:b/>
        </w:rPr>
        <w:fldChar w:fldCharType="separate"/>
      </w:r>
      <w:r w:rsidR="00E2070A" w:rsidRPr="00E2070A">
        <w:rPr>
          <w:b/>
        </w:rPr>
        <w:t xml:space="preserve">Figure </w:t>
      </w:r>
      <w:r w:rsidR="00E2070A" w:rsidRPr="00E2070A">
        <w:rPr>
          <w:b/>
          <w:noProof/>
        </w:rPr>
        <w:t>29</w:t>
      </w:r>
      <w:r w:rsidR="00835528" w:rsidRPr="00A841B4">
        <w:rPr>
          <w:b/>
        </w:rPr>
        <w:fldChar w:fldCharType="end"/>
      </w:r>
      <w:r w:rsidRPr="00A841B4">
        <w:rPr>
          <w:b/>
        </w:rPr>
        <w:t>B</w:t>
      </w:r>
      <w:r w:rsidRPr="000D6C7C">
        <w:t>). Similar results were seen in HEK293 cells over the same time cour</w:t>
      </w:r>
      <w:r w:rsidR="00835528">
        <w:t>se and treatment</w:t>
      </w:r>
      <w:r w:rsidR="00080423">
        <w:t>s</w:t>
      </w:r>
      <w:r w:rsidR="00835528">
        <w:t xml:space="preserve"> (</w:t>
      </w:r>
      <w:r w:rsidR="00835528">
        <w:fldChar w:fldCharType="begin"/>
      </w:r>
      <w:r w:rsidR="00835528">
        <w:instrText xml:space="preserve"> REF _Ref530229993 \h </w:instrText>
      </w:r>
      <w:r w:rsidR="001B3703">
        <w:instrText xml:space="preserve"> \* MERGEFORMAT </w:instrText>
      </w:r>
      <w:r w:rsidR="00835528">
        <w:fldChar w:fldCharType="separate"/>
      </w:r>
      <w:r w:rsidR="00E2070A" w:rsidRPr="00E2070A">
        <w:rPr>
          <w:b/>
        </w:rPr>
        <w:t xml:space="preserve">Figure </w:t>
      </w:r>
      <w:r w:rsidR="00E2070A" w:rsidRPr="00E2070A">
        <w:rPr>
          <w:b/>
          <w:noProof/>
        </w:rPr>
        <w:t>64</w:t>
      </w:r>
      <w:r w:rsidR="00835528">
        <w:fldChar w:fldCharType="end"/>
      </w:r>
      <w:r w:rsidRPr="000D6C7C">
        <w:t>).</w:t>
      </w:r>
    </w:p>
    <w:p w:rsidR="00835528" w:rsidRDefault="00835528" w:rsidP="00042529">
      <w:pPr>
        <w:pStyle w:val="Heading3"/>
      </w:pPr>
      <w:bookmarkStart w:id="192" w:name="_Toc532553159"/>
      <w:r>
        <w:t>ORPphillins show differential localization patterns of OSBP</w:t>
      </w:r>
      <w:bookmarkEnd w:id="192"/>
    </w:p>
    <w:p w:rsidR="00835528" w:rsidRDefault="00080423" w:rsidP="00FB099D">
      <w:pPr>
        <w:ind w:firstLine="720"/>
        <w:jc w:val="both"/>
      </w:pPr>
      <w:r>
        <w:t xml:space="preserve">To determine if the compounds affect OSBP cellular localization we utilized immunofluorescence microscopy in HCT116 cells. </w:t>
      </w:r>
      <w:r w:rsidR="00835528">
        <w:t>It is known that OSBP localizes to the trans-Golgi network upon the addition of various ligands</w:t>
      </w:r>
      <w:r w:rsidR="00835528">
        <w:fldChar w:fldCharType="begin" w:fldLock="1"/>
      </w:r>
      <w:r w:rsidR="00507C72">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PROTEIN","type":"article-journal","volume":"25"},"uris":["http://www.mendeley.com/documents/?uuid=02c7ec4c-fc93-404c-a402-6abc8c747415"]},{"id":"ITEM-2","itemData":{"DOI":"10.1038/nchembio.625.Natural","abstract":"Cephalostatin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D","non-dropping-particle":"","parse-names":false,"suffix":""}],"id":"ITEM-2","issue":"9","issued":{"date-parts":[["2011"]]},"page":"639-647","title":"Natural products reveal cancer cell dependence on oxysterol- binding proteins","type":"article-journal","volume":"7"},"uris":["http://www.mendeley.com/documents/?uuid=738d7551-7762-4881-b322-86a5dd78671b"]},{"id":"ITEM-3","itemData":{"DOI":"10.1016/j.antiviral.2017.01.008","ISSN":"18729096","PMID":"28088354","abstract":"The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 M","non-dropping-particle":"van","parse-names":false,"suffix":""},{"dropping-particle":"","family":"Strating","given":"Jeroen R P M","non-dropping-particle":"","parse-names":false,"suffix":""}],"container-title":"Antiviral Research","id":"ITEM-3","issued":{"date-parts":[["2017"]]},"page":"37-44","title":"Uncovering oxysterol-binding protein (OSBP) as a target of the anti-enteroviral compound TTP-8307","type":"article-journal","volume":"140"},"uris":["http://www.mendeley.com/documents/?uuid=d39a6a30-bbc4-492d-b147-55b02455af83"]},{"id":"ITEM-4","itemData":{"ISBN":"0021-9525 (Print)","ISSN":"0021-9525","PMID":"1730758","abstract":"A cDNA encoding a cytoplasmic oxysterol binding protein was expressed at high levels by transfection in animal cells. This protein binds oxysterols such as 25-hydroxycholesterol that regulate sterol metabolism by transcriptional and posttranscriptional effects. In the transfected cells, some of the oxysterol binding protein (OSBP) was distributed diffusely in the cytoplasm, and some was bound to small vesicles near the nucleus, as revealed by indirect immunofluorescence. Upon addition of 25-hydroxycholesterol, most of the OSBP became concentrated in large perinuclear structures that stained with lentil lectin, a protein that stains the Golgi apparatus. The structures that contained OSBP were disrupted by brefeldin A, confirming their identification as Golgi. A mutant OSBP lacking the COOH-terminal oxysterol binding domain localized to the Golgi spontaneously, suggesting that this domain normally occludes the domain that binds to the Golgi and that sterols relieve this occlusion. The previously noted potential leucine zipper sequence in OSBP was not required for Golgi localization, nor was it essential for homodimer formation. We conclude that OSBP is triggered to bind extrinsically to Golgi membranes when it binds oxysterols and speculate that this translocation may play a role in the transport, metabolism, or regulatory actions of oxysterols.","author":[{"dropping-particle":"","family":"Ridgway","given":"Neale D","non-dropping-particle":"","parse-names":false,"suffix":""},{"dropping-particle":"","family":"Dawson","given":"Paul a","non-dropping-particle":"","parse-names":false,"suffix":""},{"dropping-particle":"","family":"Ho","given":"Y K","non-dropping-particle":"","parse-names":false,"suffix":""},{"dropping-particle":"","family":"Brown","given":"Michael S","non-dropping-particle":"","parse-names":false,"suffix":""},{"dropping-particle":"","family":"Goldstein","given":"Joseph L","non-dropping-particle":"","parse-names":false,"suffix":""}],"container-title":"The Journal of cell biology","id":"ITEM-4","issue":"2","issued":{"date-parts":[["1992","1"]]},"page":"307-19","title":"Translocation of oxysterol binding protein to Golgi apparatus triggered by ligand binding.","type":"article-journal","volume":"116"},"uris":["http://www.mendeley.com/documents/?uuid=9dc1b3f6-f81f-489d-a3e9-0b110a43355f"]}],"mendeley":{"formattedCitation":"(11, 46, 81, 156)","plainTextFormattedCitation":"(11, 46, 81, 156)","previouslyFormattedCitation":"(11, 46, 81, 156)"},"properties":{"noteIndex":0},"schema":"https://github.com/citation-style-language/schema/raw/master/csl-citation.json"}</w:instrText>
      </w:r>
      <w:r w:rsidR="00835528">
        <w:fldChar w:fldCharType="separate"/>
      </w:r>
      <w:r w:rsidR="0041658F" w:rsidRPr="0041658F">
        <w:rPr>
          <w:noProof/>
        </w:rPr>
        <w:t>(11, 46, 81, 156)</w:t>
      </w:r>
      <w:r w:rsidR="00835528">
        <w:fldChar w:fldCharType="end"/>
      </w:r>
      <w:r w:rsidR="00835528">
        <w:t>.</w:t>
      </w:r>
      <w:r>
        <w:t xml:space="preserve"> The imagining experiments used the OSBP antibody and an antibody recognizing the trans Golgi marker TGN46, as well as a </w:t>
      </w:r>
      <w:r>
        <w:lastRenderedPageBreak/>
        <w:t>nuclear stain.</w:t>
      </w:r>
      <w:r w:rsidR="00835528">
        <w:t xml:space="preserve"> </w:t>
      </w:r>
      <w:r>
        <w:t xml:space="preserve">Treatment with </w:t>
      </w:r>
      <w:r w:rsidR="00835528">
        <w:t>25-OHC caused a clustered localization of OSBP with the trans-Golgi marker TGN46 in HCT116 cells</w:t>
      </w:r>
      <w:r>
        <w:t xml:space="preserve"> as previously reported</w:t>
      </w:r>
      <w:r>
        <w:fldChar w:fldCharType="begin" w:fldLock="1"/>
      </w:r>
      <w:r w:rsidR="005D2ADA">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proteins","type":"article-journal","volume":"7"},"uris":["http://www.mendeley.com/documents/?uuid=738d7551-7762-4881-b322-86a5dd78671b"]},{"id":"ITEM-2","itemData":{"ISBN":"0021-9525 (Print)","ISSN":"0021-9525","PMID":"1730758","abstract":"A cDNA encoding a cytoplasmic oxysterol binding protein was expressed at high levels by transfection in animal cells. This protein binds oxysterols such as 25-hydroxycholesterol that regulate sterol metabolism by transcriptional and posttranscriptional effects. In the transfected cells, some of the oxysterol binding protein (OSBP) was distributed diffusely in the cytoplasm, and some was bound to small vesicles near the nucleus, as revealed by indirect immunofluorescence. Upon addition of 25-hydroxycholesterol, most of the OSBP became concentrated in large perinuclear structures that stained with lentil lectin, a protein that stains the Golgi apparatus. The structures that contained OSBP were disrupted by brefeldin A, confirming their identification as Golgi. A mutant OSBP lacking the COOH-terminal oxysterol binding domain localized to the Golgi spontaneously, suggesting that this domain normally occludes the domain that binds to the Golgi and that sterols relieve this occlusion. The previously noted potential leucine zipper sequence in OSBP was not required for Golgi localization, nor was it essential for homodimer formation. We conclude that OSBP is triggered to bind extrinsically to Golgi membranes when it binds oxysterols and speculate that this translocation may play a role in the transport, metabolism, or regulatory actions of oxysterols.","author":[{"dropping-particle":"","family":"Ridgway","given":"Neale D","non-dropping-particle":"","parse-names":false,"suffix":""},{"dropping-particle":"","family":"Dawson","given":"Paul a","non-dropping-particle":"","parse-names":false,"suffix":""},{"dropping-particle":"","family":"Ho","given":"Y K","non-dropping-particle":"","parse-names":false,"suffix":""},{"dropping-particle":"","family":"Brown","given":"Michael S","non-dropping-particle":"","parse-names":false,"suffix":""},{"dropping-particle":"","family":"Goldstein","given":"Joseph L","non-dropping-particle":"","parse-names":false,"suffix":""}],"container-title":"The Journal of cell biology","id":"ITEM-2","issue":"2","issued":{"date-parts":[["1992","1"]]},"page":"307-19","title":"Translocation of oxysterol binding protein to Golgi apparatus triggered by ligand binding.","type":"article-journal","volume":"116"},"uris":["http://www.mendeley.com/documents/?uuid=9dc1b3f6-f81f-489d-a3e9-0b110a43355f"]}],"mendeley":{"formattedCitation":"(11, 46)","plainTextFormattedCitation":"(11, 46)","previouslyFormattedCitation":"(11, 46)"},"properties":{"noteIndex":0},"schema":"https://github.com/citation-style-language/schema/raw/master/csl-citation.json"}</w:instrText>
      </w:r>
      <w:r>
        <w:fldChar w:fldCharType="separate"/>
      </w:r>
      <w:r w:rsidRPr="00080423">
        <w:rPr>
          <w:noProof/>
        </w:rPr>
        <w:t>(11, 46)</w:t>
      </w:r>
      <w:r>
        <w:fldChar w:fldCharType="end"/>
      </w:r>
      <w:r w:rsidR="00835528">
        <w:t>(</w:t>
      </w:r>
      <w:r w:rsidR="00835528">
        <w:fldChar w:fldCharType="begin"/>
      </w:r>
      <w:r w:rsidR="00835528">
        <w:instrText xml:space="preserve"> REF _Ref530052441 \h </w:instrText>
      </w:r>
      <w:r w:rsidR="001B3703">
        <w:instrText xml:space="preserve"> \* MERGEFORMAT </w:instrText>
      </w:r>
      <w:r w:rsidR="00835528">
        <w:fldChar w:fldCharType="separate"/>
      </w:r>
      <w:r w:rsidR="00E2070A" w:rsidRPr="00E2070A">
        <w:rPr>
          <w:b/>
        </w:rPr>
        <w:t>Figure</w:t>
      </w:r>
      <w:r w:rsidR="00E2070A">
        <w:t xml:space="preserve"> </w:t>
      </w:r>
      <w:r w:rsidR="00E2070A" w:rsidRPr="00E2070A">
        <w:rPr>
          <w:b/>
          <w:noProof/>
        </w:rPr>
        <w:t>30</w:t>
      </w:r>
      <w:r w:rsidR="00835528">
        <w:fldChar w:fldCharType="end"/>
      </w:r>
      <w:r w:rsidR="00835528">
        <w:t xml:space="preserve">). OSW-1 treated cells show a </w:t>
      </w:r>
      <w:r>
        <w:t xml:space="preserve">highly </w:t>
      </w:r>
      <w:r w:rsidR="00835528">
        <w:t>reduc</w:t>
      </w:r>
      <w:r w:rsidR="00897FBD">
        <w:t>ed signal, consistent with W</w:t>
      </w:r>
      <w:r w:rsidR="00835528">
        <w:t>estern blot</w:t>
      </w:r>
      <w:r w:rsidR="00897FBD">
        <w:t>ting</w:t>
      </w:r>
      <w:r w:rsidR="00835528">
        <w:t xml:space="preserve">, and show </w:t>
      </w:r>
      <w:r>
        <w:t xml:space="preserve">the remaining </w:t>
      </w:r>
      <w:r w:rsidR="00835528">
        <w:t xml:space="preserve">OSBP in a vesicle formation that is not associated with </w:t>
      </w:r>
      <w:r>
        <w:t xml:space="preserve">the </w:t>
      </w:r>
      <w:r w:rsidR="00835528">
        <w:t>TGN46</w:t>
      </w:r>
      <w:r>
        <w:t xml:space="preserve"> marker</w:t>
      </w:r>
      <w:r w:rsidR="00835528">
        <w:t xml:space="preserve"> (</w:t>
      </w:r>
      <w:r w:rsidR="00835528">
        <w:fldChar w:fldCharType="begin"/>
      </w:r>
      <w:r w:rsidR="00835528">
        <w:instrText xml:space="preserve"> REF _Ref530052441 \h </w:instrText>
      </w:r>
      <w:r w:rsidR="001B3703">
        <w:instrText xml:space="preserve"> \* MERGEFORMAT </w:instrText>
      </w:r>
      <w:r w:rsidR="00835528">
        <w:fldChar w:fldCharType="separate"/>
      </w:r>
      <w:r w:rsidR="00E2070A" w:rsidRPr="00E2070A">
        <w:rPr>
          <w:b/>
        </w:rPr>
        <w:t>Figure</w:t>
      </w:r>
      <w:r w:rsidR="00E2070A">
        <w:t xml:space="preserve"> </w:t>
      </w:r>
      <w:r w:rsidR="00E2070A" w:rsidRPr="00E2070A">
        <w:rPr>
          <w:b/>
          <w:noProof/>
        </w:rPr>
        <w:t>30</w:t>
      </w:r>
      <w:r w:rsidR="00835528">
        <w:fldChar w:fldCharType="end"/>
      </w:r>
      <w:r w:rsidR="00835528">
        <w:t xml:space="preserve">). The TGN46 signal in OSW-1 treated cells is also reduced and scattered, suggesting disruption of the Golgi-network due to loss of OSBP function. A </w:t>
      </w:r>
      <w:r>
        <w:t>phospho-me</w:t>
      </w:r>
      <w:r w:rsidR="00DE0064">
        <w:t>me</w:t>
      </w:r>
      <w:r>
        <w:t>tic</w:t>
      </w:r>
      <w:r w:rsidR="00835528">
        <w:t xml:space="preserve"> version of OSBP</w:t>
      </w:r>
      <w:r>
        <w:t xml:space="preserve"> that is inactive</w:t>
      </w:r>
      <w:r w:rsidR="00835528">
        <w:t xml:space="preserve"> was shown to have impaired Golgi localization </w:t>
      </w:r>
      <w:r w:rsidR="00897FBD">
        <w:t>which</w:t>
      </w:r>
      <w:r w:rsidR="00835528">
        <w:t xml:space="preserve"> induced Golgi fragmentation</w:t>
      </w:r>
      <w:r w:rsidR="00835528">
        <w:fldChar w:fldCharType="begin" w:fldLock="1"/>
      </w:r>
      <w:r w:rsidR="00B75315">
        <w:instrText>ADDIN CSL_CITATION {"citationItems":[{"id":"ITEM-1","itemData":{"DOI":"10.1091/mbc.E10","ISBN":"1939-4586 (Electronic)\\r1059-1524 (Linking)","ISSN":"00219525","PMID":"20980618","abstract":"Protein kinase D (PKD) plays a critical role at the trans-Golgi network by regulating the fission of transport carriers destined for the plasma membrane. Two known Golgi-localized PKD substrates, PI4-kinase III ? and the ceramide transfer protein CERT, mediate PKD signaling to influence vesicle trafficking to the plasma membrane and sphingomy- elin synthesis, respectively. PKD is recruited and activated at the Golgi through interaction with diacylglycerol, a pool of which is generated as a by-product of sphingomyelin synthesis from ceramide. Here we identify a novel substrate of PKD at the Golgi, the oxysterol-binding protein OSBP. Using a substrate-directed phospho-specific antibody that recognizes the optimal PKD consensus motif, we show that PKD phosphorylates OSBP at Ser240 in vitro and in cells. We further show that OSBP phosphorylation occurs at the Golgi. Phosphorylation of OSBP by PKD does not modulate dimerization, sterol binding, or affinity for PI(4)P. Instead, phosphorylation attenuates OSBP Golgi localization in response to 25-hydroxycholesterol and cholesterol depletion, impairs CERT Golgi localization, and promotes Golgi fragmentation.","author":[{"dropping-particle":"","family":"Nhek S., Ngo M., Yang X., Ng M.M., Field J. S., Asara J.M., Ridgway N.D.","given":"and Toker A.","non-dropping-particle":"","parse-names":false,"suffix":""}],"container-title":"Molecular Biology of the Cell","id":"ITEM-1","issued":{"date-parts":[["2010"]]},"page":"2327-2337","title":"Regulation of Oxysterol-binding Protein Golgi Localization through Protein Kinase D-mediated Phosphorylation","type":"article-journal","volume":"21"},"uris":["http://www.mendeley.com/documents/?uuid=1db3d08c-a325-4699-8236-21a4ff0aa279"]}],"mendeley":{"formattedCitation":"(73)","plainTextFormattedCitation":"(73)","previouslyFormattedCitation":"(73)"},"properties":{"noteIndex":0},"schema":"https://github.com/citation-style-language/schema/raw/master/csl-citation.json"}</w:instrText>
      </w:r>
      <w:r w:rsidR="00835528">
        <w:fldChar w:fldCharType="separate"/>
      </w:r>
      <w:r w:rsidR="00B242B4" w:rsidRPr="00B242B4">
        <w:rPr>
          <w:noProof/>
        </w:rPr>
        <w:t>(73)</w:t>
      </w:r>
      <w:r w:rsidR="00835528">
        <w:fldChar w:fldCharType="end"/>
      </w:r>
      <w:r w:rsidR="00835528">
        <w:t>. ITZ treatment</w:t>
      </w:r>
      <w:r w:rsidR="00897FBD">
        <w:t xml:space="preserve"> shows a broader Golgi stain </w:t>
      </w:r>
      <w:r w:rsidR="00835528">
        <w:t>compared to DMSO but a vastly different OSBP staining (</w:t>
      </w:r>
      <w:r w:rsidR="00835528">
        <w:fldChar w:fldCharType="begin"/>
      </w:r>
      <w:r w:rsidR="00835528">
        <w:instrText xml:space="preserve"> REF _Ref530052441 \h </w:instrText>
      </w:r>
      <w:r w:rsidR="001B3703">
        <w:instrText xml:space="preserve"> \* MERGEFORMAT </w:instrText>
      </w:r>
      <w:r w:rsidR="00835528">
        <w:fldChar w:fldCharType="separate"/>
      </w:r>
      <w:r w:rsidR="00E2070A" w:rsidRPr="00E2070A">
        <w:rPr>
          <w:b/>
        </w:rPr>
        <w:t>Figure</w:t>
      </w:r>
      <w:r w:rsidR="00E2070A">
        <w:t xml:space="preserve"> </w:t>
      </w:r>
      <w:r w:rsidR="00E2070A" w:rsidRPr="00E2070A">
        <w:rPr>
          <w:b/>
          <w:noProof/>
        </w:rPr>
        <w:t>30</w:t>
      </w:r>
      <w:r w:rsidR="00835528">
        <w:fldChar w:fldCharType="end"/>
      </w:r>
      <w:r w:rsidR="00835528">
        <w:t>). OSBP staining is very patchy but still mainly overlaps with the Golgi</w:t>
      </w:r>
      <w:r w:rsidR="00DE0064">
        <w:t xml:space="preserve"> marker</w:t>
      </w:r>
      <w:r w:rsidR="00835528">
        <w:t>. TTP shows a very similar staining pattern to DMSO, but with intensified OSBP signal, which suggests that treatment causes more localization of OSBP to the Golgi</w:t>
      </w:r>
      <w:r w:rsidR="00602F09">
        <w:t xml:space="preserve"> in its native state</w:t>
      </w:r>
      <w:r w:rsidR="00835528">
        <w:t xml:space="preserve"> (</w:t>
      </w:r>
      <w:r w:rsidR="00835528">
        <w:fldChar w:fldCharType="begin"/>
      </w:r>
      <w:r w:rsidR="00835528">
        <w:instrText xml:space="preserve"> REF _Ref530052441 \h </w:instrText>
      </w:r>
      <w:r w:rsidR="001B3703">
        <w:instrText xml:space="preserve"> \* MERGEFORMAT </w:instrText>
      </w:r>
      <w:r w:rsidR="00835528">
        <w:fldChar w:fldCharType="separate"/>
      </w:r>
      <w:r w:rsidR="00E2070A" w:rsidRPr="00E2070A">
        <w:rPr>
          <w:b/>
        </w:rPr>
        <w:t>Figure</w:t>
      </w:r>
      <w:r w:rsidR="00E2070A">
        <w:t xml:space="preserve"> </w:t>
      </w:r>
      <w:r w:rsidR="00E2070A" w:rsidRPr="00E2070A">
        <w:rPr>
          <w:b/>
          <w:noProof/>
        </w:rPr>
        <w:t>30</w:t>
      </w:r>
      <w:r w:rsidR="00835528">
        <w:fldChar w:fldCharType="end"/>
      </w:r>
      <w:r w:rsidR="00835528">
        <w:t xml:space="preserve">). THEV2 is </w:t>
      </w:r>
      <w:r w:rsidR="00602F09">
        <w:t>similar</w:t>
      </w:r>
      <w:r w:rsidR="00835528">
        <w:t xml:space="preserve"> to 25-OHC staining</w:t>
      </w:r>
      <w:r w:rsidR="00602F09">
        <w:t>,</w:t>
      </w:r>
      <w:r w:rsidR="00835528">
        <w:t xml:space="preserve"> showing clustered OSBP and TGN46</w:t>
      </w:r>
      <w:r w:rsidR="00602F09">
        <w:t xml:space="preserve"> signals</w:t>
      </w:r>
      <w:r w:rsidR="00835528">
        <w:t xml:space="preserve"> (</w:t>
      </w:r>
      <w:r w:rsidR="00835528">
        <w:fldChar w:fldCharType="begin"/>
      </w:r>
      <w:r w:rsidR="00835528">
        <w:instrText xml:space="preserve"> REF _Ref530052441 \h </w:instrText>
      </w:r>
      <w:r w:rsidR="001B3703">
        <w:instrText xml:space="preserve"> \* MERGEFORMAT </w:instrText>
      </w:r>
      <w:r w:rsidR="00835528">
        <w:fldChar w:fldCharType="separate"/>
      </w:r>
      <w:r w:rsidR="00E2070A" w:rsidRPr="00E2070A">
        <w:rPr>
          <w:b/>
        </w:rPr>
        <w:t>Figure</w:t>
      </w:r>
      <w:r w:rsidR="00E2070A">
        <w:t xml:space="preserve"> </w:t>
      </w:r>
      <w:r w:rsidR="00E2070A" w:rsidRPr="00E2070A">
        <w:rPr>
          <w:b/>
          <w:noProof/>
        </w:rPr>
        <w:t>30</w:t>
      </w:r>
      <w:r w:rsidR="00835528">
        <w:fldChar w:fldCharType="end"/>
      </w:r>
      <w:r w:rsidR="00835528">
        <w:t>).</w:t>
      </w:r>
    </w:p>
    <w:p w:rsidR="00835528" w:rsidRDefault="00835528" w:rsidP="00FB099D">
      <w:pPr>
        <w:ind w:firstLine="720"/>
        <w:jc w:val="both"/>
      </w:pPr>
    </w:p>
    <w:p w:rsidR="00EF6E46" w:rsidRDefault="00FF2D7F" w:rsidP="00FB099D">
      <w:pPr>
        <w:pStyle w:val="Caption"/>
        <w:jc w:val="both"/>
        <w:rPr>
          <w:b w:val="0"/>
        </w:rPr>
      </w:pPr>
      <w:bookmarkStart w:id="193" w:name="_Ref530052556"/>
      <w:bookmarkStart w:id="194" w:name="_Toc530673954"/>
      <w:r w:rsidRPr="00EF6E46">
        <w:rPr>
          <w:i/>
          <w:noProof/>
          <w:lang w:bidi="ar-SA"/>
        </w:rPr>
        <w:lastRenderedPageBreak/>
        <w:drawing>
          <wp:anchor distT="0" distB="0" distL="114300" distR="114300" simplePos="0" relativeHeight="251682816" behindDoc="1" locked="0" layoutInCell="1" allowOverlap="1" wp14:anchorId="79949E01" wp14:editId="557E93C2">
            <wp:simplePos x="0" y="0"/>
            <wp:positionH relativeFrom="margin">
              <wp:align>center</wp:align>
            </wp:positionH>
            <wp:positionV relativeFrom="paragraph">
              <wp:posOffset>19050</wp:posOffset>
            </wp:positionV>
            <wp:extent cx="5073650" cy="6202045"/>
            <wp:effectExtent l="19050" t="19050" r="12700" b="27305"/>
            <wp:wrapTight wrapText="bothSides">
              <wp:wrapPolygon edited="0">
                <wp:start x="-81" y="-66"/>
                <wp:lineTo x="-81" y="21629"/>
                <wp:lineTo x="21573" y="21629"/>
                <wp:lineTo x="21573" y="-66"/>
                <wp:lineTo x="-81" y="-6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073650" cy="62020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841B4" w:rsidRPr="00A841B4">
        <w:t>Figure</w:t>
      </w:r>
      <w:r w:rsidR="00EF6E46">
        <w:t xml:space="preserve"> </w:t>
      </w:r>
      <w:fldSimple w:instr=" SEQ Figure \* ARABIC ">
        <w:r w:rsidR="00E2070A">
          <w:rPr>
            <w:noProof/>
          </w:rPr>
          <w:t>29</w:t>
        </w:r>
      </w:fldSimple>
      <w:bookmarkEnd w:id="193"/>
      <w:r w:rsidR="00EF6E46">
        <w:t>:</w:t>
      </w:r>
      <w:r w:rsidR="00EF6E46" w:rsidRPr="00EF6E46">
        <w:t xml:space="preserve"> OSW-1</w:t>
      </w:r>
      <w:r w:rsidR="00EF6E46">
        <w:t>, but no other ORPphillin,</w:t>
      </w:r>
      <w:r w:rsidR="00EF6E46" w:rsidRPr="00EF6E46">
        <w:t xml:space="preserve"> affects </w:t>
      </w:r>
      <w:r w:rsidR="006B31E1">
        <w:t xml:space="preserve">cell growth or </w:t>
      </w:r>
      <w:r w:rsidR="00EF6E46" w:rsidRPr="00EF6E46">
        <w:t>OSBP protein expression</w:t>
      </w:r>
      <w:r w:rsidR="00EF6E46">
        <w:t xml:space="preserve">. </w:t>
      </w:r>
      <w:r w:rsidR="00EF6E46">
        <w:rPr>
          <w:b w:val="0"/>
        </w:rPr>
        <w:t xml:space="preserve">(A) </w:t>
      </w:r>
      <w:r w:rsidR="00EF6E46" w:rsidRPr="00EF6E46">
        <w:rPr>
          <w:b w:val="0"/>
        </w:rPr>
        <w:t>Effect on 48-hour growth of OSW-1, Taxol, ITZ, TTP, or THEV2 in HCT116 cells. (B) OSBP levels are reduced with OSW-1 (1 nM) but not the other compounds (10 µM) after 24 hours of treatment in HCT116 as judged by western blotting analysis.</w:t>
      </w:r>
      <w:r w:rsidR="00835528">
        <w:rPr>
          <w:b w:val="0"/>
        </w:rPr>
        <w:t xml:space="preserve"> (Full blot in </w:t>
      </w:r>
      <w:r w:rsidR="00835528" w:rsidRPr="00835528">
        <w:rPr>
          <w:b w:val="0"/>
        </w:rPr>
        <w:fldChar w:fldCharType="begin"/>
      </w:r>
      <w:r w:rsidR="00835528" w:rsidRPr="00835528">
        <w:rPr>
          <w:b w:val="0"/>
        </w:rPr>
        <w:instrText xml:space="preserve"> REF _Ref530229993 \h  \* MERGEFORMAT </w:instrText>
      </w:r>
      <w:r w:rsidR="00835528" w:rsidRPr="00835528">
        <w:rPr>
          <w:b w:val="0"/>
        </w:rPr>
      </w:r>
      <w:r w:rsidR="00835528" w:rsidRPr="00835528">
        <w:rPr>
          <w:b w:val="0"/>
        </w:rPr>
        <w:fldChar w:fldCharType="separate"/>
      </w:r>
      <w:r w:rsidR="00E2070A" w:rsidRPr="00A841B4">
        <w:t>Figure</w:t>
      </w:r>
      <w:r w:rsidR="00E2070A" w:rsidRPr="00E2070A">
        <w:rPr>
          <w:b w:val="0"/>
        </w:rPr>
        <w:t xml:space="preserve"> </w:t>
      </w:r>
      <w:r w:rsidR="00E2070A">
        <w:rPr>
          <w:noProof/>
        </w:rPr>
        <w:t>64</w:t>
      </w:r>
      <w:r w:rsidR="00835528" w:rsidRPr="00835528">
        <w:rPr>
          <w:b w:val="0"/>
        </w:rPr>
        <w:fldChar w:fldCharType="end"/>
      </w:r>
      <w:r w:rsidR="00835528">
        <w:rPr>
          <w:b w:val="0"/>
        </w:rPr>
        <w:t>).</w:t>
      </w:r>
      <w:bookmarkEnd w:id="194"/>
    </w:p>
    <w:p w:rsidR="00EF6E46" w:rsidRDefault="00EF6E46" w:rsidP="00FB099D">
      <w:pPr>
        <w:jc w:val="both"/>
      </w:pPr>
    </w:p>
    <w:p w:rsidR="003F31A6" w:rsidRPr="003F31A6" w:rsidRDefault="003F31A6" w:rsidP="00FB099D">
      <w:pPr>
        <w:jc w:val="both"/>
      </w:pPr>
    </w:p>
    <w:p w:rsidR="003F31A6" w:rsidRDefault="003F31A6" w:rsidP="00FB099D">
      <w:pPr>
        <w:keepNext/>
        <w:jc w:val="both"/>
      </w:pPr>
      <w:r w:rsidRPr="003F31A6">
        <w:rPr>
          <w:i/>
          <w:noProof/>
          <w:lang w:bidi="ar-SA"/>
        </w:rPr>
        <w:lastRenderedPageBreak/>
        <w:drawing>
          <wp:inline distT="0" distB="0" distL="0" distR="0" wp14:anchorId="73F75C01" wp14:editId="73918D18">
            <wp:extent cx="4396105" cy="7159625"/>
            <wp:effectExtent l="19050" t="19050" r="23495" b="222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9225" r="15723"/>
                    <a:stretch/>
                  </pic:blipFill>
                  <pic:spPr bwMode="auto">
                    <a:xfrm>
                      <a:off x="0" y="0"/>
                      <a:ext cx="4396105" cy="71596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F31A6" w:rsidRPr="00703E43" w:rsidRDefault="00A841B4" w:rsidP="00FB099D">
      <w:pPr>
        <w:pStyle w:val="Caption"/>
        <w:jc w:val="both"/>
        <w:rPr>
          <w:b w:val="0"/>
        </w:rPr>
      </w:pPr>
      <w:bookmarkStart w:id="195" w:name="_Ref530052441"/>
      <w:bookmarkStart w:id="196" w:name="_Ref530052428"/>
      <w:bookmarkStart w:id="197" w:name="_Toc530673955"/>
      <w:r w:rsidRPr="00A841B4">
        <w:t>Figure</w:t>
      </w:r>
      <w:r w:rsidR="003F31A6">
        <w:t xml:space="preserve"> </w:t>
      </w:r>
      <w:fldSimple w:instr=" SEQ Figure \* ARABIC ">
        <w:r w:rsidR="00E2070A">
          <w:rPr>
            <w:noProof/>
          </w:rPr>
          <w:t>30</w:t>
        </w:r>
      </w:fldSimple>
      <w:bookmarkEnd w:id="195"/>
      <w:r w:rsidR="003F31A6">
        <w:t xml:space="preserve">: </w:t>
      </w:r>
      <w:r w:rsidR="003F31A6" w:rsidRPr="003F31A6">
        <w:t>ORPphillins show differential localization patterns of OSBP</w:t>
      </w:r>
      <w:r w:rsidR="003F31A6">
        <w:t xml:space="preserve">. </w:t>
      </w:r>
      <w:r w:rsidR="003F31A6">
        <w:rPr>
          <w:b w:val="0"/>
        </w:rPr>
        <w:t xml:space="preserve">OSBP (green) and TGN46 (red) were visualized in HCT116 cells using indirect immunofluorescence. Cells were treated with DMSO, 1 nM OSW-1, or 10 </w:t>
      </w:r>
      <w:r w:rsidR="003F31A6">
        <w:rPr>
          <w:rFonts w:cstheme="minorHAnsi"/>
          <w:b w:val="0"/>
        </w:rPr>
        <w:t>µ</w:t>
      </w:r>
      <w:r w:rsidR="003F31A6">
        <w:rPr>
          <w:b w:val="0"/>
        </w:rPr>
        <w:t>M of 25-OHC, ITZ, TTP, or THEV2 for 24 hours. Nuclei (blue) were stained with Hoescht 33342.</w:t>
      </w:r>
      <w:bookmarkEnd w:id="196"/>
      <w:bookmarkEnd w:id="197"/>
    </w:p>
    <w:p w:rsidR="00EF6E46" w:rsidRDefault="002C5F97" w:rsidP="00042529">
      <w:pPr>
        <w:pStyle w:val="Heading3"/>
      </w:pPr>
      <w:bookmarkStart w:id="198" w:name="_Toc532553160"/>
      <w:r>
        <w:lastRenderedPageBreak/>
        <w:t xml:space="preserve">Co-incubation with </w:t>
      </w:r>
      <w:r w:rsidR="00EF6E46" w:rsidRPr="00EF6E46">
        <w:t>THEV</w:t>
      </w:r>
      <w:r>
        <w:t>2 or ITZ</w:t>
      </w:r>
      <w:r w:rsidR="0005770C">
        <w:t>, but not oxysterols,</w:t>
      </w:r>
      <w:r>
        <w:t xml:space="preserve"> </w:t>
      </w:r>
      <w:r w:rsidR="00EF6E46" w:rsidRPr="00EF6E46">
        <w:t>can rescue OSBP loss induced by OSW-1</w:t>
      </w:r>
      <w:bookmarkEnd w:id="198"/>
    </w:p>
    <w:p w:rsidR="0058471A" w:rsidRDefault="002C5F97" w:rsidP="00BC0618">
      <w:pPr>
        <w:ind w:firstLine="720"/>
        <w:jc w:val="both"/>
      </w:pPr>
      <w:r w:rsidRPr="002C5F97">
        <w:t xml:space="preserve">We tested the compounds in tandem with OSW-1 to determine if any </w:t>
      </w:r>
      <w:r>
        <w:t xml:space="preserve">could </w:t>
      </w:r>
      <w:r w:rsidRPr="002C5F97">
        <w:t>rescue OSBP</w:t>
      </w:r>
      <w:r w:rsidR="00602F09">
        <w:t xml:space="preserve"> protein levels</w:t>
      </w:r>
      <w:r w:rsidRPr="002C5F97">
        <w:t>.</w:t>
      </w:r>
      <w:r w:rsidR="00DE0064">
        <w:t xml:space="preserve"> </w:t>
      </w:r>
      <w:r w:rsidR="00DE0064" w:rsidRPr="002C5F97">
        <w:t>It was previously reported that co-incubation of other OSBP ligands with OSW-1 could rescu</w:t>
      </w:r>
      <w:r w:rsidR="00DE0064">
        <w:t>e the expression level of OSBP</w:t>
      </w:r>
      <w:r w:rsidR="00DE0064">
        <w:fldChar w:fldCharType="begin" w:fldLock="1"/>
      </w:r>
      <w:r w:rsidR="00DE0064">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rsidR="00DE0064">
        <w:fldChar w:fldCharType="separate"/>
      </w:r>
      <w:r w:rsidR="00DE0064" w:rsidRPr="00393368">
        <w:rPr>
          <w:noProof/>
        </w:rPr>
        <w:t>(46)</w:t>
      </w:r>
      <w:r w:rsidR="00DE0064">
        <w:fldChar w:fldCharType="end"/>
      </w:r>
      <w:r w:rsidR="00DE0064">
        <w:t>. We</w:t>
      </w:r>
      <w:r w:rsidRPr="002C5F97">
        <w:t xml:space="preserve"> found that THEV2 and ITZ significantly rescue</w:t>
      </w:r>
      <w:r w:rsidR="00602F09">
        <w:t>d</w:t>
      </w:r>
      <w:r w:rsidRPr="002C5F97">
        <w:t xml:space="preserve"> OSBP levels to around 70</w:t>
      </w:r>
      <w:r w:rsidR="00305893">
        <w:t xml:space="preserve">% and 40% respectively </w:t>
      </w:r>
      <w:r w:rsidR="001F4F8E">
        <w:t xml:space="preserve">in HCT116 cells </w:t>
      </w:r>
      <w:r w:rsidR="00703E43">
        <w:t>(</w:t>
      </w:r>
      <w:r w:rsidR="00BC0618">
        <w:rPr>
          <w:b/>
        </w:rPr>
        <w:fldChar w:fldCharType="begin"/>
      </w:r>
      <w:r w:rsidR="00BC0618">
        <w:instrText xml:space="preserve"> REF _Ref532555107 \h </w:instrText>
      </w:r>
      <w:r w:rsidR="00BC0618">
        <w:rPr>
          <w:b/>
        </w:rPr>
      </w:r>
      <w:r w:rsidR="00BC0618">
        <w:rPr>
          <w:b/>
        </w:rPr>
        <w:instrText xml:space="preserve"> \* MERGEFORMAT </w:instrText>
      </w:r>
      <w:r w:rsidR="00BC0618">
        <w:rPr>
          <w:b/>
        </w:rPr>
        <w:fldChar w:fldCharType="separate"/>
      </w:r>
      <w:r w:rsidR="00E2070A" w:rsidRPr="00A841B4">
        <w:rPr>
          <w:b/>
        </w:rPr>
        <w:t>Figure</w:t>
      </w:r>
      <w:r w:rsidR="00E2070A" w:rsidRPr="00703E43">
        <w:rPr>
          <w:b/>
        </w:rPr>
        <w:t xml:space="preserve"> </w:t>
      </w:r>
      <w:r w:rsidR="00E2070A">
        <w:rPr>
          <w:b/>
          <w:noProof/>
        </w:rPr>
        <w:t>31</w:t>
      </w:r>
      <w:r w:rsidR="00BC0618">
        <w:rPr>
          <w:b/>
        </w:rPr>
        <w:fldChar w:fldCharType="end"/>
      </w:r>
      <w:r w:rsidR="00305893" w:rsidRPr="00A841B4">
        <w:rPr>
          <w:b/>
        </w:rPr>
        <w:t>A</w:t>
      </w:r>
      <w:r w:rsidRPr="002C5F97">
        <w:t>). Interestingly</w:t>
      </w:r>
      <w:r w:rsidR="00DE0064">
        <w:t>,</w:t>
      </w:r>
      <w:r w:rsidRPr="002C5F97">
        <w:t xml:space="preserve"> TTP co-incubation was not different than OSW-1 alone, suggesting it could </w:t>
      </w:r>
      <w:r>
        <w:t>not out c</w:t>
      </w:r>
      <w:r w:rsidR="00703E43">
        <w:t>ompete OSW-1 (</w:t>
      </w:r>
      <w:r w:rsidR="00BC0618">
        <w:rPr>
          <w:b/>
        </w:rPr>
        <w:fldChar w:fldCharType="begin"/>
      </w:r>
      <w:r w:rsidR="00BC0618">
        <w:instrText xml:space="preserve"> REF _Ref532555107 \h </w:instrText>
      </w:r>
      <w:r w:rsidR="00BC0618">
        <w:rPr>
          <w:b/>
        </w:rPr>
      </w:r>
      <w:r w:rsidR="00BC0618">
        <w:rPr>
          <w:b/>
        </w:rPr>
        <w:instrText xml:space="preserve"> \* MERGEFORMAT </w:instrText>
      </w:r>
      <w:r w:rsidR="00BC0618">
        <w:rPr>
          <w:b/>
        </w:rPr>
        <w:fldChar w:fldCharType="separate"/>
      </w:r>
      <w:r w:rsidR="00E2070A" w:rsidRPr="00A841B4">
        <w:rPr>
          <w:b/>
        </w:rPr>
        <w:t>Figure</w:t>
      </w:r>
      <w:r w:rsidR="00E2070A" w:rsidRPr="00703E43">
        <w:rPr>
          <w:b/>
        </w:rPr>
        <w:t xml:space="preserve"> </w:t>
      </w:r>
      <w:r w:rsidR="00E2070A">
        <w:rPr>
          <w:b/>
          <w:noProof/>
        </w:rPr>
        <w:t>31</w:t>
      </w:r>
      <w:r w:rsidR="00BC0618">
        <w:rPr>
          <w:b/>
        </w:rPr>
        <w:fldChar w:fldCharType="end"/>
      </w:r>
      <w:r w:rsidR="00305893" w:rsidRPr="00A841B4">
        <w:rPr>
          <w:b/>
        </w:rPr>
        <w:t>A</w:t>
      </w:r>
      <w:r w:rsidRPr="002C5F97">
        <w:t>).</w:t>
      </w:r>
      <w:r w:rsidR="001F4F8E">
        <w:t xml:space="preserve"> Similar results were obtained in HEK293 cells.</w:t>
      </w:r>
    </w:p>
    <w:p w:rsidR="00DD039F" w:rsidRDefault="00602F09" w:rsidP="00BC0618">
      <w:pPr>
        <w:ind w:firstLine="720"/>
        <w:jc w:val="both"/>
      </w:pPr>
      <w:r>
        <w:t>Comparing</w:t>
      </w:r>
      <w:r w:rsidR="00305893">
        <w:t xml:space="preserve"> the struc</w:t>
      </w:r>
      <w:r w:rsidR="00F2054A">
        <w:t>tures of the compounds (</w:t>
      </w:r>
      <w:r w:rsidR="006B31E1" w:rsidRPr="006B31E1">
        <w:rPr>
          <w:b/>
        </w:rPr>
        <w:fldChar w:fldCharType="begin"/>
      </w:r>
      <w:r w:rsidR="006B31E1" w:rsidRPr="006B31E1">
        <w:rPr>
          <w:b/>
        </w:rPr>
        <w:instrText xml:space="preserve"> REF _Ref532314186 \h </w:instrText>
      </w:r>
      <w:r w:rsidR="006B31E1">
        <w:rPr>
          <w:b/>
        </w:rPr>
        <w:instrText xml:space="preserve"> \* MERGEFORMAT </w:instrText>
      </w:r>
      <w:r w:rsidR="006B31E1" w:rsidRPr="006B31E1">
        <w:rPr>
          <w:b/>
        </w:rPr>
      </w:r>
      <w:r w:rsidR="006B31E1" w:rsidRPr="006B31E1">
        <w:rPr>
          <w:b/>
        </w:rPr>
        <w:fldChar w:fldCharType="separate"/>
      </w:r>
      <w:r w:rsidR="00E2070A" w:rsidRPr="00E2070A">
        <w:rPr>
          <w:b/>
        </w:rPr>
        <w:t xml:space="preserve">Figure </w:t>
      </w:r>
      <w:r w:rsidR="00E2070A" w:rsidRPr="00E2070A">
        <w:rPr>
          <w:b/>
          <w:noProof/>
        </w:rPr>
        <w:t>9</w:t>
      </w:r>
      <w:r w:rsidR="006B31E1" w:rsidRPr="006B31E1">
        <w:rPr>
          <w:b/>
        </w:rPr>
        <w:fldChar w:fldCharType="end"/>
      </w:r>
      <w:r w:rsidR="00F2054A">
        <w:t xml:space="preserve">, </w:t>
      </w:r>
      <w:r w:rsidR="00F2054A">
        <w:fldChar w:fldCharType="begin"/>
      </w:r>
      <w:r w:rsidR="00F2054A">
        <w:instrText xml:space="preserve"> REF _Ref530242379 \h </w:instrText>
      </w:r>
      <w:r w:rsidR="001B3703">
        <w:instrText xml:space="preserve"> \* MERGEFORMAT </w:instrText>
      </w:r>
      <w:r w:rsidR="00F2054A">
        <w:fldChar w:fldCharType="separate"/>
      </w:r>
      <w:r w:rsidR="00E2070A" w:rsidRPr="00E2070A">
        <w:rPr>
          <w:b/>
        </w:rPr>
        <w:t>Figure</w:t>
      </w:r>
      <w:r w:rsidR="00E2070A">
        <w:t xml:space="preserve"> </w:t>
      </w:r>
      <w:r w:rsidR="00E2070A" w:rsidRPr="00E2070A">
        <w:rPr>
          <w:b/>
          <w:noProof/>
        </w:rPr>
        <w:t>12</w:t>
      </w:r>
      <w:r w:rsidR="00F2054A">
        <w:fldChar w:fldCharType="end"/>
      </w:r>
      <w:r w:rsidR="00F2054A">
        <w:t xml:space="preserve"> &amp; </w:t>
      </w:r>
      <w:r w:rsidR="00F2054A">
        <w:fldChar w:fldCharType="begin"/>
      </w:r>
      <w:r w:rsidR="00F2054A">
        <w:instrText xml:space="preserve"> REF _Ref530242516 \h </w:instrText>
      </w:r>
      <w:r w:rsidR="001B3703">
        <w:instrText xml:space="preserve"> \* MERGEFORMAT </w:instrText>
      </w:r>
      <w:r w:rsidR="00F2054A">
        <w:fldChar w:fldCharType="separate"/>
      </w:r>
      <w:r w:rsidR="00E2070A" w:rsidRPr="00E2070A">
        <w:rPr>
          <w:b/>
        </w:rPr>
        <w:t>Figure</w:t>
      </w:r>
      <w:r w:rsidR="00E2070A">
        <w:t xml:space="preserve"> </w:t>
      </w:r>
      <w:r w:rsidR="00E2070A" w:rsidRPr="00E2070A">
        <w:rPr>
          <w:b/>
          <w:noProof/>
        </w:rPr>
        <w:t>13</w:t>
      </w:r>
      <w:r w:rsidR="00F2054A">
        <w:fldChar w:fldCharType="end"/>
      </w:r>
      <w:r w:rsidR="00305893">
        <w:t>), THEV2 is the most steroidal in structure</w:t>
      </w:r>
      <w:r w:rsidR="00F241CB">
        <w:t xml:space="preserve"> and has the ability to localize OSBP similar to 25-OHC (</w:t>
      </w:r>
      <w:r w:rsidR="00703E43">
        <w:fldChar w:fldCharType="begin"/>
      </w:r>
      <w:r w:rsidR="00703E43">
        <w:instrText xml:space="preserve"> REF _Ref530052441 \h </w:instrText>
      </w:r>
      <w:r w:rsidR="001B3703">
        <w:instrText xml:space="preserve"> \* MERGEFORMAT </w:instrText>
      </w:r>
      <w:r w:rsidR="00703E43">
        <w:fldChar w:fldCharType="separate"/>
      </w:r>
      <w:r w:rsidR="00E2070A" w:rsidRPr="00E2070A">
        <w:rPr>
          <w:b/>
        </w:rPr>
        <w:t>Figure</w:t>
      </w:r>
      <w:r w:rsidR="00E2070A">
        <w:t xml:space="preserve"> </w:t>
      </w:r>
      <w:r w:rsidR="00E2070A" w:rsidRPr="00E2070A">
        <w:rPr>
          <w:b/>
          <w:noProof/>
        </w:rPr>
        <w:t>30</w:t>
      </w:r>
      <w:r w:rsidR="00703E43">
        <w:fldChar w:fldCharType="end"/>
      </w:r>
      <w:r w:rsidR="00F241CB">
        <w:t>)</w:t>
      </w:r>
      <w:r w:rsidR="00305893">
        <w:t>. It was previously reported that 25-OHC treatment could rescue OSBP levels when administered with OSW-1</w:t>
      </w:r>
      <w:r w:rsidR="00F241CB">
        <w:fldChar w:fldCharType="begin" w:fldLock="1"/>
      </w:r>
      <w:r w:rsidR="00393368">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rsidR="00F241CB">
        <w:fldChar w:fldCharType="separate"/>
      </w:r>
      <w:r w:rsidR="00393368" w:rsidRPr="00393368">
        <w:rPr>
          <w:noProof/>
        </w:rPr>
        <w:t>(46)</w:t>
      </w:r>
      <w:r w:rsidR="00F241CB">
        <w:fldChar w:fldCharType="end"/>
      </w:r>
      <w:r w:rsidR="00305893">
        <w:t xml:space="preserve">. We tested </w:t>
      </w:r>
      <w:r w:rsidR="00DE0064">
        <w:t>if</w:t>
      </w:r>
      <w:r w:rsidR="00305893">
        <w:t xml:space="preserve"> </w:t>
      </w:r>
      <w:r w:rsidR="00DE0064">
        <w:t>OSW-1 treatment along with</w:t>
      </w:r>
      <w:r w:rsidR="00305893">
        <w:t xml:space="preserve"> 25-OHC </w:t>
      </w:r>
      <w:r w:rsidR="00DE0064">
        <w:t>or</w:t>
      </w:r>
      <w:r w:rsidR="00305893">
        <w:t xml:space="preserve"> 20-α-OHC, two naturally occurring oxysterols, </w:t>
      </w:r>
      <w:r w:rsidR="00DE0064">
        <w:t>could</w:t>
      </w:r>
      <w:r w:rsidR="00305893">
        <w:t xml:space="preserve"> rescue OSBP levels</w:t>
      </w:r>
      <w:r w:rsidR="001F4F8E">
        <w:t xml:space="preserve"> in HCT116 cells</w:t>
      </w:r>
      <w:r w:rsidR="00305893">
        <w:t>. Interestingly, we found that neither oxysterol could protect OSBP levels with the</w:t>
      </w:r>
      <w:r w:rsidR="00F241CB">
        <w:t xml:space="preserve"> addition of OSW-1 (</w:t>
      </w:r>
      <w:r w:rsidR="004578F9">
        <w:rPr>
          <w:b/>
        </w:rPr>
        <w:fldChar w:fldCharType="begin"/>
      </w:r>
      <w:r w:rsidR="004578F9">
        <w:instrText xml:space="preserve"> REF _Ref532555107 \h </w:instrText>
      </w:r>
      <w:r w:rsidR="004578F9">
        <w:rPr>
          <w:b/>
        </w:rPr>
      </w:r>
      <w:r w:rsidR="00BC0618">
        <w:rPr>
          <w:b/>
        </w:rPr>
        <w:instrText xml:space="preserve"> \* MERGEFORMAT </w:instrText>
      </w:r>
      <w:r w:rsidR="004578F9">
        <w:rPr>
          <w:b/>
        </w:rPr>
        <w:fldChar w:fldCharType="separate"/>
      </w:r>
      <w:r w:rsidR="00E2070A" w:rsidRPr="00A841B4">
        <w:rPr>
          <w:b/>
        </w:rPr>
        <w:t>Figure</w:t>
      </w:r>
      <w:r w:rsidR="00E2070A" w:rsidRPr="00703E43">
        <w:rPr>
          <w:b/>
        </w:rPr>
        <w:t xml:space="preserve"> </w:t>
      </w:r>
      <w:r w:rsidR="00E2070A">
        <w:rPr>
          <w:b/>
          <w:noProof/>
        </w:rPr>
        <w:t>31</w:t>
      </w:r>
      <w:r w:rsidR="004578F9">
        <w:rPr>
          <w:b/>
        </w:rPr>
        <w:fldChar w:fldCharType="end"/>
      </w:r>
      <w:r w:rsidR="00F241CB" w:rsidRPr="00A841B4">
        <w:rPr>
          <w:b/>
        </w:rPr>
        <w:t>B</w:t>
      </w:r>
      <w:r w:rsidR="00305893">
        <w:t>).</w:t>
      </w:r>
    </w:p>
    <w:p w:rsidR="004578F9" w:rsidRDefault="006B31E1" w:rsidP="00FB099D">
      <w:pPr>
        <w:spacing w:line="240" w:lineRule="auto"/>
        <w:jc w:val="both"/>
        <w:rPr>
          <w:b/>
        </w:rPr>
      </w:pPr>
      <w:bookmarkStart w:id="199" w:name="_Ref530052658"/>
      <w:bookmarkStart w:id="200" w:name="_Toc530673956"/>
      <w:r>
        <w:rPr>
          <w:b/>
          <w:noProof/>
          <w:lang w:bidi="ar-SA"/>
        </w:rPr>
        <w:lastRenderedPageBreak/>
        <w:drawing>
          <wp:inline distT="0" distB="0" distL="0" distR="0" wp14:anchorId="31DEBFF1" wp14:editId="49763B85">
            <wp:extent cx="5394960" cy="5197911"/>
            <wp:effectExtent l="19050" t="19050" r="15240" b="222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94960" cy="5197911"/>
                    </a:xfrm>
                    <a:prstGeom prst="rect">
                      <a:avLst/>
                    </a:prstGeom>
                    <a:noFill/>
                    <a:ln>
                      <a:solidFill>
                        <a:schemeClr val="tx1"/>
                      </a:solidFill>
                    </a:ln>
                  </pic:spPr>
                </pic:pic>
              </a:graphicData>
            </a:graphic>
          </wp:inline>
        </w:drawing>
      </w:r>
    </w:p>
    <w:p w:rsidR="004578F9" w:rsidRDefault="004578F9" w:rsidP="00FB099D">
      <w:pPr>
        <w:spacing w:line="240" w:lineRule="auto"/>
        <w:jc w:val="both"/>
        <w:rPr>
          <w:b/>
        </w:rPr>
      </w:pPr>
    </w:p>
    <w:p w:rsidR="004578F9" w:rsidRDefault="004578F9" w:rsidP="00FB099D">
      <w:pPr>
        <w:spacing w:line="240" w:lineRule="auto"/>
        <w:jc w:val="both"/>
        <w:rPr>
          <w:b/>
        </w:rPr>
      </w:pPr>
    </w:p>
    <w:p w:rsidR="00BD07FA" w:rsidRDefault="00A841B4" w:rsidP="00FB099D">
      <w:pPr>
        <w:spacing w:line="240" w:lineRule="auto"/>
        <w:jc w:val="both"/>
      </w:pPr>
      <w:bookmarkStart w:id="201" w:name="_Ref532555107"/>
      <w:r w:rsidRPr="00A841B4">
        <w:rPr>
          <w:b/>
        </w:rPr>
        <w:t>Figure</w:t>
      </w:r>
      <w:r w:rsidR="0058471A" w:rsidRPr="00703E43">
        <w:rPr>
          <w:b/>
        </w:rPr>
        <w:t xml:space="preserve"> </w:t>
      </w:r>
      <w:r w:rsidR="00DB64F2" w:rsidRPr="00703E43">
        <w:rPr>
          <w:b/>
        </w:rPr>
        <w:fldChar w:fldCharType="begin"/>
      </w:r>
      <w:r w:rsidR="00DB64F2" w:rsidRPr="00703E43">
        <w:rPr>
          <w:b/>
        </w:rPr>
        <w:instrText xml:space="preserve"> SEQ Figure \* ARABIC </w:instrText>
      </w:r>
      <w:r w:rsidR="00DB64F2" w:rsidRPr="00703E43">
        <w:rPr>
          <w:b/>
        </w:rPr>
        <w:fldChar w:fldCharType="separate"/>
      </w:r>
      <w:r w:rsidR="00E2070A">
        <w:rPr>
          <w:b/>
          <w:noProof/>
        </w:rPr>
        <w:t>31</w:t>
      </w:r>
      <w:r w:rsidR="00DB64F2" w:rsidRPr="00703E43">
        <w:rPr>
          <w:b/>
          <w:noProof/>
        </w:rPr>
        <w:fldChar w:fldCharType="end"/>
      </w:r>
      <w:bookmarkEnd w:id="199"/>
      <w:bookmarkEnd w:id="201"/>
      <w:r w:rsidR="0058471A" w:rsidRPr="00703E43">
        <w:rPr>
          <w:b/>
        </w:rPr>
        <w:t xml:space="preserve">: </w:t>
      </w:r>
      <w:bookmarkStart w:id="202" w:name="OLE_LINK3"/>
      <w:r w:rsidR="002C5F97" w:rsidRPr="00703E43">
        <w:rPr>
          <w:b/>
        </w:rPr>
        <w:t>Co-incubation</w:t>
      </w:r>
      <w:r w:rsidR="0058471A" w:rsidRPr="00703E43">
        <w:rPr>
          <w:b/>
        </w:rPr>
        <w:t xml:space="preserve"> with THEV</w:t>
      </w:r>
      <w:r w:rsidR="002C5F97" w:rsidRPr="00703E43">
        <w:rPr>
          <w:b/>
        </w:rPr>
        <w:t>2 and ITZ</w:t>
      </w:r>
      <w:r w:rsidR="00305893" w:rsidRPr="00703E43">
        <w:rPr>
          <w:b/>
        </w:rPr>
        <w:t>, but not oxysterols,</w:t>
      </w:r>
      <w:r w:rsidR="0058471A" w:rsidRPr="00703E43">
        <w:rPr>
          <w:b/>
        </w:rPr>
        <w:t xml:space="preserve"> can rescue OSBP loss induced by OSW-1</w:t>
      </w:r>
      <w:bookmarkEnd w:id="202"/>
      <w:r w:rsidR="0058471A" w:rsidRPr="00703E43">
        <w:rPr>
          <w:b/>
        </w:rPr>
        <w:t>.</w:t>
      </w:r>
      <w:r w:rsidR="0058471A" w:rsidRPr="0026786B">
        <w:t xml:space="preserve"> HCT116 cells were treated with 1 nM OSW-1, DMSO, or a combination of 10 </w:t>
      </w:r>
      <w:r w:rsidR="0058471A" w:rsidRPr="0026786B">
        <w:rPr>
          <w:rFonts w:cstheme="minorHAnsi"/>
        </w:rPr>
        <w:t>µ</w:t>
      </w:r>
      <w:r w:rsidR="00305893" w:rsidRPr="0026786B">
        <w:t xml:space="preserve">M ITZ (A), TTP (A), </w:t>
      </w:r>
      <w:r w:rsidR="0058471A" w:rsidRPr="0026786B">
        <w:t>THEV2</w:t>
      </w:r>
      <w:r w:rsidR="00305893" w:rsidRPr="0026786B">
        <w:t xml:space="preserve"> (A), 25-OHC (B), or 20-</w:t>
      </w:r>
      <w:r w:rsidR="00305893" w:rsidRPr="0026786B">
        <w:rPr>
          <w:rFonts w:cstheme="minorHAnsi"/>
        </w:rPr>
        <w:t>α</w:t>
      </w:r>
      <w:r w:rsidR="00305893" w:rsidRPr="0026786B">
        <w:t>-OHC</w:t>
      </w:r>
      <w:r w:rsidR="0058471A" w:rsidRPr="0026786B">
        <w:t xml:space="preserve"> in combination with 1 nM OSW-1 for 24 hours and then analyzed by western blot.</w:t>
      </w:r>
      <w:r w:rsidR="00835528">
        <w:t xml:space="preserve"> (Full blots in </w:t>
      </w:r>
      <w:r w:rsidR="00835528">
        <w:fldChar w:fldCharType="begin"/>
      </w:r>
      <w:r w:rsidR="00835528">
        <w:instrText xml:space="preserve"> REF _Ref530231910 \h </w:instrText>
      </w:r>
      <w:r w:rsidR="001B3703">
        <w:instrText xml:space="preserve"> \* MERGEFORMAT </w:instrText>
      </w:r>
      <w:r w:rsidR="00835528">
        <w:fldChar w:fldCharType="separate"/>
      </w:r>
      <w:r w:rsidR="00E2070A" w:rsidRPr="00E2070A">
        <w:rPr>
          <w:b/>
        </w:rPr>
        <w:t>Figure</w:t>
      </w:r>
      <w:r w:rsidR="00E2070A">
        <w:t xml:space="preserve"> </w:t>
      </w:r>
      <w:r w:rsidR="00E2070A" w:rsidRPr="00E2070A">
        <w:rPr>
          <w:b/>
          <w:noProof/>
        </w:rPr>
        <w:t>65</w:t>
      </w:r>
      <w:r w:rsidR="00835528">
        <w:fldChar w:fldCharType="end"/>
      </w:r>
      <w:r w:rsidR="00835528">
        <w:t>)</w:t>
      </w:r>
      <w:bookmarkEnd w:id="200"/>
    </w:p>
    <w:p w:rsidR="00CB5D77" w:rsidRDefault="00CB5D77" w:rsidP="00FB099D">
      <w:pPr>
        <w:spacing w:line="240" w:lineRule="auto"/>
        <w:jc w:val="both"/>
      </w:pPr>
    </w:p>
    <w:p w:rsidR="00BD07FA" w:rsidRDefault="004E1B20" w:rsidP="00042529">
      <w:pPr>
        <w:pStyle w:val="Heading3"/>
      </w:pPr>
      <w:bookmarkStart w:id="203" w:name="OLE_LINK1"/>
      <w:bookmarkStart w:id="204" w:name="_Toc532553161"/>
      <w:r w:rsidRPr="004E1B20">
        <w:t>THEV2 binds OSBP competitively and suppresses OSW-1 cytotoxic activity.</w:t>
      </w:r>
      <w:bookmarkEnd w:id="203"/>
      <w:bookmarkEnd w:id="204"/>
    </w:p>
    <w:p w:rsidR="001C22E0" w:rsidRPr="00817F5D" w:rsidRDefault="0097344A" w:rsidP="00817F5D">
      <w:pPr>
        <w:ind w:firstLine="720"/>
        <w:jc w:val="both"/>
        <w:rPr>
          <w:b/>
        </w:rPr>
      </w:pPr>
      <w:r>
        <w:t>Based on the mixed results of localization and co-incuba</w:t>
      </w:r>
      <w:r w:rsidR="00DE0064">
        <w:t xml:space="preserve">tion rescue data, we </w:t>
      </w:r>
      <w:r>
        <w:t>determine</w:t>
      </w:r>
      <w:r w:rsidR="00DE0064">
        <w:t>d</w:t>
      </w:r>
      <w:r>
        <w:t xml:space="preserve"> the ability of each compound to competitively bind to OSBP. Using a previously established </w:t>
      </w:r>
      <w:r>
        <w:rPr>
          <w:i/>
        </w:rPr>
        <w:t>in vitro</w:t>
      </w:r>
      <w:r>
        <w:t xml:space="preserve"> competitive binding assay with [3H]-25-OHC</w:t>
      </w:r>
      <w:r>
        <w:fldChar w:fldCharType="begin" w:fldLock="1"/>
      </w:r>
      <w:r w:rsidR="00393368">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fldChar w:fldCharType="separate"/>
      </w:r>
      <w:r w:rsidR="00393368" w:rsidRPr="00393368">
        <w:rPr>
          <w:noProof/>
        </w:rPr>
        <w:t>(46)</w:t>
      </w:r>
      <w:r>
        <w:fldChar w:fldCharType="end"/>
      </w:r>
      <w:r>
        <w:t xml:space="preserve">, we </w:t>
      </w:r>
      <w:r w:rsidR="00602F09">
        <w:t>found</w:t>
      </w:r>
      <w:r>
        <w:t xml:space="preserve"> that THEV2 binds competitively with OSBP while ITZ </w:t>
      </w:r>
      <w:r w:rsidR="00703E43">
        <w:t>and TTP did not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001F4F8E" w:rsidRPr="00A841B4">
        <w:rPr>
          <w:b/>
        </w:rPr>
        <w:t>A</w:t>
      </w:r>
      <w:r w:rsidR="005578A9">
        <w:t xml:space="preserve"> &amp; </w:t>
      </w:r>
      <w:r w:rsidR="005578A9" w:rsidRPr="00A841B4">
        <w:rPr>
          <w:b/>
        </w:rPr>
        <w:t>C</w:t>
      </w:r>
      <w:r>
        <w:t xml:space="preserve">). THEV2 and 25-OHC </w:t>
      </w:r>
      <w:r>
        <w:lastRenderedPageBreak/>
        <w:t>have comp</w:t>
      </w:r>
      <w:r w:rsidR="004D7FF3">
        <w:t>arable binding affinity to OSBP</w:t>
      </w:r>
      <w:r w:rsidR="00DE0064">
        <w:t xml:space="preserve"> and show similar localization patterns</w:t>
      </w:r>
      <w:r w:rsidR="004D7FF3">
        <w:t>, yet THEV2 has the ability to rescue OSBP during OSW-1 co-incubation while 25-</w:t>
      </w:r>
      <w:r w:rsidR="001C22E0">
        <w:t>OHC does not (</w:t>
      </w:r>
      <w:r w:rsidR="00BC0618">
        <w:fldChar w:fldCharType="begin"/>
      </w:r>
      <w:r w:rsidR="00BC0618">
        <w:instrText xml:space="preserve"> REF _Ref532555107 \h </w:instrText>
      </w:r>
      <w:r w:rsidR="00817F5D">
        <w:instrText xml:space="preserve"> \* MERGEFORMAT </w:instrText>
      </w:r>
      <w:r w:rsidR="00BC0618">
        <w:fldChar w:fldCharType="separate"/>
      </w:r>
      <w:r w:rsidR="00E2070A" w:rsidRPr="00A841B4">
        <w:rPr>
          <w:b/>
        </w:rPr>
        <w:t>Figure</w:t>
      </w:r>
      <w:r w:rsidR="00E2070A" w:rsidRPr="00703E43">
        <w:rPr>
          <w:b/>
        </w:rPr>
        <w:t xml:space="preserve"> </w:t>
      </w:r>
      <w:r w:rsidR="00E2070A">
        <w:rPr>
          <w:b/>
          <w:noProof/>
        </w:rPr>
        <w:t>31</w:t>
      </w:r>
      <w:r w:rsidR="00BC0618">
        <w:fldChar w:fldCharType="end"/>
      </w:r>
      <w:r w:rsidR="005578A9">
        <w:t xml:space="preserve">,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001F4F8E" w:rsidRPr="00A841B4">
        <w:rPr>
          <w:b/>
        </w:rPr>
        <w:t>A</w:t>
      </w:r>
      <w:r w:rsidR="005578A9">
        <w:t xml:space="preserve"> &amp; </w:t>
      </w:r>
      <w:r w:rsidR="005578A9" w:rsidRPr="00A841B4">
        <w:rPr>
          <w:b/>
        </w:rPr>
        <w:t>C</w:t>
      </w:r>
      <w:r w:rsidR="004D7FF3">
        <w:t xml:space="preserve">). Interestingly, ITZ does not bind OSBP competitively but was shown to have </w:t>
      </w:r>
      <w:r w:rsidR="001F4F8E">
        <w:t xml:space="preserve">some </w:t>
      </w:r>
      <w:r w:rsidR="004D7FF3">
        <w:t>protective ability in the co-incubation experiments (</w:t>
      </w:r>
      <w:r w:rsidR="00BC0618">
        <w:rPr>
          <w:b/>
        </w:rPr>
        <w:fldChar w:fldCharType="begin"/>
      </w:r>
      <w:r w:rsidR="00BC0618">
        <w:instrText xml:space="preserve"> REF _Ref532555107 \h </w:instrText>
      </w:r>
      <w:r w:rsidR="00BC0618">
        <w:rPr>
          <w:b/>
        </w:rPr>
      </w:r>
      <w:r w:rsidR="00817F5D">
        <w:rPr>
          <w:b/>
        </w:rPr>
        <w:instrText xml:space="preserve"> \* MERGEFORMAT </w:instrText>
      </w:r>
      <w:r w:rsidR="00BC0618">
        <w:rPr>
          <w:b/>
        </w:rPr>
        <w:fldChar w:fldCharType="separate"/>
      </w:r>
      <w:r w:rsidR="00E2070A" w:rsidRPr="00A841B4">
        <w:rPr>
          <w:b/>
        </w:rPr>
        <w:t>Figure</w:t>
      </w:r>
      <w:r w:rsidR="00E2070A" w:rsidRPr="00703E43">
        <w:rPr>
          <w:b/>
        </w:rPr>
        <w:t xml:space="preserve"> </w:t>
      </w:r>
      <w:r w:rsidR="00E2070A">
        <w:rPr>
          <w:b/>
          <w:noProof/>
        </w:rPr>
        <w:t>31</w:t>
      </w:r>
      <w:r w:rsidR="00BC0618">
        <w:rPr>
          <w:b/>
        </w:rPr>
        <w:fldChar w:fldCharType="end"/>
      </w:r>
      <w:r w:rsidR="001C22E0" w:rsidRPr="00A841B4">
        <w:rPr>
          <w:b/>
        </w:rPr>
        <w:t>A</w:t>
      </w:r>
      <w:r w:rsidR="00703E43">
        <w:t xml:space="preserve"> &amp;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001F4F8E" w:rsidRPr="00A841B4">
        <w:rPr>
          <w:b/>
        </w:rPr>
        <w:t>A</w:t>
      </w:r>
      <w:r w:rsidR="004D7FF3">
        <w:t xml:space="preserve">). The unusual localization </w:t>
      </w:r>
      <w:r w:rsidR="001F4F8E">
        <w:t>induced by ITZ (</w:t>
      </w:r>
      <w:r w:rsidR="00703E43">
        <w:fldChar w:fldCharType="begin"/>
      </w:r>
      <w:r w:rsidR="00703E43">
        <w:instrText xml:space="preserve"> REF _Ref530052441 \h </w:instrText>
      </w:r>
      <w:r w:rsidR="001B3703">
        <w:instrText xml:space="preserve"> \* MERGEFORMAT </w:instrText>
      </w:r>
      <w:r w:rsidR="00703E43">
        <w:fldChar w:fldCharType="separate"/>
      </w:r>
      <w:r w:rsidR="00E2070A" w:rsidRPr="00E2070A">
        <w:rPr>
          <w:b/>
        </w:rPr>
        <w:t>Figure</w:t>
      </w:r>
      <w:r w:rsidR="00E2070A">
        <w:t xml:space="preserve"> </w:t>
      </w:r>
      <w:r w:rsidR="00E2070A" w:rsidRPr="00E2070A">
        <w:rPr>
          <w:b/>
          <w:noProof/>
        </w:rPr>
        <w:t>30</w:t>
      </w:r>
      <w:r w:rsidR="00703E43">
        <w:fldChar w:fldCharType="end"/>
      </w:r>
      <w:r w:rsidR="001F4F8E">
        <w:t>) could be a result of the lack of competitive binding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001F4F8E" w:rsidRPr="00A841B4">
        <w:rPr>
          <w:b/>
        </w:rPr>
        <w:t>A</w:t>
      </w:r>
      <w:r w:rsidR="001F4F8E">
        <w:t>).</w:t>
      </w:r>
      <w:r w:rsidR="001C22E0">
        <w:t xml:space="preserve"> Not surprisingly, TTP does not display competitive binding to OSBP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001C22E0" w:rsidRPr="00A841B4">
        <w:rPr>
          <w:b/>
        </w:rPr>
        <w:t>A</w:t>
      </w:r>
      <w:r w:rsidR="001C22E0">
        <w:t>), which was expected due to the lack of protection against OSW-1</w:t>
      </w:r>
      <w:r w:rsidR="00602F09">
        <w:t xml:space="preserve"> induced OSBP protein reduction</w:t>
      </w:r>
      <w:r w:rsidR="001C22E0">
        <w:t xml:space="preserve"> (</w:t>
      </w:r>
      <w:r w:rsidR="00BC0618">
        <w:rPr>
          <w:b/>
        </w:rPr>
        <w:fldChar w:fldCharType="begin"/>
      </w:r>
      <w:r w:rsidR="00BC0618">
        <w:instrText xml:space="preserve"> REF _Ref532555107 \h </w:instrText>
      </w:r>
      <w:r w:rsidR="00BC0618">
        <w:rPr>
          <w:b/>
        </w:rPr>
      </w:r>
      <w:r w:rsidR="00817F5D">
        <w:rPr>
          <w:b/>
        </w:rPr>
        <w:instrText xml:space="preserve"> \* MERGEFORMAT </w:instrText>
      </w:r>
      <w:r w:rsidR="00BC0618">
        <w:rPr>
          <w:b/>
        </w:rPr>
        <w:fldChar w:fldCharType="separate"/>
      </w:r>
      <w:r w:rsidR="00E2070A" w:rsidRPr="00A841B4">
        <w:rPr>
          <w:b/>
        </w:rPr>
        <w:t>Figure</w:t>
      </w:r>
      <w:r w:rsidR="00E2070A" w:rsidRPr="00703E43">
        <w:rPr>
          <w:b/>
        </w:rPr>
        <w:t xml:space="preserve"> </w:t>
      </w:r>
      <w:r w:rsidR="00E2070A">
        <w:rPr>
          <w:b/>
          <w:noProof/>
        </w:rPr>
        <w:t>31</w:t>
      </w:r>
      <w:r w:rsidR="00BC0618">
        <w:rPr>
          <w:b/>
        </w:rPr>
        <w:fldChar w:fldCharType="end"/>
      </w:r>
      <w:r w:rsidR="001C22E0" w:rsidRPr="00A841B4">
        <w:rPr>
          <w:b/>
        </w:rPr>
        <w:t>A</w:t>
      </w:r>
      <w:r w:rsidR="001C22E0">
        <w:t>).</w:t>
      </w:r>
    </w:p>
    <w:p w:rsidR="000226CA" w:rsidRPr="00817F5D" w:rsidRDefault="005578A9" w:rsidP="00817F5D">
      <w:pPr>
        <w:ind w:firstLine="720"/>
        <w:jc w:val="both"/>
        <w:rPr>
          <w:b/>
        </w:rPr>
      </w:pPr>
      <w:r>
        <w:t xml:space="preserve">Our </w:t>
      </w:r>
      <w:r w:rsidR="00DE0064">
        <w:t>results from the co-incubation W</w:t>
      </w:r>
      <w:r>
        <w:t xml:space="preserve">estern blot and cellular localization show mixed results for the compounds in terms of their competitive binding ability. Since the </w:t>
      </w:r>
      <w:r>
        <w:rPr>
          <w:i/>
        </w:rPr>
        <w:t>in vitro</w:t>
      </w:r>
      <w:r>
        <w:t xml:space="preserve"> binding assay can only detect competitive binding, there is a possibility tha</w:t>
      </w:r>
      <w:r w:rsidR="00602F09">
        <w:t>t ITZ and TTP can bind OSBP at a</w:t>
      </w:r>
      <w:r>
        <w:t xml:space="preserve"> different site </w:t>
      </w:r>
      <w:r w:rsidR="00602F09">
        <w:t>than</w:t>
      </w:r>
      <w:r>
        <w:t xml:space="preserve"> OSW-1. To determine the effect of these compounds on OSBP </w:t>
      </w:r>
      <w:r>
        <w:rPr>
          <w:i/>
        </w:rPr>
        <w:t>in vivo</w:t>
      </w:r>
      <w:r>
        <w:t xml:space="preserve">, we conducted </w:t>
      </w:r>
      <w:r w:rsidR="00602F09">
        <w:t xml:space="preserve">a 48-hour growth inhibition assay with </w:t>
      </w:r>
      <w:r>
        <w:t>co-incubation</w:t>
      </w:r>
      <w:r w:rsidR="00602F09">
        <w:t>s</w:t>
      </w:r>
      <w:r>
        <w:t xml:space="preserve"> of OSW-1 and a set concentration of ITZ, TTP, or THEV in HeLa cells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Pr="00A841B4">
        <w:rPr>
          <w:b/>
        </w:rPr>
        <w:t>B &amp;C</w:t>
      </w:r>
      <w:r>
        <w:t xml:space="preserve">). THEV2 co-incubation </w:t>
      </w:r>
      <w:r w:rsidR="00602F09">
        <w:t>was</w:t>
      </w:r>
      <w:r>
        <w:t xml:space="preserve"> able to significant</w:t>
      </w:r>
      <w:r w:rsidR="00602F09">
        <w:t>ly</w:t>
      </w:r>
      <w:r>
        <w:t xml:space="preserve"> reduce OS</w:t>
      </w:r>
      <w:r w:rsidR="00897FBD">
        <w:t>W-1 growth inhibition by ~</w:t>
      </w:r>
      <w:r>
        <w:t>2 fold whil</w:t>
      </w:r>
      <w:r w:rsidR="00602F09">
        <w:t xml:space="preserve">e ITZ and TTP co-incubation had </w:t>
      </w:r>
      <w:r>
        <w:t>little effect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Pr="00A841B4">
        <w:rPr>
          <w:b/>
        </w:rPr>
        <w:t>B &amp; C</w:t>
      </w:r>
      <w:r>
        <w:t>).</w:t>
      </w:r>
      <w:r w:rsidR="00C472EB">
        <w:t xml:space="preserve"> We also found that co-incubation with 1 nM OSW-1 and 10 </w:t>
      </w:r>
      <w:r w:rsidR="00C472EB">
        <w:rPr>
          <w:rFonts w:cstheme="minorHAnsi"/>
        </w:rPr>
        <w:t>µ</w:t>
      </w:r>
      <w:r w:rsidR="00C472EB">
        <w:t>M of the compounds showed similar viability cha</w:t>
      </w:r>
      <w:r w:rsidR="00CB5D77">
        <w:t xml:space="preserve">nges </w:t>
      </w:r>
      <w:r w:rsidR="00897FBD">
        <w:t xml:space="preserve">as the growth inhibition assay </w:t>
      </w:r>
      <w:r w:rsidR="00CB5D77">
        <w:t>after 24 hours (</w:t>
      </w:r>
      <w:r w:rsidR="00CB5D77">
        <w:fldChar w:fldCharType="begin"/>
      </w:r>
      <w:r w:rsidR="00CB5D77">
        <w:instrText xml:space="preserve"> REF _Ref530053074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66</w:t>
      </w:r>
      <w:r w:rsidR="00CB5D77">
        <w:fldChar w:fldCharType="end"/>
      </w:r>
      <w:r w:rsidR="00C472EB">
        <w:t>)</w:t>
      </w:r>
      <w:r w:rsidR="00897FBD">
        <w:t>.</w:t>
      </w:r>
    </w:p>
    <w:p w:rsidR="00CB5D77" w:rsidRDefault="00897FBD" w:rsidP="00817F5D">
      <w:pPr>
        <w:ind w:firstLine="720"/>
        <w:jc w:val="both"/>
      </w:pPr>
      <w:r>
        <w:t>Immunofluorescence microscopy in HCT116 cells revealed that the localization of OSBP with c</w:t>
      </w:r>
      <w:r w:rsidR="00E70960">
        <w:t xml:space="preserve">o-incubation </w:t>
      </w:r>
      <w:r>
        <w:t xml:space="preserve">of the compounds has </w:t>
      </w:r>
      <w:r w:rsidR="00E70960">
        <w:t>similar results</w:t>
      </w:r>
      <w:r>
        <w:t xml:space="preserve"> as the </w:t>
      </w:r>
      <w:r>
        <w:rPr>
          <w:i/>
        </w:rPr>
        <w:t xml:space="preserve">in vivo </w:t>
      </w:r>
      <w:r>
        <w:t xml:space="preserve">binding and growth inhibition assays </w:t>
      </w:r>
      <w:r w:rsidR="00E70960">
        <w:t>(</w:t>
      </w:r>
      <w:r w:rsidR="00CB5D77">
        <w:fldChar w:fldCharType="begin"/>
      </w:r>
      <w:r w:rsidR="00CB5D77">
        <w:instrText xml:space="preserve"> REF _Ref530053083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67</w:t>
      </w:r>
      <w:r w:rsidR="00CB5D77">
        <w:fldChar w:fldCharType="end"/>
      </w:r>
      <w:r w:rsidR="00E70960">
        <w:t>). Co-incubation with THEV2 and OSW-1 shows a split pattern of slightly reduced OSBP staining clustered to Golgi staining similar to THEV2 alone (</w:t>
      </w:r>
      <w:r w:rsidR="00CB5D77">
        <w:fldChar w:fldCharType="begin"/>
      </w:r>
      <w:r w:rsidR="00CB5D77">
        <w:instrText xml:space="preserve"> REF _Ref530052441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30</w:t>
      </w:r>
      <w:r w:rsidR="00CB5D77">
        <w:fldChar w:fldCharType="end"/>
      </w:r>
      <w:r w:rsidR="00602F09">
        <w:t xml:space="preserve"> &amp; </w:t>
      </w:r>
      <w:r w:rsidR="00602F09">
        <w:fldChar w:fldCharType="begin"/>
      </w:r>
      <w:r w:rsidR="00602F09">
        <w:instrText xml:space="preserve"> REF _Ref530053083 \h  \* MERGEFORMAT </w:instrText>
      </w:r>
      <w:r w:rsidR="00602F09">
        <w:fldChar w:fldCharType="separate"/>
      </w:r>
      <w:r w:rsidR="00E2070A" w:rsidRPr="00E2070A">
        <w:rPr>
          <w:b/>
        </w:rPr>
        <w:t>Figure</w:t>
      </w:r>
      <w:r w:rsidR="00E2070A">
        <w:t xml:space="preserve"> </w:t>
      </w:r>
      <w:r w:rsidR="00E2070A" w:rsidRPr="00E2070A">
        <w:rPr>
          <w:b/>
          <w:noProof/>
        </w:rPr>
        <w:t>67</w:t>
      </w:r>
      <w:r w:rsidR="00602F09">
        <w:fldChar w:fldCharType="end"/>
      </w:r>
      <w:r w:rsidR="00E70960">
        <w:t>)</w:t>
      </w:r>
      <w:r w:rsidR="00602F09">
        <w:t>. There</w:t>
      </w:r>
      <w:r w:rsidR="00E70960">
        <w:t xml:space="preserve"> </w:t>
      </w:r>
      <w:r w:rsidR="00602F09">
        <w:t>is also</w:t>
      </w:r>
      <w:r w:rsidR="00E70960">
        <w:t xml:space="preserve"> OSBP</w:t>
      </w:r>
      <w:r w:rsidR="00602F09">
        <w:t xml:space="preserve"> vesicle staining that is</w:t>
      </w:r>
      <w:r w:rsidR="00E70960">
        <w:t xml:space="preserve"> dissociated from th</w:t>
      </w:r>
      <w:r w:rsidR="00C472EB">
        <w:t>e Golgi (</w:t>
      </w:r>
      <w:r w:rsidR="00CB5D77">
        <w:fldChar w:fldCharType="begin"/>
      </w:r>
      <w:r w:rsidR="00CB5D77">
        <w:instrText xml:space="preserve"> REF _Ref530052441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30</w:t>
      </w:r>
      <w:r w:rsidR="00CB5D77">
        <w:fldChar w:fldCharType="end"/>
      </w:r>
      <w:r w:rsidR="00CB5D77">
        <w:t xml:space="preserve"> </w:t>
      </w:r>
      <w:r w:rsidR="00C472EB">
        <w:t xml:space="preserve">&amp; </w:t>
      </w:r>
      <w:r w:rsidR="00CB5D77">
        <w:lastRenderedPageBreak/>
        <w:fldChar w:fldCharType="begin"/>
      </w:r>
      <w:r w:rsidR="00CB5D77">
        <w:instrText xml:space="preserve"> REF _Ref530053083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67</w:t>
      </w:r>
      <w:r w:rsidR="00CB5D77">
        <w:fldChar w:fldCharType="end"/>
      </w:r>
      <w:r w:rsidR="00E70960">
        <w:t>). Co-i</w:t>
      </w:r>
      <w:r w:rsidR="00602F09">
        <w:t>ncubation of ITZ and OSW-1 showed</w:t>
      </w:r>
      <w:r w:rsidR="00E70960">
        <w:t xml:space="preserve"> a more clustered OSBP staining to the Golgi than ITZ by itself (</w:t>
      </w:r>
      <w:r w:rsidR="00CB5D77">
        <w:fldChar w:fldCharType="begin"/>
      </w:r>
      <w:r w:rsidR="00CB5D77">
        <w:instrText xml:space="preserve"> REF _Ref530052441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30</w:t>
      </w:r>
      <w:r w:rsidR="00CB5D77">
        <w:fldChar w:fldCharType="end"/>
      </w:r>
      <w:r w:rsidR="00E70960">
        <w:t>)</w:t>
      </w:r>
      <w:r w:rsidR="00602F09">
        <w:t xml:space="preserve">, but more </w:t>
      </w:r>
      <w:r w:rsidR="00E70960">
        <w:t>OSBP</w:t>
      </w:r>
      <w:r w:rsidR="00602F09">
        <w:t xml:space="preserve"> signal was in</w:t>
      </w:r>
      <w:r w:rsidR="00E70960">
        <w:t xml:space="preserve"> vesicles dissociated from the </w:t>
      </w:r>
      <w:r w:rsidR="00C472EB">
        <w:t>Golgi (</w:t>
      </w:r>
      <w:r w:rsidR="00CB5D77">
        <w:fldChar w:fldCharType="begin"/>
      </w:r>
      <w:r w:rsidR="00CB5D77">
        <w:instrText xml:space="preserve"> REF _Ref530052441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30</w:t>
      </w:r>
      <w:r w:rsidR="00CB5D77">
        <w:fldChar w:fldCharType="end"/>
      </w:r>
      <w:r w:rsidR="00CB5D77">
        <w:t xml:space="preserve"> &amp;</w:t>
      </w:r>
      <w:r w:rsidR="00C472EB">
        <w:t xml:space="preserve"> </w:t>
      </w:r>
      <w:r w:rsidR="00CB5D77">
        <w:fldChar w:fldCharType="begin"/>
      </w:r>
      <w:r w:rsidR="00CB5D77">
        <w:instrText xml:space="preserve"> REF _Ref530053083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67</w:t>
      </w:r>
      <w:r w:rsidR="00CB5D77">
        <w:fldChar w:fldCharType="end"/>
      </w:r>
      <w:r w:rsidR="00E70960">
        <w:t xml:space="preserve">). TTP co-incubation </w:t>
      </w:r>
      <w:r w:rsidR="000226CA">
        <w:t>resembles OSW-1 alone (</w:t>
      </w:r>
      <w:r w:rsidR="00CB5D77">
        <w:fldChar w:fldCharType="begin"/>
      </w:r>
      <w:r w:rsidR="00CB5D77">
        <w:instrText xml:space="preserve"> REF _Ref530052441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30</w:t>
      </w:r>
      <w:r w:rsidR="00CB5D77">
        <w:fldChar w:fldCharType="end"/>
      </w:r>
      <w:r>
        <w:t>) with highly reduced OSBP signal in vesicles dissociated from the Golgi</w:t>
      </w:r>
      <w:r w:rsidR="00C472EB">
        <w:t xml:space="preserve"> (</w:t>
      </w:r>
      <w:r w:rsidR="00CB5D77">
        <w:fldChar w:fldCharType="begin"/>
      </w:r>
      <w:r w:rsidR="00CB5D77">
        <w:instrText xml:space="preserve"> REF _Ref530053083 \h </w:instrText>
      </w:r>
      <w:r w:rsidR="001B3703">
        <w:instrText xml:space="preserve"> \* MERGEFORMAT </w:instrText>
      </w:r>
      <w:r w:rsidR="00CB5D77">
        <w:fldChar w:fldCharType="separate"/>
      </w:r>
      <w:r w:rsidR="00E2070A" w:rsidRPr="00E2070A">
        <w:rPr>
          <w:b/>
        </w:rPr>
        <w:t>Figure</w:t>
      </w:r>
      <w:r w:rsidR="00E2070A">
        <w:t xml:space="preserve"> </w:t>
      </w:r>
      <w:r w:rsidR="00E2070A" w:rsidRPr="00E2070A">
        <w:rPr>
          <w:b/>
          <w:noProof/>
        </w:rPr>
        <w:t>67</w:t>
      </w:r>
      <w:r w:rsidR="00CB5D77">
        <w:fldChar w:fldCharType="end"/>
      </w:r>
      <w:r w:rsidR="000226CA">
        <w:t>).</w:t>
      </w:r>
      <w:r w:rsidR="00DD039F">
        <w:t xml:space="preserve"> These results suggest that competitive binding to OSBP is required to efficiently inhibit OSW-1 induced degradation.</w:t>
      </w:r>
    </w:p>
    <w:p w:rsidR="00817F5D" w:rsidRDefault="00817F5D" w:rsidP="00817F5D">
      <w:pPr>
        <w:ind w:firstLine="720"/>
        <w:jc w:val="both"/>
        <w:rPr>
          <w:noProof/>
          <w:lang w:bidi="ar-SA"/>
        </w:rPr>
      </w:pPr>
    </w:p>
    <w:p w:rsidR="001836A9" w:rsidRDefault="001836A9" w:rsidP="00FB099D">
      <w:pPr>
        <w:ind w:firstLine="720"/>
        <w:jc w:val="both"/>
      </w:pPr>
    </w:p>
    <w:p w:rsidR="0015171B" w:rsidRDefault="0015171B" w:rsidP="00042529">
      <w:pPr>
        <w:pStyle w:val="Caption"/>
        <w:jc w:val="both"/>
      </w:pPr>
      <w:bookmarkStart w:id="205" w:name="_Ref530052766"/>
      <w:bookmarkStart w:id="206" w:name="_Toc530673957"/>
    </w:p>
    <w:p w:rsidR="0015171B" w:rsidRDefault="0015171B" w:rsidP="00042529">
      <w:pPr>
        <w:pStyle w:val="Caption"/>
        <w:jc w:val="both"/>
      </w:pPr>
    </w:p>
    <w:p w:rsidR="00817F5D" w:rsidRDefault="00817F5D" w:rsidP="00817F5D">
      <w:pPr>
        <w:pStyle w:val="Caption"/>
        <w:jc w:val="both"/>
      </w:pPr>
      <w:r w:rsidRPr="001C22E0">
        <w:rPr>
          <w:noProof/>
          <w:lang w:bidi="ar-SA"/>
        </w:rPr>
        <w:lastRenderedPageBreak/>
        <w:drawing>
          <wp:inline distT="0" distB="0" distL="0" distR="0" wp14:anchorId="57D63548" wp14:editId="4FC6EE70">
            <wp:extent cx="3524753" cy="5419725"/>
            <wp:effectExtent l="19050" t="19050" r="1905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10031" t="1768" r="11883"/>
                    <a:stretch/>
                  </pic:blipFill>
                  <pic:spPr bwMode="auto">
                    <a:xfrm>
                      <a:off x="0" y="0"/>
                      <a:ext cx="3598499" cy="553311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17F5D" w:rsidRPr="00817F5D" w:rsidRDefault="00817F5D" w:rsidP="00817F5D"/>
    <w:p w:rsidR="00817F5D" w:rsidRDefault="00A841B4" w:rsidP="00817F5D">
      <w:pPr>
        <w:pStyle w:val="Caption"/>
        <w:jc w:val="both"/>
        <w:rPr>
          <w:b w:val="0"/>
        </w:rPr>
      </w:pPr>
      <w:bookmarkStart w:id="207" w:name="_Ref532557182"/>
      <w:r w:rsidRPr="00A841B4">
        <w:t>Figure</w:t>
      </w:r>
      <w:r w:rsidR="001836A9">
        <w:t xml:space="preserve"> </w:t>
      </w:r>
      <w:fldSimple w:instr=" SEQ Figure \* ARABIC ">
        <w:r w:rsidR="00E2070A">
          <w:rPr>
            <w:noProof/>
          </w:rPr>
          <w:t>32</w:t>
        </w:r>
      </w:fldSimple>
      <w:bookmarkEnd w:id="205"/>
      <w:bookmarkEnd w:id="207"/>
      <w:r w:rsidR="001836A9">
        <w:t xml:space="preserve">: </w:t>
      </w:r>
      <w:bookmarkStart w:id="208" w:name="OLE_LINK4"/>
      <w:r w:rsidR="001836A9" w:rsidRPr="001836A9">
        <w:t>THEV2 binds OSBP competitively and suppresses OSW-1 cytotoxic activity</w:t>
      </w:r>
      <w:bookmarkEnd w:id="208"/>
      <w:r w:rsidR="001836A9" w:rsidRPr="001836A9">
        <w:t>.</w:t>
      </w:r>
      <w:r w:rsidR="001836A9">
        <w:t xml:space="preserve"> </w:t>
      </w:r>
      <w:r w:rsidR="001836A9">
        <w:rPr>
          <w:b w:val="0"/>
        </w:rPr>
        <w:t>(A) THEV2 has a similar Ki values (C) as OSW-1 and 25</w:t>
      </w:r>
      <w:r w:rsidR="00DD039F">
        <w:rPr>
          <w:b w:val="0"/>
        </w:rPr>
        <w:t xml:space="preserve">-OHC while </w:t>
      </w:r>
      <w:r w:rsidR="001836A9">
        <w:rPr>
          <w:b w:val="0"/>
        </w:rPr>
        <w:t>ITZ and TTP did not show competitive binding. (B) THEV shows significant protection against OSW-1 growth arrest (C) as determined by 48-hour co-incubation cell growth assay with OSW-1</w:t>
      </w:r>
      <w:r w:rsidR="005578A9">
        <w:rPr>
          <w:b w:val="0"/>
        </w:rPr>
        <w:t xml:space="preserve"> and 10 </w:t>
      </w:r>
      <w:r w:rsidR="005578A9">
        <w:rPr>
          <w:rFonts w:cstheme="minorHAnsi"/>
          <w:b w:val="0"/>
        </w:rPr>
        <w:t>µ</w:t>
      </w:r>
      <w:r w:rsidR="005578A9">
        <w:rPr>
          <w:b w:val="0"/>
        </w:rPr>
        <w:t>M of ORPphillins</w:t>
      </w:r>
      <w:r w:rsidR="001F4F8E">
        <w:rPr>
          <w:b w:val="0"/>
        </w:rPr>
        <w:t xml:space="preserve"> in HeLa cells</w:t>
      </w:r>
      <w:r w:rsidR="001836A9">
        <w:rPr>
          <w:b w:val="0"/>
        </w:rPr>
        <w:t>. ITZ and TTP do not have any effect on cell growth when co-incubated with OSW-1. (C) Table showing the Ki generated from (A), the relative GI</w:t>
      </w:r>
      <w:r w:rsidR="001836A9" w:rsidRPr="001836A9">
        <w:rPr>
          <w:b w:val="0"/>
          <w:vertAlign w:val="subscript"/>
        </w:rPr>
        <w:t>50</w:t>
      </w:r>
      <w:r w:rsidR="001836A9">
        <w:rPr>
          <w:b w:val="0"/>
        </w:rPr>
        <w:t xml:space="preserve"> as compared to OSW-1 and p value from a two-tailed t-test from (B). Nd= not determined and Na= not applicable.</w:t>
      </w:r>
      <w:r w:rsidR="001C22E0">
        <w:rPr>
          <w:b w:val="0"/>
        </w:rPr>
        <w:t xml:space="preserve"> Data collected by Mr. Zachary Severance and Mr. Ryan </w:t>
      </w:r>
      <w:r w:rsidR="00BE3671">
        <w:rPr>
          <w:b w:val="0"/>
        </w:rPr>
        <w:t>Bensen</w:t>
      </w:r>
      <w:r w:rsidR="001C22E0">
        <w:rPr>
          <w:b w:val="0"/>
        </w:rPr>
        <w:t>.</w:t>
      </w:r>
      <w:bookmarkEnd w:id="206"/>
      <w:r w:rsidR="00C421EE">
        <w:rPr>
          <w:b w:val="0"/>
        </w:rPr>
        <w:t xml:space="preserve"> The author had no contribution to the results of these experiments. </w:t>
      </w:r>
    </w:p>
    <w:p w:rsidR="00817F5D" w:rsidRDefault="00817F5D" w:rsidP="00817F5D"/>
    <w:p w:rsidR="00817F5D" w:rsidRPr="00817F5D" w:rsidRDefault="00817F5D" w:rsidP="00817F5D"/>
    <w:p w:rsidR="00A97795" w:rsidRDefault="00A97795" w:rsidP="00042529">
      <w:pPr>
        <w:pStyle w:val="Heading3"/>
      </w:pPr>
      <w:bookmarkStart w:id="209" w:name="_Toc532553162"/>
      <w:r w:rsidRPr="00A97795">
        <w:lastRenderedPageBreak/>
        <w:t>OSW-1 exerts anti-viral activity 24 hours after compound has been removed</w:t>
      </w:r>
      <w:bookmarkEnd w:id="209"/>
    </w:p>
    <w:p w:rsidR="00E2070A" w:rsidRDefault="006760D2" w:rsidP="00E2070A">
      <w:pPr>
        <w:ind w:firstLine="720"/>
        <w:jc w:val="both"/>
        <w:rPr>
          <w:b/>
        </w:rPr>
      </w:pPr>
      <w:r>
        <w:t xml:space="preserve">We tested the ability of the ORPphillins to exert anti-viral activity against two clinically isolated </w:t>
      </w:r>
      <w:r w:rsidRPr="006760D2">
        <w:rPr>
          <w:i/>
        </w:rPr>
        <w:t>Enteroviruses</w:t>
      </w:r>
      <w:r>
        <w:rPr>
          <w:i/>
        </w:rPr>
        <w:t xml:space="preserve"> </w:t>
      </w:r>
      <w:r>
        <w:t>in Hela cells.</w:t>
      </w:r>
      <w:r>
        <w:rPr>
          <w:i/>
        </w:rPr>
        <w:t xml:space="preserve"> </w:t>
      </w:r>
      <w:r w:rsidR="00A97795" w:rsidRPr="006760D2">
        <w:t>The</w:t>
      </w:r>
      <w:r w:rsidR="00A97795">
        <w:t xml:space="preserve"> </w:t>
      </w:r>
      <w:r w:rsidR="00B27960">
        <w:t>ORPphillins tested so far</w:t>
      </w:r>
      <w:r w:rsidR="00A97795">
        <w:t xml:space="preserve"> have been shown to exert anti-viral activity on various enteroviruses through disruption of OSBP function</w:t>
      </w:r>
      <w:r w:rsidR="00B27960">
        <w:fldChar w:fldCharType="begin" w:fldLock="1"/>
      </w:r>
      <w:r w:rsidR="00F81397">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id":"ITEM-2","itemData":{"DOI":"10.1016/j.antiviral.2015.02.013","ISSN":"01663542","author":[{"dropping-particle":"","family":"Albulescu","given":"Lucian","non-dropping-particle":"","parse-names":false,"suffix":""},{"dropping-particle":"","family":"Strating","given":"Jeroen R.P.M.","non-dropping-particle":"","parse-names":false,"suffix":""},{"dropping-particle":"","family":"Thibaut","given":"Hendrik Jan","non-dropping-particle":"","parse-names":false,"suffix":""},{"dropping-particle":"Van Der","family":"Linden","given":"Lonneke","non-dropping-particle":"","parse-names":false,"suffix":""},{"dropping-particle":"","family":"Shair","given":"Matthew D.","non-dropping-particle":"","parse-names":false,"suffix":""},{"dropping-particle":"","family":"Neyts","given":"Johan","non-dropping-particle":"","parse-names":false,"suffix":""},{"dropping-particle":"","family":"Kuppeveld","given":"Frank J.M.","non-dropping-particle":"van","parse-names":false,"suffix":""}],"container-title":"Antiviral Research","id":"ITEM-2","issued":{"date-parts":[["2015"]]},"page":"110-114","publisher":"Elsevier B.V.","title":"Broad-range inhibition of enterovirus replication by OSW-1, a natural compound targeting OSBP","type":"article-journal","volume":"117"},"uris":["http://www.mendeley.com/documents/?uuid=a8e5b343-7cc9-4cc8-aca5-d1dc4c99b364"]},{"id":"ITEM-3","itemData":{"DOI":"10.1128/JVI.03546-12","ISBN":"1098-5514 (Electronic)\\r0022-538X (Linking)","ISSN":"1098-5514","PMID":"23365445","abstract":"Enviroxime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author":[{"dropping-particle":"","family":"Arita","given":"M","non-dropping-particle":"","parse-names":false,"suffix":""},{"dropping-particle":"","family":"Kojima","given":"H","non-dropping-particle":"","parse-names":false,"suffix":""},{"dropping-particle":"","family":"Nagano","given":"T","non-dropping-particle":"","parse-names":false,"suffix":""},{"dropping-particle":"","family":"Okabe","given":"T","non-dropping-particle":"","parse-names":false,"suffix":""},{"dropping-particle":"","family":"Wakita","given":"T","non-dropping-particle":"","parse-names":false,"suffix":""},{"dropping-particle":"","family":"Shimizu","given":"H","non-dropping-particle":"","parse-names":false,"suffix":""}],"container-title":"J Virol","id":"ITEM-3","issue":"8","issued":{"date-parts":[["2013"]]},"page":"4252-4260","title":"Oxysterol-binding protein family I is the target of minor enviroxime-like compounds","type":"article-journal","volume":"87"},"uris":["http://www.mendeley.com/documents/?uuid=ef852145-1678-4bd0-a2f1-d7dd3e00fe13"]},{"id":"ITEM-4","itemData":{"DOI":"10.1016/j.antiviral.2017.01.008","ISSN":"18729096","PMID":"28088354","abstract":"The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 M","non-dropping-particle":"van","parse-names":false,"suffix":""},{"dropping-particle":"","family":"Strating","given":"Jeroen R P M","non-dropping-particle":"","parse-names":false,"suffix":""}],"container-title":"Antiviral Research","id":"ITEM-4","issued":{"date-parts":[["2017"]]},"page":"37-44","title":"Uncovering oxysterol-binding protein (OSBP) as a target of the anti-enteroviral compound TTP-8307","type":"article-journal","volume":"140"},"uris":["http://www.mendeley.com/documents/?uuid=d39a6a30-bbc4-492d-b147-55b02455af83"]}],"mendeley":{"formattedCitation":"(81, 82, 155, 156)","plainTextFormattedCitation":"(81, 82, 155, 156)","previouslyFormattedCitation":"(81, 82, 155, 156)"},"properties":{"noteIndex":0},"schema":"https://github.com/citation-style-language/schema/raw/master/csl-citation.json"}</w:instrText>
      </w:r>
      <w:r w:rsidR="00B27960">
        <w:fldChar w:fldCharType="separate"/>
      </w:r>
      <w:r w:rsidR="005D2ADA" w:rsidRPr="005D2ADA">
        <w:rPr>
          <w:noProof/>
        </w:rPr>
        <w:t>(81, 82, 155, 156)</w:t>
      </w:r>
      <w:r w:rsidR="00B27960">
        <w:fldChar w:fldCharType="end"/>
      </w:r>
      <w:r>
        <w:t xml:space="preserve">. </w:t>
      </w:r>
      <w:r w:rsidR="00A97795">
        <w:t xml:space="preserve">All </w:t>
      </w:r>
      <w:r w:rsidR="00B27960">
        <w:t xml:space="preserve">of </w:t>
      </w:r>
      <w:r w:rsidR="00A97795">
        <w:t>the compounds inhib</w:t>
      </w:r>
      <w:r>
        <w:t xml:space="preserve">ited viral replication of the two clinically isolated </w:t>
      </w:r>
      <w:r>
        <w:rPr>
          <w:i/>
        </w:rPr>
        <w:t xml:space="preserve">Enteroviruses </w:t>
      </w:r>
      <w:r>
        <w:t xml:space="preserve">under continual treatment, but treatment with OSW-1 was the most effective </w:t>
      </w:r>
      <w:r w:rsidR="00F2054A">
        <w:t>(</w:t>
      </w:r>
      <w:r w:rsidR="00F2054A" w:rsidRPr="00A841B4">
        <w:rPr>
          <w:b/>
        </w:rPr>
        <w:fldChar w:fldCharType="begin"/>
      </w:r>
      <w:r w:rsidR="00F2054A" w:rsidRPr="00A841B4">
        <w:rPr>
          <w:b/>
        </w:rPr>
        <w:instrText xml:space="preserve"> REF _Ref530234236 \h </w:instrText>
      </w:r>
      <w:r w:rsidR="001B3703" w:rsidRPr="00A841B4">
        <w:rPr>
          <w:b/>
        </w:rPr>
        <w:instrText xml:space="preserve"> \* MERGEFORMAT </w:instrText>
      </w:r>
      <w:r w:rsidR="00F2054A" w:rsidRPr="00A841B4">
        <w:rPr>
          <w:b/>
        </w:rPr>
      </w:r>
      <w:r w:rsidR="00F2054A" w:rsidRPr="00A841B4">
        <w:rPr>
          <w:b/>
        </w:rPr>
        <w:fldChar w:fldCharType="separate"/>
      </w:r>
      <w:r w:rsidR="00E2070A" w:rsidRPr="00E2070A">
        <w:rPr>
          <w:b/>
        </w:rPr>
        <w:t xml:space="preserve">Figure </w:t>
      </w:r>
      <w:r w:rsidR="00E2070A" w:rsidRPr="00E2070A">
        <w:rPr>
          <w:b/>
          <w:noProof/>
        </w:rPr>
        <w:t>33</w:t>
      </w:r>
      <w:r w:rsidR="00F2054A" w:rsidRPr="00A841B4">
        <w:rPr>
          <w:b/>
        </w:rPr>
        <w:fldChar w:fldCharType="end"/>
      </w:r>
      <w:r w:rsidR="00A97795" w:rsidRPr="00A841B4">
        <w:rPr>
          <w:b/>
        </w:rPr>
        <w:t>A</w:t>
      </w:r>
      <w:r w:rsidR="00A97795">
        <w:t>). We have previously shown that OSW-1 is able to induce the degradation of OSBP du</w:t>
      </w:r>
      <w:r w:rsidR="00067F2E">
        <w:t>ring straight treatment (</w:t>
      </w:r>
      <w:r w:rsidR="00067F2E" w:rsidRPr="00A841B4">
        <w:rPr>
          <w:b/>
        </w:rPr>
        <w:fldChar w:fldCharType="begin"/>
      </w:r>
      <w:r w:rsidR="00067F2E" w:rsidRPr="00A841B4">
        <w:rPr>
          <w:b/>
        </w:rPr>
        <w:instrText xml:space="preserve"> REF _Ref530052556 \h </w:instrText>
      </w:r>
      <w:r w:rsidR="001B3703" w:rsidRPr="00A841B4">
        <w:rPr>
          <w:b/>
        </w:rPr>
        <w:instrText xml:space="preserve"> \* MERGEFORMAT </w:instrText>
      </w:r>
      <w:r w:rsidR="00067F2E" w:rsidRPr="00A841B4">
        <w:rPr>
          <w:b/>
        </w:rPr>
      </w:r>
      <w:r w:rsidR="00067F2E" w:rsidRPr="00A841B4">
        <w:rPr>
          <w:b/>
        </w:rPr>
        <w:fldChar w:fldCharType="separate"/>
      </w:r>
      <w:r w:rsidR="00E2070A" w:rsidRPr="00E2070A">
        <w:rPr>
          <w:b/>
        </w:rPr>
        <w:t xml:space="preserve">Figure </w:t>
      </w:r>
      <w:r w:rsidR="00E2070A" w:rsidRPr="00E2070A">
        <w:rPr>
          <w:b/>
          <w:noProof/>
        </w:rPr>
        <w:t>29</w:t>
      </w:r>
      <w:r w:rsidR="00067F2E" w:rsidRPr="00A841B4">
        <w:rPr>
          <w:b/>
        </w:rPr>
        <w:fldChar w:fldCharType="end"/>
      </w:r>
      <w:r w:rsidR="00A97795" w:rsidRPr="00A841B4">
        <w:rPr>
          <w:b/>
        </w:rPr>
        <w:t>B</w:t>
      </w:r>
      <w:r w:rsidR="00A97795">
        <w:t>), but</w:t>
      </w:r>
      <w:r>
        <w:t xml:space="preserve"> it can also reduce </w:t>
      </w:r>
      <w:r w:rsidR="00B27960">
        <w:t>the OSBP</w:t>
      </w:r>
      <w:r w:rsidR="00A97795">
        <w:t xml:space="preserve"> </w:t>
      </w:r>
      <w:r w:rsidR="00B27960">
        <w:t xml:space="preserve">protein </w:t>
      </w:r>
      <w:r w:rsidR="00A97795">
        <w:t>level</w:t>
      </w:r>
      <w:r w:rsidR="00B27960">
        <w:t>s for multiple days</w:t>
      </w:r>
      <w:r w:rsidR="00A97795">
        <w:t xml:space="preserve"> after a short </w:t>
      </w:r>
      <w:r w:rsidR="00B27960">
        <w:t>non-</w:t>
      </w:r>
      <w:r>
        <w:t xml:space="preserve">toxic </w:t>
      </w:r>
      <w:r w:rsidR="00A97795">
        <w:t xml:space="preserve">treatment followed by </w:t>
      </w:r>
      <w:r w:rsidR="00B27960">
        <w:t>removal</w:t>
      </w:r>
      <w:r w:rsidR="00A97795">
        <w:t xml:space="preserve"> o</w:t>
      </w:r>
      <w:r w:rsidR="00B27960">
        <w:t xml:space="preserve">f the compound we have termed </w:t>
      </w:r>
      <w:r>
        <w:t>washout experiments</w:t>
      </w:r>
      <w:r w:rsidR="00067F2E">
        <w:t xml:space="preserve"> (</w:t>
      </w:r>
      <w:r w:rsidR="00067F2E" w:rsidRPr="00F2054A">
        <w:fldChar w:fldCharType="begin"/>
      </w:r>
      <w:r w:rsidR="00067F2E" w:rsidRPr="00F2054A">
        <w:instrText xml:space="preserve"> REF _Ref530053641 \h  \* MERGEFORMAT </w:instrText>
      </w:r>
      <w:r w:rsidR="00067F2E" w:rsidRPr="00F2054A">
        <w:fldChar w:fldCharType="separate"/>
      </w:r>
    </w:p>
    <w:p w:rsidR="00B27960" w:rsidRDefault="00E2070A" w:rsidP="00FB099D">
      <w:pPr>
        <w:ind w:firstLine="720"/>
        <w:jc w:val="both"/>
      </w:pPr>
      <w:r w:rsidRPr="00A841B4">
        <w:rPr>
          <w:b/>
        </w:rPr>
        <w:t>Figure</w:t>
      </w:r>
      <w:r w:rsidRPr="002D46ED">
        <w:rPr>
          <w:b/>
          <w:noProof/>
        </w:rPr>
        <w:t xml:space="preserve"> </w:t>
      </w:r>
      <w:r>
        <w:rPr>
          <w:b/>
          <w:noProof/>
        </w:rPr>
        <w:t>18</w:t>
      </w:r>
      <w:r w:rsidR="00067F2E" w:rsidRPr="00F2054A">
        <w:fldChar w:fldCharType="end"/>
      </w:r>
      <w:r w:rsidR="00A97795">
        <w:t xml:space="preserve">). We </w:t>
      </w:r>
      <w:r w:rsidR="006760D2">
        <w:t>conducted</w:t>
      </w:r>
      <w:r w:rsidR="00A97795">
        <w:t xml:space="preserve"> washout experiments with the compounds </w:t>
      </w:r>
      <w:r w:rsidR="006760D2">
        <w:t>to determine if</w:t>
      </w:r>
      <w:r w:rsidR="00A97795">
        <w:t xml:space="preserve"> a similar anti-viral response</w:t>
      </w:r>
      <w:r w:rsidR="00B27960">
        <w:t xml:space="preserve"> </w:t>
      </w:r>
      <w:r w:rsidR="006760D2">
        <w:t>to</w:t>
      </w:r>
      <w:r w:rsidR="00067F2E">
        <w:t xml:space="preserve"> OSW-1</w:t>
      </w:r>
      <w:r w:rsidR="006760D2">
        <w:t xml:space="preserve"> washout treatment could be induced </w:t>
      </w:r>
      <w:r w:rsidR="00067F2E">
        <w:t>(</w:t>
      </w:r>
      <w:r w:rsidR="00067F2E" w:rsidRPr="00A841B4">
        <w:rPr>
          <w:b/>
        </w:rPr>
        <w:fldChar w:fldCharType="begin"/>
      </w:r>
      <w:r w:rsidR="00067F2E" w:rsidRPr="00A841B4">
        <w:rPr>
          <w:b/>
        </w:rPr>
        <w:instrText xml:space="preserve"> REF _Ref530053675 \h </w:instrText>
      </w:r>
      <w:r w:rsidR="001B3703" w:rsidRPr="00A841B4">
        <w:rPr>
          <w:b/>
        </w:rPr>
        <w:instrText xml:space="preserve"> \* MERGEFORMAT </w:instrText>
      </w:r>
      <w:r w:rsidR="00067F2E" w:rsidRPr="00A841B4">
        <w:rPr>
          <w:b/>
        </w:rPr>
      </w:r>
      <w:r w:rsidR="00067F2E" w:rsidRPr="00A841B4">
        <w:rPr>
          <w:b/>
        </w:rPr>
        <w:fldChar w:fldCharType="separate"/>
      </w:r>
      <w:r w:rsidRPr="00E2070A">
        <w:rPr>
          <w:b/>
        </w:rPr>
        <w:t xml:space="preserve">Figure </w:t>
      </w:r>
      <w:r w:rsidRPr="00E2070A">
        <w:rPr>
          <w:b/>
          <w:noProof/>
        </w:rPr>
        <w:t>24</w:t>
      </w:r>
      <w:r w:rsidR="00067F2E" w:rsidRPr="00A841B4">
        <w:rPr>
          <w:b/>
        </w:rPr>
        <w:fldChar w:fldCharType="end"/>
      </w:r>
      <w:r w:rsidR="00B27960" w:rsidRPr="00A841B4">
        <w:rPr>
          <w:b/>
        </w:rPr>
        <w:t>B</w:t>
      </w:r>
      <w:r w:rsidR="00B27960">
        <w:t>)</w:t>
      </w:r>
      <w:r w:rsidR="00A97795">
        <w:t>. In short, the cells were treated with compounds for six hours, followed by three rounds of washing with media and allowed to recover for 24 hours before being infected. W</w:t>
      </w:r>
      <w:r w:rsidR="00B27960">
        <w:t xml:space="preserve">e found </w:t>
      </w:r>
      <w:r w:rsidR="00A97795">
        <w:t xml:space="preserve">that only OSW-1 could reduce OSBP protein levels </w:t>
      </w:r>
      <w:r w:rsidR="006760D2">
        <w:t xml:space="preserve">in Hela cells </w:t>
      </w:r>
      <w:r w:rsidR="00A97795">
        <w:t>u</w:t>
      </w:r>
      <w:r w:rsidR="00067F2E">
        <w:t>nder these conditions (</w:t>
      </w:r>
      <w:r w:rsidR="00F2054A" w:rsidRPr="00A841B4">
        <w:rPr>
          <w:b/>
        </w:rPr>
        <w:fldChar w:fldCharType="begin"/>
      </w:r>
      <w:r w:rsidR="00F2054A" w:rsidRPr="00A841B4">
        <w:rPr>
          <w:b/>
        </w:rPr>
        <w:instrText xml:space="preserve"> REF _Ref530234236 \h </w:instrText>
      </w:r>
      <w:r w:rsidR="001B3703" w:rsidRPr="00A841B4">
        <w:rPr>
          <w:b/>
        </w:rPr>
        <w:instrText xml:space="preserve"> \* MERGEFORMAT </w:instrText>
      </w:r>
      <w:r w:rsidR="00F2054A" w:rsidRPr="00A841B4">
        <w:rPr>
          <w:b/>
        </w:rPr>
      </w:r>
      <w:r w:rsidR="00F2054A" w:rsidRPr="00A841B4">
        <w:rPr>
          <w:b/>
        </w:rPr>
        <w:fldChar w:fldCharType="separate"/>
      </w:r>
      <w:r w:rsidRPr="00E2070A">
        <w:rPr>
          <w:b/>
        </w:rPr>
        <w:t xml:space="preserve">Figure </w:t>
      </w:r>
      <w:r w:rsidRPr="00E2070A">
        <w:rPr>
          <w:b/>
          <w:noProof/>
        </w:rPr>
        <w:t>33</w:t>
      </w:r>
      <w:r w:rsidR="00F2054A" w:rsidRPr="00A841B4">
        <w:rPr>
          <w:b/>
        </w:rPr>
        <w:fldChar w:fldCharType="end"/>
      </w:r>
      <w:r w:rsidR="00067F2E" w:rsidRPr="00A841B4">
        <w:rPr>
          <w:b/>
        </w:rPr>
        <w:t>C</w:t>
      </w:r>
      <w:r w:rsidR="00A97795">
        <w:t>) and was the only compound to still exer</w:t>
      </w:r>
      <w:r w:rsidR="00067F2E">
        <w:t>t anti-viral activity</w:t>
      </w:r>
      <w:r w:rsidR="006760D2">
        <w:t xml:space="preserve"> 24 hours after the compound had been removed</w:t>
      </w:r>
      <w:r w:rsidR="00067F2E">
        <w:t xml:space="preserve"> (</w:t>
      </w:r>
      <w:r w:rsidR="00F2054A" w:rsidRPr="00A841B4">
        <w:rPr>
          <w:b/>
        </w:rPr>
        <w:fldChar w:fldCharType="begin"/>
      </w:r>
      <w:r w:rsidR="00F2054A" w:rsidRPr="00A841B4">
        <w:rPr>
          <w:b/>
        </w:rPr>
        <w:instrText xml:space="preserve"> REF _Ref530234236 \h </w:instrText>
      </w:r>
      <w:r w:rsidR="001B3703" w:rsidRPr="00A841B4">
        <w:rPr>
          <w:b/>
        </w:rPr>
        <w:instrText xml:space="preserve"> \* MERGEFORMAT </w:instrText>
      </w:r>
      <w:r w:rsidR="00F2054A" w:rsidRPr="00A841B4">
        <w:rPr>
          <w:b/>
        </w:rPr>
      </w:r>
      <w:r w:rsidR="00F2054A" w:rsidRPr="00A841B4">
        <w:rPr>
          <w:b/>
        </w:rPr>
        <w:fldChar w:fldCharType="separate"/>
      </w:r>
      <w:r w:rsidRPr="00E2070A">
        <w:rPr>
          <w:b/>
        </w:rPr>
        <w:t xml:space="preserve">Figure </w:t>
      </w:r>
      <w:r w:rsidRPr="00E2070A">
        <w:rPr>
          <w:b/>
          <w:noProof/>
        </w:rPr>
        <w:t>33</w:t>
      </w:r>
      <w:r w:rsidR="00F2054A" w:rsidRPr="00A841B4">
        <w:rPr>
          <w:b/>
        </w:rPr>
        <w:fldChar w:fldCharType="end"/>
      </w:r>
      <w:r w:rsidR="00067F2E" w:rsidRPr="00A841B4">
        <w:rPr>
          <w:b/>
        </w:rPr>
        <w:t>B</w:t>
      </w:r>
      <w:r w:rsidR="00A97795">
        <w:t>).</w:t>
      </w:r>
    </w:p>
    <w:p w:rsidR="00835528" w:rsidRDefault="00835528" w:rsidP="00FB099D">
      <w:pPr>
        <w:pStyle w:val="Caption"/>
        <w:jc w:val="both"/>
      </w:pPr>
      <w:bookmarkStart w:id="210" w:name="_Ref530053605"/>
      <w:r>
        <w:rPr>
          <w:noProof/>
          <w:lang w:bidi="ar-SA"/>
        </w:rPr>
        <w:lastRenderedPageBreak/>
        <w:drawing>
          <wp:inline distT="0" distB="0" distL="0" distR="0" wp14:anchorId="1DB60C04" wp14:editId="6BF7BA4F">
            <wp:extent cx="4688958" cy="5957182"/>
            <wp:effectExtent l="19050" t="19050" r="16510" b="2476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91654" cy="5960607"/>
                    </a:xfrm>
                    <a:prstGeom prst="rect">
                      <a:avLst/>
                    </a:prstGeom>
                    <a:noFill/>
                    <a:ln>
                      <a:solidFill>
                        <a:schemeClr val="tx1"/>
                      </a:solidFill>
                    </a:ln>
                  </pic:spPr>
                </pic:pic>
              </a:graphicData>
            </a:graphic>
          </wp:inline>
        </w:drawing>
      </w:r>
    </w:p>
    <w:p w:rsidR="00C472EB" w:rsidRDefault="00A841B4" w:rsidP="00042529">
      <w:pPr>
        <w:pStyle w:val="Caption"/>
        <w:jc w:val="both"/>
        <w:rPr>
          <w:b w:val="0"/>
        </w:rPr>
      </w:pPr>
      <w:bookmarkStart w:id="211" w:name="_Ref530234236"/>
      <w:bookmarkStart w:id="212" w:name="_Toc530673958"/>
      <w:r w:rsidRPr="00A841B4">
        <w:t>Figure</w:t>
      </w:r>
      <w:r w:rsidR="00CB5D77">
        <w:t xml:space="preserve"> </w:t>
      </w:r>
      <w:fldSimple w:instr=" SEQ Figure \* ARABIC ">
        <w:r w:rsidR="00E2070A">
          <w:rPr>
            <w:noProof/>
          </w:rPr>
          <w:t>33</w:t>
        </w:r>
      </w:fldSimple>
      <w:bookmarkEnd w:id="210"/>
      <w:bookmarkEnd w:id="211"/>
      <w:r w:rsidR="00B27960" w:rsidRPr="00CB5D77">
        <w:rPr>
          <w:b w:val="0"/>
        </w:rPr>
        <w:t>:</w:t>
      </w:r>
      <w:r w:rsidR="00B27960" w:rsidRPr="00CB5D77">
        <w:t>OSW-1 exerts anti-viral activity 24 hours after compound has been removed.</w:t>
      </w:r>
      <w:r w:rsidR="00B27960" w:rsidRPr="00CB5D77">
        <w:rPr>
          <w:b w:val="0"/>
        </w:rPr>
        <w:t xml:space="preserve"> (A) Viral titers of infected HeLa cells incubated in the presence of the compounds. Cells were treated with the indicated concentrations of compounds for 6 hours, followed by viral infection for 30 min (MOI of 1.0), followed by re-incubation for 10 hours with compounds (B) Viral titers in compound washout HeLa cells. Cells were treated with the indicated concentrations of compounds for 6 hours, compounds were removed</w:t>
      </w:r>
      <w:r w:rsidR="006760D2">
        <w:rPr>
          <w:b w:val="0"/>
        </w:rPr>
        <w:t>, cells were allowed to recover</w:t>
      </w:r>
      <w:r w:rsidR="00B27960" w:rsidRPr="00CB5D77">
        <w:rPr>
          <w:b w:val="0"/>
        </w:rPr>
        <w:t xml:space="preserve"> for 24 hours in compound-free media. Then, cells were infected for 30 min with virus (M.O.I.=1.0) followed by 10-hour incubation in compound-free media. (C) OSBP protein levels of compoun</w:t>
      </w:r>
      <w:r w:rsidR="001D7B2F" w:rsidRPr="00CB5D77">
        <w:rPr>
          <w:b w:val="0"/>
        </w:rPr>
        <w:t>d washout HeLa cells at the 24-hour</w:t>
      </w:r>
      <w:r w:rsidR="00013ECF" w:rsidRPr="00CB5D77">
        <w:rPr>
          <w:b w:val="0"/>
        </w:rPr>
        <w:t xml:space="preserve"> recovery</w:t>
      </w:r>
      <w:r w:rsidR="001D7B2F" w:rsidRPr="00CB5D77">
        <w:rPr>
          <w:b w:val="0"/>
        </w:rPr>
        <w:t xml:space="preserve"> point before infection</w:t>
      </w:r>
      <w:r w:rsidR="00013ECF" w:rsidRPr="00CB5D77">
        <w:rPr>
          <w:b w:val="0"/>
        </w:rPr>
        <w:t>.</w:t>
      </w:r>
      <w:r w:rsidR="00CB5D77" w:rsidRPr="00CB5D77">
        <w:rPr>
          <w:b w:val="0"/>
        </w:rPr>
        <w:t xml:space="preserve"> All viral assays were done by Dr. Earl Blewett and OSBP determination was done by Mr. Zachary Severance.</w:t>
      </w:r>
      <w:r w:rsidR="00835528">
        <w:rPr>
          <w:b w:val="0"/>
        </w:rPr>
        <w:t xml:space="preserve"> (Full blot in </w:t>
      </w:r>
      <w:r w:rsidR="00835528" w:rsidRPr="00835528">
        <w:rPr>
          <w:b w:val="0"/>
        </w:rPr>
        <w:fldChar w:fldCharType="begin"/>
      </w:r>
      <w:r w:rsidR="00835528" w:rsidRPr="00835528">
        <w:rPr>
          <w:b w:val="0"/>
        </w:rPr>
        <w:instrText xml:space="preserve"> REF _Ref530234257 \h  \* MERGEFORMAT </w:instrText>
      </w:r>
      <w:r w:rsidR="00835528" w:rsidRPr="00835528">
        <w:rPr>
          <w:b w:val="0"/>
        </w:rPr>
      </w:r>
      <w:r w:rsidR="00835528" w:rsidRPr="00835528">
        <w:rPr>
          <w:b w:val="0"/>
        </w:rPr>
        <w:fldChar w:fldCharType="separate"/>
      </w:r>
      <w:r w:rsidR="00E2070A" w:rsidRPr="00A841B4">
        <w:t>Figure</w:t>
      </w:r>
      <w:r w:rsidR="00E2070A" w:rsidRPr="00E2070A">
        <w:rPr>
          <w:b w:val="0"/>
        </w:rPr>
        <w:t xml:space="preserve"> </w:t>
      </w:r>
      <w:r w:rsidR="00E2070A">
        <w:rPr>
          <w:noProof/>
        </w:rPr>
        <w:t>68</w:t>
      </w:r>
      <w:r w:rsidR="00835528" w:rsidRPr="00835528">
        <w:rPr>
          <w:b w:val="0"/>
        </w:rPr>
        <w:fldChar w:fldCharType="end"/>
      </w:r>
      <w:r w:rsidR="00835528">
        <w:rPr>
          <w:b w:val="0"/>
        </w:rPr>
        <w:t>).</w:t>
      </w:r>
      <w:bookmarkEnd w:id="212"/>
      <w:r w:rsidR="00C421EE">
        <w:rPr>
          <w:b w:val="0"/>
        </w:rPr>
        <w:t xml:space="preserve"> The author had no contribution to producing these results</w:t>
      </w:r>
    </w:p>
    <w:p w:rsidR="00A97795" w:rsidRDefault="00C472EB" w:rsidP="00FB099D">
      <w:pPr>
        <w:pStyle w:val="Heading2"/>
      </w:pPr>
      <w:bookmarkStart w:id="213" w:name="_Toc532553163"/>
      <w:r w:rsidRPr="00C472EB">
        <w:lastRenderedPageBreak/>
        <w:t>Discussion</w:t>
      </w:r>
      <w:bookmarkEnd w:id="213"/>
    </w:p>
    <w:p w:rsidR="00C472EB" w:rsidRDefault="00BB4E66" w:rsidP="00817F5D">
      <w:pPr>
        <w:ind w:firstLine="720"/>
        <w:jc w:val="both"/>
      </w:pPr>
      <w:r>
        <w:t>T</w:t>
      </w:r>
      <w:r w:rsidR="00C472EB">
        <w:t>he biological effect of various anti-viral compounds targeting OSBP</w:t>
      </w:r>
      <w:r>
        <w:t xml:space="preserve"> was assessed and o</w:t>
      </w:r>
      <w:r w:rsidR="00C472EB">
        <w:t>f the compounds tested, only OSW-1 showed any cytotoxicity and could cause a reduction of OS</w:t>
      </w:r>
      <w:r w:rsidR="00BD38F8">
        <w:t xml:space="preserve">BP levels at 1 nM of treatment. </w:t>
      </w:r>
      <w:r w:rsidR="00C472EB">
        <w:t xml:space="preserve">Treatment with the other compounds at 10 </w:t>
      </w:r>
      <w:r w:rsidR="00C472EB" w:rsidRPr="00C472EB">
        <w:rPr>
          <w:rFonts w:cstheme="minorHAnsi"/>
        </w:rPr>
        <w:t>µ</w:t>
      </w:r>
      <w:r w:rsidR="00C472EB">
        <w:t>M did not affect the protein level, which is not surprising since there was no cytotoxicity of the compounds in this range. These results reconfirm the idea that select OSBP ligands cause OSBP protein loss</w:t>
      </w:r>
      <w:r w:rsidR="00C472EB">
        <w:fldChar w:fldCharType="begin" w:fldLock="1"/>
      </w:r>
      <w:r w:rsidR="00393368">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rsidR="00C472EB">
        <w:fldChar w:fldCharType="separate"/>
      </w:r>
      <w:r w:rsidR="00393368" w:rsidRPr="00393368">
        <w:rPr>
          <w:noProof/>
        </w:rPr>
        <w:t>(46)</w:t>
      </w:r>
      <w:r w:rsidR="00C472EB">
        <w:fldChar w:fldCharType="end"/>
      </w:r>
      <w:r w:rsidR="00C472EB">
        <w:t>.</w:t>
      </w:r>
    </w:p>
    <w:p w:rsidR="00D41EAF" w:rsidRPr="00817F5D" w:rsidRDefault="00BB4E66" w:rsidP="00817F5D">
      <w:pPr>
        <w:ind w:firstLine="720"/>
        <w:jc w:val="both"/>
        <w:rPr>
          <w:b/>
        </w:rPr>
      </w:pPr>
      <w:r>
        <w:t>The co-incubation of the compounds with</w:t>
      </w:r>
      <w:r w:rsidR="00C472EB">
        <w:t xml:space="preserve"> OSW-1 treatment</w:t>
      </w:r>
      <w:r>
        <w:t xml:space="preserve"> showed</w:t>
      </w:r>
      <w:r w:rsidR="00C472EB">
        <w:t xml:space="preserve"> that ITZ and THEV2 possess protective activity, but to different degrees. Although ITZ shows a modest protection of around 40%, the viability of cells treated with ITZ or ITZ+OSW-1 is similar to OSW-1 by itself</w:t>
      </w:r>
      <w:r>
        <w:t xml:space="preserve"> (</w:t>
      </w:r>
      <w:r w:rsidR="00067F2E">
        <w:fldChar w:fldCharType="begin"/>
      </w:r>
      <w:r w:rsidR="00067F2E">
        <w:instrText xml:space="preserve"> REF _Ref530053074 \h </w:instrText>
      </w:r>
      <w:r w:rsidR="001B3703">
        <w:instrText xml:space="preserve"> \* MERGEFORMAT </w:instrText>
      </w:r>
      <w:r w:rsidR="00067F2E">
        <w:fldChar w:fldCharType="separate"/>
      </w:r>
      <w:r w:rsidR="00E2070A" w:rsidRPr="00E2070A">
        <w:rPr>
          <w:b/>
        </w:rPr>
        <w:t>Figure</w:t>
      </w:r>
      <w:r w:rsidR="00E2070A">
        <w:t xml:space="preserve"> </w:t>
      </w:r>
      <w:r w:rsidR="00E2070A" w:rsidRPr="00E2070A">
        <w:rPr>
          <w:b/>
          <w:noProof/>
        </w:rPr>
        <w:t>66</w:t>
      </w:r>
      <w:r w:rsidR="00067F2E">
        <w:fldChar w:fldCharType="end"/>
      </w:r>
      <w:r>
        <w:t>)</w:t>
      </w:r>
      <w:r w:rsidR="00C472EB">
        <w:t>. One of the possible reasons for the loss of viability during treatment with ITZ is due to its anti-cancer activity</w:t>
      </w:r>
      <w:r w:rsidR="00D41EAF">
        <w:fldChar w:fldCharType="begin" w:fldLock="1"/>
      </w:r>
      <w:r w:rsidR="00741009">
        <w:instrText>ADDIN CSL_CITATION {"citationItems":[{"id":"ITEM-1","itemData":{"DOI":"10.1073/pnas.0910872107","ISBN":"1091-6490 (Electronic)$\\$r0027-8424 (Linking)","ISSN":"0027-8424","PMID":"20176935","abstract":"Mammalian target of rapamycin (mTOR) constitutes a nodal point of a signaling network that regulates cell growth and proliferation in response to various environmental cues ranging from growth factor stimulation to nutrients to stress. Whether mTOR is also affected by cholesterol homeostasis, however, has remained unknown. We report that blockade of cholesterol trafficking through lysosome by a newly identified inhibitor of angiogenesis, itraconazole, leads to inhibition of mTOR activity in endothelial cells. Inhibition of mTOR by itraconazole but not rapamycin can be partially restored by extracellular cholesterol delivered by cyclodextrin. Moreover, other known inhibitors of endosomal/lysosomal cholesterol trafficking as well as siRNA knockdown of Niemann-Pick disease type C (NPC) 1 and NPC2 also cause inhibition of mTOR in endothelial cells. In addition, both the accumulation of cholesterol in the lysosome and inhibition of mTOR caused by itraconazole can be reversed by thapsigarin. These observations suggest that mTOR is likely to be involved in sensing membrane sterol concentrations in endothelial cells, and the cholesterol trafficking pathway is a promising target for the discovery of inhibitors of angiogenesis.","author":[{"dropping-particle":"","family":"Xu","given":"J","non-dropping-particle":"","parse-names":false,"suffix":""},{"dropping-particle":"","family":"Dang","given":"Y","non-dropping-particle":"","parse-names":false,"suffix":""},{"dropping-particle":"","family":"Ren","given":"Y R","non-dropping-particle":"","parse-names":false,"suffix":""},{"dropping-particle":"","family":"Liu","given":"J O","non-dropping-particle":"","parse-names":false,"suffix":""}],"container-title":"Proceedings of the National Academy of Sciences","id":"ITEM-1","issue":"10","issued":{"date-parts":[["2010"]]},"page":"4764-4769","title":"Cholesterol trafficking is required for mTOR activation in endothelial cells","type":"article-journal","volume":"107"},"uris":["http://www.mendeley.com/documents/?uuid=91e1599b-5173-4cc8-bf30-0080bf03bda6"]},{"id":"ITEM-2","itemData":{"DOI":"10.1016/j.ccr.2010.02.027","ISBN":"1878-3686 (Electronic)\\n1535-6108 (Linking)","ISSN":"15356108","PMID":"20385363","abstract":"In a screen of drugs previously tested in humans we identified itraconazole, a systemic antifungal, as a potent antagonist of the Hedgehog (Hh) signaling pathway that acts by a mechanism distinct from its inhibitory effect on fungal sterol biosynthesis. Systemically administered itraconazole, like other Hh pathway antagonists, can suppress Hh pathway activity and the growth of medulloblastoma in a mouse allograft model and does so at serum levels comparable to those in patients undergoing antifungal therapy. Mechanistically, itraconazole appears to act on the essential Hh pathway component Smoothened (SMO) by a mechanism distinct from that of cyclopamine and other known SMO antagonists, and prevents the ciliary accumulation of SMO normally caused by Hh stimulation. © 2010 Elsevier Inc. All rights reserved.","author":[{"dropping-particle":"","family":"Kim","given":"James","non-dropping-particle":"","parse-names":false,"suffix":""},{"dropping-particle":"","family":"Tang","given":"Jean Y.","non-dropping-particle":"","parse-names":false,"suffix":""},{"dropping-particle":"","family":"Gong","given":"Ruoyu","non-dropping-particle":"","parse-names":false,"suffix":""},{"dropping-particle":"","family":"Kim","given":"Jynho","non-dropping-particle":"","parse-names":false,"suffix":""},{"dropping-particle":"","family":"Lee","given":"John J.","non-dropping-particle":"","parse-names":false,"suffix":""},{"dropping-particle":"V.","family":"Clemons","given":"Karl","non-dropping-particle":"","parse-names":false,"suffix":""},{"dropping-particle":"","family":"Chong","given":"Curtis R.","non-dropping-particle":"","parse-names":false,"suffix":""},{"dropping-particle":"","family":"Chang","given":"Kris S.","non-dropping-particle":"","parse-names":false,"suffix":""},{"dropping-particle":"","family":"Fereshteh","given":"Mark","non-dropping-particle":"","parse-names":false,"suffix":""},{"dropping-particle":"","family":"Gardner","given":"Dale","non-dropping-particle":"","parse-names":false,"suffix":""},{"dropping-particle":"","family":"Reya","given":"Tannishtha","non-dropping-particle":"","parse-names":false,"suffix":""},{"dropping-particle":"","family":"Liu","given":"Jun O.","non-dropping-particle":"","parse-names":false,"suffix":""},{"dropping-particle":"","family":"Epstein","given":"Ervin H.","non-dropping-particle":"","parse-names":false,"suffix":""},{"dropping-particle":"","family":"Stevens","given":"David A.","non-dropping-particle":"","parse-names":false,"suffix":""},{"dropping-particle":"","family":"Beachy","given":"Philip A.","non-dropping-particle":"","parse-names":false,"suffix":""}],"container-title":"Cancer Cell","id":"ITEM-2","issue":"4","issued":{"date-parts":[["2010"]]},"page":"388-399","publisher":"Elsevier Ltd","title":"Itraconazole, a Commonly Used Antifungal that Inhibits Hedgehog Pathway Activity and Cancer Growth","type":"article-journal","volume":"17"},"uris":["http://www.mendeley.com/documents/?uuid=a7167491-cd76-44ba-a480-dd643c0588e0"]},{"id":"ITEM-3","itemData":{"DOI":"10.1073/pnas.1512867112","ISBN":"0027-8424","ISSN":"0027-8424","PMID":"26655341","abstract":"Itraconazole, a clinically used antifungal drug, was found to possess potent antiangiogenic and anticancer activity that is unique among the azole antifungals. Previous mechanistic studies have shown that itraconazole inhibits the mechanistic target of rapamycin (mTOR) signaling pathway, which is known to be a critical regulator of endothelial cell function and angiogenesis. However, the molecular target of itraconazole that mediates this activity has remained unknown. Here we identify the major target of itraconazole in endothelial cells as the mitochondrial protein voltage-dependent anion channel 1 (VDAC1), which regulates mitochondrial metabolism by controlling the passage of ions and small metabolites through the outer mitochondrial membrane. VDAC1 knockdown profoundly inhibits mTOR activity and cell proliferation in human umbilical vein cells (HUVEC), uncovering a previously unknown connection between VDAC1 and mTOR. Inhibition of VDAC1 by itraconazole disrupts mitochondrial metabolism, leading to an increase in the cellular AMP:ATP ratio and activation of the AMP-activated protein kinase (AMPK), an upstream regulator of mTOR. VDAC1-knockout cells are resistant to AMPK activation and mTOR inhibition by itraconazole, demonstrating that VDAC1 is the mediator of this activity. In addition, another known VDAC-targeting compound, erastin, also activates AMPK and inhibits mTOR and proliferation in HUVEC. VDAC1 thus represents a novel upstream regulator of mTOR signaling in endothelial cells and a promising target for the development of angiogenesis inhibitors.","author":[{"dropping-particle":"","family":"Head","given":"Sarah A.","non-dropping-particle":"","parse-names":false,"suffix":""},{"dropping-particle":"","family":"Shi","given":"Wei","non-dropping-particle":"","parse-names":false,"suffix":""},{"dropping-particle":"","family":"Zhao","given":"Liang","non-dropping-particle":"","parse-names":false,"suffix":""},{"dropping-particle":"","family":"Gorshkov","given":"Kirill","non-dropping-particle":"","parse-names":false,"suffix":""},{"dropping-particle":"","family":"Pasunooti","given":"Kalyan","non-dropping-particle":"","parse-names":false,"suffix":""},{"dropping-particle":"","family":"Chen","given":"Yue","non-dropping-particle":"","parse-names":false,"suffix":""},{"dropping-particle":"","family":"Deng","given":"Zhiyou","non-dropping-particle":"","parse-names":false,"suffix":""},{"dropping-particle":"","family":"Li","given":"Ruo-jing","non-dropping-particle":"","parse-names":false,"suffix":""},{"dropping-particle":"","family":"Shim","given":"Joong Sup","non-dropping-particle":"","parse-names":false,"suffix":""},{"dropping-particle":"","family":"Tan","given":"Wenzhi","non-dropping-particle":"","parse-names":false,"suffix":""},{"dropping-particle":"","family":"Hartung","given":"Thomas","non-dropping-particle":"","parse-names":false,"suffix":""},{"dropping-particle":"","family":"Zhang","given":"Jin","non-dropping-particle":"","parse-names":false,"suffix":""},{"dropping-particle":"","family":"Zhao","given":"Yingming","non-dropping-particle":"","parse-names":false,"suffix":""},{"dropping-particle":"","family":"Colombini","given":"Marco","non-dropping-particle":"","parse-names":false,"suffix":""},{"dropping-particle":"","family":"Liu","given":"Jun O.","non-dropping-particle":"","parse-names":false,"suffix":""}],"container-title":"Proceedings of the National Academy of Sciences","id":"ITEM-3","issue":"52","issued":{"date-parts":[["2015"]]},"page":"E7276-E7285","title":"Antifungal drug itraconazole targets VDAC1 to modulate the AMPK/mTOR signaling axis in endothelial cells","type":"article-journal","volume":"112"},"uris":["http://www.mendeley.com/documents/?uuid=c6a9a2f5-e56f-4650-9f17-623a70934513"]}],"mendeley":{"formattedCitation":"(148, 150, 233)","plainTextFormattedCitation":"(148, 150, 233)","previouslyFormattedCitation":"(148, 150, 233)"},"properties":{"noteIndex":0},"schema":"https://github.com/citation-style-language/schema/raw/master/csl-citation.json"}</w:instrText>
      </w:r>
      <w:r w:rsidR="00D41EAF">
        <w:fldChar w:fldCharType="separate"/>
      </w:r>
      <w:r w:rsidR="005C5180" w:rsidRPr="005C5180">
        <w:rPr>
          <w:noProof/>
        </w:rPr>
        <w:t>(148, 150, 233)</w:t>
      </w:r>
      <w:r w:rsidR="00D41EAF">
        <w:fldChar w:fldCharType="end"/>
      </w:r>
      <w:r w:rsidR="00C472EB">
        <w:t>. THEV2 protects OSBP to around 70% and the viability with THEV2+OSW-1 is near that of untreated cells</w:t>
      </w:r>
      <w:r w:rsidR="00D41EAF">
        <w:t xml:space="preserve"> (</w:t>
      </w:r>
      <w:r w:rsidR="00067F2E">
        <w:fldChar w:fldCharType="begin"/>
      </w:r>
      <w:r w:rsidR="00067F2E">
        <w:instrText xml:space="preserve"> REF _Ref530053074 \h </w:instrText>
      </w:r>
      <w:r w:rsidR="001B3703">
        <w:instrText xml:space="preserve"> \* MERGEFORMAT </w:instrText>
      </w:r>
      <w:r w:rsidR="00067F2E">
        <w:fldChar w:fldCharType="separate"/>
      </w:r>
      <w:r w:rsidR="00E2070A" w:rsidRPr="00E2070A">
        <w:rPr>
          <w:b/>
        </w:rPr>
        <w:t>Figure</w:t>
      </w:r>
      <w:r w:rsidR="00E2070A">
        <w:t xml:space="preserve"> </w:t>
      </w:r>
      <w:r w:rsidR="00E2070A" w:rsidRPr="00E2070A">
        <w:rPr>
          <w:b/>
          <w:noProof/>
        </w:rPr>
        <w:t>66</w:t>
      </w:r>
      <w:r w:rsidR="00067F2E">
        <w:fldChar w:fldCharType="end"/>
      </w:r>
      <w:r w:rsidR="00D41EAF">
        <w:t>)</w:t>
      </w:r>
      <w:r w:rsidR="00C472EB">
        <w:t>. This would suggest t</w:t>
      </w:r>
      <w:r w:rsidR="00D41EAF">
        <w:t>hat THEV2 can out compete OSW-1</w:t>
      </w:r>
      <w:r w:rsidR="00C472EB">
        <w:t xml:space="preserve"> interaction</w:t>
      </w:r>
      <w:r w:rsidR="00D41EAF">
        <w:t>s</w:t>
      </w:r>
      <w:r w:rsidR="00C472EB">
        <w:t xml:space="preserve"> with OSBP without the </w:t>
      </w:r>
      <w:r w:rsidR="00D41EAF">
        <w:t xml:space="preserve">loss of </w:t>
      </w:r>
      <w:r w:rsidR="00C472EB">
        <w:t>viability</w:t>
      </w:r>
      <w:r w:rsidR="00BD38F8">
        <w:t xml:space="preserve"> due to other cellular interactions</w:t>
      </w:r>
      <w:r w:rsidR="00C472EB">
        <w:t xml:space="preserve">. </w:t>
      </w:r>
      <w:r w:rsidR="00D41EAF">
        <w:t xml:space="preserve">The </w:t>
      </w:r>
      <w:r w:rsidR="00D41EAF">
        <w:rPr>
          <w:i/>
        </w:rPr>
        <w:t xml:space="preserve">in vitro </w:t>
      </w:r>
      <w:r w:rsidR="00D41EAF">
        <w:t xml:space="preserve">competitive binding assay </w:t>
      </w:r>
      <w:r w:rsidR="00C472EB">
        <w:t>confirms this binding interaction, showing that of the compounds tested, THEV2 is similar to 25-OHC in its Ki and OSBP localization pattern</w:t>
      </w:r>
      <w:r w:rsidR="00D41EAF">
        <w:t xml:space="preserve"> (</w:t>
      </w:r>
      <w:r w:rsidR="00067F2E">
        <w:fldChar w:fldCharType="begin"/>
      </w:r>
      <w:r w:rsidR="00067F2E">
        <w:instrText xml:space="preserve"> REF _Ref530052441 \h </w:instrText>
      </w:r>
      <w:r w:rsidR="001B3703">
        <w:instrText xml:space="preserve"> \* MERGEFORMAT </w:instrText>
      </w:r>
      <w:r w:rsidR="00067F2E">
        <w:fldChar w:fldCharType="separate"/>
      </w:r>
      <w:r w:rsidR="00E2070A" w:rsidRPr="00E2070A">
        <w:rPr>
          <w:b/>
        </w:rPr>
        <w:t>Figure</w:t>
      </w:r>
      <w:r w:rsidR="00E2070A">
        <w:t xml:space="preserve"> </w:t>
      </w:r>
      <w:r w:rsidR="00E2070A" w:rsidRPr="00E2070A">
        <w:rPr>
          <w:b/>
          <w:noProof/>
        </w:rPr>
        <w:t>30</w:t>
      </w:r>
      <w:r w:rsidR="00067F2E">
        <w:fldChar w:fldCharType="end"/>
      </w:r>
      <w:r w:rsidR="00067F2E">
        <w:t xml:space="preserve"> &amp;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00D41EAF" w:rsidRPr="00A841B4">
        <w:rPr>
          <w:b/>
        </w:rPr>
        <w:t>A</w:t>
      </w:r>
      <w:r w:rsidR="00D41EAF">
        <w:t>)</w:t>
      </w:r>
      <w:r w:rsidR="00C472EB">
        <w:t>.</w:t>
      </w:r>
      <w:r w:rsidR="00D41EAF">
        <w:t xml:space="preserve"> THEV2 is able to significantly increase the GI</w:t>
      </w:r>
      <w:r w:rsidR="00D41EAF" w:rsidRPr="00D41EAF">
        <w:rPr>
          <w:vertAlign w:val="subscript"/>
        </w:rPr>
        <w:t>50</w:t>
      </w:r>
      <w:r w:rsidR="00D41EAF">
        <w:t xml:space="preserve"> of OSW-1, suggesting the necessity to remove OSW-1 from the binding pocket to protect OSBP</w:t>
      </w:r>
      <w:r w:rsidR="00366DBC" w:rsidRPr="00366DBC">
        <w:t xml:space="preserve"> </w:t>
      </w:r>
    </w:p>
    <w:p w:rsidR="00C472EB" w:rsidRDefault="00C472EB" w:rsidP="00817F5D">
      <w:pPr>
        <w:ind w:firstLine="720"/>
        <w:jc w:val="both"/>
      </w:pPr>
      <w:r>
        <w:t>Interestingly, 25-OHC did not protect OSBP in a similar manner as previously reported</w:t>
      </w:r>
      <w:r w:rsidR="00D41EAF">
        <w:fldChar w:fldCharType="begin" w:fldLock="1"/>
      </w:r>
      <w:r w:rsidR="00393368">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738d7551-7762-4881-b322-86a5dd78671b"]}],"mendeley":{"formattedCitation":"(46)","plainTextFormattedCitation":"(46)","previouslyFormattedCitation":"(46)"},"properties":{"noteIndex":0},"schema":"https://github.com/citation-style-language/schema/raw/master/csl-citation.json"}</w:instrText>
      </w:r>
      <w:r w:rsidR="00D41EAF">
        <w:fldChar w:fldCharType="separate"/>
      </w:r>
      <w:r w:rsidR="00393368" w:rsidRPr="00393368">
        <w:rPr>
          <w:noProof/>
        </w:rPr>
        <w:t>(46)</w:t>
      </w:r>
      <w:r w:rsidR="00D41EAF">
        <w:fldChar w:fldCharType="end"/>
      </w:r>
      <w:r w:rsidR="00D41EAF">
        <w:rPr>
          <w:vertAlign w:val="superscript"/>
        </w:rPr>
        <w:t xml:space="preserve"> </w:t>
      </w:r>
      <w:r w:rsidR="00067F2E">
        <w:t>(</w:t>
      </w:r>
      <w:r w:rsidR="00BC0618">
        <w:rPr>
          <w:b/>
        </w:rPr>
        <w:fldChar w:fldCharType="begin"/>
      </w:r>
      <w:r w:rsidR="00BC0618">
        <w:instrText xml:space="preserve"> REF _Ref532555107 \h </w:instrText>
      </w:r>
      <w:r w:rsidR="00BC0618">
        <w:rPr>
          <w:b/>
        </w:rPr>
      </w:r>
      <w:r w:rsidR="00817F5D">
        <w:rPr>
          <w:b/>
        </w:rPr>
        <w:instrText xml:space="preserve"> \* MERGEFORMAT </w:instrText>
      </w:r>
      <w:r w:rsidR="00BC0618">
        <w:rPr>
          <w:b/>
        </w:rPr>
        <w:fldChar w:fldCharType="separate"/>
      </w:r>
      <w:r w:rsidR="00E2070A" w:rsidRPr="00A841B4">
        <w:rPr>
          <w:b/>
        </w:rPr>
        <w:t>Figure</w:t>
      </w:r>
      <w:r w:rsidR="00E2070A" w:rsidRPr="00703E43">
        <w:rPr>
          <w:b/>
        </w:rPr>
        <w:t xml:space="preserve"> </w:t>
      </w:r>
      <w:r w:rsidR="00E2070A">
        <w:rPr>
          <w:b/>
          <w:noProof/>
        </w:rPr>
        <w:t>31</w:t>
      </w:r>
      <w:r w:rsidR="00BC0618">
        <w:rPr>
          <w:b/>
        </w:rPr>
        <w:fldChar w:fldCharType="end"/>
      </w:r>
      <w:r w:rsidR="00D41EAF" w:rsidRPr="00A841B4">
        <w:rPr>
          <w:b/>
        </w:rPr>
        <w:t>B</w:t>
      </w:r>
      <w:r w:rsidR="00D41EAF">
        <w:t>)</w:t>
      </w:r>
      <w:r>
        <w:t>. A possible explanation for this discrepancy</w:t>
      </w:r>
      <w:r w:rsidR="00D41EAF">
        <w:t xml:space="preserve"> is the loss of potency of OSW-1 stocks</w:t>
      </w:r>
      <w:r>
        <w:t xml:space="preserve"> after multiple freeze/thaw cycles that we witnessed in previous experiments. It is quite possible that the stock compound</w:t>
      </w:r>
      <w:r w:rsidR="00D41EAF">
        <w:t xml:space="preserve"> used in the original experiments</w:t>
      </w:r>
      <w:r>
        <w:t xml:space="preserve"> was diluted due to the hydroscopic nature of the DMSO solvent during the freeze/thaw cycles. We have shown previously that OSBP loss due to OSW-1 treatment is both time and concentration depe</w:t>
      </w:r>
      <w:r w:rsidR="00D41EAF">
        <w:t>ndent</w:t>
      </w:r>
      <w:r w:rsidR="0055361A">
        <w:t xml:space="preserve"> (</w:t>
      </w:r>
      <w:r w:rsidR="00067F2E" w:rsidRPr="00A841B4">
        <w:rPr>
          <w:b/>
        </w:rPr>
        <w:fldChar w:fldCharType="begin"/>
      </w:r>
      <w:r w:rsidR="00067F2E" w:rsidRPr="00A841B4">
        <w:rPr>
          <w:b/>
        </w:rPr>
        <w:instrText xml:space="preserve"> REF _Ref530053889 \h </w:instrText>
      </w:r>
      <w:r w:rsidR="001B3703" w:rsidRPr="00A841B4">
        <w:rPr>
          <w:b/>
        </w:rPr>
        <w:instrText xml:space="preserve"> \* MERGEFORMAT </w:instrText>
      </w:r>
      <w:r w:rsidR="00067F2E" w:rsidRPr="00A841B4">
        <w:rPr>
          <w:b/>
        </w:rPr>
      </w:r>
      <w:r w:rsidR="00067F2E" w:rsidRPr="00A841B4">
        <w:rPr>
          <w:b/>
        </w:rPr>
        <w:fldChar w:fldCharType="separate"/>
      </w:r>
      <w:r w:rsidR="00E2070A" w:rsidRPr="00E2070A">
        <w:rPr>
          <w:b/>
        </w:rPr>
        <w:t xml:space="preserve">Figure </w:t>
      </w:r>
      <w:r w:rsidR="00E2070A" w:rsidRPr="00E2070A">
        <w:rPr>
          <w:b/>
          <w:noProof/>
        </w:rPr>
        <w:t>22</w:t>
      </w:r>
      <w:r w:rsidR="00067F2E" w:rsidRPr="00A841B4">
        <w:rPr>
          <w:b/>
        </w:rPr>
        <w:fldChar w:fldCharType="end"/>
      </w:r>
      <w:r w:rsidR="0055361A" w:rsidRPr="00A841B4">
        <w:rPr>
          <w:b/>
        </w:rPr>
        <w:t>B</w:t>
      </w:r>
      <w:r w:rsidR="0055361A">
        <w:t xml:space="preserve"> &amp; </w:t>
      </w:r>
      <w:r w:rsidR="00067F2E">
        <w:fldChar w:fldCharType="begin"/>
      </w:r>
      <w:r w:rsidR="00067F2E">
        <w:instrText xml:space="preserve"> REF _Ref530053922 \h </w:instrText>
      </w:r>
      <w:r w:rsidR="001B3703">
        <w:instrText xml:space="preserve"> \* MERGEFORMAT </w:instrText>
      </w:r>
      <w:r w:rsidR="00067F2E">
        <w:fldChar w:fldCharType="separate"/>
      </w:r>
      <w:r w:rsidR="00E2070A" w:rsidRPr="00E2070A">
        <w:rPr>
          <w:b/>
        </w:rPr>
        <w:t>Figure</w:t>
      </w:r>
      <w:r w:rsidR="00E2070A">
        <w:t xml:space="preserve"> </w:t>
      </w:r>
      <w:r w:rsidR="00E2070A" w:rsidRPr="00E2070A">
        <w:rPr>
          <w:b/>
          <w:noProof/>
        </w:rPr>
        <w:t>46</w:t>
      </w:r>
      <w:r w:rsidR="00067F2E">
        <w:fldChar w:fldCharType="end"/>
      </w:r>
      <w:r w:rsidR="0055361A">
        <w:t>)</w:t>
      </w:r>
      <w:r w:rsidR="00D41EAF">
        <w:t xml:space="preserve">, so </w:t>
      </w:r>
      <w:r w:rsidR="00D41EAF">
        <w:lastRenderedPageBreak/>
        <w:t>this could explain how</w:t>
      </w:r>
      <w:r>
        <w:t xml:space="preserve"> 25-OHC </w:t>
      </w:r>
      <w:r w:rsidR="00D41EAF">
        <w:t xml:space="preserve">treatment </w:t>
      </w:r>
      <w:r>
        <w:t>would be able to protect OSBP during OSW-1 treatments</w:t>
      </w:r>
      <w:r w:rsidR="00366DBC">
        <w:t xml:space="preserve"> in the original experiments</w:t>
      </w:r>
      <w:r>
        <w:t>. For our experiments, we minimized the freeze/thaw cycle of aliquots to three times before discarding the aliquot for a new one. This experiment suggests that the protective effect of THEV2 is not solely due to the steroidal nature of t</w:t>
      </w:r>
      <w:r w:rsidR="0055361A">
        <w:t>he compound. Despite similar Ki values</w:t>
      </w:r>
      <w:r>
        <w:t xml:space="preserve"> and localization patterns, there is a difference in the ability of THEV2 and 25</w:t>
      </w:r>
      <w:r w:rsidR="0055361A">
        <w:t>-</w:t>
      </w:r>
      <w:r>
        <w:t>OHC to rescue OSBP levels</w:t>
      </w:r>
      <w:r w:rsidR="00366DBC">
        <w:t>.</w:t>
      </w:r>
      <w:r>
        <w:t xml:space="preserve"> </w:t>
      </w:r>
      <w:r w:rsidR="00366DBC">
        <w:t>This</w:t>
      </w:r>
      <w:r>
        <w:t xml:space="preserve"> might be due to the availability of</w:t>
      </w:r>
      <w:r w:rsidR="00366DBC">
        <w:t xml:space="preserve"> the compounds within the cells because</w:t>
      </w:r>
      <w:r>
        <w:t xml:space="preserve"> 25-OHC is a promiscuous ligand interacting with various proteins</w:t>
      </w:r>
      <w:r w:rsidR="0055361A">
        <w:fldChar w:fldCharType="begin" w:fldLock="1"/>
      </w:r>
      <w:r w:rsidR="00741009">
        <w:instrText>ADDIN CSL_CITATION {"citationItems":[{"id":"ITEM-1","itemData":{"DOI":"10.1016/J.STEROIDS.2014.01.002","ISSN":"0039-128X","abstract":"Steroid/sterol-binding receptors and enzymes are remarkably promiscuous in the range of ligands they can bind to and, in the case of enzymes, modify – raising the question of how specific receptor activation is achieved in vivo. Estrogen receptors (ER) are modulated by 27-hydroxycholesterol and 5α-androstane-3β,17β-diol (Adiol), in addition to estradiol (E2), and respond to diverse small molecules such as bisphenol A. Steroid-modifying enzymes are also highly promiscuous in ligand binding and metabolism. The specificity problem is compounded by the fact that the steroid core (hydrogenated cyclopentophenanthrene ring system) has several planes of symmetry. Ligand binding can be in symmetrical East–West (rotation) and North–South (inversion) orientations. Hydroxysteroid dehydrogenases (HSDs) can modify symmetrical 7 and 11, also 3 and 17/20, positions, exemplified here by yeast 3α,20β-HSD and mammalian 11β-HSD and 17β-HSD enzymes. Faced with promiscuity and symmetry, other strategies are clearly necessary to promote signaling selectivity in vivo. Gating regulates hormone access via enzymes that preferentially inactivate (or activate) a subclass of ligands, thereby governing which ligands gain receptor access – exemplified by 11β-HSD gating cortisol access to the mineralocorticoid receptor, and P450 CYP7B1 gating Adiol access to ER. Counter-intuitively, the specificity of steroid/sterol action is achieved not by intrinsic binding selectivity but by the combination of local metabolism and binding affinity.","author":[{"dropping-particle":"","family":"Lathe","given":"Richard","non-dropping-particle":"","parse-names":false,"suffix":""},{"dropping-particle":"","family":"Kotelevtsev","given":"Yuri","non-dropping-particle":"","parse-names":false,"suffix":""}],"container-title":"Steroids","id":"ITEM-1","issued":{"date-parts":[["2014","4","1"]]},"page":"14-22","publisher":"Elsevier","title":"Steroid signaling: Ligand-binding promiscuity, molecular symmetry, and the need for gating","type":"article-journal","volume":"82"},"uris":["http://www.mendeley.com/documents/?uuid=b6cfdb85-03c7-3b4a-87bb-596f4292648c"]}],"mendeley":{"formattedCitation":"(234)","plainTextFormattedCitation":"(234)","previouslyFormattedCitation":"(234)"},"properties":{"noteIndex":0},"schema":"https://github.com/citation-style-language/schema/raw/master/csl-citation.json"}</w:instrText>
      </w:r>
      <w:r w:rsidR="0055361A">
        <w:fldChar w:fldCharType="separate"/>
      </w:r>
      <w:r w:rsidR="005C5180" w:rsidRPr="005C5180">
        <w:rPr>
          <w:noProof/>
        </w:rPr>
        <w:t>(234)</w:t>
      </w:r>
      <w:r w:rsidR="0055361A">
        <w:fldChar w:fldCharType="end"/>
      </w:r>
      <w:r w:rsidR="00366DBC">
        <w:t>. F</w:t>
      </w:r>
      <w:r>
        <w:t xml:space="preserve">urther testing of THEV2 needs to be performed to understand its full </w:t>
      </w:r>
      <w:r w:rsidR="00366DBC">
        <w:t>effect within the cell</w:t>
      </w:r>
      <w:r>
        <w:t>.</w:t>
      </w:r>
    </w:p>
    <w:p w:rsidR="00C472EB" w:rsidRDefault="00C472EB" w:rsidP="00817F5D">
      <w:pPr>
        <w:ind w:firstLine="720"/>
        <w:jc w:val="both"/>
      </w:pPr>
      <w:r>
        <w:t>Although ITZ and TTP have no competitive binding, they demonstrate</w:t>
      </w:r>
      <w:r w:rsidR="00366DBC">
        <w:t xml:space="preserve"> the ability to change the</w:t>
      </w:r>
      <w:r>
        <w:t xml:space="preserve"> localization of OSBP</w:t>
      </w:r>
      <w:r w:rsidR="00366DBC">
        <w:t>,</w:t>
      </w:r>
      <w:r>
        <w:t xml:space="preserve"> which suggests an alternative binding site. Previous studies have shown that ITZ binds to OSBP with a Kd of around 430 nM and that all eight stereoisomers </w:t>
      </w:r>
      <w:r w:rsidR="00366DBC">
        <w:t xml:space="preserve">of ITZ </w:t>
      </w:r>
      <w:r>
        <w:t xml:space="preserve">are able to </w:t>
      </w:r>
      <w:r w:rsidR="00366DBC">
        <w:t>induce</w:t>
      </w:r>
      <w:r>
        <w:t xml:space="preserve"> OSBP </w:t>
      </w:r>
      <w:r w:rsidR="00366DBC">
        <w:t>re-</w:t>
      </w:r>
      <w:r>
        <w:t>localization and anti-viral activity</w:t>
      </w:r>
      <w:r w:rsidR="00366DBC">
        <w:t xml:space="preserve"> </w:t>
      </w:r>
      <w:r w:rsidR="00366DBC">
        <w:fldChar w:fldCharType="begin" w:fldLock="1"/>
      </w:r>
      <w:r w:rsidR="00741009">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PROTEIN","type":"article-journal","volume":"25"},"uris":["http://www.mendeley.com/documents/?uuid=02c7ec4c-fc93-404c-a402-6abc8c747415"]},{"id":"ITEM-2","itemData":{"DOI":"10.1016/j.antiviral.2018.05.010","ISSN":"1872-9096","PMID":"29807040","abstract":"Itraconazole (ITZ) is a well-known, FDA-approved antifungal drug that is also in clinical trials for its anticancer activity. ITZ exerts its anticancer activity through several disparate targets and pathways. ITZ inhibits angiogenesis by hampering the functioning of the vascular endothelial growth receptor 2 (VEGFR2) and by indirectly inhibiting mTOR signaling. Furthermore, ITZ directly inhibits the growth of several types of tumor cells by antagonizing Hedgehog signaling. Recently, we reported that ITZ also has broad-spectrum antiviral activity against enteroviruses, cardioviruses and hepatitis C virus, independent of established ITZ-activities but instead via a novel target, oxysterol-binding protein (OSBP), a cellular lipid shuttling protein. In this study, we analyzed which structural features of ITZ are important for the OSBP-mediated antiviral activity. The backbone structure, consisting of five rings, and the sec-butyl chain are important for antiviral activity, whereas the triazole moiety, which is critical for antifungal activity, is not. The features required for OSBP-mediated antiviral activity of ITZ overlap mostly with published features required for inhibition of VEGFR2 trafficking, but not Hh signaling. Furthermore, we use in silico studies to explore how ITZ could bind to OSBP. Our data show that several pharmacological activities of ITZ can be uncoupled, which is a critical step in the development of ITZ-based antiviral compounds with greater specificity and reduced off-target effects.","author":[{"dropping-particle":"","family":"Bauer","given":"Lisa","non-dropping-particle":"","parse-names":false,"suffix":""},{"dropping-particle":"","family":"Ferla","given":"Salvatore","non-dropping-particle":"","parse-names":false,"suffix":""},{"dropping-particle":"","family":"Head","given":"Sarah A","non-dropping-particle":"","parse-names":false,"suffix":""},{"dropping-particle":"","family":"Bhat","given":"Shridhar","non-dropping-particle":"","parse-names":false,"suffix":""},{"dropping-particle":"","family":"Pasunooti","given":"Kalyan K","non-dropping-particle":"","parse-names":false,"suffix":""},{"dropping-particle":"","family":"Shi","given":"Wei Q.","non-dropping-particle":"","parse-names":false,"suffix":""},{"dropping-particle":"","family":"Albulescu","given":"Lucian","non-dropping-particle":"","parse-names":false,"suffix":""},{"dropping-particle":"","family":"Liu","given":"Jun O","non-dropping-particle":"","parse-names":false,"suffix":""},{"dropping-particle":"","family":"Brancale","given":"Andrea","non-dropping-particle":"","parse-names":false,"suffix":""},{"dropping-particle":"","family":"Kuppeveld","given":"Frank J M","non-dropping-particle":"van","parse-names":false,"suffix":""},{"dropping-particle":"","family":"Strating","given":"Jeroen R P M","non-dropping-particle":"","parse-names":false,"suffix":""}],"container-title":"Antiviral research","id":"ITEM-2","issue":"January","issued":{"date-parts":[["2018"]]},"page":"55-63","publisher":"Elsevier","title":"Structure-activity relationship study of itraconazole, a broad-range inhibitor of picornavirus replication that targets oxysterol-binding protein (OSBP).","type":"article-journal","volume":"156"},"uris":["http://www.mendeley.com/documents/?uuid=1f3682f4-edc7-4115-896d-b5701948c51b"]}],"mendeley":{"formattedCitation":"(81, 235)","plainTextFormattedCitation":"(81, 235)","previouslyFormattedCitation":"(81, 235)"},"properties":{"noteIndex":0},"schema":"https://github.com/citation-style-language/schema/raw/master/csl-citation.json"}</w:instrText>
      </w:r>
      <w:r w:rsidR="00366DBC">
        <w:fldChar w:fldCharType="separate"/>
      </w:r>
      <w:r w:rsidR="005C5180" w:rsidRPr="005C5180">
        <w:rPr>
          <w:noProof/>
        </w:rPr>
        <w:t>(81, 235)</w:t>
      </w:r>
      <w:r w:rsidR="00366DBC">
        <w:fldChar w:fldCharType="end"/>
      </w:r>
      <w:r w:rsidR="00366DBC">
        <w:t>.</w:t>
      </w:r>
      <w:r>
        <w:t xml:space="preserve"> </w:t>
      </w:r>
      <w:r w:rsidR="00366DBC">
        <w:t>This</w:t>
      </w:r>
      <w:r>
        <w:t xml:space="preserve"> indicates a lose fitting interaction with OSBP</w:t>
      </w:r>
      <w:r w:rsidR="0055361A">
        <w:fldChar w:fldCharType="begin" w:fldLock="1"/>
      </w:r>
      <w:r w:rsidR="00741009">
        <w:instrText>ADDIN CSL_CITATION {"citationItems":[{"id":"ITEM-1","itemData":{"DOI":"10.1016/j.pmr.2014.05.001.Functional","ISBN":"0000287431","ISSN":"0000287431","PMID":"25792328","author":[{"dropping-particle":"","family":"Strating","given":"Jeroen R.P.M.","non-dropping-particle":"","parse-names":false,"suffix":""}],"id":"ITEM-1","issue":"3","issued":{"date-parts":[["2015"]]},"page":"1-30","title":"ITRACONAZOLE INHIBITS ENTEROVIRUS REPLICATION BY TARGETING THE OXYSTEROL-BINDING PROTEIN","type":"article-journal","volume":"25"},"uris":["http://www.mendeley.com/documents/?uuid=02c7ec4c-fc93-404c-a402-6abc8c747415"]},{"id":"ITEM-2","itemData":{"DOI":"10.1016/j.antiviral.2018.05.010","ISSN":"1872-9096","PMID":"29807040","abstract":"Itraconazole (ITZ) is a well-known, FDA-approved antifungal drug that is also in clinical trials for its anticancer activity. ITZ exerts its anticancer activity through several disparate targets and pathways. ITZ inhibits angiogenesis by hampering the functioning of the vascular endothelial growth receptor 2 (VEGFR2) and by indirectly inhibiting mTOR signaling. Furthermore, ITZ directly inhibits the growth of several types of tumor cells by antagonizing Hedgehog signaling. Recently, we reported that ITZ also has broad-spectrum antiviral activity against enteroviruses, cardioviruses and hepatitis C virus, independent of established ITZ-activities but instead via a novel target, oxysterol-binding protein (OSBP), a cellular lipid shuttling protein. In this study, we analyzed which structural features of ITZ are important for the OSBP-mediated antiviral activity. The backbone structure, consisting of five rings, and the sec-butyl chain are important for antiviral activity, whereas the triazole moiety, which is critical for antifungal activity, is not. The features required for OSBP-mediated antiviral activity of ITZ overlap mostly with published features required for inhibition of VEGFR2 trafficking, but not Hh signaling. Furthermore, we use in silico studies to explore how ITZ could bind to OSBP. Our data show that several pharmacological activities of ITZ can be uncoupled, which is a critical step in the development of ITZ-based antiviral compounds with greater specificity and reduced off-target effects.","author":[{"dropping-particle":"","family":"Bauer","given":"Lisa","non-dropping-particle":"","parse-names":false,"suffix":""},{"dropping-particle":"","family":"Ferla","given":"Salvatore","non-dropping-particle":"","parse-names":false,"suffix":""},{"dropping-particle":"","family":"Head","given":"Sarah A","non-dropping-particle":"","parse-names":false,"suffix":""},{"dropping-particle":"","family":"Bhat","given":"Shridhar","non-dropping-particle":"","parse-names":false,"suffix":""},{"dropping-particle":"","family":"Pasunooti","given":"Kalyan K","non-dropping-particle":"","parse-names":false,"suffix":""},{"dropping-particle":"","family":"Shi","given":"Wei Q.","non-dropping-particle":"","parse-names":false,"suffix":""},{"dropping-particle":"","family":"Albulescu","given":"Lucian","non-dropping-particle":"","parse-names":false,"suffix":""},{"dropping-particle":"","family":"Liu","given":"Jun O","non-dropping-particle":"","parse-names":false,"suffix":""},{"dropping-particle":"","family":"Brancale","given":"Andrea","non-dropping-particle":"","parse-names":false,"suffix":""},{"dropping-particle":"","family":"Kuppeveld","given":"Frank J M","non-dropping-particle":"van","parse-names":false,"suffix":""},{"dropping-particle":"","family":"Strating","given":"Jeroen R P M","non-dropping-particle":"","parse-names":false,"suffix":""}],"container-title":"Antiviral research","id":"ITEM-2","issue":"January","issued":{"date-parts":[["2018"]]},"page":"55-63","publisher":"Elsevier","title":"Structure-activity relationship study of itraconazole, a broad-range inhibitor of picornavirus replication that targets oxysterol-binding protein (OSBP).","type":"article-journal","volume":"156"},"uris":["http://www.mendeley.com/documents/?uuid=1f3682f4-edc7-4115-896d-b5701948c51b"]}],"mendeley":{"formattedCitation":"(81, 235)","plainTextFormattedCitation":"(81, 235)","previouslyFormattedCitation":"(81, 235)"},"properties":{"noteIndex":0},"schema":"https://github.com/citation-style-language/schema/raw/master/csl-citation.json"}</w:instrText>
      </w:r>
      <w:r w:rsidR="0055361A">
        <w:fldChar w:fldCharType="separate"/>
      </w:r>
      <w:r w:rsidR="005C5180" w:rsidRPr="005C5180">
        <w:rPr>
          <w:noProof/>
        </w:rPr>
        <w:t>(81, 235)</w:t>
      </w:r>
      <w:r w:rsidR="0055361A">
        <w:fldChar w:fldCharType="end"/>
      </w:r>
      <w:r>
        <w:t>. This weak</w:t>
      </w:r>
      <w:r w:rsidR="00366DBC">
        <w:t>,</w:t>
      </w:r>
      <w:r>
        <w:t xml:space="preserve"> non-competitive binding interaction could explai</w:t>
      </w:r>
      <w:r w:rsidR="00366DBC">
        <w:t>n the slight rescue of OSBP witnessed during the co-incubation experiments</w:t>
      </w:r>
      <w:r>
        <w:t xml:space="preserve">. A previous study has shown that TTP inhibits </w:t>
      </w:r>
      <w:r w:rsidR="00366DBC">
        <w:t xml:space="preserve">the </w:t>
      </w:r>
      <w:r>
        <w:t>cholesterol and lipid transporting abilities of OSBP, but to a far lesser extent than ITZ</w:t>
      </w:r>
      <w:r w:rsidR="0055361A">
        <w:fldChar w:fldCharType="begin" w:fldLock="1"/>
      </w:r>
      <w:r w:rsidR="00507C72">
        <w:instrText>ADDIN CSL_CITATION {"citationItems":[{"id":"ITEM-1","itemData":{"DOI":"10.1016/j.antiviral.2017.01.008","ISSN":"18729096","PMID":"28088354","abstract":"The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 M","non-dropping-particle":"van","parse-names":false,"suffix":""},{"dropping-particle":"","family":"Strating","given":"Jeroen R P M","non-dropping-particle":"","parse-names":false,"suffix":""}],"container-title":"Antiviral Research","id":"ITEM-1","issued":{"date-parts":[["2017"]]},"page":"37-44","title":"Uncovering oxysterol-binding protein (OSBP) as a target of the anti-enteroviral compound TTP-8307","type":"article-journal","volume":"140"},"uris":["http://www.mendeley.com/documents/?uuid=d39a6a30-bbc4-492d-b147-55b02455af83"]}],"mendeley":{"formattedCitation":"(156)","plainTextFormattedCitation":"(156)","previouslyFormattedCitation":"(156)"},"properties":{"noteIndex":0},"schema":"https://github.com/citation-style-language/schema/raw/master/csl-citation.json"}</w:instrText>
      </w:r>
      <w:r w:rsidR="0055361A">
        <w:fldChar w:fldCharType="separate"/>
      </w:r>
      <w:r w:rsidR="0041658F" w:rsidRPr="0041658F">
        <w:rPr>
          <w:noProof/>
        </w:rPr>
        <w:t>(156)</w:t>
      </w:r>
      <w:r w:rsidR="0055361A">
        <w:fldChar w:fldCharType="end"/>
      </w:r>
      <w:r>
        <w:t xml:space="preserve">. Based on </w:t>
      </w:r>
      <w:r w:rsidR="0055361A">
        <w:t>the</w:t>
      </w:r>
      <w:r>
        <w:t xml:space="preserve"> lac</w:t>
      </w:r>
      <w:r w:rsidR="002C6912">
        <w:t>k of competitive binding results</w:t>
      </w:r>
      <w:r>
        <w:t xml:space="preserve">, it </w:t>
      </w:r>
      <w:r w:rsidR="002C6912">
        <w:t>might</w:t>
      </w:r>
      <w:r>
        <w:t xml:space="preserve"> suggest that TTP binds to OSBP in a manner that allows for sterol binding but not transfer. TTP specific targeting of OSBP is questionable since overexpression of OSBP was not able to rescue viral rep</w:t>
      </w:r>
      <w:r w:rsidR="002C6912">
        <w:t>lication, suggesting interaction</w:t>
      </w:r>
      <w:r>
        <w:t xml:space="preserve"> with other targets that are involved in viral replication</w:t>
      </w:r>
      <w:r w:rsidR="002C6912">
        <w:fldChar w:fldCharType="begin" w:fldLock="1"/>
      </w:r>
      <w:r w:rsidR="00507C72">
        <w:instrText>ADDIN CSL_CITATION {"citationItems":[{"id":"ITEM-1","itemData":{"DOI":"10.1016/j.antiviral.2017.01.008","ISSN":"18729096","PMID":"28088354","abstract":"The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PI4KIII$β$-PI4P-OSBP pathway to direct cholesterol to replication organelles. Here, we uncover that TTP-8307, a known enterovirus replication inhibitor, acts through the PI4KIII$β$-PI4P-OSBP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author":[{"dropping-particle":"","family":"Albulescu","given":"Lucian","non-dropping-particle":"","parse-names":false,"suffix":""},{"dropping-particle":"","family":"Bigay","given":"Joëlle","non-dropping-particle":"","parse-names":false,"suffix":""},{"dropping-particle":"","family":"Biswas","given":"Bishyajit","non-dropping-particle":"","parse-names":false,"suffix":""},{"dropping-particle":"","family":"Weber-Boyvat","given":"Marion","non-dropping-particle":"","parse-names":false,"suffix":""},{"dropping-particle":"","family":"Dorobantu","given":"Cristina M","non-dropping-particle":"","parse-names":false,"suffix":""},{"dropping-particle":"","family":"Delang","given":"Leen","non-dropping-particle":"","parse-names":false,"suffix":""},{"dropping-particle":"","family":"Schaar","given":"Hilde M","non-dropping-particle":"van der","parse-names":false,"suffix":""},{"dropping-particle":"","family":"Jung","given":"Young Sik","non-dropping-particle":"","parse-names":false,"suffix":""},{"dropping-particle":"","family":"Neyts","given":"Johan","non-dropping-particle":"","parse-names":false,"suffix":""},{"dropping-particle":"","family":"Olkkonen","given":"Vesa M","non-dropping-particle":"","parse-names":false,"suffix":""},{"dropping-particle":"","family":"Kuppeveld","given":"Frank J M","non-dropping-particle":"van","parse-names":false,"suffix":""},{"dropping-particle":"","family":"Strating","given":"Jeroen R P M","non-dropping-particle":"","parse-names":false,"suffix":""}],"container-title":"Antiviral Research","id":"ITEM-1","issued":{"date-parts":[["2017"]]},"page":"37-44","title":"Uncovering oxysterol-binding protein (OSBP) as a target of the anti-enteroviral compound TTP-8307","type":"article-journal","volume":"140"},"uris":["http://www.mendeley.com/documents/?uuid=d39a6a30-bbc4-492d-b147-55b02455af83"]}],"mendeley":{"formattedCitation":"(156)","plainTextFormattedCitation":"(156)","previouslyFormattedCitation":"(156)"},"properties":{"noteIndex":0},"schema":"https://github.com/citation-style-language/schema/raw/master/csl-citation.json"}</w:instrText>
      </w:r>
      <w:r w:rsidR="002C6912">
        <w:fldChar w:fldCharType="separate"/>
      </w:r>
      <w:r w:rsidR="0041658F" w:rsidRPr="0041658F">
        <w:rPr>
          <w:noProof/>
        </w:rPr>
        <w:t>(156)</w:t>
      </w:r>
      <w:r w:rsidR="002C6912">
        <w:fldChar w:fldCharType="end"/>
      </w:r>
      <w:r w:rsidR="002C6912">
        <w:t xml:space="preserve">. </w:t>
      </w:r>
      <w:r>
        <w:t>It seems that both molecules have weak affini</w:t>
      </w:r>
      <w:r w:rsidR="00366DBC">
        <w:t xml:space="preserve">ty for OSBP, </w:t>
      </w:r>
      <w:r w:rsidR="002C6912">
        <w:t xml:space="preserve">but may </w:t>
      </w:r>
      <w:r>
        <w:t>interact with</w:t>
      </w:r>
      <w:r w:rsidR="002C6912">
        <w:t xml:space="preserve"> multiple targets within cells</w:t>
      </w:r>
      <w:r w:rsidR="00366DBC">
        <w:t>,</w:t>
      </w:r>
      <w:r w:rsidR="002C6912">
        <w:t xml:space="preserve"> calling their use as antivirals into question</w:t>
      </w:r>
      <w:r>
        <w:t>.</w:t>
      </w:r>
    </w:p>
    <w:p w:rsidR="00C472EB" w:rsidRPr="00817F5D" w:rsidRDefault="00C472EB" w:rsidP="00817F5D">
      <w:pPr>
        <w:ind w:firstLine="720"/>
        <w:jc w:val="both"/>
        <w:rPr>
          <w:b/>
        </w:rPr>
      </w:pPr>
      <w:r>
        <w:t xml:space="preserve">Unsurprisingly, all the compounds exhibited anti-viral </w:t>
      </w:r>
      <w:r w:rsidR="00366DBC">
        <w:t>activity when tested under continuous treatment conditions</w:t>
      </w:r>
      <w:r w:rsidR="002C6912">
        <w:t xml:space="preserve"> (</w:t>
      </w:r>
      <w:r w:rsidR="00F2054A" w:rsidRPr="00A841B4">
        <w:rPr>
          <w:b/>
        </w:rPr>
        <w:fldChar w:fldCharType="begin"/>
      </w:r>
      <w:r w:rsidR="00F2054A" w:rsidRPr="00A841B4">
        <w:rPr>
          <w:b/>
        </w:rPr>
        <w:instrText xml:space="preserve"> REF _Ref530234236 \h </w:instrText>
      </w:r>
      <w:r w:rsidR="001B3703" w:rsidRPr="00A841B4">
        <w:rPr>
          <w:b/>
        </w:rPr>
        <w:instrText xml:space="preserve"> \* MERGEFORMAT </w:instrText>
      </w:r>
      <w:r w:rsidR="00F2054A" w:rsidRPr="00A841B4">
        <w:rPr>
          <w:b/>
        </w:rPr>
      </w:r>
      <w:r w:rsidR="00F2054A" w:rsidRPr="00A841B4">
        <w:rPr>
          <w:b/>
        </w:rPr>
        <w:fldChar w:fldCharType="separate"/>
      </w:r>
      <w:r w:rsidR="00E2070A" w:rsidRPr="00E2070A">
        <w:rPr>
          <w:b/>
        </w:rPr>
        <w:t xml:space="preserve">Figure </w:t>
      </w:r>
      <w:r w:rsidR="00E2070A" w:rsidRPr="00E2070A">
        <w:rPr>
          <w:b/>
          <w:noProof/>
        </w:rPr>
        <w:t>33</w:t>
      </w:r>
      <w:r w:rsidR="00F2054A" w:rsidRPr="00A841B4">
        <w:rPr>
          <w:b/>
        </w:rPr>
        <w:fldChar w:fldCharType="end"/>
      </w:r>
      <w:r w:rsidR="002C6912" w:rsidRPr="00A841B4">
        <w:rPr>
          <w:b/>
        </w:rPr>
        <w:t>A</w:t>
      </w:r>
      <w:r w:rsidR="002C6912">
        <w:t>)</w:t>
      </w:r>
      <w:r>
        <w:t xml:space="preserve">. The log-fold inhibition </w:t>
      </w:r>
      <w:r w:rsidR="00366DBC">
        <w:t xml:space="preserve">of viral titers </w:t>
      </w:r>
      <w:r>
        <w:t xml:space="preserve">is highest </w:t>
      </w:r>
      <w:r>
        <w:lastRenderedPageBreak/>
        <w:t>with OSW-1, despite being 1,000-fold less concentrated than the other compounds</w:t>
      </w:r>
      <w:r w:rsidR="00366DBC">
        <w:t>.</w:t>
      </w:r>
      <w:r w:rsidR="002C6912">
        <w:t xml:space="preserve"> </w:t>
      </w:r>
      <w:r w:rsidR="00366DBC">
        <w:t>This</w:t>
      </w:r>
      <w:r w:rsidR="002C6912">
        <w:t xml:space="preserve"> suggests </w:t>
      </w:r>
      <w:r w:rsidR="00366DBC">
        <w:t xml:space="preserve">OSW-1 </w:t>
      </w:r>
      <w:r w:rsidR="002C6912">
        <w:t xml:space="preserve">is more specific for OSBP than </w:t>
      </w:r>
      <w:r>
        <w:t>THEV2</w:t>
      </w:r>
      <w:r w:rsidR="00366DBC">
        <w:t>,</w:t>
      </w:r>
      <w:r w:rsidR="002C6912">
        <w:t xml:space="preserve"> since the compounds h</w:t>
      </w:r>
      <w:r w:rsidR="00067F2E">
        <w:t>ave similar Ki values (</w:t>
      </w:r>
      <w:r w:rsidR="00817F5D" w:rsidRPr="00817F5D">
        <w:rPr>
          <w:b/>
        </w:rPr>
        <w:fldChar w:fldCharType="begin"/>
      </w:r>
      <w:r w:rsidR="00817F5D" w:rsidRPr="00817F5D">
        <w:rPr>
          <w:b/>
        </w:rPr>
        <w:instrText xml:space="preserve"> REF _Ref532557182 \h </w:instrText>
      </w:r>
      <w:r w:rsidR="00817F5D" w:rsidRPr="00817F5D">
        <w:rPr>
          <w:b/>
        </w:rPr>
      </w:r>
      <w:r w:rsidR="00817F5D" w:rsidRP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00067F2E" w:rsidRPr="00A841B4">
        <w:rPr>
          <w:b/>
        </w:rPr>
        <w:t>C</w:t>
      </w:r>
      <w:r w:rsidR="00067F2E">
        <w:t xml:space="preserve"> &amp; </w:t>
      </w:r>
      <w:r w:rsidR="00F2054A" w:rsidRPr="00A841B4">
        <w:rPr>
          <w:b/>
        </w:rPr>
        <w:fldChar w:fldCharType="begin"/>
      </w:r>
      <w:r w:rsidR="00F2054A" w:rsidRPr="00A841B4">
        <w:rPr>
          <w:b/>
        </w:rPr>
        <w:instrText xml:space="preserve"> REF _Ref530234236 \h </w:instrText>
      </w:r>
      <w:r w:rsidR="001B3703" w:rsidRPr="00A841B4">
        <w:rPr>
          <w:b/>
        </w:rPr>
        <w:instrText xml:space="preserve"> \* MERGEFORMAT </w:instrText>
      </w:r>
      <w:r w:rsidR="00F2054A" w:rsidRPr="00A841B4">
        <w:rPr>
          <w:b/>
        </w:rPr>
      </w:r>
      <w:r w:rsidR="00F2054A" w:rsidRPr="00A841B4">
        <w:rPr>
          <w:b/>
        </w:rPr>
        <w:fldChar w:fldCharType="separate"/>
      </w:r>
      <w:r w:rsidR="00E2070A" w:rsidRPr="00E2070A">
        <w:rPr>
          <w:b/>
        </w:rPr>
        <w:t xml:space="preserve">Figure </w:t>
      </w:r>
      <w:r w:rsidR="00E2070A" w:rsidRPr="00E2070A">
        <w:rPr>
          <w:b/>
          <w:noProof/>
        </w:rPr>
        <w:t>33</w:t>
      </w:r>
      <w:r w:rsidR="00F2054A" w:rsidRPr="00A841B4">
        <w:rPr>
          <w:b/>
        </w:rPr>
        <w:fldChar w:fldCharType="end"/>
      </w:r>
      <w:r w:rsidR="002C6912" w:rsidRPr="00A841B4">
        <w:rPr>
          <w:b/>
        </w:rPr>
        <w:t>A</w:t>
      </w:r>
      <w:r w:rsidR="002C6912">
        <w:t>).</w:t>
      </w:r>
      <w:r>
        <w:t xml:space="preserve"> Despite the differences in log-fold inhibition, all the compounds</w:t>
      </w:r>
      <w:r w:rsidR="002C6912">
        <w:t xml:space="preserve"> can inhibit replication to at least 2</w:t>
      </w:r>
      <w:r>
        <w:t>0% compared to the control, suggesting a strong anti-viral response</w:t>
      </w:r>
      <w:r w:rsidR="00F2054A">
        <w:t xml:space="preserve"> (</w:t>
      </w:r>
      <w:r w:rsidR="00F2054A" w:rsidRPr="00A841B4">
        <w:rPr>
          <w:b/>
        </w:rPr>
        <w:fldChar w:fldCharType="begin"/>
      </w:r>
      <w:r w:rsidR="00F2054A" w:rsidRPr="00A841B4">
        <w:rPr>
          <w:b/>
        </w:rPr>
        <w:instrText xml:space="preserve"> REF _Ref530234236 \h </w:instrText>
      </w:r>
      <w:r w:rsidR="001B3703" w:rsidRPr="00A841B4">
        <w:rPr>
          <w:b/>
        </w:rPr>
        <w:instrText xml:space="preserve"> \* MERGEFORMAT </w:instrText>
      </w:r>
      <w:r w:rsidR="00F2054A" w:rsidRPr="00A841B4">
        <w:rPr>
          <w:b/>
        </w:rPr>
      </w:r>
      <w:r w:rsidR="00F2054A" w:rsidRPr="00A841B4">
        <w:rPr>
          <w:b/>
        </w:rPr>
        <w:fldChar w:fldCharType="separate"/>
      </w:r>
      <w:r w:rsidR="00E2070A" w:rsidRPr="00E2070A">
        <w:rPr>
          <w:b/>
        </w:rPr>
        <w:t xml:space="preserve">Figure </w:t>
      </w:r>
      <w:r w:rsidR="00E2070A" w:rsidRPr="00E2070A">
        <w:rPr>
          <w:b/>
          <w:noProof/>
        </w:rPr>
        <w:t>33</w:t>
      </w:r>
      <w:r w:rsidR="00F2054A" w:rsidRPr="00A841B4">
        <w:rPr>
          <w:b/>
        </w:rPr>
        <w:fldChar w:fldCharType="end"/>
      </w:r>
      <w:r w:rsidR="002C6912" w:rsidRPr="00A841B4">
        <w:rPr>
          <w:b/>
        </w:rPr>
        <w:t>A</w:t>
      </w:r>
      <w:r w:rsidR="002C6912">
        <w:t>)</w:t>
      </w:r>
      <w:r>
        <w:t>. OSW-1 was the only compound to induce an anti-viral response 24-hours after the compound was removed</w:t>
      </w:r>
      <w:r w:rsidR="00366DBC">
        <w:t xml:space="preserve"> from cells </w:t>
      </w:r>
      <w:r w:rsidR="00067F2E">
        <w:t>(</w:t>
      </w:r>
      <w:r w:rsidR="00F2054A" w:rsidRPr="00A841B4">
        <w:rPr>
          <w:b/>
        </w:rPr>
        <w:fldChar w:fldCharType="begin"/>
      </w:r>
      <w:r w:rsidR="00F2054A" w:rsidRPr="00A841B4">
        <w:rPr>
          <w:b/>
        </w:rPr>
        <w:instrText xml:space="preserve"> REF _Ref530234236 \h </w:instrText>
      </w:r>
      <w:r w:rsidR="001B3703" w:rsidRPr="00A841B4">
        <w:rPr>
          <w:b/>
        </w:rPr>
        <w:instrText xml:space="preserve"> \* MERGEFORMAT </w:instrText>
      </w:r>
      <w:r w:rsidR="00F2054A" w:rsidRPr="00A841B4">
        <w:rPr>
          <w:b/>
        </w:rPr>
      </w:r>
      <w:r w:rsidR="00F2054A" w:rsidRPr="00A841B4">
        <w:rPr>
          <w:b/>
        </w:rPr>
        <w:fldChar w:fldCharType="separate"/>
      </w:r>
      <w:r w:rsidR="00E2070A" w:rsidRPr="00E2070A">
        <w:rPr>
          <w:b/>
        </w:rPr>
        <w:t xml:space="preserve">Figure </w:t>
      </w:r>
      <w:r w:rsidR="00E2070A" w:rsidRPr="00E2070A">
        <w:rPr>
          <w:b/>
          <w:noProof/>
        </w:rPr>
        <w:t>33</w:t>
      </w:r>
      <w:r w:rsidR="00F2054A" w:rsidRPr="00A841B4">
        <w:rPr>
          <w:b/>
        </w:rPr>
        <w:fldChar w:fldCharType="end"/>
      </w:r>
      <w:r w:rsidR="00162BDF" w:rsidRPr="00A841B4">
        <w:rPr>
          <w:b/>
        </w:rPr>
        <w:t>B</w:t>
      </w:r>
      <w:r w:rsidR="00162BDF">
        <w:t>)</w:t>
      </w:r>
      <w:r w:rsidR="00366DBC">
        <w:t>. This anti-viral activity is presumably due to the ability of OSW-1 washout treatment to induce long-term reduction of OSBP (</w:t>
      </w:r>
      <w:r w:rsidR="00366DBC" w:rsidRPr="00366DBC">
        <w:rPr>
          <w:b/>
        </w:rPr>
        <w:fldChar w:fldCharType="begin"/>
      </w:r>
      <w:r w:rsidR="00366DBC" w:rsidRPr="00366DBC">
        <w:rPr>
          <w:b/>
        </w:rPr>
        <w:instrText xml:space="preserve"> REF _Ref530234236 \h </w:instrText>
      </w:r>
      <w:r w:rsidR="00366DBC">
        <w:rPr>
          <w:b/>
        </w:rPr>
        <w:instrText xml:space="preserve"> \* MERGEFORMAT </w:instrText>
      </w:r>
      <w:r w:rsidR="00366DBC" w:rsidRPr="00366DBC">
        <w:rPr>
          <w:b/>
        </w:rPr>
      </w:r>
      <w:r w:rsidR="00366DBC" w:rsidRPr="00366DBC">
        <w:rPr>
          <w:b/>
        </w:rPr>
        <w:fldChar w:fldCharType="separate"/>
      </w:r>
      <w:r w:rsidR="00E2070A" w:rsidRPr="00E2070A">
        <w:rPr>
          <w:b/>
        </w:rPr>
        <w:t xml:space="preserve">Figure </w:t>
      </w:r>
      <w:r w:rsidR="00E2070A" w:rsidRPr="00E2070A">
        <w:rPr>
          <w:b/>
          <w:noProof/>
        </w:rPr>
        <w:t>33</w:t>
      </w:r>
      <w:r w:rsidR="00366DBC" w:rsidRPr="00366DBC">
        <w:rPr>
          <w:b/>
        </w:rPr>
        <w:fldChar w:fldCharType="end"/>
      </w:r>
      <w:r w:rsidR="00366DBC" w:rsidRPr="00366DBC">
        <w:rPr>
          <w:b/>
        </w:rPr>
        <w:t>C</w:t>
      </w:r>
      <w:r w:rsidR="00366DBC">
        <w:t xml:space="preserve">). </w:t>
      </w:r>
      <w:r>
        <w:t xml:space="preserve">This result is </w:t>
      </w:r>
      <w:r w:rsidR="00366DBC">
        <w:t>significant</w:t>
      </w:r>
      <w:r>
        <w:t xml:space="preserve"> </w:t>
      </w:r>
      <w:r w:rsidR="00366DBC">
        <w:t>because</w:t>
      </w:r>
      <w:r>
        <w:t xml:space="preserve"> initial treatment</w:t>
      </w:r>
      <w:r w:rsidR="00366DBC">
        <w:t xml:space="preserve"> with OSW-1</w:t>
      </w:r>
      <w:r>
        <w:t xml:space="preserve"> was in the low nanomolar range for only a few hours</w:t>
      </w:r>
      <w:r w:rsidR="00366DBC">
        <w:t xml:space="preserve"> before removal</w:t>
      </w:r>
      <w:r>
        <w:t xml:space="preserve"> and the anti-viral effect persists for over 40 hours af</w:t>
      </w:r>
      <w:r w:rsidR="00366DBC">
        <w:t>ter the compound was first introduced to cells</w:t>
      </w:r>
      <w:r>
        <w:t xml:space="preserve">. This </w:t>
      </w:r>
      <w:r w:rsidR="00162BDF">
        <w:t>provides more</w:t>
      </w:r>
      <w:r>
        <w:t xml:space="preserve"> evidence that OSW-1 is a specific inhibitor of OSBP with strong capabilities for prophylactic anti-viral treatment.</w:t>
      </w:r>
    </w:p>
    <w:p w:rsidR="00162BDF" w:rsidRPr="00162BDF" w:rsidRDefault="00162BDF" w:rsidP="00FB099D">
      <w:pPr>
        <w:pStyle w:val="Heading2"/>
      </w:pPr>
      <w:bookmarkStart w:id="214" w:name="_Toc532553164"/>
      <w:r w:rsidRPr="00162BDF">
        <w:t>Conclusion</w:t>
      </w:r>
      <w:bookmarkEnd w:id="214"/>
    </w:p>
    <w:p w:rsidR="001F3628" w:rsidRDefault="00C472EB" w:rsidP="00FB099D">
      <w:pPr>
        <w:ind w:firstLine="720"/>
        <w:jc w:val="both"/>
      </w:pPr>
      <w:r>
        <w:t xml:space="preserve">Taken together, </w:t>
      </w:r>
      <w:r w:rsidR="00162BDF">
        <w:t>these</w:t>
      </w:r>
      <w:r>
        <w:t xml:space="preserve"> findings highlight the uniqueness of OSW-1 in the pool of OSBP targeting anti-viral compounds. ITZ and TTP do not seem </w:t>
      </w:r>
      <w:r w:rsidR="00C772E5">
        <w:t>to be</w:t>
      </w:r>
      <w:r>
        <w:t xml:space="preserve"> ideal candidates for anti-viral treatment due to their lack of high specificity for OSBP and the increased dose needed to produce the anti-viral response. Our research has increased the anti-viral knowledge of the THEV2 compound by expanding the number of </w:t>
      </w:r>
      <w:r w:rsidR="00162BDF">
        <w:t>entero</w:t>
      </w:r>
      <w:r>
        <w:t xml:space="preserve">viruses the compound has been tested against. THEV2 seems to be a unique compound, given its relatively low Ki for OSBP and ability to rescue OSBP expression in the company of OSW-1. Despite these characteristics, OSW-1 </w:t>
      </w:r>
      <w:r w:rsidR="00C772E5">
        <w:t>displays a stronger</w:t>
      </w:r>
      <w:r>
        <w:t xml:space="preserve"> </w:t>
      </w:r>
      <w:r w:rsidR="00C772E5">
        <w:t>anti-</w:t>
      </w:r>
      <w:r>
        <w:t xml:space="preserve">viral replication </w:t>
      </w:r>
      <w:r w:rsidR="00C772E5">
        <w:t xml:space="preserve">response </w:t>
      </w:r>
      <w:r>
        <w:t xml:space="preserve">in </w:t>
      </w:r>
      <w:r w:rsidR="00C772E5">
        <w:t>the continual</w:t>
      </w:r>
      <w:r>
        <w:t xml:space="preserve"> treatments</w:t>
      </w:r>
      <w:r w:rsidR="00C772E5">
        <w:t xml:space="preserve"> with far less concentration</w:t>
      </w:r>
      <w:r>
        <w:t xml:space="preserve">. One of the potential reasons to deviate from using OSW-1 is the relatively high toxicity of the compound (~1 nM after 48 hours of continual treatment). We have shown that there is a way around this toxicity by </w:t>
      </w:r>
      <w:r w:rsidR="00C772E5">
        <w:t xml:space="preserve">removing the compound with the washout experiments </w:t>
      </w:r>
      <w:r>
        <w:t xml:space="preserve">and still retaining </w:t>
      </w:r>
      <w:r>
        <w:lastRenderedPageBreak/>
        <w:t xml:space="preserve">the anti-viral response, which all the other </w:t>
      </w:r>
      <w:r w:rsidR="001F3628">
        <w:t>anti</w:t>
      </w:r>
      <w:r w:rsidR="00C772E5">
        <w:t>-</w:t>
      </w:r>
      <w:r w:rsidR="001F3628">
        <w:t xml:space="preserve">viral OSBP targeting </w:t>
      </w:r>
      <w:r>
        <w:t xml:space="preserve">compounds lack. </w:t>
      </w:r>
      <w:r w:rsidR="00C772E5">
        <w:t>These findings</w:t>
      </w:r>
      <w:r>
        <w:t xml:space="preserve"> </w:t>
      </w:r>
      <w:r w:rsidR="00C772E5">
        <w:t>lead to potential</w:t>
      </w:r>
      <w:r>
        <w:t xml:space="preserve"> of producing a prophylactic ant</w:t>
      </w:r>
      <w:r w:rsidR="001F3628">
        <w:t>i</w:t>
      </w:r>
      <w:r w:rsidR="00C772E5">
        <w:t>-</w:t>
      </w:r>
      <w:r>
        <w:t xml:space="preserve">viral treatment for a group of viruses which lack any current </w:t>
      </w:r>
      <w:r w:rsidR="00C772E5">
        <w:t xml:space="preserve">approved </w:t>
      </w:r>
      <w:r>
        <w:t>treatment options.</w:t>
      </w:r>
      <w:r w:rsidR="001F3628">
        <w:t xml:space="preserve"> Future research </w:t>
      </w:r>
      <w:r w:rsidR="00C772E5">
        <w:t>should</w:t>
      </w:r>
      <w:r w:rsidR="001F3628">
        <w:t xml:space="preserve"> focus on producing OSW-1 derivatives that preferentially target OSBP over ORP4 to fully optimize the potential of this finding.</w:t>
      </w:r>
    </w:p>
    <w:p w:rsidR="00C472EB" w:rsidRPr="001F3628" w:rsidRDefault="001F3628" w:rsidP="00FB099D">
      <w:pPr>
        <w:pStyle w:val="Heading2"/>
      </w:pPr>
      <w:bookmarkStart w:id="215" w:name="_Toc532553165"/>
      <w:r w:rsidRPr="001F3628">
        <w:t>Methods</w:t>
      </w:r>
      <w:bookmarkEnd w:id="215"/>
    </w:p>
    <w:p w:rsidR="001F3628" w:rsidRPr="001F3628" w:rsidRDefault="001F3628" w:rsidP="00042529">
      <w:pPr>
        <w:pStyle w:val="Heading3"/>
      </w:pPr>
      <w:bookmarkStart w:id="216" w:name="_Toc532553166"/>
      <w:r w:rsidRPr="001F3628">
        <w:t>Plasmids and Cloning</w:t>
      </w:r>
      <w:bookmarkEnd w:id="216"/>
    </w:p>
    <w:p w:rsidR="0097344A" w:rsidRDefault="001F3628" w:rsidP="00FB099D">
      <w:pPr>
        <w:ind w:firstLine="720"/>
        <w:jc w:val="both"/>
      </w:pPr>
      <w:r>
        <w:t xml:space="preserve">Human OSBP cDNA was obtained in a pOTB7 vector from the Mammalian Gene Collection (Thermo). PCR using 5’-GCTAGCATGGCGGCGACGGAG-3’ forward and 5’AAGCTTGAAAATGTCCGGGCATGAGC-3’ reverse primers amplified a 2.44 kb Nhe IHindIII fragment containing a full-length hOSBP cDNA, which was subcloned into pJET1.1 (Thermo) and sequence verified. The fragment was then cloned into the pcDNA™ 3.1/myc-His(-) C mammalian expression vector (Sigma) Nhe I-Hind III doublecut sites. The reverse primer does not include an additional nucleotide between HindIII cut site and the last OSBP codon resulting in an OSBP-tagless protein. ORP4L was cloned from HCT-116 with cDNA with a NheI forward primer 5’-GCTAGCATGGGGAAAGCG-3’ and a HindIII reverse </w:t>
      </w:r>
      <w:r>
        <w:tab/>
        <w:t xml:space="preserve">primer </w:t>
      </w:r>
      <w:r>
        <w:tab/>
        <w:t>5’-AAGCTTCGAAGATGTTGGGGCACATATG-3'. LacZ was PCR amplified from K-12 E. coli with NotI forward 5’- GCGGCCGCATGCCCG TCGTTTTA-3’ and BamHI reverse primer 5’-GGGCGGATCCTTTTTGAC ACCAGACCAA-3’. To generate the proteins expressing tags, the MCS of the completed vector was changed through site-directe</w:t>
      </w:r>
      <w:r w:rsidR="009621F0">
        <w:t>d mutagenesis with a forward 5’-</w:t>
      </w:r>
      <w:r>
        <w:t>AAGCTTACGTACGAACAAAAAC</w:t>
      </w:r>
      <w:r w:rsidR="009621F0">
        <w:t>TCATCTCAGAAGAG3’ and reverse 5’-</w:t>
      </w:r>
      <w:r>
        <w:t xml:space="preserve">CTCTTCTGAGATGAGTTTTTGTTCGTACGTAAGCTT-3’. The plasmid was expanded in E. </w:t>
      </w:r>
      <w:r>
        <w:lastRenderedPageBreak/>
        <w:t>Coli DH5α, and isolated through miniprep and maxiprep kits (Thermo).  Gene and plasmid MCS were sequence verified through Oklahoma Medical Research Foundation (OMRF).</w:t>
      </w:r>
    </w:p>
    <w:p w:rsidR="009621F0" w:rsidRPr="009621F0" w:rsidRDefault="009621F0" w:rsidP="00042529">
      <w:pPr>
        <w:pStyle w:val="Heading3"/>
      </w:pPr>
      <w:bookmarkStart w:id="217" w:name="_Toc532553167"/>
      <w:r w:rsidRPr="009621F0">
        <w:t>Cell Lines and Viruses</w:t>
      </w:r>
      <w:bookmarkEnd w:id="217"/>
    </w:p>
    <w:p w:rsidR="009621F0" w:rsidRDefault="009621F0" w:rsidP="00FB099D">
      <w:pPr>
        <w:ind w:firstLine="720"/>
        <w:jc w:val="both"/>
      </w:pPr>
      <w:r>
        <w:t>HEK293 STF (ATCC CRL-3249) and HeLa (ATCC CCL-2) were cultured in DMEM (Thermo 11995073) supplemented with 10% Hyclone (Fisher Sci SH3006603) and 1% penicillin-streptomycin (Thermo 15140122). HCT116 (ATCC CCL-247) was cultured in McCoy 5A media (Thermo 16600108) supplemented with 10% Hyclone and 1% penicillin streptomycin. RD, (rhabdomyosarcoma) cells (ATCC-CCL-136) were cultured in DMEM (Fisher Sci SH30081.0) with 10% FBS (Atlanta Biological S11550) and 1% penicillin-streptomycin (Gibco 15140-122). Coxsackievirus A9 (strain CoxA9-01) and Echovirus 2 (strain Echo201) were obtained from the Oklahoma State Department of Health Laboratory. They are clinical isolates, obtained from OK residents and typed by the OK State Department of Health and/or the Center for Disease Control and Prevention. All other identifiers have been stripped off. These viruses were passaged twice in RD cells, aliquoted in 1.0 mL amounts and stored in complete medium at -80 ⁰C.  Each virus was titered on RD cells using a TCID-50 assay</w:t>
      </w:r>
      <w:r>
        <w:fldChar w:fldCharType="begin" w:fldLock="1"/>
      </w:r>
      <w:r w:rsidR="0057639C">
        <w:instrText>ADDIN CSL_CITATION {"citationItems":[{"id":"ITEM-1","itemData":{"DOI":"10.1093/oxfordjournals.aje.a118408","ISSN":"1476-6256","author":[{"dropping-particle":"","family":"REED","given":"L.J.","non-dropping-particle":"","parse-names":false,"suffix":""},{"dropping-particle":"","family":"MUENCH","given":"H.","non-dropping-particle":"","parse-names":false,"suffix":""}],"container-title":"American Journal of Epidemiology","id":"ITEM-1","issue":"3","issued":{"date-parts":[["1938","5","1"]]},"page":"493-497","publisher":"Oxford University Press","title":"A SIMPLE METHOD OF ESTIMATING FIFTY PER CENT ENDPOINTS12","type":"article-journal","volume":"27"},"uris":["http://www.mendeley.com/documents/?uuid=66089ab7-62d7-3fa8-9892-139f200f2c54"]}],"mendeley":{"formattedCitation":"(210)","plainTextFormattedCitation":"(210)","previouslyFormattedCitation":"(210)"},"properties":{"noteIndex":0},"schema":"https://github.com/citation-style-language/schema/raw/master/csl-citation.json"}</w:instrText>
      </w:r>
      <w:r>
        <w:fldChar w:fldCharType="separate"/>
      </w:r>
      <w:r w:rsidR="0057639C" w:rsidRPr="0057639C">
        <w:rPr>
          <w:noProof/>
        </w:rPr>
        <w:t>(210)</w:t>
      </w:r>
      <w:r>
        <w:fldChar w:fldCharType="end"/>
      </w:r>
      <w:r w:rsidR="001A474D">
        <w:t>. To allow M.O.I</w:t>
      </w:r>
      <w:r w:rsidR="001A474D">
        <w:tab/>
      </w:r>
      <w:r>
        <w:t>. to be determined a conversion factor of 0.7 was used to change TCID-50 to pfu/ml.</w:t>
      </w:r>
    </w:p>
    <w:p w:rsidR="009621F0" w:rsidRPr="009621F0" w:rsidRDefault="009621F0" w:rsidP="00042529">
      <w:pPr>
        <w:pStyle w:val="Heading3"/>
      </w:pPr>
      <w:bookmarkStart w:id="218" w:name="_Toc532553168"/>
      <w:r>
        <w:t>General Cell Culture</w:t>
      </w:r>
      <w:bookmarkEnd w:id="218"/>
    </w:p>
    <w:p w:rsidR="009621F0" w:rsidRDefault="009621F0" w:rsidP="00FB099D">
      <w:pPr>
        <w:ind w:firstLine="720"/>
        <w:jc w:val="both"/>
      </w:pPr>
      <w:r>
        <w:t>All mammalian cell lines were cultured at 37 ºC in 5% CO</w:t>
      </w:r>
      <w:r w:rsidRPr="009621F0">
        <w:rPr>
          <w:vertAlign w:val="subscript"/>
        </w:rPr>
        <w:t>2</w:t>
      </w:r>
      <w:r>
        <w:t>. All handling of the mammalian cell culture was performed in a standard tissue culture hood using standard aseptic technique. Cell lines were cultured in the complete media described above. Cell culture stocks were aliquoted in complete media with 10% DMSO in 2 mL cryogenic vials (Corning 430659) and stored in liquid nitrogen vapor phase. Before beginning a new culture, the freezer stocks were thawed, diluted in 9 mL complete media and plated in Nunclon Delta 10 cm</w:t>
      </w:r>
      <w:r w:rsidRPr="009621F0">
        <w:rPr>
          <w:vertAlign w:val="superscript"/>
        </w:rPr>
        <w:t>3</w:t>
      </w:r>
      <w:r>
        <w:t xml:space="preserve"> dishes (VWR 10171744). After allowing </w:t>
      </w:r>
      <w:r>
        <w:lastRenderedPageBreak/>
        <w:t>~16 hours for the revived cells to attach, the DMSO containing media was replaced with DMSO free complete media. All revived cultures were split at least twice prior to use in an experiment. Cell cultures were restarted approximately every 3-4 weeks. All cell based experiments reported used multiple restarted cell cultures in the independent experiments that make up the replicate results. For experiments, cell cultures were used with a confluency of ~70%. The cell cultures were not allowed to ever become superconfluent, and the cellular morphology and proliferation rate of the cell culture was carefully tracked to identify any abnormalities; any cell culture showing the slightest abnormalities were discard and the cell line restarted from frozen stocks. For experiments, cells were allowed to recover from splitting and replating a minimum of 16 hour prior to the start of an experiment.</w:t>
      </w:r>
    </w:p>
    <w:p w:rsidR="009621F0" w:rsidRDefault="009621F0" w:rsidP="00FB099D">
      <w:pPr>
        <w:ind w:firstLine="720"/>
        <w:jc w:val="both"/>
      </w:pPr>
      <w:r>
        <w:t>Cell lines are split every ~3 days with the following general procedure: the complete media is removed via aspiration and the cells are gently washed with 5 mL of 1X PBS. TrypLE trypsin reagent (2.5 mL for 10 cm</w:t>
      </w:r>
      <w:r>
        <w:rPr>
          <w:vertAlign w:val="superscript"/>
        </w:rPr>
        <w:t>3</w:t>
      </w:r>
      <w:r>
        <w:t xml:space="preserve"> plate) is added and incubated for approximately 10 minutes at 37 ºC. After 10 minutes, 7.5 mL of the complete culture media is added to inactivate the TrypLE reagent. Cells were counted using a TC20™ Automated Cell Counter (BioRad), by combining 10 µL of cell solution with 10 µL Trypan Blue stain (Thermo 15250061).</w:t>
      </w:r>
    </w:p>
    <w:p w:rsidR="009621F0" w:rsidRPr="009621F0" w:rsidRDefault="009621F0" w:rsidP="00042529">
      <w:pPr>
        <w:pStyle w:val="Heading3"/>
      </w:pPr>
      <w:bookmarkStart w:id="219" w:name="_Toc532553169"/>
      <w:r w:rsidRPr="009621F0">
        <w:t>Compound</w:t>
      </w:r>
      <w:r>
        <w:t>s</w:t>
      </w:r>
      <w:bookmarkEnd w:id="219"/>
    </w:p>
    <w:p w:rsidR="009621F0" w:rsidRDefault="009621F0" w:rsidP="00FB099D">
      <w:pPr>
        <w:ind w:firstLine="720"/>
        <w:jc w:val="both"/>
      </w:pPr>
      <w:r w:rsidRPr="009621F0">
        <w:t xml:space="preserve">The OSW-1 compound used was obtained through total synthesis in the Burgett lab or from isolation from the natural source. OSW-1 used in the experiments was of &gt;95% purity as determined with </w:t>
      </w:r>
      <w:r w:rsidRPr="009621F0">
        <w:rPr>
          <w:vertAlign w:val="superscript"/>
        </w:rPr>
        <w:t>1</w:t>
      </w:r>
      <w:r w:rsidRPr="009621F0">
        <w:t xml:space="preserve">H-NMR and LCMS analysis. Solid OSW-1 compound was dissolved in analytical grade DMSO solution to produce 10mM stocks for experimentation. The 10 mM OSW-1 stock solution was aliquoted into Eppendorf brand 1.5 mL centrifuge tubes; Each individual 10 </w:t>
      </w:r>
      <w:r w:rsidRPr="009621F0">
        <w:lastRenderedPageBreak/>
        <w:t>mM OSW-1 aliquots were thawed no more than three times. Additional cycles of freeze/thaws caused partial loss of OSW-1 compound in the aliquots.</w:t>
      </w:r>
    </w:p>
    <w:p w:rsidR="009621F0" w:rsidRDefault="009621F0" w:rsidP="00042529">
      <w:pPr>
        <w:pStyle w:val="Heading3"/>
      </w:pPr>
      <w:bookmarkStart w:id="220" w:name="_Toc532553170"/>
      <w:r w:rsidRPr="009621F0">
        <w:t>Cell Lysis</w:t>
      </w:r>
      <w:bookmarkEnd w:id="220"/>
    </w:p>
    <w:p w:rsidR="009621F0" w:rsidRPr="009621F0" w:rsidRDefault="009621F0" w:rsidP="00FB099D">
      <w:pPr>
        <w:ind w:firstLine="720"/>
        <w:jc w:val="both"/>
      </w:pPr>
      <w:r w:rsidRPr="009621F0">
        <w:t>Cells were cultured in Nunclon Delta 10 cm</w:t>
      </w:r>
      <w:r>
        <w:rPr>
          <w:vertAlign w:val="superscript"/>
        </w:rPr>
        <w:t>3</w:t>
      </w:r>
      <w:r w:rsidRPr="009621F0">
        <w:t xml:space="preserve"> dishes (VWR 10171744) and </w:t>
      </w:r>
      <w:r w:rsidR="001A474D">
        <w:t>prepared for lysis</w:t>
      </w:r>
      <w:r w:rsidRPr="009621F0">
        <w:t xml:space="preserve"> by removing the media, washing with 1X PBS, followed by addition of 1 mL PBS and scraping. Cells were collected in a 1.5 mL Eppendorf brand centrifuge tubes and </w:t>
      </w:r>
      <w:r w:rsidR="001A474D">
        <w:t>centrifuged</w:t>
      </w:r>
      <w:r w:rsidRPr="009621F0">
        <w:t xml:space="preserve"> at 14,000 x g for 45 seconds. Supernatant was removed, and the cells were resuspended in 50 µL of AC Lysis buffer (150 mM NaCl, 1.5 mM MgCl</w:t>
      </w:r>
      <w:r w:rsidRPr="009621F0">
        <w:rPr>
          <w:vertAlign w:val="subscript"/>
        </w:rPr>
        <w:t>2</w:t>
      </w:r>
      <w:r w:rsidRPr="009621F0">
        <w:t>, 5% glycerol, 0.8% NP40, 1mM DTT, 50 mM HEPES, 25 mM NaF, 1 mM Na</w:t>
      </w:r>
      <w:r w:rsidRPr="009621F0">
        <w:rPr>
          <w:vertAlign w:val="subscript"/>
        </w:rPr>
        <w:t>3</w:t>
      </w:r>
      <w:r w:rsidRPr="009621F0">
        <w:t>PO</w:t>
      </w:r>
      <w:r w:rsidRPr="009621F0">
        <w:rPr>
          <w:vertAlign w:val="subscript"/>
        </w:rPr>
        <w:t>4</w:t>
      </w:r>
      <w:r w:rsidRPr="009621F0">
        <w:t xml:space="preserve">) with 3X HALT/EDTA protease inhibitor (Thermo 78438) and 0.2 mM phenylmethanesulfonylfluoride (Goldbio). </w:t>
      </w:r>
      <w:r w:rsidR="001A474D">
        <w:t>Cells were lysed by freezing</w:t>
      </w:r>
      <w:r w:rsidRPr="009621F0">
        <w:t xml:space="preserve"> in liquid nitrogen </w:t>
      </w:r>
      <w:r w:rsidR="001A474D">
        <w:t xml:space="preserve">and thawing </w:t>
      </w:r>
      <w:r w:rsidRPr="009621F0">
        <w:t xml:space="preserve">in a 37°C bead bath three times, followed by a 14,000 x g </w:t>
      </w:r>
      <w:r w:rsidR="001A474D">
        <w:t>centrifugation</w:t>
      </w:r>
      <w:r w:rsidRPr="009621F0">
        <w:t xml:space="preserve"> for 15 minutes. Supernatant was transferred to a new tube and a portion was taken for protein quantification using a Bradford assay (Bio-Rad Protein Assay Dye Reagent Concentrate #5000006, BSA-Santa Cruz sc-2323). After protein quantification, the lysates were diluted to the desired concentration using AC lysis buffer and </w:t>
      </w:r>
      <w:r w:rsidR="001A474D">
        <w:t>a final concentration of 1</w:t>
      </w:r>
      <w:r w:rsidRPr="009621F0">
        <w:t>X Laemmli buffer (1 M Tris pH 6.8, 8% SDS, 40% glycerol, 20% β-mercaptoethanol, and 0.2% bromophenol blue), followed by dry bath heating at 95°C for 10 minutes.</w:t>
      </w:r>
    </w:p>
    <w:p w:rsidR="009621F0" w:rsidRDefault="009621F0" w:rsidP="00FB099D">
      <w:pPr>
        <w:ind w:firstLine="720"/>
        <w:jc w:val="both"/>
      </w:pPr>
      <w:r>
        <w:t>C</w:t>
      </w:r>
      <w:r w:rsidRPr="009621F0">
        <w:t xml:space="preserve">ells cultured on 6-well plates (Greiner 657160) were </w:t>
      </w:r>
      <w:r w:rsidR="001A474D">
        <w:t>prepared for lysis by removing media, washing</w:t>
      </w:r>
      <w:r w:rsidRPr="009621F0">
        <w:t xml:space="preserve"> with 1X PBS, followed by adding 0.5 mL TrypLE</w:t>
      </w:r>
      <w:r w:rsidRPr="009621F0">
        <w:rPr>
          <w:vertAlign w:val="superscript"/>
        </w:rPr>
        <w:t>TM</w:t>
      </w:r>
      <w:r w:rsidRPr="009621F0">
        <w:t xml:space="preserve"> Express (Gibco 12605010) and incubated at 37°C for 5 minutes. TrypLE</w:t>
      </w:r>
      <w:r w:rsidRPr="009621F0">
        <w:rPr>
          <w:vertAlign w:val="superscript"/>
        </w:rPr>
        <w:t>TM</w:t>
      </w:r>
      <w:r w:rsidRPr="009621F0">
        <w:t xml:space="preserve"> was neutralized using 0.5 mL of media and cells were then transferred to a 1.5 mL Eppendorf tube </w:t>
      </w:r>
      <w:r w:rsidR="001A474D">
        <w:t>and centrifuged</w:t>
      </w:r>
      <w:r w:rsidRPr="009621F0">
        <w:t xml:space="preserve"> at 14,000 x g for 45 seconds. Supernatant was removed, and 1 mL of PBS was added to wash the cells. Cells were </w:t>
      </w:r>
      <w:r w:rsidR="001A474D">
        <w:t xml:space="preserve">centrifuged </w:t>
      </w:r>
      <w:r w:rsidRPr="009621F0">
        <w:lastRenderedPageBreak/>
        <w:t xml:space="preserve">at 14,000 x g for 45 seconds, supernatant was removed, and the cells were resuspended in 50 µL of AC lysis buffer. Freeze/thaw </w:t>
      </w:r>
      <w:r w:rsidR="001A474D">
        <w:t xml:space="preserve">lysis </w:t>
      </w:r>
      <w:r w:rsidRPr="009621F0">
        <w:t>method was continued as described above.</w:t>
      </w:r>
    </w:p>
    <w:p w:rsidR="009621F0" w:rsidRDefault="009621F0" w:rsidP="00042529">
      <w:pPr>
        <w:pStyle w:val="Heading3"/>
      </w:pPr>
      <w:bookmarkStart w:id="221" w:name="_Toc532553171"/>
      <w:r w:rsidRPr="009621F0">
        <w:t>Western Blotting</w:t>
      </w:r>
      <w:bookmarkEnd w:id="221"/>
    </w:p>
    <w:p w:rsidR="008C30EF" w:rsidRDefault="009621F0" w:rsidP="00FB099D">
      <w:pPr>
        <w:ind w:firstLine="720"/>
        <w:jc w:val="both"/>
      </w:pPr>
      <w:r>
        <w:t xml:space="preserve">SDS-PAGE gels (8.5%) containing 25 µg of </w:t>
      </w:r>
      <w:r w:rsidR="001A474D">
        <w:t xml:space="preserve">total </w:t>
      </w:r>
      <w:r>
        <w:t>protein per well were transferred to 0.45 µm nitrocellulose (Bio-Rad 1620115) using constant voltage (100V) for 1 hour at 4°C in 1X transfer buffer with 10% ethanol. After transferring, the nitrocellulose membrane was blocked with 5% milk 1X TBST at room temperature for 30 minutes. The membranes were then washed three times, five minutes each, with 1X TBST. Primary incubation with antibodies was done overnight at 4°C. After primary incubation, the blots were washed five times, five minutes each, with 1X TBST and then incubated in secondary antibody in 1% milk TBST for thirty minutes at room temperature. After secondary antibody incubation, the blots were washed five times, five minutes each, with 1X TBST and then once with 1X TBS for ten minutes. TBS was removed, and the blots were incubated in ClarityTM Western ECL substrate (Bio-Rad 1705061) and imaged on the Bio-Rad ChemiDocTM Touch Imaging System using the chemiluminescence setting with 2x2 binning. Ladder images were taken using the colorimetric setting. After development, the membranes were washed with 1X TBST twice for five minutes each. 1:1000 β-actin HRP (Santa Cruz sc-47778 HRP) in 1% milk TBST was added and incubated for 1.5 h</w:t>
      </w:r>
      <w:r w:rsidR="008C30EF">
        <w:t>ou</w:t>
      </w:r>
      <w:r>
        <w:t>r</w:t>
      </w:r>
      <w:r w:rsidR="008C30EF">
        <w:t>s</w:t>
      </w:r>
      <w:r>
        <w:t xml:space="preserve"> at room temperature. Developing occurred the same as after secondary antibod</w:t>
      </w:r>
      <w:r w:rsidR="008C30EF">
        <w:t>y incubation. Primary antibody used was</w:t>
      </w:r>
      <w:r>
        <w:t xml:space="preserve"> 1:500 OSBP A-5 (Santa Cruz sc-365771)</w:t>
      </w:r>
      <w:r w:rsidR="008C30EF">
        <w:t>. Secondary antibody used was</w:t>
      </w:r>
      <w:r>
        <w:t xml:space="preserve"> 1:1000-1:3000 goat anti-mouse IgG1-HRP (Santa Cruz sc-2060).</w:t>
      </w:r>
    </w:p>
    <w:p w:rsidR="009621F0" w:rsidRDefault="001A474D" w:rsidP="00042529">
      <w:pPr>
        <w:pStyle w:val="Heading3"/>
      </w:pPr>
      <w:bookmarkStart w:id="222" w:name="_Toc532553172"/>
      <w:r>
        <w:t>ORPphillin</w:t>
      </w:r>
      <w:r w:rsidR="008C30EF" w:rsidRPr="008C30EF">
        <w:t xml:space="preserve"> Compound Treatments and Cell Viability Assay</w:t>
      </w:r>
      <w:bookmarkEnd w:id="222"/>
    </w:p>
    <w:p w:rsidR="008C30EF" w:rsidRDefault="008C30EF" w:rsidP="001A474D">
      <w:pPr>
        <w:ind w:firstLine="720"/>
        <w:jc w:val="both"/>
      </w:pPr>
      <w:r w:rsidRPr="008C30EF">
        <w:t xml:space="preserve">HCT116 </w:t>
      </w:r>
      <w:r w:rsidR="00D8126B">
        <w:t xml:space="preserve">and HEK293 </w:t>
      </w:r>
      <w:r w:rsidRPr="008C30EF">
        <w:t>cells were seeded out 5x10</w:t>
      </w:r>
      <w:r w:rsidRPr="008C30EF">
        <w:rPr>
          <w:vertAlign w:val="superscript"/>
        </w:rPr>
        <w:t>5</w:t>
      </w:r>
      <w:r w:rsidRPr="008C30EF">
        <w:t xml:space="preserve"> into 6 well plates and left to rest for 20 hours. For the co-incubation experiments the cells were treated with D</w:t>
      </w:r>
      <w:r>
        <w:t xml:space="preserve">MSO (Sigma 472301), 1 </w:t>
      </w:r>
      <w:r>
        <w:lastRenderedPageBreak/>
        <w:t>nM OSW-1</w:t>
      </w:r>
      <w:r w:rsidRPr="008C30EF">
        <w:t xml:space="preserve">, </w:t>
      </w:r>
      <w:r>
        <w:t xml:space="preserve">1 nM Taxol, </w:t>
      </w:r>
      <w:r w:rsidRPr="008C30EF">
        <w:t>10µM</w:t>
      </w:r>
      <w:r>
        <w:t xml:space="preserve"> Itraconazole (Sigma I6657), </w:t>
      </w:r>
      <w:r w:rsidRPr="008C30EF">
        <w:t>10µM</w:t>
      </w:r>
      <w:r>
        <w:t xml:space="preserve"> TTP, </w:t>
      </w:r>
      <w:r w:rsidRPr="008C30EF">
        <w:t xml:space="preserve">10µM T-00127-HEV2, or a combination of treatments for 24 hours. Cells were washed with 1X PBS </w:t>
      </w:r>
      <w:r>
        <w:t>and then incubated in 0.5 mL Try</w:t>
      </w:r>
      <w:r w:rsidRPr="008C30EF">
        <w:t>p</w:t>
      </w:r>
      <w:r>
        <w:t>LE</w:t>
      </w:r>
      <w:r>
        <w:rPr>
          <w:vertAlign w:val="superscript"/>
        </w:rPr>
        <w:t>TM</w:t>
      </w:r>
      <w:r w:rsidRPr="008C30EF">
        <w:t xml:space="preserve"> for five minutes at 37°C. Reaction was neutralized using 0.5 mL of fresh media and cells were counted on a TC20™ Automated Cell Counter (BioRad) by combining 10 µL of cell solution with 10 µL Trypan Blue stain (Thermo 15250061). The rest of the cell solution was lysed and analyzed by western blotting.</w:t>
      </w:r>
    </w:p>
    <w:p w:rsidR="008C30EF" w:rsidRDefault="00D8126B" w:rsidP="00042529">
      <w:pPr>
        <w:pStyle w:val="Heading3"/>
      </w:pPr>
      <w:bookmarkStart w:id="223" w:name="_Toc532553173"/>
      <w:r w:rsidRPr="00D8126B">
        <w:t>Sterol Treatments</w:t>
      </w:r>
      <w:bookmarkEnd w:id="223"/>
    </w:p>
    <w:p w:rsidR="00B021CD" w:rsidRDefault="00D8126B" w:rsidP="00FB099D">
      <w:pPr>
        <w:ind w:firstLine="720"/>
        <w:jc w:val="both"/>
      </w:pPr>
      <w:r>
        <w:t xml:space="preserve">HCT116 </w:t>
      </w:r>
      <w:r w:rsidRPr="00D8126B">
        <w:t>cells were seeded out 5x10</w:t>
      </w:r>
      <w:r w:rsidRPr="00D8126B">
        <w:rPr>
          <w:vertAlign w:val="superscript"/>
        </w:rPr>
        <w:t>5</w:t>
      </w:r>
      <w:r w:rsidRPr="00D8126B">
        <w:t xml:space="preserve"> into 6 well plates and left to rest for 20 hours. For the co-incubation experiments the cells were treated with 100% Ethanol, </w:t>
      </w:r>
      <w:r>
        <w:t>1 nM OSW-1</w:t>
      </w:r>
      <w:r w:rsidRPr="00D8126B">
        <w:t>, 10 µM 25-hydroxycholsterol (</w:t>
      </w:r>
      <w:r>
        <w:t xml:space="preserve">Cayman Chemical </w:t>
      </w:r>
      <w:r w:rsidRPr="00D8126B">
        <w:t>11097), 10 µM 20-α-hydroxycholesterol (</w:t>
      </w:r>
      <w:r>
        <w:t>Cayman Chemical</w:t>
      </w:r>
      <w:r w:rsidR="00B021CD">
        <w:t xml:space="preserve"> </w:t>
      </w:r>
      <w:r w:rsidR="00B021CD" w:rsidRPr="00B021CD">
        <w:t>20103</w:t>
      </w:r>
      <w:r w:rsidRPr="00D8126B">
        <w:t>), or a mixture for 24 hours. Cells were lysed and analyzed by western blotting.</w:t>
      </w:r>
    </w:p>
    <w:p w:rsidR="00B021CD" w:rsidRPr="00B021CD" w:rsidRDefault="00B021CD" w:rsidP="00042529">
      <w:pPr>
        <w:pStyle w:val="Heading3"/>
      </w:pPr>
      <w:bookmarkStart w:id="224" w:name="_Toc532553174"/>
      <w:r w:rsidRPr="00B021CD">
        <w:t>Immunofluorescence</w:t>
      </w:r>
      <w:bookmarkEnd w:id="224"/>
    </w:p>
    <w:p w:rsidR="00B021CD" w:rsidRDefault="00B021CD" w:rsidP="00FB099D">
      <w:pPr>
        <w:ind w:firstLine="720"/>
        <w:jc w:val="both"/>
      </w:pPr>
      <w:r>
        <w:t>HCT116 cells were</w:t>
      </w:r>
      <w:r w:rsidRPr="00B021CD">
        <w:t xml:space="preserve"> seeded</w:t>
      </w:r>
      <w:r>
        <w:t xml:space="preserve"> at 50,000 cells</w:t>
      </w:r>
      <w:r w:rsidRPr="00B021CD">
        <w:t xml:space="preserve"> onto sterile 18 mm cover slips in 12 well plates for treatments lasting 24 hrs. The cells rested for 24 hours before treatment to ensure attachment of the cells. Once treatments were completed, media was removed and cells were washed with warm 1X PBS. PBS was removed and 0.5 mL of freshly prepared 4% paraformaldehyde in PBS was added. Cover slips were at 37°C for 20 min</w:t>
      </w:r>
      <w:r>
        <w:t>ute</w:t>
      </w:r>
      <w:r w:rsidRPr="00B021CD">
        <w:t xml:space="preserve">s and then the paraformaldehyde was removed followed by three 1X PBS washes. Permeabilization of the cells was done with 0.5 mL of 0.5% Triton X-100 in PBS at room temperature for 10 minutes. 1X PBS was used to wash the cells three times. Image-iT FX signal enhancer (Thermo I36933) was added onto the cover slips, and incubate at room temperature for 30 minutes followed by three 1X PBS washes. Coverslips were blocked with 0.5 mL of 1% BSA in PBS at room temperature for 30 minutes followed by three washes with 1X PBS. Primary antibody was added and the slips were incubated overnight at 4°C. The </w:t>
      </w:r>
      <w:r w:rsidRPr="00B021CD">
        <w:lastRenderedPageBreak/>
        <w:t>primary antibody solution was removed and the cover slips were washed three times with 1X PBS. Secondary antibody was incubated in darkness at room temperature for one hour. Removed the secondary antibody solution and washed three times with 1% BSA-PBS, three times with 1X PBS, and then soaked the cover slip in 300 nM DAPI (Thermo D1306) solution for 10 minutes Mounted the slips onto glass slides using VECTASHEILD HardSet Antifade mounting media (VECTOR labs H-1400). Stored slides at -20°C until imaging was conducted. Primary antibodies used were 1:100 OSBP1 1F2 (Novus NBP2-00935) and 1:500 TGN46 (Novus NBP1-49643). Secondary antibodies used were 1:500 goat anti-mouse IgG H&amp;L Alexa Fluor® 488 (Abcam ab150113) and donkey anti-rabbit IgG H&amp;L Alexa Fluor® 594 (Abcam ab150076). Imaging was done with a Lecia SP8 using a 63x objective with 2x digital zoom. Images were analyzed with ImageJ software.</w:t>
      </w:r>
    </w:p>
    <w:p w:rsidR="00B021CD" w:rsidRPr="00B021CD" w:rsidRDefault="00B021CD" w:rsidP="00042529">
      <w:pPr>
        <w:pStyle w:val="Heading3"/>
      </w:pPr>
      <w:bookmarkStart w:id="225" w:name="_Toc532553175"/>
      <w:r w:rsidRPr="00B021CD">
        <w:t>Cytotoxicity Assay</w:t>
      </w:r>
      <w:bookmarkEnd w:id="225"/>
    </w:p>
    <w:p w:rsidR="00B021CD" w:rsidRDefault="00B021CD" w:rsidP="00FB099D">
      <w:pPr>
        <w:ind w:firstLine="720"/>
        <w:jc w:val="both"/>
      </w:pPr>
      <w:r>
        <w:t>HCT116 cells were seeded out at 2,000 cells per well into opaque 96 well Falcon plates (VWR 25382-208). Cells were allowed to rest for 20 hours before treatments. Day zero control plate was created by adding 25 µL of media containing either 0.1% DMSO or 1% DMSO and 20 µL of cell titer blue (Promega G8081) to each of the wells containing cells. Incubated at 37°C with 5% CO</w:t>
      </w:r>
      <w:r w:rsidRPr="00B021CD">
        <w:rPr>
          <w:vertAlign w:val="subscript"/>
        </w:rPr>
        <w:t>2</w:t>
      </w:r>
      <w:r>
        <w:t xml:space="preserve"> for 1 hour and 30 minutes. Plates were read using a GloMax® Discover using the Cell Titer Blue protocol. Remaining plates with cells were treated with various dilutions of drugs and incubated at 37°C for 48 hours under 5% CO</w:t>
      </w:r>
      <w:r w:rsidRPr="00B021CD">
        <w:rPr>
          <w:vertAlign w:val="subscript"/>
        </w:rPr>
        <w:t>2</w:t>
      </w:r>
      <w:r>
        <w:t>. After the incubation time, 20 µL of cell titer blue was added to the wells and the plates were incubated and read as incubated above. Control plate was subtracted from the treatment plate and the values were analyzed using GraphPad Prism software.</w:t>
      </w:r>
    </w:p>
    <w:p w:rsidR="00B021CD" w:rsidRDefault="00B021CD" w:rsidP="00FB099D">
      <w:pPr>
        <w:ind w:firstLine="720"/>
        <w:jc w:val="both"/>
      </w:pPr>
      <w:r>
        <w:t xml:space="preserve">Co-incubation experiments were done using the same protocol above by Mr. </w:t>
      </w:r>
      <w:r w:rsidR="00E87672">
        <w:t>Zachary</w:t>
      </w:r>
      <w:r>
        <w:t xml:space="preserve"> Severance with HeLa cells seeded out at 5,000 cells per well. 10</w:t>
      </w:r>
      <w:r>
        <w:rPr>
          <w:rFonts w:cstheme="minorHAnsi"/>
        </w:rPr>
        <w:t>µ</w:t>
      </w:r>
      <w:r>
        <w:t xml:space="preserve">M of ITZ, TTP, or THEV2 were </w:t>
      </w:r>
      <w:r>
        <w:lastRenderedPageBreak/>
        <w:t>added to all the wells during the 48-hour treatment and the OSW-1 concentration was varied between wells.</w:t>
      </w:r>
    </w:p>
    <w:p w:rsidR="00B021CD" w:rsidRDefault="00B021CD" w:rsidP="00042529">
      <w:pPr>
        <w:pStyle w:val="Heading3"/>
      </w:pPr>
      <w:bookmarkStart w:id="226" w:name="_Toc532553176"/>
      <w:r w:rsidRPr="002D46ED">
        <w:t>([3H]-25-OHC) Charcoal/Dextran Binding Assay</w:t>
      </w:r>
      <w:bookmarkEnd w:id="226"/>
    </w:p>
    <w:p w:rsidR="00D8126B" w:rsidRDefault="00B021CD" w:rsidP="00FB099D">
      <w:pPr>
        <w:ind w:firstLine="720"/>
        <w:jc w:val="both"/>
        <w:rPr>
          <w:rFonts w:cstheme="minorHAnsi"/>
        </w:rPr>
      </w:pPr>
      <w:r w:rsidRPr="00B021CD">
        <w:rPr>
          <w:rFonts w:cstheme="minorHAnsi"/>
        </w:rPr>
        <w:t xml:space="preserve">The [3H]-25-OHC binding assay was run according to the protocol outlined </w:t>
      </w:r>
      <w:r>
        <w:rPr>
          <w:rFonts w:cstheme="minorHAnsi"/>
        </w:rPr>
        <w:t>in</w:t>
      </w:r>
      <w:r w:rsidRPr="00B021CD">
        <w:rPr>
          <w:rFonts w:cstheme="minorHAnsi"/>
        </w:rPr>
        <w:t xml:space="preserve"> Burgett et al</w:t>
      </w:r>
      <w:r w:rsidRPr="00B021CD">
        <w:rPr>
          <w:rFonts w:cstheme="minorHAnsi"/>
          <w:vertAlign w:val="superscript"/>
        </w:rPr>
        <w:fldChar w:fldCharType="begin" w:fldLock="1"/>
      </w:r>
      <w:r w:rsidR="00393368">
        <w:rPr>
          <w:rFonts w:cstheme="minorHAnsi"/>
          <w:vertAlign w:val="superscript"/>
        </w:rPr>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Pr="00B021CD">
        <w:rPr>
          <w:rFonts w:cstheme="minorHAnsi"/>
          <w:vertAlign w:val="superscript"/>
        </w:rPr>
        <w:fldChar w:fldCharType="separate"/>
      </w:r>
      <w:r w:rsidR="00393368" w:rsidRPr="00393368">
        <w:rPr>
          <w:rFonts w:cstheme="minorHAnsi"/>
          <w:noProof/>
        </w:rPr>
        <w:t>(46)</w:t>
      </w:r>
      <w:r w:rsidRPr="00B021CD">
        <w:rPr>
          <w:rFonts w:cstheme="minorHAnsi"/>
          <w:vertAlign w:val="superscript"/>
        </w:rPr>
        <w:fldChar w:fldCharType="end"/>
      </w:r>
      <w:r>
        <w:rPr>
          <w:rFonts w:cstheme="minorHAnsi"/>
          <w:vertAlign w:val="superscript"/>
        </w:rPr>
        <w:t xml:space="preserve"> </w:t>
      </w:r>
      <w:r>
        <w:rPr>
          <w:rFonts w:cstheme="minorHAnsi"/>
        </w:rPr>
        <w:t xml:space="preserve">by Mr. </w:t>
      </w:r>
      <w:r w:rsidR="00E87672">
        <w:rPr>
          <w:rFonts w:cstheme="minorHAnsi"/>
        </w:rPr>
        <w:t>Zachary</w:t>
      </w:r>
      <w:r>
        <w:rPr>
          <w:rFonts w:cstheme="minorHAnsi"/>
        </w:rPr>
        <w:t xml:space="preserve"> Severance and Mr. Ryan </w:t>
      </w:r>
      <w:r w:rsidR="00BE3671">
        <w:rPr>
          <w:rFonts w:cstheme="minorHAnsi"/>
        </w:rPr>
        <w:t>Bensen</w:t>
      </w:r>
      <w:r w:rsidRPr="00B021CD">
        <w:rPr>
          <w:rFonts w:cstheme="minorHAnsi"/>
        </w:rPr>
        <w:t>.</w:t>
      </w:r>
    </w:p>
    <w:p w:rsidR="00006268" w:rsidRDefault="00006268" w:rsidP="00042529">
      <w:pPr>
        <w:pStyle w:val="Heading3"/>
      </w:pPr>
      <w:bookmarkStart w:id="227" w:name="_Toc532553177"/>
      <w:r>
        <w:t>Antiviral Experiments</w:t>
      </w:r>
      <w:bookmarkEnd w:id="227"/>
    </w:p>
    <w:p w:rsidR="00006268" w:rsidRPr="00006268" w:rsidRDefault="00006268" w:rsidP="00FB099D">
      <w:pPr>
        <w:ind w:firstLine="720"/>
        <w:jc w:val="both"/>
        <w:rPr>
          <w:rFonts w:cstheme="minorHAnsi"/>
        </w:rPr>
      </w:pPr>
      <w:r w:rsidRPr="00006268">
        <w:rPr>
          <w:rFonts w:cstheme="minorHAnsi"/>
        </w:rPr>
        <w:t>HeLa cells were grown to &lt;75% confluency (healthy log phase cells) in complete media, DMEM (Hyclone SH30081.0) with 10% FBS (Atlanta Biological S11550) and 1% penicillin-streptomycin (Gibco 15140-122). For experiments, cells were trypsinized, counted using a hemocytometer and seeded into 20 wells of two 24-well trays (Falcon 3047) with 2.0 x 10</w:t>
      </w:r>
      <w:r w:rsidRPr="00006268">
        <w:rPr>
          <w:rFonts w:cstheme="minorHAnsi"/>
          <w:vertAlign w:val="superscript"/>
        </w:rPr>
        <w:t>5</w:t>
      </w:r>
      <w:r w:rsidRPr="00006268">
        <w:rPr>
          <w:rFonts w:cstheme="minorHAnsi"/>
        </w:rPr>
        <w:t xml:space="preserve"> cells per well, in 1.0 mL complete media. Each treatment is performed using quadruplicate wells (n=4) and each virus was on a separate plate. After seeding, cells were incubated 20 h</w:t>
      </w:r>
      <w:r>
        <w:rPr>
          <w:rFonts w:cstheme="minorHAnsi"/>
        </w:rPr>
        <w:t>ou</w:t>
      </w:r>
      <w:r w:rsidRPr="00006268">
        <w:rPr>
          <w:rFonts w:cstheme="minorHAnsi"/>
        </w:rPr>
        <w:t>r at 37 ºC, 5% CO</w:t>
      </w:r>
      <w:r w:rsidRPr="00006268">
        <w:rPr>
          <w:rFonts w:cstheme="minorHAnsi"/>
          <w:vertAlign w:val="subscript"/>
        </w:rPr>
        <w:t>2</w:t>
      </w:r>
      <w:r w:rsidRPr="00006268">
        <w:rPr>
          <w:rFonts w:cstheme="minorHAnsi"/>
        </w:rPr>
        <w:t>, at which point cells have grown to a near confluent monolayer.</w:t>
      </w:r>
    </w:p>
    <w:p w:rsidR="00006268" w:rsidRPr="00006268" w:rsidRDefault="00006268" w:rsidP="00FB099D">
      <w:pPr>
        <w:ind w:firstLine="720"/>
        <w:jc w:val="both"/>
        <w:rPr>
          <w:rFonts w:cstheme="minorHAnsi"/>
        </w:rPr>
      </w:pPr>
      <w:r>
        <w:rPr>
          <w:rFonts w:cstheme="minorHAnsi"/>
        </w:rPr>
        <w:t xml:space="preserve">For the </w:t>
      </w:r>
      <w:r w:rsidRPr="00006268">
        <w:rPr>
          <w:rFonts w:cstheme="minorHAnsi"/>
        </w:rPr>
        <w:t xml:space="preserve">continual </w:t>
      </w:r>
      <w:r>
        <w:rPr>
          <w:rFonts w:cstheme="minorHAnsi"/>
        </w:rPr>
        <w:t>compound treatment experiments, (</w:t>
      </w:r>
      <w:r w:rsidR="00B40D03" w:rsidRPr="00B40D03">
        <w:rPr>
          <w:rFonts w:cstheme="minorHAnsi"/>
          <w:b/>
        </w:rPr>
        <w:fldChar w:fldCharType="begin"/>
      </w:r>
      <w:r w:rsidR="00B40D03" w:rsidRPr="00B40D03">
        <w:rPr>
          <w:rFonts w:cstheme="minorHAnsi"/>
          <w:b/>
        </w:rPr>
        <w:instrText xml:space="preserve"> REF _Ref530234236 \h  \* MERGEFORMAT </w:instrText>
      </w:r>
      <w:r w:rsidR="00B40D03" w:rsidRPr="00B40D03">
        <w:rPr>
          <w:rFonts w:cstheme="minorHAnsi"/>
          <w:b/>
        </w:rPr>
      </w:r>
      <w:r w:rsidR="00B40D03" w:rsidRPr="00B40D03">
        <w:rPr>
          <w:rFonts w:cstheme="minorHAnsi"/>
          <w:b/>
        </w:rPr>
        <w:fldChar w:fldCharType="separate"/>
      </w:r>
      <w:r w:rsidR="00E2070A" w:rsidRPr="00E2070A">
        <w:rPr>
          <w:b/>
        </w:rPr>
        <w:t xml:space="preserve">Figure </w:t>
      </w:r>
      <w:r w:rsidR="00E2070A" w:rsidRPr="00E2070A">
        <w:rPr>
          <w:b/>
          <w:noProof/>
        </w:rPr>
        <w:t>33</w:t>
      </w:r>
      <w:r w:rsidR="00B40D03" w:rsidRPr="00B40D03">
        <w:rPr>
          <w:rFonts w:cstheme="minorHAnsi"/>
          <w:b/>
        </w:rPr>
        <w:fldChar w:fldCharType="end"/>
      </w:r>
      <w:r w:rsidRPr="00B40D03">
        <w:rPr>
          <w:rFonts w:cstheme="minorHAnsi"/>
          <w:b/>
        </w:rPr>
        <w:t>A</w:t>
      </w:r>
      <w:r w:rsidRPr="00006268">
        <w:rPr>
          <w:rFonts w:cstheme="minorHAnsi"/>
        </w:rPr>
        <w:t>), the media was gently removed from each well, and 1mL of media was added with the desired compound concentration to each well, without disturbing the cells. Cells were incubated for 6 h</w:t>
      </w:r>
      <w:r>
        <w:rPr>
          <w:rFonts w:cstheme="minorHAnsi"/>
        </w:rPr>
        <w:t>ou</w:t>
      </w:r>
      <w:r w:rsidRPr="00006268">
        <w:rPr>
          <w:rFonts w:cstheme="minorHAnsi"/>
        </w:rPr>
        <w:t>r</w:t>
      </w:r>
      <w:r>
        <w:rPr>
          <w:rFonts w:cstheme="minorHAnsi"/>
        </w:rPr>
        <w:t>s</w:t>
      </w:r>
      <w:r w:rsidRPr="00006268">
        <w:rPr>
          <w:rFonts w:cstheme="minorHAnsi"/>
        </w:rPr>
        <w:t>, after which time the media was removed and cells were gently washed three times with 1.0 mL of FBS-free DMEM media. After the media was removed, CoxA9-01 or Echo2-01 viruses, diluted in serum-free DMEM with a M.O.I. of 1.0 was added to the culture. The 2.0 x 10</w:t>
      </w:r>
      <w:r w:rsidRPr="00006268">
        <w:rPr>
          <w:rFonts w:cstheme="minorHAnsi"/>
          <w:vertAlign w:val="superscript"/>
        </w:rPr>
        <w:t>5</w:t>
      </w:r>
      <w:r w:rsidRPr="00006268">
        <w:rPr>
          <w:rFonts w:cstheme="minorHAnsi"/>
        </w:rPr>
        <w:t xml:space="preserve"> cells per well was assumed to double during incubation so 4.0 x 10</w:t>
      </w:r>
      <w:r w:rsidRPr="00006268">
        <w:rPr>
          <w:rFonts w:cstheme="minorHAnsi"/>
          <w:vertAlign w:val="superscript"/>
        </w:rPr>
        <w:t>5</w:t>
      </w:r>
      <w:r w:rsidRPr="00006268">
        <w:rPr>
          <w:rFonts w:cstheme="minorHAnsi"/>
        </w:rPr>
        <w:t xml:space="preserve"> pfu/well of virus was used for an M.O.I. of 1.0.  The virus and cells were incubated for 30 minutes at 37 ºC 5% CO</w:t>
      </w:r>
      <w:r w:rsidRPr="00006268">
        <w:rPr>
          <w:rFonts w:cstheme="minorHAnsi"/>
          <w:vertAlign w:val="subscript"/>
        </w:rPr>
        <w:t>2</w:t>
      </w:r>
      <w:r w:rsidRPr="00006268">
        <w:rPr>
          <w:rFonts w:cstheme="minorHAnsi"/>
        </w:rPr>
        <w:t xml:space="preserve">. Then, the virus inoculum was removed, and the culture washed one time with 1.0 mL of serum-free media per well. Then, 1.0 mL of complete media with the indicated concentration of </w:t>
      </w:r>
      <w:r>
        <w:rPr>
          <w:rFonts w:cstheme="minorHAnsi"/>
        </w:rPr>
        <w:t>compound</w:t>
      </w:r>
      <w:r w:rsidRPr="00006268">
        <w:rPr>
          <w:rFonts w:cstheme="minorHAnsi"/>
        </w:rPr>
        <w:t xml:space="preserve"> was added to the well, and the </w:t>
      </w:r>
      <w:r w:rsidRPr="00006268">
        <w:rPr>
          <w:rFonts w:cstheme="minorHAnsi"/>
        </w:rPr>
        <w:lastRenderedPageBreak/>
        <w:t>infected cells were then incubated for 10 h</w:t>
      </w:r>
      <w:r>
        <w:rPr>
          <w:rFonts w:cstheme="minorHAnsi"/>
        </w:rPr>
        <w:t>ou</w:t>
      </w:r>
      <w:r w:rsidRPr="00006268">
        <w:rPr>
          <w:rFonts w:cstheme="minorHAnsi"/>
        </w:rPr>
        <w:t>r</w:t>
      </w:r>
      <w:r>
        <w:rPr>
          <w:rFonts w:cstheme="minorHAnsi"/>
        </w:rPr>
        <w:t>s</w:t>
      </w:r>
      <w:r w:rsidRPr="00006268">
        <w:rPr>
          <w:rFonts w:cstheme="minorHAnsi"/>
        </w:rPr>
        <w:t xml:space="preserve"> at 37 ºC, 5% CO</w:t>
      </w:r>
      <w:r w:rsidRPr="00006268">
        <w:rPr>
          <w:rFonts w:cstheme="minorHAnsi"/>
          <w:vertAlign w:val="subscript"/>
        </w:rPr>
        <w:t>2</w:t>
      </w:r>
      <w:r w:rsidRPr="00006268">
        <w:rPr>
          <w:rFonts w:cstheme="minorHAnsi"/>
        </w:rPr>
        <w:t>. After 10 h</w:t>
      </w:r>
      <w:r>
        <w:rPr>
          <w:rFonts w:cstheme="minorHAnsi"/>
        </w:rPr>
        <w:t>ou</w:t>
      </w:r>
      <w:r w:rsidRPr="00006268">
        <w:rPr>
          <w:rFonts w:cstheme="minorHAnsi"/>
        </w:rPr>
        <w:t xml:space="preserve">rs the plate was stored at -80 ⁰C until the TCID-50 titration. </w:t>
      </w:r>
      <w:r w:rsidR="001A474D">
        <w:rPr>
          <w:rFonts w:cstheme="minorHAnsi"/>
        </w:rPr>
        <w:t>The</w:t>
      </w:r>
      <w:r w:rsidR="001A474D" w:rsidRPr="0060149E">
        <w:rPr>
          <w:rFonts w:cstheme="minorHAnsi"/>
        </w:rPr>
        <w:t xml:space="preserve"> experiment </w:t>
      </w:r>
      <w:r w:rsidR="001A474D">
        <w:rPr>
          <w:rFonts w:cstheme="minorHAnsi"/>
        </w:rPr>
        <w:t xml:space="preserve">reported in the </w:t>
      </w:r>
      <w:r w:rsidR="001A474D" w:rsidRPr="001A474D">
        <w:rPr>
          <w:rFonts w:cstheme="minorHAnsi"/>
          <w:b/>
        </w:rPr>
        <w:fldChar w:fldCharType="begin"/>
      </w:r>
      <w:r w:rsidR="001A474D" w:rsidRPr="001A474D">
        <w:rPr>
          <w:rFonts w:cstheme="minorHAnsi"/>
          <w:b/>
        </w:rPr>
        <w:instrText xml:space="preserve"> REF _Ref530234236 \h  \* MERGEFORMAT </w:instrText>
      </w:r>
      <w:r w:rsidR="001A474D" w:rsidRPr="001A474D">
        <w:rPr>
          <w:rFonts w:cstheme="minorHAnsi"/>
          <w:b/>
        </w:rPr>
      </w:r>
      <w:r w:rsidR="001A474D" w:rsidRPr="001A474D">
        <w:rPr>
          <w:rFonts w:cstheme="minorHAnsi"/>
          <w:b/>
        </w:rPr>
        <w:fldChar w:fldCharType="separate"/>
      </w:r>
      <w:r w:rsidR="00E2070A" w:rsidRPr="00E2070A">
        <w:rPr>
          <w:b/>
        </w:rPr>
        <w:t xml:space="preserve">Figure </w:t>
      </w:r>
      <w:r w:rsidR="00E2070A" w:rsidRPr="00E2070A">
        <w:rPr>
          <w:b/>
          <w:noProof/>
        </w:rPr>
        <w:t>33</w:t>
      </w:r>
      <w:r w:rsidR="001A474D" w:rsidRPr="001A474D">
        <w:rPr>
          <w:rFonts w:cstheme="minorHAnsi"/>
          <w:b/>
        </w:rPr>
        <w:fldChar w:fldCharType="end"/>
      </w:r>
      <w:r w:rsidR="001A474D">
        <w:rPr>
          <w:rFonts w:cstheme="minorHAnsi"/>
          <w:b/>
        </w:rPr>
        <w:t>A</w:t>
      </w:r>
      <w:r w:rsidR="001A474D">
        <w:rPr>
          <w:rFonts w:cstheme="minorHAnsi"/>
        </w:rPr>
        <w:t xml:space="preserve"> </w:t>
      </w:r>
      <w:r w:rsidR="001A474D" w:rsidRPr="0060149E">
        <w:rPr>
          <w:rFonts w:cstheme="minorHAnsi"/>
        </w:rPr>
        <w:t>was</w:t>
      </w:r>
      <w:r w:rsidR="001A474D">
        <w:rPr>
          <w:rFonts w:cstheme="minorHAnsi"/>
        </w:rPr>
        <w:t xml:space="preserve"> repeated</w:t>
      </w:r>
      <w:r w:rsidR="001A474D" w:rsidRPr="0060149E">
        <w:rPr>
          <w:rFonts w:cstheme="minorHAnsi"/>
        </w:rPr>
        <w:t xml:space="preserve"> independently three times</w:t>
      </w:r>
      <w:r w:rsidR="001A474D">
        <w:rPr>
          <w:rFonts w:cstheme="minorHAnsi"/>
        </w:rPr>
        <w:t>.</w:t>
      </w:r>
    </w:p>
    <w:p w:rsidR="005A68D1" w:rsidRDefault="00006268" w:rsidP="00FB099D">
      <w:pPr>
        <w:ind w:firstLine="720"/>
        <w:jc w:val="both"/>
        <w:rPr>
          <w:rFonts w:cstheme="minorHAnsi"/>
        </w:rPr>
      </w:pPr>
      <w:r w:rsidRPr="00006268">
        <w:rPr>
          <w:rFonts w:cstheme="minorHAnsi"/>
        </w:rPr>
        <w:t>For the compound washout treatment experiments, (</w:t>
      </w:r>
      <w:r w:rsidR="00B40D03" w:rsidRPr="00B40D03">
        <w:rPr>
          <w:rFonts w:cstheme="minorHAnsi"/>
          <w:b/>
        </w:rPr>
        <w:fldChar w:fldCharType="begin"/>
      </w:r>
      <w:r w:rsidR="00B40D03" w:rsidRPr="00B40D03">
        <w:rPr>
          <w:rFonts w:cstheme="minorHAnsi"/>
          <w:b/>
        </w:rPr>
        <w:instrText xml:space="preserve"> REF _Ref530234236 \h  \* MERGEFORMAT </w:instrText>
      </w:r>
      <w:r w:rsidR="00B40D03" w:rsidRPr="00B40D03">
        <w:rPr>
          <w:rFonts w:cstheme="minorHAnsi"/>
          <w:b/>
        </w:rPr>
      </w:r>
      <w:r w:rsidR="00B40D03" w:rsidRPr="00B40D03">
        <w:rPr>
          <w:rFonts w:cstheme="minorHAnsi"/>
          <w:b/>
        </w:rPr>
        <w:fldChar w:fldCharType="separate"/>
      </w:r>
      <w:r w:rsidR="00E2070A" w:rsidRPr="00E2070A">
        <w:rPr>
          <w:b/>
        </w:rPr>
        <w:t xml:space="preserve">Figure </w:t>
      </w:r>
      <w:r w:rsidR="00E2070A" w:rsidRPr="00E2070A">
        <w:rPr>
          <w:b/>
          <w:noProof/>
        </w:rPr>
        <w:t>33</w:t>
      </w:r>
      <w:r w:rsidR="00B40D03" w:rsidRPr="00B40D03">
        <w:rPr>
          <w:rFonts w:cstheme="minorHAnsi"/>
          <w:b/>
        </w:rPr>
        <w:fldChar w:fldCharType="end"/>
      </w:r>
      <w:r w:rsidRPr="00B40D03">
        <w:rPr>
          <w:rFonts w:cstheme="minorHAnsi"/>
          <w:b/>
        </w:rPr>
        <w:t>B</w:t>
      </w:r>
      <w:r w:rsidRPr="00006268">
        <w:rPr>
          <w:rFonts w:cstheme="minorHAnsi"/>
        </w:rPr>
        <w:t>), cells were seeded as above</w:t>
      </w:r>
      <w:r w:rsidR="005A68D1">
        <w:rPr>
          <w:rFonts w:cstheme="minorHAnsi"/>
        </w:rPr>
        <w:t xml:space="preserve"> and a 6 well plate was seeded with 4.5x10</w:t>
      </w:r>
      <w:r w:rsidR="005A68D1">
        <w:rPr>
          <w:rFonts w:cstheme="minorHAnsi"/>
          <w:vertAlign w:val="superscript"/>
        </w:rPr>
        <w:t xml:space="preserve">5 </w:t>
      </w:r>
      <w:r w:rsidR="005A68D1">
        <w:rPr>
          <w:rFonts w:cstheme="minorHAnsi"/>
        </w:rPr>
        <w:t>cells per well</w:t>
      </w:r>
      <w:r w:rsidRPr="00006268">
        <w:rPr>
          <w:rFonts w:cstheme="minorHAnsi"/>
        </w:rPr>
        <w:t>. After 20 h</w:t>
      </w:r>
      <w:r>
        <w:rPr>
          <w:rFonts w:cstheme="minorHAnsi"/>
        </w:rPr>
        <w:t>ou</w:t>
      </w:r>
      <w:r w:rsidRPr="00006268">
        <w:rPr>
          <w:rFonts w:cstheme="minorHAnsi"/>
        </w:rPr>
        <w:t>r</w:t>
      </w:r>
      <w:r>
        <w:rPr>
          <w:rFonts w:cstheme="minorHAnsi"/>
        </w:rPr>
        <w:t>s</w:t>
      </w:r>
      <w:r w:rsidRPr="00006268">
        <w:rPr>
          <w:rFonts w:cstheme="minorHAnsi"/>
        </w:rPr>
        <w:t xml:space="preserve"> </w:t>
      </w:r>
      <w:r>
        <w:rPr>
          <w:rFonts w:cstheme="minorHAnsi"/>
        </w:rPr>
        <w:t xml:space="preserve">of </w:t>
      </w:r>
      <w:r w:rsidRPr="00006268">
        <w:rPr>
          <w:rFonts w:cstheme="minorHAnsi"/>
        </w:rPr>
        <w:t>incubation the media was gently removed from each well, and 1mL of media was added</w:t>
      </w:r>
      <w:r w:rsidR="005A68D1">
        <w:rPr>
          <w:rFonts w:cstheme="minorHAnsi"/>
        </w:rPr>
        <w:t xml:space="preserve"> to each well for the 24 well plate and 3 mL of media for the 6 well plate</w:t>
      </w:r>
      <w:r w:rsidRPr="00006268">
        <w:rPr>
          <w:rFonts w:cstheme="minorHAnsi"/>
        </w:rPr>
        <w:t xml:space="preserve"> with the desired compound concentration to each well, without disturbing the cells. Cells were incubated for 6 h</w:t>
      </w:r>
      <w:r>
        <w:rPr>
          <w:rFonts w:cstheme="minorHAnsi"/>
        </w:rPr>
        <w:t>ou</w:t>
      </w:r>
      <w:r w:rsidRPr="00006268">
        <w:rPr>
          <w:rFonts w:cstheme="minorHAnsi"/>
        </w:rPr>
        <w:t>r</w:t>
      </w:r>
      <w:r>
        <w:rPr>
          <w:rFonts w:cstheme="minorHAnsi"/>
        </w:rPr>
        <w:t>s</w:t>
      </w:r>
      <w:r w:rsidRPr="00006268">
        <w:rPr>
          <w:rFonts w:cstheme="minorHAnsi"/>
        </w:rPr>
        <w:t>, after which time the media was removed and cells were gently washed three times with 1.0 mL of FBS-free DMEM media. This was replaced with complete media and cells allowed to incubate for 20 h</w:t>
      </w:r>
      <w:r>
        <w:rPr>
          <w:rFonts w:cstheme="minorHAnsi"/>
        </w:rPr>
        <w:t>ou</w:t>
      </w:r>
      <w:r w:rsidRPr="00006268">
        <w:rPr>
          <w:rFonts w:cstheme="minorHAnsi"/>
        </w:rPr>
        <w:t>rs</w:t>
      </w:r>
      <w:r w:rsidR="005A68D1">
        <w:rPr>
          <w:rFonts w:cstheme="minorHAnsi"/>
        </w:rPr>
        <w:t>, after which time the 6 well plate was lysed to quantify OSBP protein levels</w:t>
      </w:r>
      <w:r w:rsidRPr="00006268">
        <w:rPr>
          <w:rFonts w:cstheme="minorHAnsi"/>
        </w:rPr>
        <w:t>.</w:t>
      </w:r>
      <w:r w:rsidR="005A68D1">
        <w:rPr>
          <w:rFonts w:cstheme="minorHAnsi"/>
        </w:rPr>
        <w:t xml:space="preserve"> </w:t>
      </w:r>
      <w:r w:rsidRPr="00006268">
        <w:rPr>
          <w:rFonts w:cstheme="minorHAnsi"/>
        </w:rPr>
        <w:t>After the media was removed, CoxA9-01 or Echo2-01 viruses, diluted in serum-free DMEM with a M.O.I. of 1.0 was added to the culture. The 2.0 x 10</w:t>
      </w:r>
      <w:r w:rsidRPr="00006268">
        <w:rPr>
          <w:rFonts w:cstheme="minorHAnsi"/>
          <w:vertAlign w:val="superscript"/>
        </w:rPr>
        <w:t>5</w:t>
      </w:r>
      <w:r w:rsidRPr="00006268">
        <w:rPr>
          <w:rFonts w:cstheme="minorHAnsi"/>
        </w:rPr>
        <w:t xml:space="preserve"> cells per well was assumed to double and double again during incubation so 8.0 x 10</w:t>
      </w:r>
      <w:r w:rsidRPr="00006268">
        <w:rPr>
          <w:rFonts w:cstheme="minorHAnsi"/>
          <w:vertAlign w:val="superscript"/>
        </w:rPr>
        <w:t>5</w:t>
      </w:r>
      <w:r w:rsidRPr="00006268">
        <w:rPr>
          <w:rFonts w:cstheme="minorHAnsi"/>
        </w:rPr>
        <w:t xml:space="preserve"> pfu/well of virus was used for an M.O.I. of 1.0.  The virus and cells were incubated for 30 minutes at 37 ºC 5% CO2. Then, the virus inoculum was removed, and the culture washed one time with 1.0 mL of serum-free media per well. Then, 1.0 mL of complete media was added to the well, and the infected cells were then incubated for 10 h</w:t>
      </w:r>
      <w:r w:rsidR="005A68D1">
        <w:rPr>
          <w:rFonts w:cstheme="minorHAnsi"/>
        </w:rPr>
        <w:t>ou</w:t>
      </w:r>
      <w:r w:rsidRPr="00006268">
        <w:rPr>
          <w:rFonts w:cstheme="minorHAnsi"/>
        </w:rPr>
        <w:t>r</w:t>
      </w:r>
      <w:r w:rsidR="005A68D1">
        <w:rPr>
          <w:rFonts w:cstheme="minorHAnsi"/>
        </w:rPr>
        <w:t>s</w:t>
      </w:r>
      <w:r w:rsidRPr="00006268">
        <w:rPr>
          <w:rFonts w:cstheme="minorHAnsi"/>
        </w:rPr>
        <w:t xml:space="preserve"> at 37 ºC, 5% CO</w:t>
      </w:r>
      <w:r w:rsidRPr="005A68D1">
        <w:rPr>
          <w:rFonts w:cstheme="minorHAnsi"/>
          <w:vertAlign w:val="subscript"/>
        </w:rPr>
        <w:t>2</w:t>
      </w:r>
      <w:r w:rsidR="005A68D1">
        <w:rPr>
          <w:rFonts w:cstheme="minorHAnsi"/>
        </w:rPr>
        <w:t>. After 10-</w:t>
      </w:r>
      <w:r w:rsidRPr="00006268">
        <w:rPr>
          <w:rFonts w:cstheme="minorHAnsi"/>
        </w:rPr>
        <w:t>h</w:t>
      </w:r>
      <w:r w:rsidR="005A68D1">
        <w:rPr>
          <w:rFonts w:cstheme="minorHAnsi"/>
        </w:rPr>
        <w:t>ou</w:t>
      </w:r>
      <w:r w:rsidRPr="00006268">
        <w:rPr>
          <w:rFonts w:cstheme="minorHAnsi"/>
        </w:rPr>
        <w:t>r incubation, the plate was stored at -80 ⁰C until processing.</w:t>
      </w:r>
    </w:p>
    <w:p w:rsidR="0006008D" w:rsidRDefault="00006268" w:rsidP="00FB099D">
      <w:pPr>
        <w:ind w:firstLine="720"/>
        <w:jc w:val="both"/>
        <w:rPr>
          <w:rFonts w:cstheme="minorHAnsi"/>
        </w:rPr>
      </w:pPr>
      <w:r w:rsidRPr="00006268">
        <w:rPr>
          <w:rFonts w:cstheme="minorHAnsi"/>
        </w:rPr>
        <w:t>Then, the plates were rapidly thawed, the cells in media were scrapped from the wells into sterile 1.5 mL centrifuge tubes and the suspension then centrifuged at 10,000 g at 4⁰C to produce the virus containing supernatant, which is assayed for TCID-50 titration on sub-confluent RD cells. This experiment was performed independently three times to generate the d</w:t>
      </w:r>
      <w:r w:rsidR="005A68D1">
        <w:rPr>
          <w:rFonts w:cstheme="minorHAnsi"/>
        </w:rPr>
        <w:t xml:space="preserve">ata in the </w:t>
      </w:r>
      <w:r w:rsidR="00A841B4" w:rsidRPr="00B40D03">
        <w:rPr>
          <w:rFonts w:cstheme="minorHAnsi"/>
        </w:rPr>
        <w:t>Figure</w:t>
      </w:r>
      <w:r w:rsidR="005A68D1">
        <w:rPr>
          <w:rFonts w:cstheme="minorHAnsi"/>
        </w:rPr>
        <w:t xml:space="preserve">. The TCID-50 </w:t>
      </w:r>
      <w:r w:rsidRPr="00006268">
        <w:rPr>
          <w:rFonts w:cstheme="minorHAnsi"/>
        </w:rPr>
        <w:t>titration was performed according to the pr</w:t>
      </w:r>
      <w:r w:rsidR="005A68D1">
        <w:rPr>
          <w:rFonts w:cstheme="minorHAnsi"/>
        </w:rPr>
        <w:t>otocol described by Reed et al.</w:t>
      </w:r>
      <w:r w:rsidR="005A68D1">
        <w:rPr>
          <w:rFonts w:cstheme="minorHAnsi"/>
        </w:rPr>
        <w:fldChar w:fldCharType="begin" w:fldLock="1"/>
      </w:r>
      <w:r w:rsidR="0057639C">
        <w:rPr>
          <w:rFonts w:cstheme="minorHAnsi"/>
        </w:rPr>
        <w:instrText>ADDIN CSL_CITATION {"citationItems":[{"id":"ITEM-1","itemData":{"DOI":"10.1093/oxfordjournals.aje.a118408","ISSN":"1476-6256","author":[{"dropping-particle":"","family":"REED","given":"L.J.","non-dropping-particle":"","parse-names":false,"suffix":""},{"dropping-particle":"","family":"MUENCH","given":"H.","non-dropping-particle":"","parse-names":false,"suffix":""}],"container-title":"American Journal of Epidemiology","id":"ITEM-1","issue":"3","issued":{"date-parts":[["1938","5","1"]]},"page":"493-497","publisher":"Oxford University Press","title":"A SIMPLE METHOD OF ESTIMATING FIFTY PER CENT ENDPOINTS12","type":"article-journal","volume":"27"},"uris":["http://www.mendeley.com/documents/?uuid=66089ab7-62d7-3fa8-9892-139f200f2c54"]}],"mendeley":{"formattedCitation":"(210)","plainTextFormattedCitation":"(210)","previouslyFormattedCitation":"(210)"},"properties":{"noteIndex":0},"schema":"https://github.com/citation-style-language/schema/raw/master/csl-citation.json"}</w:instrText>
      </w:r>
      <w:r w:rsidR="005A68D1">
        <w:rPr>
          <w:rFonts w:cstheme="minorHAnsi"/>
        </w:rPr>
        <w:fldChar w:fldCharType="separate"/>
      </w:r>
      <w:r w:rsidR="0057639C" w:rsidRPr="0057639C">
        <w:rPr>
          <w:rFonts w:cstheme="minorHAnsi"/>
          <w:noProof/>
        </w:rPr>
        <w:t>(210)</w:t>
      </w:r>
      <w:r w:rsidR="005A68D1">
        <w:rPr>
          <w:rFonts w:cstheme="minorHAnsi"/>
        </w:rPr>
        <w:fldChar w:fldCharType="end"/>
      </w:r>
      <w:r w:rsidRPr="00006268">
        <w:rPr>
          <w:rFonts w:cstheme="minorHAnsi"/>
        </w:rPr>
        <w:t xml:space="preserve"> </w:t>
      </w:r>
      <w:r w:rsidR="001A474D">
        <w:rPr>
          <w:rFonts w:cstheme="minorHAnsi"/>
        </w:rPr>
        <w:t>The</w:t>
      </w:r>
      <w:r w:rsidR="001A474D" w:rsidRPr="0060149E">
        <w:rPr>
          <w:rFonts w:cstheme="minorHAnsi"/>
        </w:rPr>
        <w:t xml:space="preserve"> </w:t>
      </w:r>
      <w:r w:rsidR="001A474D" w:rsidRPr="0060149E">
        <w:rPr>
          <w:rFonts w:cstheme="minorHAnsi"/>
        </w:rPr>
        <w:lastRenderedPageBreak/>
        <w:t xml:space="preserve">experiment </w:t>
      </w:r>
      <w:r w:rsidR="001A474D">
        <w:rPr>
          <w:rFonts w:cstheme="minorHAnsi"/>
        </w:rPr>
        <w:t xml:space="preserve">reported in the </w:t>
      </w:r>
      <w:r w:rsidR="001A474D" w:rsidRPr="001A474D">
        <w:rPr>
          <w:rFonts w:cstheme="minorHAnsi"/>
          <w:b/>
        </w:rPr>
        <w:fldChar w:fldCharType="begin"/>
      </w:r>
      <w:r w:rsidR="001A474D" w:rsidRPr="001A474D">
        <w:rPr>
          <w:rFonts w:cstheme="minorHAnsi"/>
          <w:b/>
        </w:rPr>
        <w:instrText xml:space="preserve"> REF _Ref530234236 \h  \* MERGEFORMAT </w:instrText>
      </w:r>
      <w:r w:rsidR="001A474D" w:rsidRPr="001A474D">
        <w:rPr>
          <w:rFonts w:cstheme="minorHAnsi"/>
          <w:b/>
        </w:rPr>
      </w:r>
      <w:r w:rsidR="001A474D" w:rsidRPr="001A474D">
        <w:rPr>
          <w:rFonts w:cstheme="minorHAnsi"/>
          <w:b/>
        </w:rPr>
        <w:fldChar w:fldCharType="separate"/>
      </w:r>
      <w:r w:rsidR="00E2070A" w:rsidRPr="00E2070A">
        <w:rPr>
          <w:b/>
        </w:rPr>
        <w:t xml:space="preserve">Figure </w:t>
      </w:r>
      <w:r w:rsidR="00E2070A" w:rsidRPr="00E2070A">
        <w:rPr>
          <w:b/>
          <w:noProof/>
        </w:rPr>
        <w:t>33</w:t>
      </w:r>
      <w:r w:rsidR="001A474D" w:rsidRPr="001A474D">
        <w:rPr>
          <w:rFonts w:cstheme="minorHAnsi"/>
          <w:b/>
        </w:rPr>
        <w:fldChar w:fldCharType="end"/>
      </w:r>
      <w:r w:rsidR="001A474D">
        <w:rPr>
          <w:rFonts w:cstheme="minorHAnsi"/>
          <w:b/>
        </w:rPr>
        <w:t>B</w:t>
      </w:r>
      <w:r w:rsidR="001A474D">
        <w:rPr>
          <w:rFonts w:cstheme="minorHAnsi"/>
        </w:rPr>
        <w:t xml:space="preserve"> </w:t>
      </w:r>
      <w:r w:rsidR="001A474D" w:rsidRPr="0060149E">
        <w:rPr>
          <w:rFonts w:cstheme="minorHAnsi"/>
        </w:rPr>
        <w:t>was</w:t>
      </w:r>
      <w:r w:rsidR="001A474D">
        <w:rPr>
          <w:rFonts w:cstheme="minorHAnsi"/>
        </w:rPr>
        <w:t xml:space="preserve"> repeated</w:t>
      </w:r>
      <w:r w:rsidR="001A474D" w:rsidRPr="0060149E">
        <w:rPr>
          <w:rFonts w:cstheme="minorHAnsi"/>
        </w:rPr>
        <w:t xml:space="preserve"> independently three times</w:t>
      </w:r>
      <w:r w:rsidR="001A474D">
        <w:rPr>
          <w:rFonts w:cstheme="minorHAnsi"/>
        </w:rPr>
        <w:t xml:space="preserve">. </w:t>
      </w:r>
      <w:r w:rsidR="005A68D1">
        <w:rPr>
          <w:rFonts w:cstheme="minorHAnsi"/>
        </w:rPr>
        <w:t xml:space="preserve">Viral work was performed by Dr. Earl Blewett and analysis of OSBP protein level was done by Mr. </w:t>
      </w:r>
      <w:r w:rsidR="00E87672">
        <w:rPr>
          <w:rFonts w:cstheme="minorHAnsi"/>
        </w:rPr>
        <w:t>Zachary</w:t>
      </w:r>
      <w:r w:rsidR="005A68D1">
        <w:rPr>
          <w:rFonts w:cstheme="minorHAnsi"/>
        </w:rPr>
        <w:t xml:space="preserve"> Severance.</w:t>
      </w:r>
    </w:p>
    <w:p w:rsidR="00042529" w:rsidRPr="00042529" w:rsidRDefault="00042529" w:rsidP="00042529">
      <w:pPr>
        <w:pStyle w:val="Heading3"/>
      </w:pPr>
      <w:bookmarkStart w:id="228" w:name="_Toc532553178"/>
      <w:r>
        <w:t>Statistical Analysis</w:t>
      </w:r>
      <w:bookmarkEnd w:id="228"/>
    </w:p>
    <w:p w:rsidR="00042529" w:rsidRDefault="00042529" w:rsidP="00042529">
      <w:pPr>
        <w:ind w:firstLine="720"/>
        <w:jc w:val="both"/>
        <w:rPr>
          <w:rFonts w:cstheme="minorHAnsi"/>
        </w:rPr>
      </w:pPr>
      <w:r w:rsidRPr="00042529">
        <w:rPr>
          <w:rFonts w:cstheme="minorHAnsi"/>
        </w:rPr>
        <w:t>Results are expressed as mean ± s.d. and are n=3 unless otherwise stated. All statistical tests were performed using GraphPad Prism 7.0. Comparison between groups were made by using a one-way ANOVA with a follow up Dunnett’s test. The p values are reported using GraphPad Prism * values: * is p≤0.05, ** is p≤0.01 *** is p≤0.001, and **** is p≤0.0001.</w:t>
      </w: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E57DB8" w:rsidRDefault="00E57DB8" w:rsidP="00FB099D">
      <w:pPr>
        <w:ind w:firstLine="720"/>
        <w:jc w:val="both"/>
        <w:rPr>
          <w:rFonts w:cstheme="minorHAnsi"/>
        </w:rPr>
      </w:pPr>
    </w:p>
    <w:p w:rsidR="001A474D" w:rsidRDefault="001A474D" w:rsidP="00042529">
      <w:pPr>
        <w:jc w:val="both"/>
        <w:rPr>
          <w:rFonts w:cstheme="minorHAnsi"/>
        </w:rPr>
      </w:pPr>
    </w:p>
    <w:p w:rsidR="0015171B" w:rsidRDefault="0015171B" w:rsidP="00042529">
      <w:pPr>
        <w:jc w:val="both"/>
        <w:rPr>
          <w:rFonts w:cstheme="minorHAnsi"/>
        </w:rPr>
      </w:pPr>
    </w:p>
    <w:p w:rsidR="0015171B" w:rsidRDefault="0015171B" w:rsidP="00042529">
      <w:pPr>
        <w:jc w:val="both"/>
        <w:rPr>
          <w:rFonts w:cstheme="minorHAnsi"/>
        </w:rPr>
      </w:pPr>
    </w:p>
    <w:p w:rsidR="0015171B" w:rsidRDefault="0015171B" w:rsidP="00042529">
      <w:pPr>
        <w:jc w:val="both"/>
        <w:rPr>
          <w:rFonts w:cstheme="minorHAnsi"/>
        </w:rPr>
      </w:pPr>
    </w:p>
    <w:p w:rsidR="00E57DB8" w:rsidRDefault="00E57DB8" w:rsidP="00E87672">
      <w:pPr>
        <w:pStyle w:val="Heading1"/>
      </w:pPr>
      <w:bookmarkStart w:id="229" w:name="_Toc532553179"/>
      <w:r>
        <w:lastRenderedPageBreak/>
        <w:t>Chapter 5: Conclusions and Future Outlook</w:t>
      </w:r>
      <w:bookmarkEnd w:id="229"/>
    </w:p>
    <w:p w:rsidR="00233EB1" w:rsidRDefault="00C3614A" w:rsidP="00286453">
      <w:pPr>
        <w:ind w:firstLine="432"/>
        <w:jc w:val="both"/>
      </w:pPr>
      <w:r>
        <w:t>The work outlined in this dissertation has uncovered a potential</w:t>
      </w:r>
      <w:r w:rsidR="001A474D">
        <w:t>ly</w:t>
      </w:r>
      <w:r>
        <w:t xml:space="preserve"> significant cellular effect induced by OSW-1 </w:t>
      </w:r>
      <w:r w:rsidR="00286453">
        <w:t xml:space="preserve">compound </w:t>
      </w:r>
      <w:r w:rsidR="00107E01">
        <w:t xml:space="preserve">treatment </w:t>
      </w:r>
      <w:r w:rsidR="00F47F31">
        <w:t>that can occur in a variety of cell lines quickly and at non-toxic levels</w:t>
      </w:r>
      <w:r>
        <w:t>. We have shown that ORP4, not only OSBP</w:t>
      </w:r>
      <w:r w:rsidR="00286453">
        <w:t>, is targeted for degradation through</w:t>
      </w:r>
      <w:r>
        <w:t xml:space="preserve"> OSW-1 treatment, which in itself is a new discovery</w:t>
      </w:r>
      <w:r w:rsidR="00107E01">
        <w:t xml:space="preserve"> that has implications for the anti-cancer avenue of the drug</w:t>
      </w:r>
      <w:r>
        <w:t>. The degradation of t</w:t>
      </w:r>
      <w:r w:rsidR="00F47F31">
        <w:t>hese proteins has a distinct</w:t>
      </w:r>
      <w:r>
        <w:t xml:space="preserve"> pattern with OSBP being degraded </w:t>
      </w:r>
      <w:r w:rsidR="00F47F31">
        <w:t>to a higher degree and faster</w:t>
      </w:r>
      <w:r w:rsidR="00286453">
        <w:t xml:space="preserve"> than</w:t>
      </w:r>
      <w:r>
        <w:t xml:space="preserve"> ORP4 in a time dependent manner</w:t>
      </w:r>
      <w:r w:rsidR="00107E01">
        <w:t xml:space="preserve"> </w:t>
      </w:r>
      <w:r w:rsidR="00286453">
        <w:t xml:space="preserve">This finding suggests it is </w:t>
      </w:r>
      <w:r>
        <w:t>possible to preferentially target OSBP over ORP4 with short doses of OSW-1</w:t>
      </w:r>
      <w:r w:rsidR="00107E01">
        <w:t>. These short doses</w:t>
      </w:r>
      <w:r w:rsidR="000C53CF">
        <w:t xml:space="preserve"> followed by removal (washouts)</w:t>
      </w:r>
      <w:r w:rsidR="009531E3">
        <w:t xml:space="preserve"> lead to multi-day OSBP repression within all human cell lines tested</w:t>
      </w:r>
      <w:r w:rsidR="000C53CF">
        <w:t>, and the v</w:t>
      </w:r>
      <w:r w:rsidR="00286453">
        <w:t xml:space="preserve">iability of washout cells is similar to </w:t>
      </w:r>
      <w:r w:rsidR="000C53CF">
        <w:t xml:space="preserve">control cells. </w:t>
      </w:r>
      <w:r w:rsidR="009531E3">
        <w:t xml:space="preserve">The </w:t>
      </w:r>
      <w:r w:rsidR="00F47F31">
        <w:t>“washout effect”</w:t>
      </w:r>
      <w:r w:rsidR="009531E3">
        <w:t xml:space="preserve"> can occur in under </w:t>
      </w:r>
      <w:r w:rsidR="000C53CF">
        <w:t xml:space="preserve">an hour of treatment at </w:t>
      </w:r>
      <w:r w:rsidR="009531E3">
        <w:t>near sub-nanomolar</w:t>
      </w:r>
      <w:r w:rsidR="000C53CF">
        <w:t xml:space="preserve"> concentrations</w:t>
      </w:r>
      <w:r w:rsidR="00C257D0">
        <w:t>. We show that washout cells have anti</w:t>
      </w:r>
      <w:r w:rsidR="00286453">
        <w:t>-</w:t>
      </w:r>
      <w:r w:rsidR="00C257D0">
        <w:t>viral</w:t>
      </w:r>
      <w:r w:rsidR="00F47F31">
        <w:t xml:space="preserve"> activity against two clinical isolates of</w:t>
      </w:r>
      <w:r w:rsidR="00C257D0">
        <w:t xml:space="preserve"> </w:t>
      </w:r>
      <w:r w:rsidR="00286453">
        <w:rPr>
          <w:i/>
        </w:rPr>
        <w:t>E</w:t>
      </w:r>
      <w:r w:rsidR="00C257D0" w:rsidRPr="00286453">
        <w:rPr>
          <w:i/>
        </w:rPr>
        <w:t>nteroviruses</w:t>
      </w:r>
      <w:r w:rsidR="00C257D0">
        <w:t xml:space="preserve">, which gives rise to the potential of not only a therapy for a </w:t>
      </w:r>
      <w:r w:rsidR="003E12B7">
        <w:t xml:space="preserve">virus </w:t>
      </w:r>
      <w:r w:rsidR="00C257D0">
        <w:t>genus that currently does not have any approved treatment, but the potent</w:t>
      </w:r>
      <w:r w:rsidR="00233EB1">
        <w:t>ial for a prophylactic therapy.</w:t>
      </w:r>
    </w:p>
    <w:p w:rsidR="007D0329" w:rsidRDefault="009F6B15" w:rsidP="00233EB1">
      <w:pPr>
        <w:ind w:firstLine="720"/>
        <w:jc w:val="both"/>
      </w:pPr>
      <w:r>
        <w:t xml:space="preserve">The </w:t>
      </w:r>
      <w:r w:rsidR="00F47F31">
        <w:t>“washout effect”</w:t>
      </w:r>
      <w:r>
        <w:t xml:space="preserve"> occurs through a </w:t>
      </w:r>
      <w:r w:rsidR="003E12B7">
        <w:t>currently</w:t>
      </w:r>
      <w:r>
        <w:t xml:space="preserve"> unidentified </w:t>
      </w:r>
      <w:r w:rsidR="003E12B7">
        <w:t xml:space="preserve">cellular </w:t>
      </w:r>
      <w:r>
        <w:t xml:space="preserve">mechanism that is </w:t>
      </w:r>
      <w:r w:rsidR="00F47F31">
        <w:t>only caused</w:t>
      </w:r>
      <w:r>
        <w:t xml:space="preserve"> by OSW-1</w:t>
      </w:r>
      <w:r w:rsidR="00F47F31">
        <w:t xml:space="preserve"> treatment</w:t>
      </w:r>
      <w:r>
        <w:t xml:space="preserve"> and not any </w:t>
      </w:r>
      <w:r w:rsidR="003E12B7">
        <w:t>other ORPphillin</w:t>
      </w:r>
      <w:r>
        <w:t xml:space="preserve"> with anti</w:t>
      </w:r>
      <w:r w:rsidR="003E12B7">
        <w:t>-</w:t>
      </w:r>
      <w:r>
        <w:t>viral activity. Through our experiments we show for the first time that both OSBP and ORP4 are long-lived</w:t>
      </w:r>
      <w:r w:rsidR="003E12B7">
        <w:t xml:space="preserve"> proteins</w:t>
      </w:r>
      <w:r w:rsidR="00F47F31">
        <w:t xml:space="preserve"> with half-lives of at least 24 hours</w:t>
      </w:r>
      <w:r w:rsidR="007D0329">
        <w:t xml:space="preserve">, and the </w:t>
      </w:r>
      <w:r w:rsidR="00F47F31">
        <w:t>“washout effect”</w:t>
      </w:r>
      <w:r w:rsidR="007D0329">
        <w:t xml:space="preserve"> </w:t>
      </w:r>
      <w:r w:rsidR="00F47F31">
        <w:t>causes active degradation</w:t>
      </w:r>
      <w:r w:rsidR="007D0329">
        <w:t xml:space="preserve"> </w:t>
      </w:r>
      <w:r w:rsidR="00F47F31">
        <w:t xml:space="preserve">of </w:t>
      </w:r>
      <w:r w:rsidR="007D0329">
        <w:t>OSBP through a proteasomal mechanism. This initial degradation by the proteasome</w:t>
      </w:r>
      <w:r w:rsidR="003E12B7">
        <w:t xml:space="preserve"> does not</w:t>
      </w:r>
      <w:r w:rsidR="007D0329">
        <w:t xml:space="preserve"> account for the long-term repression</w:t>
      </w:r>
      <w:r w:rsidR="003E12B7">
        <w:t xml:space="preserve"> of OSBP induced </w:t>
      </w:r>
      <w:r w:rsidR="00F47F31">
        <w:t>in response to</w:t>
      </w:r>
      <w:r w:rsidR="003E12B7">
        <w:t xml:space="preserve"> OSW-1 washout treatment. OSW-1 treatment induces transient autophagy, but OSBP induced reduction by OSW-1 treatment does not occur through autophagy-induced proteolysis. </w:t>
      </w:r>
      <w:r w:rsidR="007D0329">
        <w:t xml:space="preserve">We show that the mRNA transcript of OSBP is </w:t>
      </w:r>
      <w:r w:rsidR="007D0329">
        <w:lastRenderedPageBreak/>
        <w:t xml:space="preserve">stable throughout the washout condition and that the global proteome is also largely unaffected as a result of </w:t>
      </w:r>
      <w:r w:rsidR="003E12B7">
        <w:t xml:space="preserve">these </w:t>
      </w:r>
      <w:r w:rsidR="007D0329">
        <w:t>washout conditions.</w:t>
      </w:r>
    </w:p>
    <w:p w:rsidR="00345913" w:rsidRDefault="007D0329" w:rsidP="00233EB1">
      <w:pPr>
        <w:ind w:firstLine="720"/>
        <w:jc w:val="both"/>
      </w:pPr>
      <w:r>
        <w:t xml:space="preserve">Our results also </w:t>
      </w:r>
      <w:r w:rsidR="003E12B7">
        <w:t>provide insight i</w:t>
      </w:r>
      <w:r>
        <w:t>nto other small molecule OSBP in</w:t>
      </w:r>
      <w:r w:rsidR="00345913">
        <w:t>hibitors that have</w:t>
      </w:r>
      <w:r>
        <w:t xml:space="preserve"> not </w:t>
      </w:r>
      <w:r w:rsidR="003E12B7">
        <w:t xml:space="preserve">previously </w:t>
      </w:r>
      <w:r>
        <w:t>had th</w:t>
      </w:r>
      <w:r w:rsidR="00F47F31">
        <w:t xml:space="preserve">eir effects analyzed with respect to </w:t>
      </w:r>
      <w:r w:rsidR="003E12B7">
        <w:t>OSBP</w:t>
      </w:r>
      <w:r>
        <w:t xml:space="preserve"> protein level</w:t>
      </w:r>
      <w:r w:rsidR="003E12B7">
        <w:t>s</w:t>
      </w:r>
      <w:r>
        <w:t>.</w:t>
      </w:r>
      <w:r w:rsidR="00345913">
        <w:t xml:space="preserve"> We show that of the known OSBP inhibitors that have anti</w:t>
      </w:r>
      <w:r w:rsidR="003E12B7">
        <w:t>-</w:t>
      </w:r>
      <w:r w:rsidR="00345913">
        <w:t>viral activities towards the same viruses as OSW-1, only the THEV2 compound binds competiti</w:t>
      </w:r>
      <w:r w:rsidR="00306D3B">
        <w:t>vely with a similar Ki. P</w:t>
      </w:r>
      <w:r w:rsidR="00345913">
        <w:t xml:space="preserve">revious research </w:t>
      </w:r>
      <w:r w:rsidR="00306D3B">
        <w:t>has showed that</w:t>
      </w:r>
      <w:r w:rsidR="00345913">
        <w:t xml:space="preserve"> ITZ and TTP inhibit OSBP</w:t>
      </w:r>
      <w:r w:rsidR="00306D3B">
        <w:t xml:space="preserve"> sterol/PI4P transport, which is presumably through the LBD,</w:t>
      </w:r>
      <w:r w:rsidR="00345913">
        <w:t xml:space="preserve"> </w:t>
      </w:r>
      <w:r w:rsidR="00306D3B">
        <w:t xml:space="preserve">but </w:t>
      </w:r>
      <w:r w:rsidR="00345913">
        <w:t xml:space="preserve">we show that these compounds do not </w:t>
      </w:r>
      <w:r w:rsidR="00306D3B">
        <w:t>inhibit this function in a competitive manner.</w:t>
      </w:r>
      <w:r w:rsidR="00345913">
        <w:t xml:space="preserve"> </w:t>
      </w:r>
      <w:r w:rsidR="00306D3B">
        <w:t>T</w:t>
      </w:r>
      <w:r w:rsidR="00345913">
        <w:t>here may be an alternative binding site</w:t>
      </w:r>
      <w:r w:rsidR="00306D3B">
        <w:t xml:space="preserve">s </w:t>
      </w:r>
      <w:r w:rsidR="00345913">
        <w:t>that</w:t>
      </w:r>
      <w:r w:rsidR="00306D3B">
        <w:t xml:space="preserve"> allow</w:t>
      </w:r>
      <w:r w:rsidR="00345913">
        <w:t xml:space="preserve"> for </w:t>
      </w:r>
      <w:r w:rsidR="00306D3B">
        <w:t xml:space="preserve">sterol/PI4P </w:t>
      </w:r>
      <w:r w:rsidR="00345913">
        <w:t>ligands to bind</w:t>
      </w:r>
      <w:r w:rsidR="00306D3B">
        <w:t xml:space="preserve"> in the LBD </w:t>
      </w:r>
      <w:r w:rsidR="00345913">
        <w:t xml:space="preserve">but </w:t>
      </w:r>
      <w:r w:rsidR="00306D3B">
        <w:t>ORPphillin binding could inhibit the</w:t>
      </w:r>
      <w:r w:rsidR="00345913">
        <w:t xml:space="preserve"> </w:t>
      </w:r>
      <w:r w:rsidR="00306D3B">
        <w:t>the transport</w:t>
      </w:r>
      <w:r w:rsidR="00345913">
        <w:t xml:space="preserve"> between membranes</w:t>
      </w:r>
      <w:r w:rsidR="00306D3B">
        <w:t>. These compounds could also bind in a way that prevents sterol binding entirely, more in depth studies need to be performed on ligand binding</w:t>
      </w:r>
      <w:r w:rsidR="00345913">
        <w:t>. Regardless of binding</w:t>
      </w:r>
      <w:r w:rsidR="003E12B7">
        <w:t xml:space="preserve"> ability</w:t>
      </w:r>
      <w:r w:rsidR="00345913">
        <w:t xml:space="preserve">, none of the compounds besides OSW-1 </w:t>
      </w:r>
      <w:r w:rsidR="003E12B7">
        <w:t>can</w:t>
      </w:r>
      <w:r w:rsidR="00345913">
        <w:t xml:space="preserve"> induce degradation of OSBP, which calls in to question the exact mechanism of the </w:t>
      </w:r>
      <w:r w:rsidR="00F47F31">
        <w:t>“washout effect”</w:t>
      </w:r>
      <w:r w:rsidR="00345913">
        <w:t>.</w:t>
      </w:r>
    </w:p>
    <w:p w:rsidR="00CF0BF9" w:rsidRDefault="00D11014" w:rsidP="00FB099D">
      <w:pPr>
        <w:ind w:firstLine="720"/>
        <w:jc w:val="both"/>
      </w:pPr>
      <w:r>
        <w:t>Future work will need to focus on determining the exact repression mechanism by which OSW-1 induces</w:t>
      </w:r>
      <w:r w:rsidR="009964E0">
        <w:t xml:space="preserve"> </w:t>
      </w:r>
      <w:r w:rsidR="003E12B7">
        <w:t xml:space="preserve">OSBP repression </w:t>
      </w:r>
      <w:r w:rsidR="009964E0">
        <w:t>for multiple days</w:t>
      </w:r>
      <w:r>
        <w:t>.</w:t>
      </w:r>
      <w:r w:rsidR="009964E0">
        <w:t xml:space="preserve"> As mentioned previously, thapsigargin treatment in INS-1E cells </w:t>
      </w:r>
      <w:r w:rsidR="003E12B7">
        <w:t>appears</w:t>
      </w:r>
      <w:r w:rsidR="009964E0">
        <w:t xml:space="preserve"> to have a similar mechanism targeting GRP78. Treatment leads to ER stress and repression of GRP78 </w:t>
      </w:r>
      <w:r w:rsidR="003E12B7">
        <w:t xml:space="preserve">protein levels </w:t>
      </w:r>
      <w:r w:rsidR="009964E0">
        <w:t>that cannot be explain</w:t>
      </w:r>
      <w:r w:rsidR="003E12B7">
        <w:t>ed completely through proteasomal</w:t>
      </w:r>
      <w:r w:rsidR="009964E0">
        <w:t xml:space="preserve"> degradation and overall mRNA levels are increased throughout treatment time</w:t>
      </w:r>
      <w:r w:rsidR="009964E0">
        <w:fldChar w:fldCharType="begin" w:fldLock="1"/>
      </w:r>
      <w:r w:rsidR="0057639C">
        <w:instrText>ADDIN CSL_CITATION {"citationItems":[{"id":"ITEM-1","itemData":{"DOI":"10.1002/jcb.24032","ISBN":"1097-4644 (Electronic)\r0730-2312 (Linking)","ISSN":"07302312","PMID":"22189689","abstract":"Pancreatic β-cells have a well-developed endoplasmic reticulum (ER) and express large amounts of chaperones and protein disulfide isomerases (PDI) to meet the high demand for synthesis of proteins. We have observed an unexpected decrease in chaperone protein level in the β-cell model INS-1E after exposure to the ER stress inducing agent thapsigargin. As these cells are a commonly used model for primary β-cells and has been shown to be vulnerable to ER stress, we hypothesize these cells are incapable of mounting a chaperone defense upon activation of ER stress. To investigate the chaperone expression during an ER stress response, induced by thapsigargin in INS-1E cells, we used quantitative mass spectrometry based proteomics. The results displayed a decrease of GRP78/BiP, PDIA3 and PDIA6. Decrease of GRP78/BiP was verified by Western blot and occurred in parallel with enhanced levels of p-eIF2α and CHOP. In contrast to INS-1E cells, GRP78/BiP was not decreased in MIN6 cell or rat and mouse islets after thapsigargin exposure. Investigation of the decreased protein levels of GRP78/BiP indicates that this is not a consequence of reduced mRNA expression. Rather the reduction results from the combined effect of reduced protein synthesis and enhanced proteosomal degradation and possibly also degradation via autophagy. Induction of ER stress with thapsigargin leads to lower protein levels of GRP78/BiP, PDIA3 and PDIA6 in INS-1E cells which may contribute to the susceptibility of ER stress in this β-cell model.","author":[{"dropping-particle":"","family":"Rosengren","given":"Victoria","non-dropping-particle":"","parse-names":false,"suffix":""},{"dropping-particle":"","family":"Johansson","given":"Henrik","non-dropping-particle":"","parse-names":false,"suffix":""},{"dropping-particle":"","family":"Lehtiö","given":"Janne","non-dropping-particle":"","parse-names":false,"suffix":""},{"dropping-particle":"","family":"Fransson","given":"Liselotte","non-dropping-particle":"","parse-names":false,"suffix":""},{"dropping-particle":"","family":"Sjöholm","given":"Åke","non-dropping-particle":"","parse-names":false,"suffix":""},{"dropping-particle":"","family":"Ortsäter","given":"Henrik","non-dropping-particle":"","parse-names":false,"suffix":""}],"container-title":"Journal of Cellular Biochemistry","id":"ITEM-1","issue":"5","issued":{"date-parts":[["2012"]]},"page":"1635-1644","title":"Thapsigargin down-regulates protein levels of GRP78/BiP in INS-1E cells","type":"article-journal","volume":"113"},"uris":["http://www.mendeley.com/documents/?uuid=3c73ab07-996b-40b7-93d5-f2b08a3efde6"]}],"mendeley":{"formattedCitation":"(224)","plainTextFormattedCitation":"(224)","previouslyFormattedCitation":"(224)"},"properties":{"noteIndex":0},"schema":"https://github.com/citation-style-language/schema/raw/master/csl-citation.json"}</w:instrText>
      </w:r>
      <w:r w:rsidR="009964E0">
        <w:fldChar w:fldCharType="separate"/>
      </w:r>
      <w:r w:rsidR="0057639C" w:rsidRPr="0057639C">
        <w:rPr>
          <w:noProof/>
        </w:rPr>
        <w:t>(224)</w:t>
      </w:r>
      <w:r w:rsidR="009964E0">
        <w:fldChar w:fldCharType="end"/>
      </w:r>
      <w:r w:rsidR="009964E0">
        <w:t xml:space="preserve">. </w:t>
      </w:r>
      <w:r w:rsidR="003E12B7">
        <w:t>Similarly, M</w:t>
      </w:r>
      <w:r w:rsidR="009964E0">
        <w:t>acrophages treated with deoxynivalenol also lead to degradation of GRP78 protein but not mRNA levels, resulting in an ER stress response</w:t>
      </w:r>
      <w:r w:rsidR="009964E0">
        <w:fldChar w:fldCharType="begin" w:fldLock="1"/>
      </w:r>
      <w:r w:rsidR="0057639C">
        <w:instrText>ADDIN CSL_CITATION {"citationItems":[{"id":"ITEM-1","itemData":{"DOI":"10.1093/toxsci/kfp060","ISBN":"1096-6080","ISSN":"10966080","PMID":"19336499","abstract":"The trichothecene mycotoxin deoxynivalenol (DON) induces systemic expression of the interleukin-6 (IL-6) and other proinflammatory cytokines in the mouse. The purpose of this study was to test the hypothesis that DON triggers an endoplasmic reticulum (ER) stress response in murine macrophages capable of driving IL-6 gene expression. DON at concentrations up 5000 ng/ml. was not cytotoxic to peritoneal cells. However, DON markedly decreased protein levels but not the mRNA levels of glucose-regulated protein (GRP) 78 (BiP), a chaperone known to mediate ER stress. Inhibitor studies suggested that DON-induced GRP78 degradation was cathepsin and calpain dependent but was proteosome-independent. RNAi-mediated knockdown of GRP78 resulted in increased IL-6 gene expression indicating a potential downregulatory role for this chaperone. GRP78 is critical to the regulation of the two transcription factors, X-box binding protein 1 (XBP1) and activating transcription factor 6 (ATF6), which bind to cAMP-response element (CRE) and drive expression of CRE-dependent genes such as IL-6. DON exposure was found to increase IRE1alpha protein, its modified products spliced XBP1 mRNA and XBP1 protein as well as ATF6. Knockdown of ATF6 but not XBP1 partially inhibited DON-induced IL-6 expression in the macrophages. Three other trichothecenes (satratoxin G, roridin, T-2 toxin) and the ribosome inhibitory protein ricin were also found to induce GRP78 degradation suggesting that other translation inhibitors might evoke ER stress. Taken together, these data suggest that in the macrophage DON induces GRP78 degradation and evokes an ER stress response that could contribute, in part, to DON-induced IL-6 gene expression.","author":[{"dropping-particle":"","family":"Shi","given":"Yuhui","non-dropping-particle":"","parse-names":false,"suffix":""},{"dropping-particle":"","family":"Porter","given":"Katie","non-dropping-particle":"","parse-names":false,"suffix":""},{"dropping-particle":"","family":"Parameswaran","given":"Narayanan","non-dropping-particle":"","parse-names":false,"suffix":""},{"dropping-particle":"","family":"Bae","given":"Hee Kyong","non-dropping-particle":"","parse-names":false,"suffix":""},{"dropping-particle":"","family":"Pestka","given":"James J.","non-dropping-particle":"","parse-names":false,"suffix":""}],"container-title":"Toxicological Sciences","id":"ITEM-1","issue":"2","issued":{"date-parts":[["2009"]]},"page":"247-255","title":"Role of GRP78/BiP degradation and ER stress in deoxynivalenol-induced interleukin-6 upregulation in the macrophage","type":"article-journal","volume":"109"},"uris":["http://www.mendeley.com/documents/?uuid=f209667d-cb63-4b4a-87f3-3936c5776d70"]}],"mendeley":{"formattedCitation":"(225)","plainTextFormattedCitation":"(225)","previouslyFormattedCitation":"(225)"},"properties":{"noteIndex":0},"schema":"https://github.com/citation-style-language/schema/raw/master/csl-citation.json"}</w:instrText>
      </w:r>
      <w:r w:rsidR="009964E0">
        <w:fldChar w:fldCharType="separate"/>
      </w:r>
      <w:r w:rsidR="0057639C" w:rsidRPr="0057639C">
        <w:rPr>
          <w:noProof/>
        </w:rPr>
        <w:t>(225)</w:t>
      </w:r>
      <w:r w:rsidR="009964E0">
        <w:fldChar w:fldCharType="end"/>
      </w:r>
      <w:r w:rsidR="009964E0">
        <w:t xml:space="preserve">. </w:t>
      </w:r>
      <w:r w:rsidR="00A52166">
        <w:t>Prolonged OSW-1 treatment was shown to cause degradation of GRP78 through calpain dependent mechanism</w:t>
      </w:r>
      <w:r w:rsidR="00A52166">
        <w:fldChar w:fldCharType="begin" w:fldLock="1"/>
      </w:r>
      <w:r w:rsidR="00F81397">
        <w:instrText>ADDIN CSL_CITATION {"citationItems":[{"id":"ITEM-1","itemData":{"DOI":"10.1074/jbc.M112.384776","ISSN":"00219258","PMID":"23250754","abstract":"3β,16β,17α-Trihydroxycholest-5-en-22-one 16-O-(2-O-4-methoxybenzoyl-β-D-xylopyranosyl)-(1→3)-2-O-acetyl-α-L-arabinopyranoside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leukemia.","author":[{"dropping-particle":"","family":"Garcia-Prieto","given":"Celia","non-dropping-particle":"","parse-names":false,"suffix":""},{"dropping-particle":"","family":"Ahmed","given":"Kausar Begam Riaz","non-dropping-particle":"","parse-names":false,"suffix":""},{"dropping-particle":"","family":"Chen","given":"Zhao","non-dropping-particle":"","parse-names":false,"suffix":""},{"dropping-particle":"","family":"Zhou","given":"Yan","non-dropping-particle":"","parse-names":false,"suffix":""},{"dropping-particle":"","family":"Hammoudi","given":"Naima","non-dropping-particle":"","parse-names":false,"suffix":""},{"dropping-particle":"","family":"Kang","given":"Ying","non-dropping-particle":"","parse-names":false,"suffix":""},{"dropping-particle":"","family":"Lou","given":"Changgang","non-dropping-particle":"","parse-names":false,"suffix":""},{"dropping-particle":"","family":"Mei","given":"Yan","non-dropping-particle":"","parse-names":false,"suffix":""},{"dropping-particle":"","family":"Jin","given":"Zhendong","non-dropping-particle":"","parse-names":false,"suffix":""},{"dropping-particle":"","family":"Huang","given":"Peng","non-dropping-particle":"","parse-names":false,"suffix":""}],"container-title":"Journal of Biological Chemistry","id":"ITEM-1","issue":"5","issued":{"date-parts":[["2013","2","1"]]},"page":"3240-3250","title":"Effective killing of leukemia cells by the natural product OSW-1 through disruption of cellular calcium homeostasis","type":"article-journal","volume":"288"},"uris":["http://www.mendeley.com/documents/?uuid=cc0a9126-34f4-44d0-9c6a-6be26fc49bd6"]}],"mendeley":{"formattedCitation":"(130)","plainTextFormattedCitation":"(130)","previouslyFormattedCitation":"(130)"},"properties":{"noteIndex":0},"schema":"https://github.com/citation-style-language/schema/raw/master/csl-citation.json"}</w:instrText>
      </w:r>
      <w:r w:rsidR="00A52166">
        <w:fldChar w:fldCharType="separate"/>
      </w:r>
      <w:r w:rsidR="005D2ADA" w:rsidRPr="005D2ADA">
        <w:rPr>
          <w:noProof/>
        </w:rPr>
        <w:t>(130)</w:t>
      </w:r>
      <w:r w:rsidR="00A52166">
        <w:fldChar w:fldCharType="end"/>
      </w:r>
      <w:r w:rsidR="00A52166">
        <w:t xml:space="preserve">. </w:t>
      </w:r>
      <w:r w:rsidR="009964E0">
        <w:t>GRP78 is a crucial component of the unfolded protein response (UPR) which</w:t>
      </w:r>
      <w:r w:rsidR="00A52166">
        <w:t xml:space="preserve"> is induced under ER stress. ER stress was shown to lead to global mRNA stabilization due to the formation of stress granules that</w:t>
      </w:r>
      <w:r w:rsidR="00A355B3">
        <w:t xml:space="preserve"> </w:t>
      </w:r>
      <w:r w:rsidR="00A355B3">
        <w:lastRenderedPageBreak/>
        <w:t>can inhibit translation</w:t>
      </w:r>
      <w:r w:rsidR="00A52166">
        <w:t xml:space="preserve"> </w:t>
      </w:r>
      <w:r w:rsidR="00A355B3">
        <w:t>by</w:t>
      </w:r>
      <w:r w:rsidR="00A52166">
        <w:t xml:space="preserve"> sequester</w:t>
      </w:r>
      <w:r w:rsidR="00A355B3">
        <w:t>ing</w:t>
      </w:r>
      <w:r w:rsidR="00A52166">
        <w:t xml:space="preserve"> mRNA for stabilization or degradation</w:t>
      </w:r>
      <w:r w:rsidR="00A52166">
        <w:fldChar w:fldCharType="begin" w:fldLock="1"/>
      </w:r>
      <w:r w:rsidR="00741009">
        <w:instrText>ADDIN CSL_CITATION {"citationItems":[{"id":"ITEM-1","itemData":{"DOI":"10.1128/MCB.24.15.6773-6787.2004","ISBN":"0079-8835","ISSN":"0270-7306","abstract":"A well-preserved labyrinthodont mandible referable to the brachyopid Brachyops allos Howie, 1972, was found in Queensland (Australia). Mandibular characteristics not previously reported are the exposure of the articular on the dorsal surface of the retroarticular process, a posterior extension of the angular beneath the retroarticular process, and the presence of relatively few large teeth which curve inwards.","author":[{"dropping-particle":"","family":"Kawai","given":"T.","non-dropping-particle":"","parse-names":false,"suffix":""},{"dropping-particle":"","family":"Fan","given":"J.","non-dropping-particle":"","parse-names":false,"suffix":""},{"dropping-particle":"","family":"Mazan-Mamczarz","given":"K.","non-dropping-particle":"","parse-names":false,"suffix":""},{"dropping-particle":"","family":"Gorospe","given":"M.","non-dropping-particle":"","parse-names":false,"suffix":""}],"container-title":"Molecular and Cellular Biology","id":"ITEM-1","issue":"15","issued":{"date-parts":[["2004","8","1"]]},"page":"6773-6787","title":"Global mRNA Stabilization Preferentially Linked to Translational Repression during the Endoplasmic Reticulum Stress Response","type":"article-journal","volume":"24"},"uris":["http://www.mendeley.com/documents/?uuid=6ba93b57-43c1-40c4-ad29-2ef44be0fa6a"]}],"mendeley":{"formattedCitation":"(236)","plainTextFormattedCitation":"(236)","previouslyFormattedCitation":"(236)"},"properties":{"noteIndex":0},"schema":"https://github.com/citation-style-language/schema/raw/master/csl-citation.json"}</w:instrText>
      </w:r>
      <w:r w:rsidR="00A52166">
        <w:fldChar w:fldCharType="separate"/>
      </w:r>
      <w:r w:rsidR="005C5180" w:rsidRPr="005C5180">
        <w:rPr>
          <w:noProof/>
        </w:rPr>
        <w:t>(236)</w:t>
      </w:r>
      <w:r w:rsidR="00A52166">
        <w:fldChar w:fldCharType="end"/>
      </w:r>
      <w:r w:rsidR="00A52166">
        <w:t>.</w:t>
      </w:r>
      <w:r w:rsidR="00A355B3">
        <w:t xml:space="preserve"> This could be a potential mechanism by which OSBP is repressed due to the result of </w:t>
      </w:r>
      <w:r w:rsidR="003E12B7">
        <w:t xml:space="preserve">the </w:t>
      </w:r>
      <w:r w:rsidR="00A355B3">
        <w:t>O</w:t>
      </w:r>
      <w:r w:rsidR="003E12B7">
        <w:t>SBP mRNA transcript being stably expressed throughout the OSW-1 washout recovery period</w:t>
      </w:r>
      <w:r w:rsidR="00A355B3">
        <w:t>. Prolonged E</w:t>
      </w:r>
      <w:r w:rsidR="00D41283">
        <w:t>R stress can lead to cell death</w:t>
      </w:r>
      <w:r w:rsidR="00D41283">
        <w:fldChar w:fldCharType="begin" w:fldLock="1"/>
      </w:r>
      <w:r w:rsidR="00741009">
        <w:instrText>ADDIN CSL_CITATION {"citationItems":[{"id":"ITEM-1","itemData":{"DOI":"10.1016/j.tibs.2014.02.008","ISSN":"09680004","author":[{"dropping-particle":"","family":"Maurel","given":"M.","non-dropping-particle":"","parse-names":false,"suffix":""},{"dropping-particle":"","family":"Chevet","given":"E.","non-dropping-particle":"","parse-names":false,"suffix":""},{"dropping-particle":"","family":"Tavernier","given":"J.","non-dropping-particle":"","parse-names":false,"suffix":""},{"dropping-particle":"","family":"Gerlo","given":"S.","non-dropping-particle":"","parse-names":false,"suffix":""}],"container-title":"Trends in Biochemical Sciences","id":"ITEM-1","issue":"5","issued":{"date-parts":[["2014","5"]]},"page":"245-254","title":"Getting RIDD of RNA: IRE1 in cell fate regulation","type":"article-journal","volume":"39"},"uris":["http://www.mendeley.com/documents/?uuid=d5539370-3b08-4dff-be41-4aebea271622"]}],"mendeley":{"formattedCitation":"(237)","plainTextFormattedCitation":"(237)","previouslyFormattedCitation":"(237)"},"properties":{"noteIndex":0},"schema":"https://github.com/citation-style-language/schema/raw/master/csl-citation.json"}</w:instrText>
      </w:r>
      <w:r w:rsidR="00D41283">
        <w:fldChar w:fldCharType="separate"/>
      </w:r>
      <w:r w:rsidR="005C5180" w:rsidRPr="005C5180">
        <w:rPr>
          <w:noProof/>
        </w:rPr>
        <w:t>(237)</w:t>
      </w:r>
      <w:r w:rsidR="00D41283">
        <w:fldChar w:fldCharType="end"/>
      </w:r>
      <w:r w:rsidR="003E12B7">
        <w:t xml:space="preserve">, meaning that </w:t>
      </w:r>
      <w:r w:rsidR="00D41283">
        <w:t xml:space="preserve">the likelihood of ER stress being the sole responsible source of repression is unlikely. </w:t>
      </w:r>
      <w:r w:rsidR="003E12B7">
        <w:t>W</w:t>
      </w:r>
      <w:r w:rsidR="00D41283">
        <w:t>e have briefly tested the ability of an inhibitor to inositol-requiring enzyme 1 (STF-083010)</w:t>
      </w:r>
      <w:r w:rsidR="00A204D7">
        <w:fldChar w:fldCharType="begin" w:fldLock="1"/>
      </w:r>
      <w:r w:rsidR="00741009">
        <w:instrText>ADDIN CSL_CITATION {"citationItems":[{"id":"ITEM-1","itemData":{"DOI":"10.1182/blood-2010-08-303099","ISBN":"0006-4971","ISSN":"00064971","PMID":"21081713","abstract":"Activation of the adaptive Ire1-XBP1 pathway has been identified in many solid tumors and hematologic malignancies, including multiple myeloma (MM). Here, we report the identification of STF-083010, a novel small-molecule inhibitor of Ire1. STF-083010 inhibited Ire1 endonuclease activity, without affecting its kinase activity, after endoplasmic reticulum stress both in vitro and in vivo. Treatment with STF-083010 showed significant antimyeloma activity in model human MM xenografts. Similarly, STF-083010 was preferentially toxic to freshly isolated human CD138(+) MM cells compared with other similarly isolated cell populations. The identification of this novel Ire1 inhibitor supports the hypothesis that the Ire1-XBP1 axis is a promising target for anticancer therapy, especially in the context of MM.","author":[{"dropping-particle":"","family":"Papandreou","given":"Ioanna","non-dropping-particle":"","parse-names":false,"suffix":""},{"dropping-particle":"","family":"Denko","given":"Nicholas C.","non-dropping-particle":"","parse-names":false,"suffix":""},{"dropping-particle":"","family":"Olson","given":"Michael","non-dropping-particle":"","parse-names":false,"suffix":""},{"dropping-particle":"","family":"Melckebeke","given":"Heleen","non-dropping-particle":"Van","parse-names":false,"suffix":""},{"dropping-particle":"","family":"Lust","given":"Sofie","non-dropping-particle":"","parse-names":false,"suffix":""},{"dropping-particle":"","family":"Tam","given":"Arvin","non-dropping-particle":"","parse-names":false,"suffix":""},{"dropping-particle":"","family":"Solow-Cordero","given":"David E.","non-dropping-particle":"","parse-names":false,"suffix":""},{"dropping-particle":"","family":"Bouley","given":"Donna M.","non-dropping-particle":"","parse-names":false,"suffix":""},{"dropping-particle":"","family":"Offner","given":"Fritz","non-dropping-particle":"","parse-names":false,"suffix":""},{"dropping-particle":"","family":"Niwa","given":"Maho","non-dropping-particle":"","parse-names":false,"suffix":""},{"dropping-particle":"","family":"Koong","given":"Albert C.","non-dropping-particle":"","parse-names":false,"suffix":""}],"container-title":"Blood","id":"ITEM-1","issue":"4","issued":{"date-parts":[["2011"]]},"page":"1311-1314","title":"Identification of an Ire1alpha endonuclease specific inhibitor with cytotoxic activity against human multiple myeloma","type":"article-journal","volume":"117"},"uris":["http://www.mendeley.com/documents/?uuid=85c49ec1-d927-419a-ac45-29bdeef7ab8a"]}],"mendeley":{"formattedCitation":"(238)","plainTextFormattedCitation":"(238)","previouslyFormattedCitation":"(238)"},"properties":{"noteIndex":0},"schema":"https://github.com/citation-style-language/schema/raw/master/csl-citation.json"}</w:instrText>
      </w:r>
      <w:r w:rsidR="00A204D7">
        <w:fldChar w:fldCharType="separate"/>
      </w:r>
      <w:r w:rsidR="005C5180" w:rsidRPr="005C5180">
        <w:rPr>
          <w:noProof/>
        </w:rPr>
        <w:t>(238)</w:t>
      </w:r>
      <w:r w:rsidR="00A204D7">
        <w:fldChar w:fldCharType="end"/>
      </w:r>
      <w:r w:rsidR="00D41283">
        <w:t>, which is involved with ER stress through the UPR, to protect OSBP during OSW-1 treatment. The inhibitor failed to rescue OSBP</w:t>
      </w:r>
      <w:r w:rsidR="00CF0BF9">
        <w:t xml:space="preserve"> </w:t>
      </w:r>
      <w:r w:rsidR="003E12B7">
        <w:t xml:space="preserve">protein levels </w:t>
      </w:r>
      <w:r w:rsidR="00CF0BF9">
        <w:t>(</w:t>
      </w:r>
      <w:r w:rsidR="00CF0BF9">
        <w:fldChar w:fldCharType="begin"/>
      </w:r>
      <w:r w:rsidR="00CF0BF9">
        <w:instrText xml:space="preserve"> REF _Ref530317906 \h </w:instrText>
      </w:r>
      <w:r w:rsidR="001B3703">
        <w:instrText xml:space="preserve"> \* MERGEFORMAT </w:instrText>
      </w:r>
      <w:r w:rsidR="00CF0BF9">
        <w:fldChar w:fldCharType="separate"/>
      </w:r>
      <w:r w:rsidR="00E2070A" w:rsidRPr="00E2070A">
        <w:rPr>
          <w:b/>
        </w:rPr>
        <w:t>Figure</w:t>
      </w:r>
      <w:r w:rsidR="00E2070A">
        <w:t xml:space="preserve"> </w:t>
      </w:r>
      <w:r w:rsidR="00E2070A" w:rsidRPr="00E2070A">
        <w:rPr>
          <w:b/>
          <w:noProof/>
        </w:rPr>
        <w:t>69</w:t>
      </w:r>
      <w:r w:rsidR="00CF0BF9">
        <w:fldChar w:fldCharType="end"/>
      </w:r>
      <w:r w:rsidR="00CF0BF9">
        <w:t>)</w:t>
      </w:r>
      <w:r w:rsidR="00D41283">
        <w:t>, which provides evidence that OSBP repression goes beyond prolonged ER stress, which is also supported by the fact that cells are viable (</w:t>
      </w:r>
      <w:r w:rsidR="00D41283">
        <w:fldChar w:fldCharType="begin"/>
      </w:r>
      <w:r w:rsidR="00D41283">
        <w:instrText xml:space="preserve"> REF _Ref530134120 \h </w:instrText>
      </w:r>
      <w:r w:rsidR="001B3703">
        <w:instrText xml:space="preserve"> \* MERGEFORMAT </w:instrText>
      </w:r>
      <w:r w:rsidR="00D41283">
        <w:fldChar w:fldCharType="separate"/>
      </w:r>
      <w:r w:rsidR="00E2070A" w:rsidRPr="00E2070A">
        <w:rPr>
          <w:b/>
        </w:rPr>
        <w:t>Figure</w:t>
      </w:r>
      <w:r w:rsidR="00E2070A">
        <w:t xml:space="preserve"> </w:t>
      </w:r>
      <w:r w:rsidR="00E2070A" w:rsidRPr="00E2070A">
        <w:rPr>
          <w:b/>
          <w:noProof/>
        </w:rPr>
        <w:t>21</w:t>
      </w:r>
      <w:r w:rsidR="00D41283">
        <w:fldChar w:fldCharType="end"/>
      </w:r>
      <w:r w:rsidR="00D41283">
        <w:t xml:space="preserve">) and the </w:t>
      </w:r>
      <w:r w:rsidR="003E12B7">
        <w:t>Golgi returns to a normal state</w:t>
      </w:r>
      <w:r w:rsidR="00D41283">
        <w:t xml:space="preserve"> during washout(</w:t>
      </w:r>
      <w:r w:rsidR="00D41283" w:rsidRPr="00B40D03">
        <w:rPr>
          <w:b/>
        </w:rPr>
        <w:fldChar w:fldCharType="begin"/>
      </w:r>
      <w:r w:rsidR="00D41283" w:rsidRPr="00B40D03">
        <w:rPr>
          <w:b/>
        </w:rPr>
        <w:instrText xml:space="preserve"> REF _Ref530134031 \h </w:instrText>
      </w:r>
      <w:r w:rsidR="001B3703" w:rsidRPr="00B40D03">
        <w:rPr>
          <w:b/>
        </w:rPr>
        <w:instrText xml:space="preserve"> \* MERGEFORMAT </w:instrText>
      </w:r>
      <w:r w:rsidR="00D41283" w:rsidRPr="00B40D03">
        <w:rPr>
          <w:b/>
        </w:rPr>
      </w:r>
      <w:r w:rsidR="00D41283" w:rsidRPr="00B40D03">
        <w:rPr>
          <w:b/>
        </w:rPr>
        <w:fldChar w:fldCharType="separate"/>
      </w:r>
      <w:r w:rsidR="00E2070A" w:rsidRPr="00E2070A">
        <w:rPr>
          <w:b/>
        </w:rPr>
        <w:t xml:space="preserve">Figure </w:t>
      </w:r>
      <w:r w:rsidR="00E2070A" w:rsidRPr="00E2070A">
        <w:rPr>
          <w:b/>
          <w:noProof/>
        </w:rPr>
        <w:t>20</w:t>
      </w:r>
      <w:r w:rsidR="00D41283" w:rsidRPr="00B40D03">
        <w:rPr>
          <w:b/>
        </w:rPr>
        <w:fldChar w:fldCharType="end"/>
      </w:r>
      <w:r w:rsidR="00D41283" w:rsidRPr="00B40D03">
        <w:rPr>
          <w:b/>
        </w:rPr>
        <w:t>B</w:t>
      </w:r>
      <w:r w:rsidR="00D41283">
        <w:t>).</w:t>
      </w:r>
    </w:p>
    <w:p w:rsidR="003169EA" w:rsidRDefault="00AA06C7" w:rsidP="00FB099D">
      <w:pPr>
        <w:ind w:firstLine="720"/>
        <w:jc w:val="both"/>
      </w:pPr>
      <w:r>
        <w:t>Another possible mechanism for prolonged repression is through targeted translational repression of the mRNA transcript.</w:t>
      </w:r>
      <w:r w:rsidR="003261EE">
        <w:t xml:space="preserve"> Our cycloheximide results show that the half-life of OSBP is over 24 hours (</w:t>
      </w:r>
      <w:r w:rsidR="003261EE" w:rsidRPr="00B40D03">
        <w:rPr>
          <w:b/>
        </w:rPr>
        <w:fldChar w:fldCharType="begin"/>
      </w:r>
      <w:r w:rsidR="003261EE" w:rsidRPr="00B40D03">
        <w:rPr>
          <w:b/>
        </w:rPr>
        <w:instrText xml:space="preserve"> REF _Ref530226858 \h </w:instrText>
      </w:r>
      <w:r w:rsidR="001B3703" w:rsidRPr="00B40D03">
        <w:rPr>
          <w:b/>
        </w:rPr>
        <w:instrText xml:space="preserve"> \* MERGEFORMAT </w:instrText>
      </w:r>
      <w:r w:rsidR="003261EE" w:rsidRPr="00B40D03">
        <w:rPr>
          <w:b/>
        </w:rPr>
      </w:r>
      <w:r w:rsidR="003261EE" w:rsidRPr="00B40D03">
        <w:rPr>
          <w:b/>
        </w:rPr>
        <w:fldChar w:fldCharType="separate"/>
      </w:r>
      <w:r w:rsidR="00E2070A" w:rsidRPr="00E2070A">
        <w:rPr>
          <w:b/>
        </w:rPr>
        <w:t xml:space="preserve">Figure </w:t>
      </w:r>
      <w:r w:rsidR="00E2070A" w:rsidRPr="00E2070A">
        <w:rPr>
          <w:b/>
          <w:noProof/>
        </w:rPr>
        <w:t>27</w:t>
      </w:r>
      <w:r w:rsidR="003261EE" w:rsidRPr="00B40D03">
        <w:rPr>
          <w:b/>
        </w:rPr>
        <w:fldChar w:fldCharType="end"/>
      </w:r>
      <w:r w:rsidR="003261EE" w:rsidRPr="00B40D03">
        <w:rPr>
          <w:b/>
        </w:rPr>
        <w:t>A</w:t>
      </w:r>
      <w:r w:rsidR="003261EE">
        <w:t xml:space="preserve">) which means the initial degradation is an active process and not due to translational inhibition during </w:t>
      </w:r>
      <w:r w:rsidR="003E12B7">
        <w:t xml:space="preserve">OSW-1 </w:t>
      </w:r>
      <w:r w:rsidR="003261EE">
        <w:t xml:space="preserve">treatment. </w:t>
      </w:r>
      <w:r w:rsidR="00306D3B">
        <w:t>Based on the stable OSBP mRNA levels throughout the washout, w</w:t>
      </w:r>
      <w:r w:rsidR="003E12B7">
        <w:t xml:space="preserve">e </w:t>
      </w:r>
      <w:r w:rsidR="003261EE">
        <w:t xml:space="preserve">are unable to rule out that the </w:t>
      </w:r>
      <w:r w:rsidR="00306D3B">
        <w:t xml:space="preserve">OSBP mRNA </w:t>
      </w:r>
      <w:r w:rsidR="003261EE">
        <w:t>transcript is not being translated throughout the recovery process. In order to answer this question, the use of polysome profiling</w:t>
      </w:r>
      <w:r w:rsidR="00741009">
        <w:t xml:space="preserve"> with puromycin controls to determine active versus stalled ribosomes</w:t>
      </w:r>
      <w:r w:rsidR="00A204D7">
        <w:fldChar w:fldCharType="begin" w:fldLock="1"/>
      </w:r>
      <w:r w:rsidR="00741009">
        <w:instrText>ADDIN CSL_CITATION {"citationItems":[{"id":"ITEM-1","itemData":{"DOI":"10.21769/BioProtoc.2126","ISSN":"2331-8325","PMID":"28516123","abstract":"Eukaryotic cells adapt to changes in external or internal signals by precisely modulating the expression of specific gene products. The expression of protein-coding genes is controlled at the transcriptional and post-transcriptional levels. Among the latter steps, the regulation of translation is particularly important in cellular processes that require rapid changes in protein expression patterns. The translational efficiency of mRNAs is altered by RNA-binding proteins (RBPs) and noncoding (nc)RNAs such as microRNAs (Panda et al., 2014a and 2014b; Abdelmohsen et al., 2014). The impact of factors that regulate selective mRNA translation is a critical question in RNA biology. Polyribosome (polysome) fractionation analysis is a powerful method to assess the association of ribosomes with a given mRNA. It provides valuable information about the translational status of that mRNA, depending on the number of ribosomes with which they are associated, and identifies mRNAs that are not translated (Panda et al., 2016). mRNAs associated with many ribosomes form large polysomes that are predicted to be actively translated, while mRNAs associated with few or no ribosomes are expected to be translated poorly if at all. In sum, polysome fractionation analysis allows the direct determination of translation efficiencies at the level of the whole transcriptome as well as individual mRNAs.","author":[{"dropping-particle":"","family":"Panda","given":"Amaresh","non-dropping-particle":"","parse-names":false,"suffix":""},{"dropping-particle":"","family":"Martindale","given":"Jennifer","non-dropping-particle":"","parse-names":false,"suffix":""},{"dropping-particle":"","family":"Gorospe","given":"Myriam","non-dropping-particle":"","parse-names":false,"suffix":""}],"container-title":"Bio-Protocol","id":"ITEM-1","issue":"3","issued":{"date-parts":[["2017"]]},"title":"Polysome Fractionation to Analyze mRNA Distribution Profiles","type":"article-journal","volume":"7"},"uris":["http://www.mendeley.com/documents/?uuid=f8a9750f-cc73-4dc4-b388-04d8a059a757"]},{"id":"ITEM-2","itemData":{"DOI":"10.1093/nar/gkw907","ISBN":"0305-1048","ISSN":"13624962","PMID":"28180329","abstract":"During the past decade, there has been growing interest in the role of translational regulation of gene expression in many organisms. Polysome profiling has been developed to infer the translational status of a specific mRNA species or to analyze the translatome, i.e. the subset of mRNAs actively translated in a cell. Polysome profiling is especially suitable for emergent model organisms for which genomic data are limited. In this paper, we describe an optimized protocol for the purification of sea urchin polysomes and highlight the critical steps involved in polysome purification. We applied this protocol to obtain experimental results on translational regulation of mRNAs following fertilization. Our protocol should prove useful for integrating the study of the role of translational regulation in gene regulatory networks in any biological model. In addition, we demonstrate how to carry out high-throughput processing of polysome gradient fractions, for the simultaneous screening of multiple biological conditions and large-scale preparation of samples for next-generation sequencing.","author":[{"dropping-particle":"","family":"Chassé","given":"Héloïse","non-dropping-particle":"","parse-names":false,"suffix":""},{"dropping-particle":"","family":"Boulben","given":"Sandrine","non-dropping-particle":"","parse-names":false,"suffix":""},{"dropping-particle":"","family":"Costache","given":"Vlad","non-dropping-particle":"","parse-names":false,"suffix":""},{"dropping-particle":"","family":"Cormier","given":"Patrick","non-dropping-particle":"","parse-names":false,"suffix":""},{"dropping-particle":"","family":"Morales","given":"Julia","non-dropping-particle":"","parse-names":false,"suffix":""}],"container-title":"Nucleic acids research","id":"ITEM-2","issue":"3","issued":{"date-parts":[["2017"]]},"page":"e15","title":"Analysis of translation using polysome profiling.","type":"article-journal","volume":"45"},"uris":["http://www.mendeley.com/documents/?uuid=07fd6fdd-11eb-4568-bce9-0f4ea8584d2f"]}],"mendeley":{"formattedCitation":"(239, 240)","plainTextFormattedCitation":"(239, 240)","previouslyFormattedCitation":"(239, 240)"},"properties":{"noteIndex":0},"schema":"https://github.com/citation-style-language/schema/raw/master/csl-citation.json"}</w:instrText>
      </w:r>
      <w:r w:rsidR="00A204D7">
        <w:fldChar w:fldCharType="separate"/>
      </w:r>
      <w:r w:rsidR="00741009" w:rsidRPr="00741009">
        <w:rPr>
          <w:noProof/>
        </w:rPr>
        <w:t>(239, 240)</w:t>
      </w:r>
      <w:r w:rsidR="00A204D7">
        <w:fldChar w:fldCharType="end"/>
      </w:r>
      <w:r w:rsidR="003261EE">
        <w:t xml:space="preserve"> </w:t>
      </w:r>
      <w:r w:rsidR="00ED42E4">
        <w:t xml:space="preserve">could </w:t>
      </w:r>
      <w:r w:rsidR="003261EE">
        <w:t xml:space="preserve">determine if the </w:t>
      </w:r>
      <w:r w:rsidR="00ED42E4">
        <w:t xml:space="preserve">OSBP mRNA </w:t>
      </w:r>
      <w:r w:rsidR="003261EE">
        <w:t xml:space="preserve">transcript </w:t>
      </w:r>
      <w:r w:rsidR="00ED42E4">
        <w:t>in</w:t>
      </w:r>
      <w:r w:rsidR="003261EE">
        <w:t xml:space="preserve"> DMSO </w:t>
      </w:r>
      <w:r w:rsidR="00A204D7">
        <w:t xml:space="preserve">washout </w:t>
      </w:r>
      <w:r w:rsidR="003261EE">
        <w:t xml:space="preserve">cells is actively being translated throughout the </w:t>
      </w:r>
      <w:r w:rsidR="00ED42E4">
        <w:t xml:space="preserve">entire </w:t>
      </w:r>
      <w:r w:rsidR="003261EE">
        <w:t>recovery period</w:t>
      </w:r>
      <w:r w:rsidR="00ED42E4">
        <w:t>,</w:t>
      </w:r>
      <w:r w:rsidR="003261EE">
        <w:t xml:space="preserve"> or if the long half-life of OSBP </w:t>
      </w:r>
      <w:r w:rsidR="00A204D7">
        <w:t>is the result of repression. Using the polysome profiling technique</w:t>
      </w:r>
      <w:r w:rsidR="00A204D7">
        <w:fldChar w:fldCharType="begin" w:fldLock="1"/>
      </w:r>
      <w:r w:rsidR="00741009">
        <w:instrText>ADDIN CSL_CITATION {"citationItems":[{"id":"ITEM-1","itemData":{"DOI":"10.21769/BioProtoc.2126","ISSN":"2331-8325","PMID":"28516123","abstract":"Eukaryotic cells adapt to changes in external or internal signals by precisely modulating the expression of specific gene products. The expression of protein-coding genes is controlled at the transcriptional and post-transcriptional levels. Among the latter steps, the regulation of translation is particularly important in cellular processes that require rapid changes in protein expression patterns. The translational efficiency of mRNAs is altered by RNA-binding proteins (RBPs) and noncoding (nc)RNAs such as microRNAs (Panda et al., 2014a and 2014b; Abdelmohsen et al., 2014). The impact of factors that regulate selective mRNA translation is a critical question in RNA biology. Polyribosome (polysome) fractionation analysis is a powerful method to assess the association of ribosomes with a given mRNA. It provides valuable information about the translational status of that mRNA, depending on the number of ribosomes with which they are associated, and identifies mRNAs that are not translated (Panda et al., 2016). mRNAs associated with many ribosomes form large polysomes that are predicted to be actively translated, while mRNAs associated with few or no ribosomes are expected to be translated poorly if at all. In sum, polysome fractionation analysis allows the direct determination of translation efficiencies at the level of the whole transcriptome as well as individual mRNAs.","author":[{"dropping-particle":"","family":"Panda","given":"Amaresh","non-dropping-particle":"","parse-names":false,"suffix":""},{"dropping-particle":"","family":"Martindale","given":"Jennifer","non-dropping-particle":"","parse-names":false,"suffix":""},{"dropping-particle":"","family":"Gorospe","given":"Myriam","non-dropping-particle":"","parse-names":false,"suffix":""}],"container-title":"Bio-Protocol","id":"ITEM-1","issue":"3","issued":{"date-parts":[["2017"]]},"title":"Polysome Fractionation to Analyze mRNA Distribution Profiles","type":"article-journal","volume":"7"},"uris":["http://www.mendeley.com/documents/?uuid=f8a9750f-cc73-4dc4-b388-04d8a059a757"]}],"mendeley":{"formattedCitation":"(239)","plainTextFormattedCitation":"(239)","previouslyFormattedCitation":"(239)"},"properties":{"noteIndex":0},"schema":"https://github.com/citation-style-language/schema/raw/master/csl-citation.json"}</w:instrText>
      </w:r>
      <w:r w:rsidR="00A204D7">
        <w:fldChar w:fldCharType="separate"/>
      </w:r>
      <w:r w:rsidR="005C5180" w:rsidRPr="005C5180">
        <w:rPr>
          <w:noProof/>
        </w:rPr>
        <w:t>(239)</w:t>
      </w:r>
      <w:r w:rsidR="00A204D7">
        <w:fldChar w:fldCharType="end"/>
      </w:r>
      <w:r w:rsidR="00A204D7">
        <w:t xml:space="preserve">, we would be able to not only determine the translational status of OSBP, but also look at the global translation to see if there are differences </w:t>
      </w:r>
      <w:r w:rsidR="00ED42E4">
        <w:t xml:space="preserve">between the treatments </w:t>
      </w:r>
      <w:r w:rsidR="00A204D7">
        <w:t>that correspond with our iTRAQ data (</w:t>
      </w:r>
      <w:r w:rsidR="00A204D7" w:rsidRPr="00B40D03">
        <w:rPr>
          <w:b/>
        </w:rPr>
        <w:fldChar w:fldCharType="begin"/>
      </w:r>
      <w:r w:rsidR="00A204D7" w:rsidRPr="00B40D03">
        <w:rPr>
          <w:b/>
        </w:rPr>
        <w:instrText xml:space="preserve"> REF _Ref530227571 \h </w:instrText>
      </w:r>
      <w:r w:rsidR="001B3703" w:rsidRPr="00B40D03">
        <w:rPr>
          <w:b/>
        </w:rPr>
        <w:instrText xml:space="preserve"> \* MERGEFORMAT </w:instrText>
      </w:r>
      <w:r w:rsidR="00A204D7" w:rsidRPr="00B40D03">
        <w:rPr>
          <w:b/>
        </w:rPr>
      </w:r>
      <w:r w:rsidR="00A204D7" w:rsidRPr="00B40D03">
        <w:rPr>
          <w:b/>
        </w:rPr>
        <w:fldChar w:fldCharType="separate"/>
      </w:r>
      <w:r w:rsidR="00E2070A" w:rsidRPr="00E2070A">
        <w:rPr>
          <w:b/>
        </w:rPr>
        <w:t xml:space="preserve">Figure </w:t>
      </w:r>
      <w:r w:rsidR="00E2070A" w:rsidRPr="00E2070A">
        <w:rPr>
          <w:b/>
          <w:noProof/>
        </w:rPr>
        <w:t>28</w:t>
      </w:r>
      <w:r w:rsidR="00A204D7" w:rsidRPr="00B40D03">
        <w:rPr>
          <w:b/>
        </w:rPr>
        <w:fldChar w:fldCharType="end"/>
      </w:r>
      <w:r w:rsidR="00A204D7" w:rsidRPr="00B40D03">
        <w:rPr>
          <w:b/>
        </w:rPr>
        <w:t>B</w:t>
      </w:r>
      <w:r w:rsidR="00A204D7">
        <w:t xml:space="preserve"> &amp; </w:t>
      </w:r>
      <w:r w:rsidR="00A204D7" w:rsidRPr="00B40D03">
        <w:rPr>
          <w:b/>
        </w:rPr>
        <w:t>C</w:t>
      </w:r>
      <w:r w:rsidR="00A204D7">
        <w:t>).</w:t>
      </w:r>
    </w:p>
    <w:p w:rsidR="00B66E54" w:rsidRDefault="00ED42E4" w:rsidP="00FB099D">
      <w:pPr>
        <w:ind w:firstLine="720"/>
        <w:jc w:val="both"/>
      </w:pPr>
      <w:r>
        <w:lastRenderedPageBreak/>
        <w:t xml:space="preserve">If </w:t>
      </w:r>
      <w:r w:rsidR="004E0BF4">
        <w:t xml:space="preserve">there is a differential pattern in the translation of </w:t>
      </w:r>
      <w:r>
        <w:t xml:space="preserve">OSW-1 </w:t>
      </w:r>
      <w:r w:rsidR="004E0BF4">
        <w:t>washout cells, then RNA sequencing (RNA-seq), specifically small RNA-seq, could be used to identify differences in the transcriptome.</w:t>
      </w:r>
      <w:r w:rsidR="003169EA">
        <w:t xml:space="preserve"> It has previously been reported that OSBP and other members of the OSBP/ORP family have been targeted by miRNAs</w:t>
      </w:r>
      <w:r w:rsidR="003169EA">
        <w:fldChar w:fldCharType="begin" w:fldLock="1"/>
      </w:r>
      <w:r w:rsidR="00741009">
        <w:instrText>ADDIN CSL_CITATION {"citationItems":[{"id":"ITEM-1","itemData":{"DOI":"10.1038/ncb2211","ISSN":"1465-7392","author":[{"dropping-particle":"","family":"Jordan","given":"Sabine D.","non-dropping-particle":"","parse-names":false,"suffix":""},{"dropping-particle":"","family":"Krüger","given":"Markus","non-dropping-particle":"","parse-names":false,"suffix":""},{"dropping-particle":"","family":"Willmes","given":"Diana M.","non-dropping-particle":"","parse-names":false,"suffix":""},{"dropping-particle":"","family":"Redemann","given":"Nora","non-dropping-particle":"","parse-names":false,"suffix":""},{"dropping-particle":"","family":"Wunderlich","given":"F. Thomas","non-dropping-particle":"","parse-names":false,"suffix":""},{"dropping-particle":"","family":"Brönneke","given":"Hella S.","non-dropping-particle":"","parse-names":false,"suffix":""},{"dropping-particle":"","family":"Merkwirth","given":"Carsten","non-dropping-particle":"","parse-names":false,"suffix":""},{"dropping-particle":"","family":"Kashkar","given":"Hamid","non-dropping-particle":"","parse-names":false,"suffix":""},{"dropping-particle":"","family":"Olkkonen","given":"Vesa M.","non-dropping-particle":"","parse-names":false,"suffix":""},{"dropping-particle":"","family":"Böttger","given":"Thomas","non-dropping-particle":"","parse-names":false,"suffix":""},{"dropping-particle":"","family":"Braun","given":"Thomas","non-dropping-particle":"","parse-names":false,"suffix":""},{"dropping-particle":"","family":"Seibler","given":"Jost","non-dropping-particle":"","parse-names":false,"suffix":""},{"dropping-particle":"","family":"Brüning","given":"Jens C.","non-dropping-particle":"","parse-names":false,"suffix":""}],"container-title":"Nature Cell Biology","id":"ITEM-1","issue":"4","issued":{"date-parts":[["2011","4","27"]]},"page":"434-446","title":"Obesity-induced overexpression of miRNA-143 inhibits insulin-stimulated AKT activation and impairs glucose metabolism","type":"article-journal","volume":"13"},"uris":["http://www.mendeley.com/documents/?uuid=f662c724-ef3e-3bb7-b0ca-baead04c008a"]},{"id":"ITEM-2","itemData":{"DOI":"10.1161/ATVBAHA.116.307282","ISBN":"6176323479","ISSN":"15244636","PMID":"26941018","abstract":"OBJECTIVE: Cholesterol homeostasis is fundamental to human health and is, thus, tightly regulated. MicroRNAs exert potent effects on biological pathways, including cholesterol metabolism, by repressing genes with related functions. We reasoned that this mode of pathway regulation could be exploited to identify novel genes involved in cholesterol homeostasis. APPROACH AND RESULTS: Here, we identify oxysterol-binding protein-like 6 (OSBPL6) as a novel target of 2 miRNA hubs regulating cholesterol homeostasis: miR-33 and miR-27b. Characterization of OSBPL6 revealed that it is transcriptionally regulated in macrophages and hepatocytes by liver X receptor and in response to cholesterol loading and in mice and nonhuman primates by Western diet feeding. OSBPL6 encodes the OSBPL-related protein 6 (ORP6), which contains dual membrane- and endoplasmic reticulum-targeting motifs. Subcellular localization studies showed that ORP6 is associated with the endolysosomal network and endoplasmic reticulum, suggesting a role for ORP6 in cholesterol trafficking between these compartments. Accordingly, knockdown of OSBPL6 results in aberrant clustering of endosomes and promotes the accumulation of free cholesterol in these structures, resulting in reduced cholesterol esterification at the endoplasmic reticulum. Conversely, ORP6 overexpression enhances cholesterol trafficking and efflux in macrophages and hepatocytes. Moreover, we show that hepatic expression of OSBPL6 is positively correlated with plasma levels of high-density lipoprotein cholesterol in a cohort of 200 healthy individuals, whereas its expression is reduced in human atherosclerotic plaques. CONCLUSIONS: These studies identify ORP6 as a novel regulator of cholesterol trafficking that is part of the miR-33 and miR-27b target gene networks that contribute to the maintenance of cholesterol homeostasis.","author":[{"dropping-particle":"","family":"Ouimet","given":"Mireille","non-dropping-particle":"","parse-names":false,"suffix":""},{"dropping-particle":"","family":"Hennessy","given":"Elizabeth J.","non-dropping-particle":"","parse-names":false,"suffix":""},{"dropping-particle":"","family":"Solingen","given":"Coen","non-dropping-particle":"Van","parse-names":false,"suffix":""},{"dropping-particle":"","family":"Koelwyn","given":"Graeme J.","non-dropping-particle":"","parse-names":false,"suffix":""},{"dropping-particle":"","family":"Hussein","given":"Maryem A.","non-dropping-particle":"","parse-names":false,"suffix":""},{"dropping-particle":"","family":"Ramkhelawon","given":"Bhama","non-dropping-particle":"","parse-names":false,"suffix":""},{"dropping-particle":"","family":"Rayner","given":"Katey J.","non-dropping-particle":"","parse-names":false,"suffix":""},{"dropping-particle":"","family":"Temel","given":"Ryan E.","non-dropping-particle":"","parse-names":false,"suffix":""},{"dropping-particle":"","family":"Perisic","given":"Ljubica","non-dropping-particle":"","parse-names":false,"suffix":""},{"dropping-particle":"","family":"Hedin","given":"Ulf","non-dropping-particle":"","parse-names":false,"suffix":""},{"dropping-particle":"","family":"Maegdefessel","given":"Lars","non-dropping-particle":"","parse-names":false,"suffix":""},{"dropping-particle":"","family":"Garabedian","given":"Michael J.","non-dropping-particle":"","parse-names":false,"suffix":""},{"dropping-particle":"","family":"Holdt","given":"Lesca M.","non-dropping-particle":"","parse-names":false,"suffix":""},{"dropping-particle":"","family":"Teupser","given":"Daniel","non-dropping-particle":"","parse-names":false,"suffix":""},{"dropping-particle":"","family":"Moore","given":"Kathryn J.","non-dropping-particle":"","parse-names":false,"suffix":""}],"container-title":"Arteriosclerosis, Thrombosis, and Vascular Biology","id":"ITEM-2","issue":"5","issued":{"date-parts":[["2016"]]},"page":"942-951","title":"MiRNA targeting of oxysterol-binding protein-like 6 regulates cholesterol trafficking and efflux","type":"article-journal","volume":"36"},"uris":["http://www.mendeley.com/documents/?uuid=bd181021-4e32-451c-95d1-8a1ad6649151"]},{"id":"ITEM-3","itemData":{"DOI":"10.1007/s12035-015-9540-4","ISBN":"1203501595","ISSN":"15591182","PMID":"26576957","abstract":"MicroRNA-124 (miR-124), a brain-specific miRNA molecule, has been implicated in stimulating neurite outgrowth and elongation during neuronal differentiation. However, the direct target genes and the mechanisms of miR-124-induced neurite outgrowth are poorly understood. In this study, we demonstrated that miR-124 directly targeted and downregulated the endogenous expression of oxysterol-binding protein (OSBP). A previous study found that the expression of miR-124 increased during brain development. In the present study, we demonstrated that the expression of OSBP decreased during the development of the C57BL/6 mouse cortex, which was negatively correlated with miR-124 expression. OSBP knockdown using specific shRNAs promoted neurite outgrowth and elongation in both Neuro-2a cells and primary cultured mouse cortical neurons. Conversely, OSBP overexpression strongly repressed the neurite elongation-enhancing effect of miR-124 in Neuro-2a cells. Our results suggested that OSBP may be a target and downstream effector of miR-124 for regulating neurite outgrowth and elongation.","author":[{"dropping-particle":"","family":"Gu","given":"Xi","non-dropping-particle":"","parse-names":false,"suffix":""},{"dropping-particle":"","family":"Li","given":"Aili","non-dropping-particle":"","parse-names":false,"suffix":""},{"dropping-particle":"","family":"Liu","given":"Shuhu","non-dropping-particle":"","parse-names":false,"suffix":""},{"dropping-particle":"","family":"Lin","given":"Lifang","non-dropping-particle":"","parse-names":false,"suffix":""},{"dropping-particle":"","family":"Xu","given":"Shuang","non-dropping-particle":"","parse-names":false,"suffix":""},{"dropping-particle":"","family":"Zhang","given":"Peidong","non-dropping-particle":"","parse-names":false,"suffix":""},{"dropping-particle":"","family":"Li","given":"Shuji","non-dropping-particle":"","parse-names":false,"suffix":""},{"dropping-particle":"","family":"Li","given":"Xiaowen","non-dropping-particle":"","parse-names":false,"suffix":""},{"dropping-particle":"","family":"Tian","given":"Bo","non-dropping-particle":"","parse-names":false,"suffix":""},{"dropping-particle":"","family":"Zhu","given":"Xinhong","non-dropping-particle":"","parse-names":false,"suffix":""},{"dropping-particle":"","family":"Wang","given":"Xuemin","non-dropping-particle":"","parse-names":false,"suffix":""}],"container-title":"Molecular Neurobiology","id":"ITEM-3","issue":"9","issued":{"date-parts":[["2016"]]},"page":"6388-6396","title":"MicroRNA124 Regulated Neurite Elongation by Targeting OSBP","type":"article-journal","volume":"53"},"uris":["http://www.mendeley.com/documents/?uuid=a24e3cd0-a53e-47ab-a9d0-ce9919de4078"]},{"id":"ITEM-4","itemData":{"DOI":"10.1093/cvr/cvp121","ISBN":"1755-3245 (Electronic)\\n0008-6363 (Linking)","ISSN":"00086363","PMID":"19377067","abstract":"AIMS: The inflammatory responses of monocytes/macrophages and the stimulation of lipid uptake into these cells by oxidized low density lipoprotein (oxLDL) are critical to the initiation and development of atherosclerosis. Increasing evidence has demonstrated that many microRNAs play important roles in the cell proliferation, apoptosis, and differentiation that accompany inflammatory responses. However, whether microRNAs are associated with monocyte/macrophage inflammatory responses or oxLDL stimulation is not yet known. The aim of the present study is to investigate microRNAs in monocytes/macrophages and their potential role in oxLDL-stimulation of lipid uptake and other atherosclerotic responses. METHODS AND RESULTS: Microarrays were used to analyse the global expression of microRNAs in oxLDL-stimulated human primary peripheral blood monocytes. Expression profiles of the microRNAs were verified using TaqMan real-time PCR. Five microRNAs (microRNA-125a-5p, microRNA-9, microRNA-146a, microRNA-146b-5p, and microRNA-155) were aberrantly expressed after oxLDL treatment of human primary monocytes. Bioinformatics analysis suggested that microRNA-125a-5p is related to a protein similar to ORP9 (oxysterol binding protein-like 9) and this was confirmed by a luciferase reporter assay. MicroRNA-125a-5p was found to mediate lipid uptake and to decrease the secretion of some inflammatory cytokines (interleukin-2, interleukin-6, tumour necrosis factor-alpha, transforming growth factor-beta) in oxLDL-stimulated monocyte-derived macrophages. CONCLUSION: MicroRNA-125a-5p may partly provide post-transcriptional regulation of the proinflammatory response, lipid uptake, and expression of ORP9 in oxLDL-stimulated monocyte/macrophages.","author":[{"dropping-particle":"","family":"Chen","given":"Ting","non-dropping-particle":"","parse-names":false,"suffix":""},{"dropping-particle":"","family":"Huang","given":"Zhouqing","non-dropping-particle":"","parse-names":false,"suffix":""},{"dropping-particle":"","family":"Wang","given":"Liansheng","non-dropping-particle":"","parse-names":false,"suffix":""},{"dropping-particle":"","family":"Wang","given":"Yue","non-dropping-particle":"","parse-names":false,"suffix":""},{"dropping-particle":"","family":"Wu","given":"Feizhen","non-dropping-particle":"","parse-names":false,"suffix":""},{"dropping-particle":"","family":"Meng","given":"Shu","non-dropping-particle":"","parse-names":false,"suffix":""},{"dropping-particle":"","family":"Wang","given":"Changqian","non-dropping-particle":"","parse-names":false,"suffix":""}],"container-title":"Cardiovascular Research","id":"ITEM-4","issue":"1","issued":{"date-parts":[["2009"]]},"page":"131-139","title":"MicroRNA-125a-5p partly regulates the inflammatory response, lipid uptake, and ORP9 expression in oxLDL-stimulated monocyte/macrophages","type":"article-journal","volume":"83"},"uris":["http://www.mendeley.com/documents/?uuid=66fd3a43-ecb4-4ec0-89ff-693a7648ef55"]}],"mendeley":{"formattedCitation":"(64, 227–229)","plainTextFormattedCitation":"(64, 227–229)","previouslyFormattedCitation":"(64, 227–229)"},"properties":{"noteIndex":0},"schema":"https://github.com/citation-style-language/schema/raw/master/csl-citation.json"}</w:instrText>
      </w:r>
      <w:r w:rsidR="003169EA">
        <w:fldChar w:fldCharType="separate"/>
      </w:r>
      <w:r w:rsidR="005C5180" w:rsidRPr="005C5180">
        <w:rPr>
          <w:noProof/>
        </w:rPr>
        <w:t>(64, 227–229)</w:t>
      </w:r>
      <w:r w:rsidR="003169EA">
        <w:fldChar w:fldCharType="end"/>
      </w:r>
      <w:r w:rsidR="003169EA">
        <w:t>. Identification of miRNA repression through RNA-seq could be confirmed by using a target protecting morpholino oligo that binds to the mRNA of OSBP to determ</w:t>
      </w:r>
      <w:r w:rsidR="009011AB">
        <w:t>ine if OSBP expression returns. Alternatively, the mRNA transc</w:t>
      </w:r>
      <w:r w:rsidR="002D1C28">
        <w:t>ript could be sequestered into p-bodies which can be induced during stress events. In order to determine the subcellular localization of the OSBP transcript during washout conditions</w:t>
      </w:r>
      <w:r>
        <w:t>,</w:t>
      </w:r>
      <w:r w:rsidR="002D1C28">
        <w:t xml:space="preserve"> using either </w:t>
      </w:r>
      <w:r w:rsidR="002D1C28" w:rsidRPr="00ED42E4">
        <w:rPr>
          <w:i/>
        </w:rPr>
        <w:t>in situ</w:t>
      </w:r>
      <w:r w:rsidR="002D1C28">
        <w:t xml:space="preserve"> hybridization coupled to immunofluorescence (FISH-IF)</w:t>
      </w:r>
      <w:r w:rsidR="002D1C28">
        <w:fldChar w:fldCharType="begin" w:fldLock="1"/>
      </w:r>
      <w:r w:rsidR="00741009">
        <w:instrText>ADDIN CSL_CITATION {"citationItems":[{"id":"ITEM-1","itemData":{"DOI":"10.7554/eLife.29815","ISBN":"2050-084X (Electronic)\r2050-084X (Linking)","ISSN":"2050084X","PMID":"29297464","abstract":"&lt;p&gt;Cells respond to stress by remodeling their transcriptome through transcription and degradation. Xrn1p-dependent degradation in P-bodies is the most prevalent decay pathway, yet, P-bodies may facilitate not only decay, but also act as a storage compartment. However, which and how mRNAs are selected into different degradation pathways and what determines the fate of any given mRNA in P-bodies remain largely unknown. We devised a new method to identify both common and stress-specific mRNA subsets associated with P-bodies. mRNAs targeted for degradation to P-bodies, decayed with different kinetics. Moreover, the localization of a specific set of mRNAs to P-bodies under glucose deprivation was obligatory to prevent decay. Depending on its client mRNA, the RNA-binding protein Puf5p either promoted or inhibited decay. Furthermore, the Puf5p-dependent storage of a subset of mRNAs in P-bodies under glucose starvation may be beneficial with respect to chronological lifespan.&lt;/p&gt;","author":[{"dropping-particle":"","family":"Wang","given":"Congwei","non-dropping-particle":"","parse-names":false,"suffix":""},{"dropping-particle":"","family":"Schmich","given":"Fabian","non-dropping-particle":"","parse-names":false,"suffix":""},{"dropping-particle":"","family":"Srivatsa","given":"Sumana","non-dropping-particle":"","parse-names":false,"suffix":""},{"dropping-particle":"","family":"Weidner","given":"Julie","non-dropping-particle":"","parse-names":false,"suffix":""},{"dropping-particle":"","family":"Beerenwinkel","given":"Niko","non-dropping-particle":"","parse-names":false,"suffix":""},{"dropping-particle":"","family":"Spang","given":"Anne","non-dropping-particle":"","parse-names":false,"suffix":""}],"container-title":"eLife","id":"ITEM-1","issued":{"date-parts":[["2018"]]},"page":"1-25","title":"Context-dependent deposition and regulation of mRNAs in P-bodies","type":"article-journal","volume":"7"},"uris":["http://www.mendeley.com/documents/?uuid=819afe67-89df-4961-8ab9-0d229525bf85"]}],"mendeley":{"formattedCitation":"(241)","plainTextFormattedCitation":"(241)","previouslyFormattedCitation":"(241)"},"properties":{"noteIndex":0},"schema":"https://github.com/citation-style-language/schema/raw/master/csl-citation.json"}</w:instrText>
      </w:r>
      <w:r w:rsidR="002D1C28">
        <w:fldChar w:fldCharType="separate"/>
      </w:r>
      <w:r w:rsidR="00741009" w:rsidRPr="00741009">
        <w:rPr>
          <w:noProof/>
        </w:rPr>
        <w:t>(241)</w:t>
      </w:r>
      <w:r w:rsidR="002D1C28">
        <w:fldChar w:fldCharType="end"/>
      </w:r>
      <w:r w:rsidR="002D1C28">
        <w:t xml:space="preserve"> or MS2 mRNA-targeting</w:t>
      </w:r>
      <w:r w:rsidR="002D1C28">
        <w:fldChar w:fldCharType="begin" w:fldLock="1"/>
      </w:r>
      <w:r w:rsidR="00741009">
        <w:instrText>ADDIN CSL_CITATION {"citationItems":[{"id":"ITEM-1","itemData":{"DOI":"10.1242/jcs.152975","ISBN":"0021-9533","ISSN":"0021-9533","PMID":"25128566","abstract":"The 5'→3' mRNA degradation machinery localizes to cytoplasmic P bodies (PBs), which are non-membranous structures found in all eukaryotes. While PB function has been intensively studied in yeast, less is known in mammalian cells, such as whether PB enzymes are actively engaged in mRNA degradation or if PBs serve as mRNA storage depots, particularly during cellular stress. We examined the fate of mammalian mRNAs in PBs during translational stress, and show that mRNAs accumulate within PBs during amino acid starvation. The 5' and 3' ends of the transcripts residing in PBs could be identified, but polyA tails were not detected. Using the MS2 mRNA-tagging system for mRNA visualization in living cells, we found that a stationary mRNA population formed in PBs during translational stress, which cleared gradually after the stress was relieved. Dcp2 knockdown experiments showed that there is constant degradation of part of the PB-associated mRNA population. This analysis demonstrates the dual role of PBs as decay sites and storage areas under regular and stress conditions.","author":[{"dropping-particle":"","family":"Aizer","given":"Adva","non-dropping-particle":"","parse-names":false,"suffix":""},{"dropping-particle":"","family":"Kalo","given":"Alon","non-dropping-particle":"","parse-names":false,"suffix":""},{"dropping-particle":"","family":"Kafri","given":"Pinhas","non-dropping-particle":"","parse-names":false,"suffix":""},{"dropping-particle":"","family":"Shraga","given":"Amit","non-dropping-particle":"","parse-names":false,"suffix":""},{"dropping-particle":"","family":"Ben-Yishay","given":"Rakefet","non-dropping-particle":"","parse-names":false,"suffix":""},{"dropping-particle":"","family":"Jacob","given":"Avi","non-dropping-particle":"","parse-names":false,"suffix":""},{"dropping-particle":"","family":"Kinor","given":"Noa","non-dropping-particle":"","parse-names":false,"suffix":""},{"dropping-particle":"","family":"Shav-Tal","given":"Yaron","non-dropping-particle":"","parse-names":false,"suffix":""}],"container-title":"Journal of Cell Science","id":"ITEM-1","issue":"20","issued":{"date-parts":[["2014"]]},"page":"4443-4456","title":"Quantifying mRNA targeting to P-bodies in living human cells reveals their dual role in mRNA decay and storage","type":"article-journal","volume":"127"},"uris":["http://www.mendeley.com/documents/?uuid=7572a4ce-402b-466b-8964-9a272a449b20"]}],"mendeley":{"formattedCitation":"(242)","plainTextFormattedCitation":"(242)","previouslyFormattedCitation":"(242)"},"properties":{"noteIndex":0},"schema":"https://github.com/citation-style-language/schema/raw/master/csl-citation.json"}</w:instrText>
      </w:r>
      <w:r w:rsidR="002D1C28">
        <w:fldChar w:fldCharType="separate"/>
      </w:r>
      <w:r w:rsidR="00741009" w:rsidRPr="00741009">
        <w:rPr>
          <w:noProof/>
        </w:rPr>
        <w:t>(242)</w:t>
      </w:r>
      <w:r w:rsidR="002D1C28">
        <w:fldChar w:fldCharType="end"/>
      </w:r>
      <w:r w:rsidR="002D1C28">
        <w:t xml:space="preserve"> to dete</w:t>
      </w:r>
      <w:r>
        <w:t>rmine where the transcript is located</w:t>
      </w:r>
      <w:r w:rsidR="002D1C28">
        <w:t xml:space="preserve"> and if it is inside of</w:t>
      </w:r>
      <w:r w:rsidR="00B66E54">
        <w:t xml:space="preserve"> a p-body. Knowing the exact mechanism of OSW-1 induced OSBP repression will </w:t>
      </w:r>
      <w:r>
        <w:t xml:space="preserve">advance </w:t>
      </w:r>
      <w:r w:rsidR="00B66E54">
        <w:t>the potential therapeutic aspect of the compound.</w:t>
      </w:r>
    </w:p>
    <w:p w:rsidR="00B66E54" w:rsidRDefault="002C200E" w:rsidP="00817F5D">
      <w:pPr>
        <w:ind w:firstLine="720"/>
      </w:pPr>
      <w:r>
        <w:t xml:space="preserve">Despite the capacity of the </w:t>
      </w:r>
      <w:r w:rsidR="00F47F31">
        <w:t>“washout effect”</w:t>
      </w:r>
      <w:r>
        <w:t xml:space="preserve">, the fact that OSW-1 is not specific to OSBP is concerning. Future research needs to be invested in developing OSW-1 analogs that are specific to OSBP which can also induce the </w:t>
      </w:r>
      <w:r w:rsidR="00F47F31">
        <w:t>“washout effect”</w:t>
      </w:r>
      <w:r w:rsidR="00342757">
        <w:t xml:space="preserve">. Our results show that </w:t>
      </w:r>
      <w:r w:rsidR="00160D89">
        <w:t>there is something</w:t>
      </w:r>
      <w:r w:rsidR="00342757">
        <w:t xml:space="preserve"> specific</w:t>
      </w:r>
      <w:r w:rsidR="00160D89">
        <w:t xml:space="preserve"> about how OSW-1</w:t>
      </w:r>
      <w:r w:rsidR="00342757">
        <w:t xml:space="preserve"> </w:t>
      </w:r>
      <w:r w:rsidR="00160D89">
        <w:t>binds that</w:t>
      </w:r>
      <w:r w:rsidR="00342757">
        <w:t xml:space="preserve"> induce</w:t>
      </w:r>
      <w:r w:rsidR="00160D89">
        <w:t>s</w:t>
      </w:r>
      <w:r w:rsidR="00342757">
        <w:t xml:space="preserve"> OSBP degradation. It also seems that only specific competitive binding ligands are able to rescue OSBP from </w:t>
      </w:r>
      <w:r w:rsidR="00CF336A">
        <w:t xml:space="preserve">this </w:t>
      </w:r>
      <w:r w:rsidR="00342757">
        <w:t>degradation</w:t>
      </w:r>
      <w:r w:rsidR="00342757">
        <w:fldChar w:fldCharType="begin" w:fldLock="1"/>
      </w:r>
      <w:r w:rsidR="00393368">
        <w:instrText>ADDIN CSL_CITATION {"citationItems":[{"id":"ITEM-1","itemData":{"DOI":"10.1038/nchembio.625.Natural","abstract":"Cephalostatin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D","non-dropping-particle":"","parse-names":false,"suffix":""}],"id":"ITEM-1","issue":"9","issued":{"date-parts":[["2011"]]},"page":"639-647","title":"Natural products reveal cancer cell dependence on oxysterol- binding proteins","type":"article-journal","volume":"7"},"uris":["http://www.mendeley.com/documents/?uuid=567aedcd-b9f8-40e5-96c5-930235668c01"]}],"mendeley":{"formattedCitation":"(46)","plainTextFormattedCitation":"(46)","previouslyFormattedCitation":"(46)"},"properties":{"noteIndex":0},"schema":"https://github.com/citation-style-language/schema/raw/master/csl-citation.json"}</w:instrText>
      </w:r>
      <w:r w:rsidR="00342757">
        <w:fldChar w:fldCharType="separate"/>
      </w:r>
      <w:r w:rsidR="00393368" w:rsidRPr="00393368">
        <w:rPr>
          <w:noProof/>
        </w:rPr>
        <w:t>(46)</w:t>
      </w:r>
      <w:r w:rsidR="00342757">
        <w:fldChar w:fldCharType="end"/>
      </w:r>
      <w:r w:rsidR="00342757">
        <w:t>(</w:t>
      </w:r>
      <w:r w:rsidR="00BC0618">
        <w:fldChar w:fldCharType="begin"/>
      </w:r>
      <w:r w:rsidR="00BC0618">
        <w:instrText xml:space="preserve"> REF _Ref532555107 \h </w:instrText>
      </w:r>
      <w:r w:rsidR="00BC0618">
        <w:fldChar w:fldCharType="separate"/>
      </w:r>
      <w:r w:rsidR="00E2070A" w:rsidRPr="00A841B4">
        <w:rPr>
          <w:b/>
        </w:rPr>
        <w:t>Figure</w:t>
      </w:r>
      <w:r w:rsidR="00E2070A" w:rsidRPr="00703E43">
        <w:rPr>
          <w:b/>
        </w:rPr>
        <w:t xml:space="preserve"> </w:t>
      </w:r>
      <w:r w:rsidR="00E2070A">
        <w:rPr>
          <w:b/>
          <w:noProof/>
        </w:rPr>
        <w:t>31</w:t>
      </w:r>
      <w:r w:rsidR="00BC0618">
        <w:fldChar w:fldCharType="end"/>
      </w:r>
      <w:r w:rsidR="00342757">
        <w:t xml:space="preserve"> &amp;</w:t>
      </w:r>
      <w:r w:rsidR="00817F5D">
        <w:t xml:space="preserve"> </w:t>
      </w:r>
      <w:r w:rsidR="00817F5D" w:rsidRPr="00817F5D">
        <w:rPr>
          <w:b/>
        </w:rPr>
        <w:fldChar w:fldCharType="begin"/>
      </w:r>
      <w:r w:rsidR="00817F5D" w:rsidRPr="00817F5D">
        <w:rPr>
          <w:b/>
        </w:rPr>
        <w:instrText xml:space="preserve"> REF _Ref532557182 \h </w:instrText>
      </w:r>
      <w:r w:rsidR="00817F5D" w:rsidRPr="00817F5D">
        <w:rPr>
          <w:b/>
        </w:rPr>
      </w:r>
      <w:r w:rsidR="00817F5D">
        <w:rPr>
          <w:b/>
        </w:rPr>
        <w:instrText xml:space="preserve"> \* MERGEFORMAT </w:instrText>
      </w:r>
      <w:r w:rsidR="00817F5D" w:rsidRPr="00817F5D">
        <w:rPr>
          <w:b/>
        </w:rPr>
        <w:fldChar w:fldCharType="separate"/>
      </w:r>
      <w:r w:rsidR="00E2070A" w:rsidRPr="00E2070A">
        <w:rPr>
          <w:b/>
        </w:rPr>
        <w:t xml:space="preserve">Figure </w:t>
      </w:r>
      <w:r w:rsidR="00E2070A" w:rsidRPr="00E2070A">
        <w:rPr>
          <w:b/>
          <w:noProof/>
        </w:rPr>
        <w:t>32</w:t>
      </w:r>
      <w:r w:rsidR="00817F5D" w:rsidRPr="00817F5D">
        <w:rPr>
          <w:b/>
        </w:rPr>
        <w:fldChar w:fldCharType="end"/>
      </w:r>
      <w:r w:rsidR="00342757">
        <w:t>).</w:t>
      </w:r>
      <w:r w:rsidR="00CF336A">
        <w:t xml:space="preserve"> We have tested the scar</w:t>
      </w:r>
      <w:r w:rsidR="00ED42E4">
        <w:t>c</w:t>
      </w:r>
      <w:r w:rsidR="00CF336A">
        <w:t xml:space="preserve">e Schweinfurthin A in efforts to determine its effect on OSBP </w:t>
      </w:r>
      <w:r w:rsidR="00ED42E4">
        <w:t>protein level during</w:t>
      </w:r>
      <w:r w:rsidR="00CF336A">
        <w:t xml:space="preserve"> washout conditions</w:t>
      </w:r>
      <w:r w:rsidR="002045C8">
        <w:t xml:space="preserve"> and found that it induces the </w:t>
      </w:r>
      <w:r w:rsidR="00F47F31">
        <w:t>“washout effect”</w:t>
      </w:r>
      <w:r w:rsidR="002045C8">
        <w:t xml:space="preserve"> but to a much lesser extent and recovers quicker than OSW-1 (</w:t>
      </w:r>
      <w:r w:rsidR="002045C8" w:rsidRPr="002045C8">
        <w:rPr>
          <w:b/>
        </w:rPr>
        <w:fldChar w:fldCharType="begin"/>
      </w:r>
      <w:r w:rsidR="002045C8" w:rsidRPr="002045C8">
        <w:rPr>
          <w:b/>
        </w:rPr>
        <w:instrText xml:space="preserve"> REF _Ref530577563 \h </w:instrText>
      </w:r>
      <w:r w:rsidR="002045C8">
        <w:rPr>
          <w:b/>
        </w:rPr>
        <w:instrText xml:space="preserve"> \* MERGEFORMAT </w:instrText>
      </w:r>
      <w:r w:rsidR="002045C8" w:rsidRPr="002045C8">
        <w:rPr>
          <w:b/>
        </w:rPr>
      </w:r>
      <w:r w:rsidR="002045C8" w:rsidRPr="002045C8">
        <w:rPr>
          <w:b/>
        </w:rPr>
        <w:fldChar w:fldCharType="separate"/>
      </w:r>
      <w:r w:rsidR="00E2070A" w:rsidRPr="00E2070A">
        <w:rPr>
          <w:b/>
        </w:rPr>
        <w:t xml:space="preserve">Figure </w:t>
      </w:r>
      <w:r w:rsidR="00E2070A" w:rsidRPr="00E2070A">
        <w:rPr>
          <w:b/>
          <w:noProof/>
        </w:rPr>
        <w:t>70</w:t>
      </w:r>
      <w:r w:rsidR="002045C8" w:rsidRPr="002045C8">
        <w:rPr>
          <w:b/>
        </w:rPr>
        <w:fldChar w:fldCharType="end"/>
      </w:r>
      <w:r w:rsidR="002045C8">
        <w:t>)</w:t>
      </w:r>
      <w:r w:rsidR="00CF336A">
        <w:t xml:space="preserve">. Taken with the results presented earlier, more research needs to be done to determine the exact mechanism induced by </w:t>
      </w:r>
      <w:r w:rsidR="00ED42E4">
        <w:t xml:space="preserve">OSW-1 </w:t>
      </w:r>
      <w:r w:rsidR="00CF336A">
        <w:t>treatment and wh</w:t>
      </w:r>
      <w:r w:rsidR="00ED42E4">
        <w:t>at specifically</w:t>
      </w:r>
      <w:r w:rsidR="00CF336A">
        <w:t xml:space="preserve"> about the </w:t>
      </w:r>
      <w:r w:rsidR="00ED42E4">
        <w:t xml:space="preserve">OSW-1 </w:t>
      </w:r>
      <w:r w:rsidR="00CF336A">
        <w:t xml:space="preserve">compound induces the </w:t>
      </w:r>
      <w:r w:rsidR="00F47F31">
        <w:t>“washout effect”</w:t>
      </w:r>
      <w:r w:rsidR="00CF336A">
        <w:t xml:space="preserve">. Regardless of these obstacles, we have </w:t>
      </w:r>
      <w:r w:rsidR="00CF336A">
        <w:lastRenderedPageBreak/>
        <w:t xml:space="preserve">demonstrated that as of now, OSW-1 treatment for short periods of </w:t>
      </w:r>
      <w:r w:rsidR="00ED42E4">
        <w:t>time is non-toxic</w:t>
      </w:r>
      <w:r w:rsidR="00CF336A">
        <w:t xml:space="preserve"> and induces a prophylactic antiviral response against a </w:t>
      </w:r>
      <w:r w:rsidR="0076350C">
        <w:t>genus of viruses that is a public health menace without currently approved treatment</w:t>
      </w:r>
      <w:r w:rsidR="00ED42E4">
        <w:t>s</w:t>
      </w:r>
      <w:r w:rsidR="00741009">
        <w:fldChar w:fldCharType="begin" w:fldLock="1"/>
      </w:r>
      <w:r w:rsidR="00741009">
        <w:instrText>ADDIN CSL_CITATION {"citationItems":[{"id":"ITEM-1","itemData":{"DOI":"10.1038/s41579-018-0005-4","ISSN":"1740-1526","abstract":"The genus Enterovirus (EV) of the family Picornaviridae includes poliovirus, coxsackieviruses, echoviruses, numbered enteroviruses and rhinoviruses. These diverse viruses cause a variety of diseases, including non-specific febrile illness, hand-foot-and-mouth disease, neonatal sepsis-like disease, encephalitis, paralysis and respiratory diseases. In recent years, several non-polio enteroviruses (NPEVs) have emerged as serious public health concerns. These include EV-A71, which has caused epidemics of hand-foot-and-mouth disease in Southeast Asia, and EV-D68, which recently caused a large outbreak of severe lower respiratory tract disease in North America. Infections with these viruses are associated with severe neurological complications. For decades, most research has focused on poliovirus, but in recent years, our knowledge of NPEVs has increased considerably. In this Review, we summarize recent insights from enterovirus research with a special emphasis on NPEVs. We discuss virion structures, host–receptor interactions, viral uncoating and the recent discovery of a universal enterovirus host factor that is involved in viral genome release. Moreover, we briefly explain the mechanisms of viral genome replication, virion assembly and virion release, and describe potential targets for antiviral therapy. We reflect on how these recent discoveries may help the development of antiviral therapies and vaccines.","author":[{"dropping-particle":"","family":"Baggen","given":"Jim","non-dropping-particle":"","parse-names":false,"suffix":""},{"dropping-particle":"","family":"Thibaut","given":"Hendrik Jan","non-dropping-particle":"","parse-names":false,"suffix":""},{"dropping-particle":"","family":"Strating","given":"Jeroen R. P. M.","non-dropping-particle":"","parse-names":false,"suffix":""},{"dropping-particle":"","family":"Kuppeveld","given":"Frank J. M.","non-dropping-particle":"van","parse-names":false,"suffix":""}],"container-title":"Nature Reviews Microbiology","id":"ITEM-1","issue":"6","issued":{"date-parts":[["2018","6","6"]]},"page":"368-381","publisher":"Nature Publishing Group","title":"The life cycle of non-polio enteroviruses and how to target it","type":"article-journal","volume":"16"},"uris":["http://www.mendeley.com/documents/?uuid=217a9a4f-2817-3ec0-acbf-d9a7edb42ede"]}],"mendeley":{"formattedCitation":"(243)","plainTextFormattedCitation":"(243)"},"properties":{"noteIndex":0},"schema":"https://github.com/citation-style-language/schema/raw/master/csl-citation.json"}</w:instrText>
      </w:r>
      <w:r w:rsidR="00741009">
        <w:fldChar w:fldCharType="separate"/>
      </w:r>
      <w:r w:rsidR="00741009" w:rsidRPr="00741009">
        <w:rPr>
          <w:noProof/>
        </w:rPr>
        <w:t>(243)</w:t>
      </w:r>
      <w:r w:rsidR="00741009">
        <w:fldChar w:fldCharType="end"/>
      </w:r>
      <w:r w:rsidR="0076350C">
        <w:t xml:space="preserve">. With the </w:t>
      </w:r>
      <w:r w:rsidR="00F47F31">
        <w:t>“washout effect”</w:t>
      </w:r>
      <w:r w:rsidR="0076350C">
        <w:t xml:space="preserve"> being </w:t>
      </w:r>
      <w:r w:rsidR="00ED42E4">
        <w:t>inducible</w:t>
      </w:r>
      <w:r w:rsidR="0076350C">
        <w:t xml:space="preserve"> in all tissues types tested so far, and the fact that OSBP is utilized by a plethora of viruses, the application of this research has gre</w:t>
      </w:r>
      <w:r w:rsidR="00B554ED">
        <w:t>at potential moving forward.</w:t>
      </w:r>
    </w:p>
    <w:p w:rsidR="00AA06C7" w:rsidRDefault="00AA06C7" w:rsidP="00FB099D">
      <w:pPr>
        <w:ind w:firstLine="720"/>
        <w:jc w:val="both"/>
      </w:pPr>
    </w:p>
    <w:p w:rsidR="009964E0" w:rsidRDefault="009964E0" w:rsidP="00FB099D">
      <w:pPr>
        <w:ind w:firstLine="720"/>
        <w:jc w:val="both"/>
      </w:pPr>
    </w:p>
    <w:p w:rsidR="00AA0B13" w:rsidRPr="009F6B15" w:rsidRDefault="00AA0B13" w:rsidP="00E87672">
      <w:pPr>
        <w:pStyle w:val="Heading1"/>
      </w:pPr>
      <w:r>
        <w:br w:type="page"/>
      </w:r>
      <w:bookmarkStart w:id="230" w:name="_Toc310579474"/>
      <w:bookmarkStart w:id="231" w:name="_Toc532553180"/>
      <w:r w:rsidRPr="009F6B15">
        <w:lastRenderedPageBreak/>
        <w:t>References</w:t>
      </w:r>
      <w:bookmarkEnd w:id="230"/>
      <w:bookmarkEnd w:id="231"/>
    </w:p>
    <w:p w:rsidR="00741009" w:rsidRPr="00741009" w:rsidRDefault="00006268" w:rsidP="00741009">
      <w:pPr>
        <w:widowControl w:val="0"/>
        <w:autoSpaceDE w:val="0"/>
        <w:autoSpaceDN w:val="0"/>
        <w:adjustRightInd w:val="0"/>
        <w:ind w:left="640" w:hanging="640"/>
        <w:rPr>
          <w:rFonts w:ascii="Times New Roman" w:hAnsi="Times New Roman"/>
          <w:noProof/>
        </w:rPr>
      </w:pPr>
      <w:r>
        <w:rPr>
          <w:rFonts w:cstheme="minorHAnsi"/>
        </w:rPr>
        <w:fldChar w:fldCharType="begin" w:fldLock="1"/>
      </w:r>
      <w:r>
        <w:rPr>
          <w:rFonts w:cstheme="minorHAnsi"/>
        </w:rPr>
        <w:instrText xml:space="preserve">ADDIN Mendeley Bibliography CSL_BIBLIOGRAPHY </w:instrText>
      </w:r>
      <w:r>
        <w:rPr>
          <w:rFonts w:cstheme="minorHAnsi"/>
        </w:rPr>
        <w:fldChar w:fldCharType="separate"/>
      </w:r>
      <w:r w:rsidR="00741009" w:rsidRPr="00741009">
        <w:rPr>
          <w:rFonts w:ascii="Times New Roman" w:hAnsi="Times New Roman"/>
          <w:noProof/>
        </w:rPr>
        <w:t xml:space="preserve">1. </w:t>
      </w:r>
      <w:r w:rsidR="00741009" w:rsidRPr="00741009">
        <w:rPr>
          <w:rFonts w:ascii="Times New Roman" w:hAnsi="Times New Roman"/>
          <w:noProof/>
        </w:rPr>
        <w:tab/>
        <w:t>Olkkonen VM, Zhou Y, Yan D, Vihervaara T. 2012. Oxysterol-binding proteins-emerging roles in cell regulation. Eur J Lipid Sci Technol 114:634–643.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 </w:t>
      </w:r>
      <w:r w:rsidRPr="00741009">
        <w:rPr>
          <w:rFonts w:ascii="Times New Roman" w:hAnsi="Times New Roman"/>
          <w:noProof/>
        </w:rPr>
        <w:tab/>
        <w:t>Pietrangelo A, Ridgway ND. 2018. Bridging the molecular and biological functions of the oxysterol-binding protein family. Cell Mol Life Sci 75:3079–3098.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 </w:t>
      </w:r>
      <w:r w:rsidRPr="00741009">
        <w:rPr>
          <w:rFonts w:ascii="Times New Roman" w:hAnsi="Times New Roman"/>
          <w:noProof/>
        </w:rPr>
        <w:tab/>
        <w:t>Olkkonen VM, Li S. 2013. Oxysterol-binding proteins: Sterol and phosphoinositide sensors coordinating transport, signaling and metabolism. Prog Lipid Res 52:529–538.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 </w:t>
      </w:r>
      <w:r w:rsidRPr="00741009">
        <w:rPr>
          <w:rFonts w:ascii="Times New Roman" w:hAnsi="Times New Roman"/>
          <w:noProof/>
        </w:rPr>
        <w:tab/>
        <w:t>Yan D, Olkkonen VM. 2008. Characteristics of Oxysterol Binding Proteins. Int Rev Cytol. Elsevier Masson SAS.</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5. </w:t>
      </w:r>
      <w:r w:rsidRPr="00741009">
        <w:rPr>
          <w:rFonts w:ascii="Times New Roman" w:hAnsi="Times New Roman"/>
          <w:noProof/>
        </w:rPr>
        <w:tab/>
        <w:t xml:space="preserve">Kentala H, Weber-Boyvat M, Olkkonen VM. 2016. OSBP-Related Protein Family: Mediators of Lipid Transport and Signaling at Membrane Contact Sites, p. 299–340. </w:t>
      </w:r>
      <w:r w:rsidRPr="00741009">
        <w:rPr>
          <w:rFonts w:ascii="Times New Roman" w:hAnsi="Times New Roman"/>
          <w:i/>
          <w:iCs/>
          <w:noProof/>
        </w:rPr>
        <w:t>In</w:t>
      </w:r>
      <w:r w:rsidRPr="00741009">
        <w:rPr>
          <w:rFonts w:ascii="Times New Roman" w:hAnsi="Times New Roman"/>
          <w:noProof/>
        </w:rPr>
        <w:t xml:space="preserve"> International Review of Cell and Molecular Biology. Elsevier Inc.</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 </w:t>
      </w:r>
      <w:r w:rsidRPr="00741009">
        <w:rPr>
          <w:rFonts w:ascii="Times New Roman" w:hAnsi="Times New Roman"/>
          <w:noProof/>
        </w:rPr>
        <w:tab/>
        <w:t>Olkkonen VM, Beaslas O, Nissila E. 2012. Oxysterols and their cellular effectors. Biomolecules 2:76–103.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 </w:t>
      </w:r>
      <w:r w:rsidRPr="00741009">
        <w:rPr>
          <w:rFonts w:ascii="Times New Roman" w:hAnsi="Times New Roman"/>
          <w:noProof/>
        </w:rPr>
        <w:tab/>
        <w:t>Kulig W, Cwiklik L, Jurkiewicz P, Rog T, Vattulainen I. 2016. Cholesterol oxidation products and their biological importance. Chem Phys Lipids 199:144–160.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 </w:t>
      </w:r>
      <w:r w:rsidRPr="00741009">
        <w:rPr>
          <w:rFonts w:ascii="Times New Roman" w:hAnsi="Times New Roman"/>
          <w:noProof/>
        </w:rPr>
        <w:tab/>
        <w:t>Vihervaara T, Jansen M, Uronen RL, Ohsaki Y, Ikonen E, Olkkonen VM. 2011. Cytoplasmic oxysterol-binding proteins: Sterol sensors or transporters? Chem Phys Lipids. Elsevier Ireland Ltd.</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 </w:t>
      </w:r>
      <w:r w:rsidRPr="00741009">
        <w:rPr>
          <w:rFonts w:ascii="Times New Roman" w:hAnsi="Times New Roman"/>
          <w:noProof/>
        </w:rPr>
        <w:tab/>
        <w:t>Weber-Boyvat M, Zhong W, Yan D, Olkkonen VM. 2013. Oxysterol-binding proteins: Functions in cell regulation beyond lipid metabolism. Biochem Pharmacol 86:89–95.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 </w:t>
      </w:r>
      <w:r w:rsidRPr="00741009">
        <w:rPr>
          <w:rFonts w:ascii="Times New Roman" w:hAnsi="Times New Roman"/>
          <w:noProof/>
        </w:rPr>
        <w:tab/>
        <w:t xml:space="preserve">Dawson PA, Ridgway ND, Slaughter CA, Brown MS, Goldstein JL. 1989. cDNA cloning and expression of oxysterol-binding protein, an oligomer with a potential leucine zipper. J </w:t>
      </w:r>
      <w:r w:rsidRPr="00741009">
        <w:rPr>
          <w:rFonts w:ascii="Times New Roman" w:hAnsi="Times New Roman"/>
          <w:noProof/>
        </w:rPr>
        <w:lastRenderedPageBreak/>
        <w:t>Biol Chem 264:16798–16803.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 </w:t>
      </w:r>
      <w:r w:rsidRPr="00741009">
        <w:rPr>
          <w:rFonts w:ascii="Times New Roman" w:hAnsi="Times New Roman"/>
          <w:noProof/>
        </w:rPr>
        <w:tab/>
        <w:t>Ridgway ND, Dawson P a, Ho YK, Brown MS, Goldstein JL. 1992. Translocation of oxysterol binding protein to Golgi apparatus triggered by ligand binding. J Cell Biol 116:307–19.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 </w:t>
      </w:r>
      <w:r w:rsidRPr="00741009">
        <w:rPr>
          <w:rFonts w:ascii="Times New Roman" w:hAnsi="Times New Roman"/>
          <w:noProof/>
        </w:rPr>
        <w:tab/>
        <w:t>WANG C, JeBAILEY L, RIDGWAY ND. 2002. Oxysterol-binding-protein (OSBP)-related protein 4 binds25-hydroxycholesterol and interacts with vimentin intermediate filaments. Biochem J 361:461.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 </w:t>
      </w:r>
      <w:r w:rsidRPr="00741009">
        <w:rPr>
          <w:rFonts w:ascii="Times New Roman" w:hAnsi="Times New Roman"/>
          <w:noProof/>
        </w:rPr>
        <w:tab/>
        <w:t>Zhao K, Ridgway ND. 2017. Oxysterol-Binding Protein-Related Protein 1L Regulates Cholesterol Egress from the Endo-Lysosomal System. Cell Rep 19:1807–1818.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 </w:t>
      </w:r>
      <w:r w:rsidRPr="00741009">
        <w:rPr>
          <w:rFonts w:ascii="Times New Roman" w:hAnsi="Times New Roman"/>
          <w:noProof/>
        </w:rPr>
        <w:tab/>
        <w:t>Suchanek M, Hynynen R, Wohlfahrt G, Lehto M, Johansson M, Saarinen H, Radzikowska A, Thiele C, Olkkonen VM. 2007. The mammalian oxysterol-binding protein-related proteins (ORPs) bind 25-hydroxycholesterol in an evolutionarily conserved pocket. Biochem J 405:473–480.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 </w:t>
      </w:r>
      <w:r w:rsidRPr="00741009">
        <w:rPr>
          <w:rFonts w:ascii="Times New Roman" w:hAnsi="Times New Roman"/>
          <w:noProof/>
        </w:rPr>
        <w:tab/>
        <w:t>Du X, Kumar J, Ferguson C, Schulz TA, Ong YS, Hong W, Prinz WA, Parton RG, Brown AJ, Yang H. 2011. A role for oxysterol-binding protein-related protein 5 in endosomal cholesterol trafficking. J Cell Biol 192:121–135.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 </w:t>
      </w:r>
      <w:r w:rsidRPr="00741009">
        <w:rPr>
          <w:rFonts w:ascii="Times New Roman" w:hAnsi="Times New Roman"/>
          <w:noProof/>
        </w:rPr>
        <w:tab/>
        <w:t>Ngo M, Ridgway ND. 2009. Oxysterol Binding Protein–related Protein 9 (ORP9) Is a Cholesterol Transfer Protein That Regulates Golgi Structure and Function. Mol Biol Cell 20:1388–1399.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 </w:t>
      </w:r>
      <w:r w:rsidRPr="00741009">
        <w:rPr>
          <w:rFonts w:ascii="Times New Roman" w:hAnsi="Times New Roman"/>
          <w:noProof/>
        </w:rPr>
        <w:tab/>
        <w:t>Charman M, Colbourne TR, Pietrangelo A, Kreplak L, Ridgway ND. 2014. Oxysterol-binding protein (OSBP)-related protein 4 (ORP4) is essential for cell proliferation and survival. J Biol Chem 289:15705–15717.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 </w:t>
      </w:r>
      <w:r w:rsidRPr="00741009">
        <w:rPr>
          <w:rFonts w:ascii="Times New Roman" w:hAnsi="Times New Roman"/>
          <w:noProof/>
        </w:rPr>
        <w:tab/>
        <w:t xml:space="preserve">Ghai R, Du X, Wang H, Dong J, Ferguson C, Brown AJ, Parton RG, Wu JW, Yang H. </w:t>
      </w:r>
      <w:r w:rsidRPr="00741009">
        <w:rPr>
          <w:rFonts w:ascii="Times New Roman" w:hAnsi="Times New Roman"/>
          <w:noProof/>
        </w:rPr>
        <w:lastRenderedPageBreak/>
        <w:t>2017. ORP5 and ORP8 bind phosphatidylinositol-4, 5-biphosphate (PtdIns(4,5)P2) and regulate its level at the plasma membrane. Nat Commun 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 </w:t>
      </w:r>
      <w:r w:rsidRPr="00741009">
        <w:rPr>
          <w:rFonts w:ascii="Times New Roman" w:hAnsi="Times New Roman"/>
          <w:noProof/>
        </w:rPr>
        <w:tab/>
        <w:t>Mesmin B, Bigay J, Moser Von Filseck J, Lacas-Gervais S, Drin G, Antonny B. 2013. A four-step cycle driven by PI(4)P hydrolysis directs sterol/PI(4)P exchange by the ER-Golgi Tether OSBP. Cell 155.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 </w:t>
      </w:r>
      <w:r w:rsidRPr="00741009">
        <w:rPr>
          <w:rFonts w:ascii="Times New Roman" w:hAnsi="Times New Roman"/>
          <w:noProof/>
        </w:rPr>
        <w:tab/>
        <w:t>Im YJ, Raychaudhuri S, Prinz WA, Hurley JH. 2005. Structural mechanism for sterol sensing and transport by OSBP-related proteins. Nature 437:154–158.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 </w:t>
      </w:r>
      <w:r w:rsidRPr="00741009">
        <w:rPr>
          <w:rFonts w:ascii="Times New Roman" w:hAnsi="Times New Roman"/>
          <w:noProof/>
        </w:rPr>
        <w:tab/>
        <w:t>de Saint-Jean M, Delfosse V, Douguet D, Chicanne G, Payrastre B, Bourguet W, Antonny B, Drin G. 2011. Osh4p exchanges sterols for phosphatidylinositol 4-phosphate between lipid bilayers. J Cell Biol 195:965–978.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 </w:t>
      </w:r>
      <w:r w:rsidRPr="00741009">
        <w:rPr>
          <w:rFonts w:ascii="Times New Roman" w:hAnsi="Times New Roman"/>
          <w:noProof/>
        </w:rPr>
        <w:tab/>
        <w:t>Loewen CJR, Roy A, Levine TP. 2003. A conserved ER targeting motif in three families of lipid binding proteins and in Opi1p binds VAP. EMBO J 22:2025–2035.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 </w:t>
      </w:r>
      <w:r w:rsidRPr="00741009">
        <w:rPr>
          <w:rFonts w:ascii="Times New Roman" w:hAnsi="Times New Roman"/>
          <w:noProof/>
        </w:rPr>
        <w:tab/>
        <w:t>Nissilä E, Ohsaki Y, Weber-Boyvat M, Perttilä J, Ikonen E, Olkkonen VM. 2012. ORP10, a cholesterol binding protein associated with microtubules, regulates apolipoprotein B-100 secretion. Biochim Biophys Acta - Mol Cell Biol Lipids 1821:1472–1484.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24. </w:t>
      </w:r>
      <w:r w:rsidRPr="00741009">
        <w:rPr>
          <w:rFonts w:ascii="Times New Roman" w:hAnsi="Times New Roman"/>
          <w:noProof/>
        </w:rPr>
        <w:tab/>
        <w:t>Levine TP, Munro S. 1998. The pleckstrin homology domain of oxysterol-binding protein recognises a determinant specific to Golgi membranes. Curr Biol 8:729–739.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25. </w:t>
      </w:r>
      <w:r w:rsidRPr="00741009">
        <w:rPr>
          <w:rFonts w:ascii="Times New Roman" w:hAnsi="Times New Roman"/>
          <w:noProof/>
        </w:rPr>
        <w:tab/>
        <w:t>Johansson M, Lehto M, Tanhuanpää K, Cover TL, Olkkonen VM. 2005. The Oxysterol-binding Protein Homologue ORP1L Interacts with Rab7 and Alters Functional Properties of Late Endocytic Compartments. Mol Biol Cell 16:5480–5492.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26. </w:t>
      </w:r>
      <w:r w:rsidRPr="00741009">
        <w:rPr>
          <w:rFonts w:ascii="Times New Roman" w:hAnsi="Times New Roman"/>
          <w:noProof/>
        </w:rPr>
        <w:tab/>
        <w:t>Lehto M, Hynynen R, Karjalainen K, Kuismanen E, Hyvärinen K, Olkkonen VM. 2005. Targeting of OSBP-related protein 3 (ORP3) to endoplasmic reticulum and plasma membrane is controlled by multiple determinants. Exp Cell Res 310:445–462.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27. </w:t>
      </w:r>
      <w:r w:rsidRPr="00741009">
        <w:rPr>
          <w:rFonts w:ascii="Times New Roman" w:hAnsi="Times New Roman"/>
          <w:noProof/>
        </w:rPr>
        <w:tab/>
        <w:t>Taylor FR, Saucier SE, Shown EP, Parish EJ, Kandutsch AA. 1984. Correlation between oxysterol binding to a cytosolic binding protein and potency in the repression of hydroxymethylglutaryl coenzyme A reductase. J Biol Chem 259:12382–12387.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28. </w:t>
      </w:r>
      <w:r w:rsidRPr="00741009">
        <w:rPr>
          <w:rFonts w:ascii="Times New Roman" w:hAnsi="Times New Roman"/>
          <w:noProof/>
        </w:rPr>
        <w:tab/>
        <w:t>Taylor FR, Kandutsch AA. 1985. Oxysterol binding protein. Chem Phys Lipids 38:187–194.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29. </w:t>
      </w:r>
      <w:r w:rsidRPr="00741009">
        <w:rPr>
          <w:rFonts w:ascii="Times New Roman" w:hAnsi="Times New Roman"/>
          <w:noProof/>
        </w:rPr>
        <w:tab/>
        <w:t>Dawson PA, Van Der Westhuyzen DR, Goldstein JL, Brown MS. 1989. Purification of oxysterol binding protein from hamster liver cytosol. J Biol Chem 264:9046–9052.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30. </w:t>
      </w:r>
      <w:r w:rsidRPr="00741009">
        <w:rPr>
          <w:rFonts w:ascii="Times New Roman" w:hAnsi="Times New Roman"/>
          <w:noProof/>
        </w:rPr>
        <w:tab/>
        <w:t>Levanon D, Hsieh CL, Francke U, Dawson PA, Ridgway ND, Brown MS, Goldstein JL. 1990. cDNA cloning of human oxysterol-binding protein and localization of the gene to human chromosome 11 and mouse chromosome 19. Genomics 7:65–74.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31. </w:t>
      </w:r>
      <w:r w:rsidRPr="00741009">
        <w:rPr>
          <w:rFonts w:ascii="Times New Roman" w:hAnsi="Times New Roman"/>
          <w:noProof/>
        </w:rPr>
        <w:tab/>
        <w:t>Jaworski CJ, Moreira E, Li A, Lee R, Rodriguez IR. 2001. A family of 12 human genes containing oxysterol-binding domains. Genomics 78:185–196.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32. </w:t>
      </w:r>
      <w:r w:rsidRPr="00741009">
        <w:rPr>
          <w:rFonts w:ascii="Times New Roman" w:hAnsi="Times New Roman"/>
          <w:noProof/>
        </w:rPr>
        <w:tab/>
        <w:t>Laitinen S, Olkkonen VM, Ehnholm C, Ikonen E. 1999. Family of human oxysterol binding protein (OSBP) homologues. A novel member implicated in brain sterol metabolism. J Lipid Res 40:2204–11.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33. </w:t>
      </w:r>
      <w:r w:rsidRPr="00741009">
        <w:rPr>
          <w:rFonts w:ascii="Times New Roman" w:hAnsi="Times New Roman"/>
          <w:noProof/>
        </w:rPr>
        <w:tab/>
        <w:t>Levine TP, Munro S. 2002. Targeting of Golgi-specific pleckstrin homology domains involves both {PtdIns} 4-kinase-dependent and -independent components. Curr Biol 12:695–704.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34. </w:t>
      </w:r>
      <w:r w:rsidRPr="00741009">
        <w:rPr>
          <w:rFonts w:ascii="Times New Roman" w:hAnsi="Times New Roman"/>
          <w:noProof/>
        </w:rPr>
        <w:tab/>
        <w:t>Wyles JP, McMaster CR, Ridgway ND. 2002. Vesicle-associated membrane protein-associated protein-A (VAP-A) interacts with the oxysterol-binding protein to modify export from the endoplasmic reticulum. J Biol Chem 277:29908–29918.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35. </w:t>
      </w:r>
      <w:r w:rsidRPr="00741009">
        <w:rPr>
          <w:rFonts w:ascii="Times New Roman" w:hAnsi="Times New Roman"/>
          <w:noProof/>
        </w:rPr>
        <w:tab/>
        <w:t>Mesmin B, Bigay J, Moser Von Filseck J, Lacas-Gervais S, Drin G, Antonny B. 2013. A four-step cycle driven by PI(4)P hydrolysis directs sterol/PI(4)P exchange by the ER-</w:t>
      </w:r>
      <w:r w:rsidRPr="00741009">
        <w:rPr>
          <w:rFonts w:ascii="Times New Roman" w:hAnsi="Times New Roman"/>
          <w:noProof/>
        </w:rPr>
        <w:lastRenderedPageBreak/>
        <w:t>Golgi Tether OSBP. Cell 155.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36. </w:t>
      </w:r>
      <w:r w:rsidRPr="00741009">
        <w:rPr>
          <w:rFonts w:ascii="Times New Roman" w:hAnsi="Times New Roman"/>
          <w:noProof/>
        </w:rPr>
        <w:tab/>
        <w:t>Mesmin B, Bigay J, Polidori J, Jamecna D, Lacas‐Gervais S, Antonny B. 2017. Sterol transfer, PI4P consumption, and control of membrane lipid order by endogenous OSBP. EMBO J 36:e201796687.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37. </w:t>
      </w:r>
      <w:r w:rsidRPr="00741009">
        <w:rPr>
          <w:rFonts w:ascii="Times New Roman" w:hAnsi="Times New Roman"/>
          <w:noProof/>
        </w:rPr>
        <w:tab/>
        <w:t>Nhek S., Ngo M., Yang X., Ng M.M., Field J. S., Asara J.M., Ridgway N.D., A. T. 2010. Regulation of Oxysterol-binding Protein Golgi Localization through Protein Kinase D-mediated Phosphorylation. Mol Biol Cell 21:2327–2337.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38. </w:t>
      </w:r>
      <w:r w:rsidRPr="00741009">
        <w:rPr>
          <w:rFonts w:ascii="Times New Roman" w:hAnsi="Times New Roman"/>
          <w:noProof/>
        </w:rPr>
        <w:tab/>
        <w:t>Perry RJ, Ridgway ND. 2006. Oxysterol-binding Protein and Vesicle-associated Membrane Protein–associated Protein Are Required for Sterol-dependent Activation of the Ceramide Transport Protein. Mol Biol Cell 17:2604–2616.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39. </w:t>
      </w:r>
      <w:r w:rsidRPr="00741009">
        <w:rPr>
          <w:rFonts w:ascii="Times New Roman" w:hAnsi="Times New Roman"/>
          <w:noProof/>
        </w:rPr>
        <w:tab/>
        <w:t>Wang P-Y, Weng J, Anderson RGW. 2005. OSBP is a cholesterol-regulated scaffolding protein in control of ERK 1/2 activation. Science 307:1472–1476.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40. </w:t>
      </w:r>
      <w:r w:rsidRPr="00741009">
        <w:rPr>
          <w:rFonts w:ascii="Times New Roman" w:hAnsi="Times New Roman"/>
          <w:noProof/>
        </w:rPr>
        <w:tab/>
        <w:t>Romeo GR, Kazlauskas A. 2008. Oxysterol and diabetes activate STAT3 and control endothelial expression of profilin-1 via OSBP1. J Biol Chem 283:9595–9605.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41. </w:t>
      </w:r>
      <w:r w:rsidRPr="00741009">
        <w:rPr>
          <w:rFonts w:ascii="Times New Roman" w:hAnsi="Times New Roman"/>
          <w:noProof/>
        </w:rPr>
        <w:tab/>
        <w:t>Zeghouf M, Guibert B, Zeeh J-C, Cherfils J. 2005. Arf, Sec7 and Brefeldin A: a model towards the therapeutic inhibition of guanine nucleotide-exchange factors. Biochem Soc Trans 33:1265–1268.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42. </w:t>
      </w:r>
      <w:r w:rsidRPr="00741009">
        <w:rPr>
          <w:rFonts w:ascii="Times New Roman" w:hAnsi="Times New Roman"/>
          <w:noProof/>
        </w:rPr>
        <w:tab/>
        <w:t>Hausser A, Märtens S, Link G, Pfizenmaier K. 2006. Protein kinase D regulates vesicular transport by phosphorylation and activation of phosphatidylinositol-4 kinase III β at the Golgi complex 7:880–886.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43. </w:t>
      </w:r>
      <w:r w:rsidRPr="00741009">
        <w:rPr>
          <w:rFonts w:ascii="Times New Roman" w:hAnsi="Times New Roman"/>
          <w:noProof/>
        </w:rPr>
        <w:tab/>
        <w:t>Fugmann T, Hausser A, Schöffler P, Schmid S, Pfizenmaier K, Olayioye MA. 2007. Regulation of secretory transport by protein kinase D-mediated phosphorylation of the ceramide transfer protein. J Cell Biol 178:15–22.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44. </w:t>
      </w:r>
      <w:r w:rsidRPr="00741009">
        <w:rPr>
          <w:rFonts w:ascii="Times New Roman" w:hAnsi="Times New Roman"/>
          <w:noProof/>
        </w:rPr>
        <w:tab/>
        <w:t>Moreira EF, Jaworski C, Li A, Rodriguez IR. 2001. Molecular and Biochemical Characterization of a Novel Oxysterol-binding Protein (OSBP2) Highly Expressed in Retina. J Biol Chem 276:18570–18578.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45. </w:t>
      </w:r>
      <w:r w:rsidRPr="00741009">
        <w:rPr>
          <w:rFonts w:ascii="Times New Roman" w:hAnsi="Times New Roman"/>
          <w:noProof/>
        </w:rPr>
        <w:tab/>
        <w:t>Silva N, Fournier M V, Pimenta G, Pulcheri WA, Spector N, Carvalho MG. 2003. HLMOSBP2 is expressed in chronic myeloid leukemia. Int J Mol Med 12:663–666.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46. </w:t>
      </w:r>
      <w:r w:rsidRPr="00741009">
        <w:rPr>
          <w:rFonts w:ascii="Times New Roman" w:hAnsi="Times New Roman"/>
          <w:noProof/>
        </w:rPr>
        <w:tab/>
        <w:t>Burgett AWG, Poulsen TB, Wangkanont K, Anderson DR, Kikuchi C, Shimada K, Okubo S, Fortner KC, Mimaki Y, Kuroda M, Murphy JP, Schwalb DJ, Petrella EC, Cornella- I, Schirle M, Tallarico JA, Shair MD. 2011. Natural products reveal cancer cell dependence on oxysterol- binding proteins 7:639–647.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47. </w:t>
      </w:r>
      <w:r w:rsidRPr="00741009">
        <w:rPr>
          <w:rFonts w:ascii="Times New Roman" w:hAnsi="Times New Roman"/>
          <w:noProof/>
        </w:rPr>
        <w:tab/>
        <w:t>Wyles JP, Perry RJ, Ridgway ND. 2007. Characterization of the sterol-binding domain of oxysterol-binding protein (OSBP)-related protein 4 reveals a novel role in vimentin organization. Exp Cell Res 313:1426–1437.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48. </w:t>
      </w:r>
      <w:r w:rsidRPr="00741009">
        <w:rPr>
          <w:rFonts w:ascii="Times New Roman" w:hAnsi="Times New Roman"/>
          <w:noProof/>
        </w:rPr>
        <w:tab/>
        <w:t>Zhong W, Pan G, Wang L, Li S, Ou J, Xu M, Li J, Zhu B, Cao X, Ma H, Li C, Xu J, Olkkonen VM, Staels B, Yan D. 2016. ORP4L Facilitates Macrophage Survival via G-Protein-Coupled Signaling. Circ Res 119:1296–1312.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49. </w:t>
      </w:r>
      <w:r w:rsidRPr="00741009">
        <w:rPr>
          <w:rFonts w:ascii="Times New Roman" w:hAnsi="Times New Roman"/>
          <w:noProof/>
        </w:rPr>
        <w:tab/>
        <w:t>Pietrangelo A, Ridgway ND. 2018. Golgi localization of oxysterol binding protein-related protein 4L (ORP4L) is regulated by ligand binding. J Cell Sci 131:jcs215335.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50. </w:t>
      </w:r>
      <w:r w:rsidRPr="00741009">
        <w:rPr>
          <w:rFonts w:ascii="Times New Roman" w:hAnsi="Times New Roman"/>
          <w:noProof/>
        </w:rPr>
        <w:tab/>
        <w:t>Sarria AJ, Panini SR, Evans RM. 1992. A functional role for vimentin intermediate filaments in the metabolism of lipoprotein-derived cholesterol in human SW-13 cells. J Biol Chem 267:19455–19463.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51. </w:t>
      </w:r>
      <w:r w:rsidRPr="00741009">
        <w:rPr>
          <w:rFonts w:ascii="Times New Roman" w:hAnsi="Times New Roman"/>
          <w:noProof/>
        </w:rPr>
        <w:tab/>
        <w:t>Gillard BK, Harrell RG, Marcus DM. 1996. Pathways of glycosphingolipid biosynthesis in SW13 cells in the presence and absence of vimentin intermediate filaments. Glycobiology 6:33–42.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52. </w:t>
      </w:r>
      <w:r w:rsidRPr="00741009">
        <w:rPr>
          <w:rFonts w:ascii="Times New Roman" w:hAnsi="Times New Roman"/>
          <w:noProof/>
        </w:rPr>
        <w:tab/>
        <w:t>Heidenthal AK, Weber PC, Lottspeich F, Hrboticky N. 2000. The binding in vitro of modified LDL to the intermediate filament protein vimentin. Biochem Biophys Res Commun 267:49–53.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53. </w:t>
      </w:r>
      <w:r w:rsidRPr="00741009">
        <w:rPr>
          <w:rFonts w:ascii="Times New Roman" w:hAnsi="Times New Roman"/>
          <w:noProof/>
        </w:rPr>
        <w:tab/>
        <w:t>Udagawa O, Ito C, Ogonuki N, Sato H, Lee S, Tripvanuntakul P, Ichi I, Uchida Y, Nishimura T, Murakami M, Ogura A, Inoue T, Toshimori K, Arai H. 2014. Oligo-astheno-teratozoospermia in mice lacking ORP4, a sterol-binding protein in the OSBP-related protein family. Genes to Cells 19:13–27.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54. </w:t>
      </w:r>
      <w:r w:rsidRPr="00741009">
        <w:rPr>
          <w:rFonts w:ascii="Times New Roman" w:hAnsi="Times New Roman"/>
          <w:noProof/>
        </w:rPr>
        <w:tab/>
        <w:t>Zhong W, Yi Q, Xu B, Li S, Wang T, Liu F, Zhu B, Hoffmann PR, Ji G, Lei P, Li G, Li J, Li J, Olkkonen VM, Yan D. 2016. ORP4L is essential for T-cell acute lymphoblastic leukemia cell survival. Nat Commun 7:1–14.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55. </w:t>
      </w:r>
      <w:r w:rsidRPr="00741009">
        <w:rPr>
          <w:rFonts w:ascii="Times New Roman" w:hAnsi="Times New Roman"/>
          <w:noProof/>
        </w:rPr>
        <w:tab/>
        <w:t>Johansson M, Bocher V, Lehto M, Chinetti G, Kuismanen E, Ehnholm C, Staels B, Olkkonen VM. 2003. The Two Variants of Oxysterol Binding Protein-related Protein-1 Display Different Tissue Expression Patterns, Have Different Intracellular Localization, and Are Functionally Distinct. Mol Biol Cell 14:903–915.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56. </w:t>
      </w:r>
      <w:r w:rsidRPr="00741009">
        <w:rPr>
          <w:rFonts w:ascii="Times New Roman" w:hAnsi="Times New Roman"/>
          <w:noProof/>
        </w:rPr>
        <w:tab/>
        <w:t>Lee S, Wang P-Y, Jeong Y, Mangelsdorf DJ, Anderson RGW, Michaely P. 2012. Sterol-dependent nuclear import of ORP1S promotes LXR regulated trans-activation of apoE. Exp Cell Res 318:2128–2142.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57. </w:t>
      </w:r>
      <w:r w:rsidRPr="00741009">
        <w:rPr>
          <w:rFonts w:ascii="Times New Roman" w:hAnsi="Times New Roman"/>
          <w:noProof/>
        </w:rPr>
        <w:tab/>
        <w:t>Laitinen S, Lehto M, Lehtonen S, Hyvarinen K, Heino S, Lehtonen E, Ehnholm C, Ikonen E, Olkkonen VM. 2002. ORP2, a homolog of oxysterol binding protein, regulates cellular cholesterol metabolism. J Lipid Res 43:245–255.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58. </w:t>
      </w:r>
      <w:r w:rsidRPr="00741009">
        <w:rPr>
          <w:rFonts w:ascii="Times New Roman" w:hAnsi="Times New Roman"/>
          <w:noProof/>
        </w:rPr>
        <w:tab/>
        <w:t>Hynynen R, Suchanek M, Spandl J, Bäck N, Thiele C, Olkkonen VM. 2009. OSBP-related protein 2 is a sterol receptor on lipid droplets that regulates the metabolism of neutral lipids. J Lipid Res 50:1305–1315.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59. </w:t>
      </w:r>
      <w:r w:rsidRPr="00741009">
        <w:rPr>
          <w:rFonts w:ascii="Times New Roman" w:hAnsi="Times New Roman"/>
          <w:noProof/>
        </w:rPr>
        <w:tab/>
        <w:t>Murphy S, Martin S, Parton RG. 2009. Lipid droplet-organelle interactions; sharing the fats. Biochim Biophys Acta - Mol Cell Biol Lipids 1791:441–447.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60. </w:t>
      </w:r>
      <w:r w:rsidRPr="00741009">
        <w:rPr>
          <w:rFonts w:ascii="Times New Roman" w:hAnsi="Times New Roman"/>
          <w:noProof/>
        </w:rPr>
        <w:tab/>
        <w:t>Escajadillo T, Wang H, Li L, Li D, Sewer MB. 2016. Oxysterol-related-binding-protein related Protein-2 (ORP2) regulates cortisol biosynthesis and cholesterol homeostasis. Mol Cell Endocrinol 427:73–85.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61. </w:t>
      </w:r>
      <w:r w:rsidRPr="00741009">
        <w:rPr>
          <w:rFonts w:ascii="Times New Roman" w:hAnsi="Times New Roman"/>
          <w:noProof/>
        </w:rPr>
        <w:tab/>
        <w:t>Lehto M, Tienari J, Lehtonen S, Lehtonen E, Olkkonen VM. 2004. Subfamily III of mammalian oxysterol-binding protein (OSBP) homologues: The and intracellular localization of ORP3, ORP6, and ORP7. Cell Tissue Res 315:39–57.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62. </w:t>
      </w:r>
      <w:r w:rsidRPr="00741009">
        <w:rPr>
          <w:rFonts w:ascii="Times New Roman" w:hAnsi="Times New Roman"/>
          <w:noProof/>
        </w:rPr>
        <w:tab/>
        <w:t>Lehto M, Mayranpaa MI, Pellinen T, Ihalmo P, Lehtonen S, Kovanen PT, Groop P-H, Ivaska J, Olkkonen VM. 2008. The R-Ras interaction partner ORP3 regulates cell adhesion. J Cell Sci 121:695–705.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63. </w:t>
      </w:r>
      <w:r w:rsidRPr="00741009">
        <w:rPr>
          <w:rFonts w:ascii="Times New Roman" w:hAnsi="Times New Roman"/>
          <w:noProof/>
        </w:rPr>
        <w:tab/>
        <w:t>Weber-Boyvat M, Kentala H, Lilja J, Vihervaara T, Hanninen R, Zhou Y, Peränen J, Nyman TA, Ivaska J, Olkkonen VM. 2015. OSBP-related protein 3 (ORP3) coupling with VAMP-associated protein A regulates R-Ras activity. Exp Cell Res 331:278–291.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64. </w:t>
      </w:r>
      <w:r w:rsidRPr="00741009">
        <w:rPr>
          <w:rFonts w:ascii="Times New Roman" w:hAnsi="Times New Roman"/>
          <w:noProof/>
        </w:rPr>
        <w:tab/>
        <w:t>Ouimet M, Hennessy EJ, Van Solingen C, Koelwyn GJ, Hussein MA, Ramkhelawon B, Rayner KJ, Temel RE, Perisic L, Hedin U, Maegdefessel L, Garabedian MJ, Holdt LM, Teupser D, Moore KJ. 2016. MiRNA targeting of oxysterol-binding protein-like 6 regulates cholesterol trafficking and efflux. Arterioscler Thromb Vasc Biol 36:942–951.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65. </w:t>
      </w:r>
      <w:r w:rsidRPr="00741009">
        <w:rPr>
          <w:rFonts w:ascii="Times New Roman" w:hAnsi="Times New Roman"/>
          <w:noProof/>
        </w:rPr>
        <w:tab/>
        <w:t>Mochizuki S, Miki H, Zhou R, Kido Y, Nishimura W, Kikuchi M, Noda Y. 2018. Oxysterol-binding protein-related protein (ORP) 6 localizes to the ER and ER-plasma membrane contact sites and is involved in the turnover of PI4P in cerebellar granule neurons. Exp Cell Res 370:601–612.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66. </w:t>
      </w:r>
      <w:r w:rsidRPr="00741009">
        <w:rPr>
          <w:rFonts w:ascii="Times New Roman" w:hAnsi="Times New Roman"/>
          <w:noProof/>
        </w:rPr>
        <w:tab/>
        <w:t xml:space="preserve">Zhong W, Zhou Y, Li S, Zhou T, Ma H, Wei K, Li H, Olkkonen VM, Yan D. 2011. </w:t>
      </w:r>
      <w:r w:rsidRPr="00741009">
        <w:rPr>
          <w:rFonts w:ascii="Times New Roman" w:hAnsi="Times New Roman"/>
          <w:noProof/>
        </w:rPr>
        <w:lastRenderedPageBreak/>
        <w:t>OSBP-related protein 7 interacts with GATE-16 and negatively regulates GS28 protein stability. Exp Cell Res 317:2353–2363.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67. </w:t>
      </w:r>
      <w:r w:rsidRPr="00741009">
        <w:rPr>
          <w:rFonts w:ascii="Times New Roman" w:hAnsi="Times New Roman"/>
          <w:noProof/>
        </w:rPr>
        <w:tab/>
        <w:t xml:space="preserve">Teslovich TM, Musunuru K, Smith A V., Edmondson AC, Stylianou IM, Koseki M, Pirruccello JP, Ripatti S, Chasman DI, Willer CJ, Johansen CT, Fouchier SW, Isaacs A, Peloso GM, Barbalic M, Ricketts SL, Bis JC, Aulchenko YS, Thorleifsson G, Feitosa MF, Chambers J, Orho-Melander M, Melander O, Johnson T, Li X, Guo X, Li M, Shin Cho Y, Jin Go M, Jin Kim Y, Lee JY, Park T, Kim K, Sim X, Twee-Hee Ong R, Croteau-Chonka DC, Lange LA, Smith JD, Song K, Hua Zhao J, Yuan X, Luan J, Lamina C, Ziegler A, Zhang W, Zee RYL, Wright AF, Witteman JCM, Wilson JF, Willemsen G, Wichmann HE, Whitfield JB, Waterworth DM, Wareham NJ, Waeber G, Vollenweider P, Voight BF, Vitart V, Uitterlinden AG, Uda M, Tuomilehto J, Thompson JR, Tanaka T, Surakka I, Stringham HM, Spector TD, Soranzo N, Smit JH, Sinisalo J, Silander K, Sijbrands EJG, Scuteri A, Scott J, Schlessinger D, Sanna S, Salomaa V, Saharinen J, Sabatti C, Ruokonen A, Rudan I, Rose LM, Roberts R, Rieder M, Psaty BM, Pramstaller PP, Pichler I, Perola M, Penninx BWJH, Pedersen NL, Pattaro C, Parker AN, Pare G, Oostra BA, O’donnell CJ, Nieminen MS, Nickerson DA, Montgomery GW, Meitinger T, Mcpherson R, Mccarthy MI, Mcardle W, Masson D, Martin NG, Marroni F, Mangino M, Magnusson PKE, Lucas G, Luben R, Loos RJF, Lokki ML, Lettre G, Langenberg C, Launer LJ, Lakatta EG, Laaksonen R, Kyvik KO, Kronenberg F, König IR, Khaw KT, Kaprio J, Kaplan LM, Johansson Å, Jarvelin MR, Cecile A, Ingelsson E, Igl W, Kees Hovingh G, Hottenga JJ, Hofman A, Hicks AA, Hengstenberg C, Heid IM, Hayward C, Havulinna AS, Hastie ND, Harris TB, Haritunians T, Hall AS, Gyllensten U, Guiducci C, Groop LC, Gonzalez E, Gieger C, Freimer NB, Ferrucci L, Erdmann J, Elliott P, Ejebe KG, Döring </w:t>
      </w:r>
      <w:r w:rsidRPr="00741009">
        <w:rPr>
          <w:rFonts w:ascii="Times New Roman" w:hAnsi="Times New Roman"/>
          <w:noProof/>
        </w:rPr>
        <w:lastRenderedPageBreak/>
        <w:t>A, Dominiczak AF, Demissie S, Deloukas P, De Geus EJC, De Faire U, Crawford G, Collins FS, Chen YDI, Caulfield MJ, Campbell H, Burtt NP, Bonnycastle LL, Boomsma DI, Boekholdt SM, Bergman RN, Barroso I, Bandinelli S, Ballantyne CM, Assimes TL, Quertermous T, Altshuler D, Seielstad M, Wong TY, Tai ES, Feranil AB, Kuzawa CW, Adair LS, Taylor HA, Borecki IB, Gabriel SB, Wilson JG, Holm H, Thorsteinsdottir U, Gudnason V, Krauss RM, Mohlke KL, Ordovas JM, Munroe PB, Kooner JS, Tall AR, Hegele RA, Kastelein JJP, Schadt EE, Rotter JI, Boerwinkle E, Strachan DP, Mooser V, Stefansson K, Reilly MP, Samani NJ, Schunkert H, Cupples LA, Sandhu MS, Ridker PM, Rader DJ, Van Duijn CM, Peltonen L, Abecasis GR, Boehnke M, Kathiresan S. 2010. Biological, clinical and population relevance of 95 loci for blood lipids. Nature 466:707–713.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68. </w:t>
      </w:r>
      <w:r w:rsidRPr="00741009">
        <w:rPr>
          <w:rFonts w:ascii="Times New Roman" w:hAnsi="Times New Roman"/>
          <w:noProof/>
        </w:rPr>
        <w:tab/>
        <w:t>Chung J, Torta F, Masai K, Lucast L, Czapla H, Tanner LB, Narayanaswamy P, Wenk MR, Nakatsu F, De Camilli P. 2015. PI4P/phosphatidylserine countertransport at ORP5- and ORP8-mediated ER-plasma membrane contacts. Science (80- ) 349:428–432.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69. </w:t>
      </w:r>
      <w:r w:rsidRPr="00741009">
        <w:rPr>
          <w:rFonts w:ascii="Times New Roman" w:hAnsi="Times New Roman"/>
          <w:noProof/>
        </w:rPr>
        <w:tab/>
        <w:t>Galmes R, Houcine A, van Vliet AR, Agostinis P, Jackson CL, Giordano F. 2016. ORP5/ORP8 localize to endoplasmic reticulum–mitochondria contacts and are involved in mitochondrial function. EMBO Rep 17:800–810.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70. </w:t>
      </w:r>
      <w:r w:rsidRPr="00741009">
        <w:rPr>
          <w:rFonts w:ascii="Times New Roman" w:hAnsi="Times New Roman"/>
          <w:noProof/>
        </w:rPr>
        <w:tab/>
        <w:t>Du X, Zadoorian A, Lukmantara IE, Qi Y, Brown AJ, Yang H. 2018. Oxysterol-binding protein–related protein 5 (ORP5) promotes cell proliferation by activation of MTORC1 signaling. J Biol Chem 293:3806–3818.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71. </w:t>
      </w:r>
      <w:r w:rsidRPr="00741009">
        <w:rPr>
          <w:rFonts w:ascii="Times New Roman" w:hAnsi="Times New Roman"/>
          <w:noProof/>
        </w:rPr>
        <w:tab/>
        <w:t>Zhou T, Li S, Zhong W, Vihervaara T, Béaslas O, Perttilä J, Luo W, Jiang Y, Lehto M, Olkkonen VM, Yan D. 2011. Osbp-related protein 8 (ORP8) regulates plasma and liver tissue lipid levels and interacts with the nucleoporin Nup62. PLoS One 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72. </w:t>
      </w:r>
      <w:r w:rsidRPr="00741009">
        <w:rPr>
          <w:rFonts w:ascii="Times New Roman" w:hAnsi="Times New Roman"/>
          <w:noProof/>
        </w:rPr>
        <w:tab/>
        <w:t>Wyles JP, Ridgway ND. 2004. VAMP-associated protein-A regulates partitioning of oxysterol-binding protein-related protein-9 between the endoplasmic reticulum and Golgi apparatus. Exp Cell Res 297:533–547.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73. </w:t>
      </w:r>
      <w:r w:rsidRPr="00741009">
        <w:rPr>
          <w:rFonts w:ascii="Times New Roman" w:hAnsi="Times New Roman"/>
          <w:noProof/>
        </w:rPr>
        <w:tab/>
        <w:t>Nhek S., Ngo M., Yang X., Ng M.M., Field J. S., Asara J.M., Ridgway N.D.  and TA. 2010. Regulation of Oxysterol-binding Protein Golgi Localization through Protein Kinase D-mediated Phosphorylation. Mol Biol Cell 21:2327–2337.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74. </w:t>
      </w:r>
      <w:r w:rsidRPr="00741009">
        <w:rPr>
          <w:rFonts w:ascii="Times New Roman" w:hAnsi="Times New Roman"/>
          <w:noProof/>
        </w:rPr>
        <w:tab/>
        <w:t>Liu X, Ridgway ND. 2014. Characterization of the sterol and phosphatidylinositol 4-Phosphate binding properties of golgi-associated OSBP-related protein 9 (ORP9). PLoS One 9:1–12.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75. </w:t>
      </w:r>
      <w:r w:rsidRPr="00741009">
        <w:rPr>
          <w:rFonts w:ascii="Times New Roman" w:hAnsi="Times New Roman"/>
          <w:noProof/>
        </w:rPr>
        <w:tab/>
        <w:t>Lessmann E, Ngo M, Leitges M, Minguet S, Ridgway ND, Huber M. 2007. Oxysterol-binding protein-related protein (ORP) 9 is a PDK-2 substrate and regulates Akt phosphorylation. Cell Signal 19:384–392.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76. </w:t>
      </w:r>
      <w:r w:rsidRPr="00741009">
        <w:rPr>
          <w:rFonts w:ascii="Times New Roman" w:hAnsi="Times New Roman"/>
          <w:noProof/>
        </w:rPr>
        <w:tab/>
        <w:t>Fairn GD, McMaster CR. 2005. The roles of the human lipid-binding proteins ORP9S and ORP10S in vesicular transport. Biochem Cell Biol 83:631–636.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77. </w:t>
      </w:r>
      <w:r w:rsidRPr="00741009">
        <w:rPr>
          <w:rFonts w:ascii="Times New Roman" w:hAnsi="Times New Roman"/>
          <w:noProof/>
        </w:rPr>
        <w:tab/>
        <w:t>Li D, Dammer EB, Lucki NC, Sewer MB. 2013. cAMP-stimulated phosphorylation of diaphanous 1 regulates protein stability and interaction with binding partners in adrenocortical cells. Mol Biol Cell 24:848–857.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78. </w:t>
      </w:r>
      <w:r w:rsidRPr="00741009">
        <w:rPr>
          <w:rFonts w:ascii="Times New Roman" w:hAnsi="Times New Roman"/>
          <w:noProof/>
        </w:rPr>
        <w:tab/>
        <w:t>Zhou Y, Li S, Mäyränpää MI, Wenbin Z, Bäck N, Yan D, Olkkonen VM. 2010. OSBP-related protein 11 (ORP11) dimerizes with ORP9 and localizes at the Golgi—late endosome interface. Chem Phys Lipids 163:S55.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79. </w:t>
      </w:r>
      <w:r w:rsidRPr="00741009">
        <w:rPr>
          <w:rFonts w:ascii="Times New Roman" w:hAnsi="Times New Roman"/>
          <w:noProof/>
        </w:rPr>
        <w:tab/>
        <w:t>Amako Y, Sarkeshik A, Hotta H, Yates J, Siddiqui A. 2009. Role of oxysterol binding protein in hepatitis C virus infection. J Virol 83:9237–46.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80. </w:t>
      </w:r>
      <w:r w:rsidRPr="00741009">
        <w:rPr>
          <w:rFonts w:ascii="Times New Roman" w:hAnsi="Times New Roman"/>
          <w:noProof/>
        </w:rPr>
        <w:tab/>
        <w:t xml:space="preserve">Arita M, Kojima H, Nagano T, Okabe T, Wakita T, Shimizu H. 2013. Oxysterol-Binding </w:t>
      </w:r>
      <w:r w:rsidRPr="00741009">
        <w:rPr>
          <w:rFonts w:ascii="Times New Roman" w:hAnsi="Times New Roman"/>
          <w:noProof/>
        </w:rPr>
        <w:lastRenderedPageBreak/>
        <w:t>Protein Family I Is the Target of Minor Enviroxime-Like Compounds. J Virol 87:4252–4260.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81. </w:t>
      </w:r>
      <w:r w:rsidRPr="00741009">
        <w:rPr>
          <w:rFonts w:ascii="Times New Roman" w:hAnsi="Times New Roman"/>
          <w:noProof/>
        </w:rPr>
        <w:tab/>
        <w:t>Strating JRPM. 2015. ITRACONAZOLE INHIBITS ENTEROVIRUS REPLICATION BY TARGETING THE OXYSTEROL-BINDING PROTEIN 25:1–30.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82. </w:t>
      </w:r>
      <w:r w:rsidRPr="00741009">
        <w:rPr>
          <w:rFonts w:ascii="Times New Roman" w:hAnsi="Times New Roman"/>
          <w:noProof/>
        </w:rPr>
        <w:tab/>
        <w:t>Albulescu L, Strating JRPM, Thibaut HJ, Linden L Van Der, Shair MD, Neyts J, van Kuppeveld FJM. 2015. Broad-range inhibition of enterovirus replication by OSW-1, a natural compound targeting OSBP. Antiviral Res 117:110–114.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83. </w:t>
      </w:r>
      <w:r w:rsidRPr="00741009">
        <w:rPr>
          <w:rFonts w:ascii="Times New Roman" w:hAnsi="Times New Roman"/>
          <w:noProof/>
        </w:rPr>
        <w:tab/>
        <w:t>Dorobantu CM, Albulescu L, Lyoo H, van Kampen M, De Francesco R, Lohmann V, Harak C, van der Schaar HM, Strating JRPM, Gorbalenya AE, van Kuppeveld FJM. 2016. Mutations in Encephalomyocarditis Virus 3A Protein Uncouple the Dependency of Genome Replication on Host Factors Phosphatidylinositol 4-Kinase IIIα and Oxysterol-Binding Protein. mSphere 1:e00068-16.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84. </w:t>
      </w:r>
      <w:r w:rsidRPr="00741009">
        <w:rPr>
          <w:rFonts w:ascii="Times New Roman" w:hAnsi="Times New Roman"/>
          <w:noProof/>
        </w:rPr>
        <w:tab/>
        <w:t>Meutiawati F, Bezemer B, Strating JRPM, Overheul GJ, Žusinaite E, van Kuppeveld FJM, van Cleef KWR, van Rij RP. 2018. Posaconazole inhibits dengue virus replication by targeting oxysterol-binding protein. Antiviral Res 157:68–79.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85. </w:t>
      </w:r>
      <w:r w:rsidRPr="00741009">
        <w:rPr>
          <w:rFonts w:ascii="Times New Roman" w:hAnsi="Times New Roman"/>
          <w:noProof/>
        </w:rPr>
        <w:tab/>
        <w:t>Munir S, Saleem S, Idrees M, Tariq A, Butt S, Rauff B, Hussain A, Badar S, Naudhani M, Fatima Z, Ali M, Ali L, Akram M, Aftab M, Khubaib B, Awan Z. 2010. Hepatitis C Treatment: Current and future perspectives. Virol J 7:1–6.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86. </w:t>
      </w:r>
      <w:r w:rsidRPr="00741009">
        <w:rPr>
          <w:rFonts w:ascii="Times New Roman" w:hAnsi="Times New Roman"/>
          <w:noProof/>
        </w:rPr>
        <w:tab/>
        <w:t>Strating JR, van Kuppeveld FJ. 2017. Viral rewiring of cellular lipid metabolism to create membranous replication compartments. Curr Opin Cell Biol 47:24–33.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87. </w:t>
      </w:r>
      <w:r w:rsidRPr="00741009">
        <w:rPr>
          <w:rFonts w:ascii="Times New Roman" w:hAnsi="Times New Roman"/>
          <w:noProof/>
        </w:rPr>
        <w:tab/>
        <w:t>van der Schaar HM, Dorobantu CM, Albulescu L, Strating JRPM, van Kuppeveld FJM. 2016. Fat(al) attraction: Picornaviruses Usurp Lipid Transfer at Membrane Contact Sites to Create Replication Organelles. Trends Microbiol 24:535–546.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88. </w:t>
      </w:r>
      <w:r w:rsidRPr="00741009">
        <w:rPr>
          <w:rFonts w:ascii="Times New Roman" w:hAnsi="Times New Roman"/>
          <w:noProof/>
        </w:rPr>
        <w:tab/>
        <w:t>Nagy PD, Strating JRPM, van Kuppeveld FJM. 2016. Building Viral Replication Organelles: Close Encounters of the Membrane Types. PLoS Pathog 12:6–11.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89. </w:t>
      </w:r>
      <w:r w:rsidRPr="00741009">
        <w:rPr>
          <w:rFonts w:ascii="Times New Roman" w:hAnsi="Times New Roman"/>
          <w:noProof/>
        </w:rPr>
        <w:tab/>
        <w:t>Lim YS, Hwang SB. 2011. Hepatitis C virus NS5A protein interacts with phosphatidylinositol 4-kinase type III?? and regulates viral propagation. J Biol Chem 286:11290–11298.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90. </w:t>
      </w:r>
      <w:r w:rsidRPr="00741009">
        <w:rPr>
          <w:rFonts w:ascii="Times New Roman" w:hAnsi="Times New Roman"/>
          <w:noProof/>
        </w:rPr>
        <w:tab/>
        <w:t>Tai AW, Salloum S. 2011. The role of the phosphatidylinositol 4-kinase PI4KA in hepatitis C virus-induced host membrane rearrangement. PLoS One 6:1–12.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91. </w:t>
      </w:r>
      <w:r w:rsidRPr="00741009">
        <w:rPr>
          <w:rFonts w:ascii="Times New Roman" w:hAnsi="Times New Roman"/>
          <w:noProof/>
        </w:rPr>
        <w:tab/>
        <w:t>Amako Y, Syed GH, Siddiqui A. 2011. Protein kinase D negatively regulates hepatitis C virus secretion through phosphorylation of oxysterol-binding protein and ceramide transfer protein. J Biol Chem 286:11265–74.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92. </w:t>
      </w:r>
      <w:r w:rsidRPr="00741009">
        <w:rPr>
          <w:rFonts w:ascii="Times New Roman" w:hAnsi="Times New Roman"/>
          <w:noProof/>
        </w:rPr>
        <w:tab/>
        <w:t>Wang H, Perry JW, Lauring AS, Neddermann P, De Francesco R, Tai AW. 2014. Oxysterol-binding protein is a phosphatidylinositol 4-kinase effector required for HCV replication membrane integrity and cholesterol trafficking. Gastroenterology 146:1373–1385.e11.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93. </w:t>
      </w:r>
      <w:r w:rsidRPr="00741009">
        <w:rPr>
          <w:rFonts w:ascii="Times New Roman" w:hAnsi="Times New Roman"/>
          <w:noProof/>
        </w:rPr>
        <w:tab/>
        <w:t>Bishé B, Syed G, Siddiqui A. 2012. Phosphoinositides in the hepatitis C virus life cycle. Viruses 4:2340–2358.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94. </w:t>
      </w:r>
      <w:r w:rsidRPr="00741009">
        <w:rPr>
          <w:rFonts w:ascii="Times New Roman" w:hAnsi="Times New Roman"/>
          <w:noProof/>
        </w:rPr>
        <w:tab/>
        <w:t>Bishé B, Syed GH, Field SJ, Siddiqui A. 2012. Role of phosphatidylinositol 4-phosphate (PI4P) and its binding protein GOLPH3 in hepatitis C virus secretion. J Biol Chem 287:27637–27647.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95. </w:t>
      </w:r>
      <w:r w:rsidRPr="00741009">
        <w:rPr>
          <w:rFonts w:ascii="Times New Roman" w:hAnsi="Times New Roman"/>
          <w:noProof/>
        </w:rPr>
        <w:tab/>
        <w:t>Aizaki H, Morikawa K, Fukasawa M, Hara H, Inoue Y, Tani H, Saito K, Nishijima M, Hanada K, Matsuura Y, Lai MMC, Miyamura T, Wakita T, Suzuki T. 2008. Critical Role of Virion-Associated Cholesterol and Sphingolipid in Hepatitis C Virus Infection. J Virol 82:5715–5724.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96. </w:t>
      </w:r>
      <w:r w:rsidRPr="00741009">
        <w:rPr>
          <w:rFonts w:ascii="Times New Roman" w:hAnsi="Times New Roman"/>
          <w:noProof/>
        </w:rPr>
        <w:tab/>
        <w:t>Nielsen SU, Bassendine MF, Burt AD, Martin C, Pumeechockchai W, Geoffrey L, Toms GL. 2006. Association between Hepatitis C Virus and Very-Low-Density Lipoprotein ( VLDL )/ LDL Analyzed in Iodixanol Density Gradients Association between Hepatitis C Virus and Very-Low-Density Lipoprotein ( VLDL )/ LDL Analyzed in Iodixanol Density Gradients. J Virol 80:2418–2428.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97. </w:t>
      </w:r>
      <w:r w:rsidRPr="00741009">
        <w:rPr>
          <w:rFonts w:ascii="Times New Roman" w:hAnsi="Times New Roman"/>
          <w:noProof/>
        </w:rPr>
        <w:tab/>
        <w:t>Albecka A, Belouzard S, de Beeck AO, Descamps V, Goueslain L, Bertrand-Michel J, Tercé F, Duverlie G, Rouillé Y, Dubuisson J. 2012. Role of low-density lipoprotein receptor in the hepatitis C virus life cycle. Hepatology 55:998–1007.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98. </w:t>
      </w:r>
      <w:r w:rsidRPr="00741009">
        <w:rPr>
          <w:rFonts w:ascii="Times New Roman" w:hAnsi="Times New Roman"/>
          <w:noProof/>
        </w:rPr>
        <w:tab/>
        <w:t>Syed GH, Tang H, Khan M, Hassanein T, Liu J, Siddiqui A, Diamond MS. 2014. Hepatitis C Virus Stimulates Low-Density Lipoprotein Receptor Expression To Facilitate Viral Propagation. J Virol 88:2519–2529.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99. </w:t>
      </w:r>
      <w:r w:rsidRPr="00741009">
        <w:rPr>
          <w:rFonts w:ascii="Times New Roman" w:hAnsi="Times New Roman"/>
          <w:noProof/>
        </w:rPr>
        <w:tab/>
        <w:t>Yan D, Lehto M, Rasilainen L, Metso J, Ehnholm C, Ylä-Herttuala S, Jauhiainen M, Olkkonen VM. 2007. Oxysterol binding protein induces upregulation of SREBP-1c and enhances hepatic lipogenesis. Arterioscler Thromb Vasc Biol 27:1108–1114.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100. </w:t>
      </w:r>
      <w:r w:rsidRPr="00741009">
        <w:rPr>
          <w:rFonts w:ascii="Times New Roman" w:hAnsi="Times New Roman"/>
          <w:noProof/>
        </w:rPr>
        <w:tab/>
        <w:t>Polio Global Eradication Initiative. Polio Now – GPEI.</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101. </w:t>
      </w:r>
      <w:r w:rsidRPr="00741009">
        <w:rPr>
          <w:rFonts w:ascii="Times New Roman" w:hAnsi="Times New Roman"/>
          <w:noProof/>
        </w:rPr>
        <w:tab/>
        <w:t>Hawken J, Troy SB. 2012. Adjuvants and inactivated polio vaccine: A systematic review. Vaccine.</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102. </w:t>
      </w:r>
      <w:r w:rsidRPr="00741009">
        <w:rPr>
          <w:rFonts w:ascii="Times New Roman" w:hAnsi="Times New Roman"/>
          <w:noProof/>
        </w:rPr>
        <w:tab/>
        <w:t xml:space="preserve"> Non-Polio Enterovirus | Symptoms Non-Polio Enterovirus Infection | Picornavirus | CDC.</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103. </w:t>
      </w:r>
      <w:r w:rsidRPr="00741009">
        <w:rPr>
          <w:rFonts w:ascii="Times New Roman" w:hAnsi="Times New Roman"/>
          <w:noProof/>
        </w:rPr>
        <w:tab/>
        <w:t>Arden KE, Mackay IM. 2009. Human rhinoviruses: Coming in from the cold. Genome Med 1:1–5.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104. </w:t>
      </w:r>
      <w:r w:rsidRPr="00741009">
        <w:rPr>
          <w:rFonts w:ascii="Times New Roman" w:hAnsi="Times New Roman"/>
          <w:noProof/>
        </w:rPr>
        <w:tab/>
        <w:t>Mackay IM. 2010. Human rhinoviruses. PCR Clin Microbiol An Aust Int Perspect 26:299–301.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105. </w:t>
      </w:r>
      <w:r w:rsidRPr="00741009">
        <w:rPr>
          <w:rFonts w:ascii="Times New Roman" w:hAnsi="Times New Roman"/>
          <w:noProof/>
        </w:rPr>
        <w:tab/>
        <w:t xml:space="preserve">Lugo D, Krogstad P. 2016. Enteroviruses in the early 21st century. Curr Opin Pediatr </w:t>
      </w:r>
      <w:r w:rsidRPr="00741009">
        <w:rPr>
          <w:rFonts w:ascii="Times New Roman" w:hAnsi="Times New Roman"/>
          <w:noProof/>
        </w:rPr>
        <w:lastRenderedPageBreak/>
        <w:t>28:107–113.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106. </w:t>
      </w:r>
      <w:r w:rsidRPr="00741009">
        <w:rPr>
          <w:rFonts w:ascii="Times New Roman" w:hAnsi="Times New Roman"/>
          <w:noProof/>
        </w:rPr>
        <w:tab/>
        <w:t>Lee KY. 2016. Enterovirus 71 infection and neurological complications. Korean J Pediatr 59:395–401.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107. </w:t>
      </w:r>
      <w:r w:rsidRPr="00741009">
        <w:rPr>
          <w:rFonts w:ascii="Times New Roman" w:hAnsi="Times New Roman"/>
          <w:noProof/>
        </w:rPr>
        <w:tab/>
        <w:t>Holm-Hansen CC, Midgley SE, Fischer TK. 2016. Global emergence of enterovirus D68: A systematic review. Lancet Infect Dis 16:e64–e75.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108. </w:t>
      </w:r>
      <w:r w:rsidRPr="00741009">
        <w:rPr>
          <w:rFonts w:ascii="Times New Roman" w:hAnsi="Times New Roman"/>
          <w:noProof/>
        </w:rPr>
        <w:tab/>
        <w:t xml:space="preserve">Reading F. 2008. Echoviruses, p. 65–71. </w:t>
      </w:r>
      <w:r w:rsidRPr="00741009">
        <w:rPr>
          <w:rFonts w:ascii="Times New Roman" w:hAnsi="Times New Roman"/>
          <w:i/>
          <w:iCs/>
          <w:noProof/>
        </w:rPr>
        <w:t>In</w:t>
      </w:r>
      <w:r w:rsidRPr="00741009">
        <w:rPr>
          <w:rFonts w:ascii="Times New Roman" w:hAnsi="Times New Roman"/>
          <w:noProof/>
        </w:rPr>
        <w:t xml:space="preserve"> Brian W.J. Mahy and Marc H.V. Van Regenmortel (ed.), Encyclopedia of Virology, 3rd ed. Academic Press.</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109. </w:t>
      </w:r>
      <w:r w:rsidRPr="00741009">
        <w:rPr>
          <w:rFonts w:ascii="Times New Roman" w:hAnsi="Times New Roman"/>
          <w:noProof/>
        </w:rPr>
        <w:tab/>
        <w:t>Strating JRPM, van Kuppeveld FJM. 2017. Viral rewiring of cellular lipid metabolism to create membranous replication compartments. Curr Opin Cell Biol 47:24–33.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110. </w:t>
      </w:r>
      <w:r w:rsidRPr="00741009">
        <w:rPr>
          <w:rFonts w:ascii="Times New Roman" w:hAnsi="Times New Roman"/>
          <w:noProof/>
        </w:rPr>
        <w:tab/>
        <w:t>Belov GA, Van Kuppeveld FJ. 2012. (+)RNA viruses rewire cellular pathways to build replication organelles. Curr Opin Virol 2:734–741.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111. </w:t>
      </w:r>
      <w:r w:rsidRPr="00741009">
        <w:rPr>
          <w:rFonts w:ascii="Times New Roman" w:hAnsi="Times New Roman"/>
          <w:noProof/>
        </w:rPr>
        <w:tab/>
        <w:t>Belov GA, Altan-Bonnet N, Kovtunovych G, Jackson CL, Lippincott-Schwartz J, Ehrenfeld E. 2007. Hijacking Components of the Cellular Secretory Pathway for Replication of Poliovirus RNA. J Virol 81:558–567.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112. </w:t>
      </w:r>
      <w:r w:rsidRPr="00741009">
        <w:rPr>
          <w:rFonts w:ascii="Times New Roman" w:hAnsi="Times New Roman"/>
          <w:noProof/>
        </w:rPr>
        <w:tab/>
        <w:t>Hsu NY, Ilnytska O, Belov G, Santiana M, Chen YH, Takvorian PM, Pau C, van der Schaar H, Kaushik-Basu N, Balla T, Cameron CE, Ehrenfeld E, van Kuppeveld FJM, Altan-Bonnet N. 2010. Viral reorganization of the secretory pathway generates distinct organelles for RNA replication. Cell 141:799–811.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113. </w:t>
      </w:r>
      <w:r w:rsidRPr="00741009">
        <w:rPr>
          <w:rFonts w:ascii="Times New Roman" w:hAnsi="Times New Roman"/>
          <w:noProof/>
        </w:rPr>
        <w:tab/>
        <w:t>Arita M. 2014. Phosphatidylinositol-4 kinase III beta and oxysterol-binding protein accumulate unesterified cholesterol on poliovirus-induced membrane structure. Microbiol Immunol 58:239–256.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114. </w:t>
      </w:r>
      <w:r w:rsidRPr="00741009">
        <w:rPr>
          <w:rFonts w:ascii="Times New Roman" w:hAnsi="Times New Roman"/>
          <w:noProof/>
        </w:rPr>
        <w:tab/>
        <w:t xml:space="preserve">Dorobantu CM, Albulescu L, Harak C, Feng Q, van Kampen M, Strating JRPM, Gorbalenya AE, Lohmann V, van der Schaar HM, van Kuppeveld FJM. 2015. Modulation </w:t>
      </w:r>
      <w:r w:rsidRPr="00741009">
        <w:rPr>
          <w:rFonts w:ascii="Times New Roman" w:hAnsi="Times New Roman"/>
          <w:noProof/>
        </w:rPr>
        <w:lastRenderedPageBreak/>
        <w:t>of the Host Lipid Landscape to Promote RNA Virus Replication: The Picornavirus Encephalomyocarditis Virus Converges on the Pathway Used by Hepatitis C Virus. PLoS Pathog 11:1–27.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115. </w:t>
      </w:r>
      <w:r w:rsidRPr="00741009">
        <w:rPr>
          <w:rFonts w:ascii="Times New Roman" w:hAnsi="Times New Roman"/>
          <w:noProof/>
        </w:rPr>
        <w:tab/>
        <w:t>Ilnytska O, Santiana M, Hsu NY, Du WL, Chen YH, Viktorova EG, Belov G, Brinker A, Storch J, Moore C, Dixon JL, Altan-Bonnet N. 2013. Enteroviruses harness the cellular endocytic machinery to remodel the host cell cholesterol landscape for effective viral replication. Cell Host Microbe 14:281–293.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116. </w:t>
      </w:r>
      <w:r w:rsidRPr="00741009">
        <w:rPr>
          <w:rFonts w:ascii="Times New Roman" w:hAnsi="Times New Roman"/>
          <w:noProof/>
        </w:rPr>
        <w:tab/>
        <w:t>Albulescu L, Wubbolts R, van Kuppeveld FJM, Strating JRPM. 2015. Cholesterol shuttling is important for RNA replication of coxsackievirus B3 and encephalomyocarditis virus. Cell Microbiol 17:1144–1156.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117. </w:t>
      </w:r>
      <w:r w:rsidRPr="00741009">
        <w:rPr>
          <w:rFonts w:ascii="Times New Roman" w:hAnsi="Times New Roman"/>
          <w:noProof/>
        </w:rPr>
        <w:tab/>
        <w:t>Carocci M, Bakkali-Kassimi L. 2012. The encephalomyocarditis virus. Virulence 3:351–367.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118. </w:t>
      </w:r>
      <w:r w:rsidRPr="00741009">
        <w:rPr>
          <w:rFonts w:ascii="Times New Roman" w:hAnsi="Times New Roman"/>
          <w:noProof/>
        </w:rPr>
        <w:tab/>
        <w:t>Dorobantu CM, Albulescu L, Lyoo H, van Kampen M, De Francesco R, Lohmann V, Harak C, van der Schaar HM, Strating JRPM, Gorbalenya AE, van Kuppeveld FJM. 2016. Mutations in Encephalomyocarditis Virus 3A Protein Uncouple the Dependency of Genome Replication on Host Factors Phosphatidylinositol 4-Kinase IIIα and Oxysterol-Binding Protein. mSphere 1:1–17.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119. </w:t>
      </w:r>
      <w:r w:rsidRPr="00741009">
        <w:rPr>
          <w:rFonts w:ascii="Times New Roman" w:hAnsi="Times New Roman"/>
          <w:noProof/>
        </w:rPr>
        <w:tab/>
        <w:t>Murrell S, Wu SC, Butler M. 2011. Review of dengue virus and the development of a vaccine. Biotechnol Adv 29:239–247.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120. </w:t>
      </w:r>
      <w:r w:rsidRPr="00741009">
        <w:rPr>
          <w:rFonts w:ascii="Times New Roman" w:hAnsi="Times New Roman"/>
          <w:noProof/>
        </w:rPr>
        <w:tab/>
        <w:t>Vaughn DW, Green S, Kalayanarooj S, Innis BL, Nimmannitya S, Suntayakorn S, Endy TP, Raengsakulrach B, Rothman AL, Ennis FA, Nisalak A. 2000. Dengue viremia titer, antibody response pattern, and virus serotype correlate with disease severity. J Infect Dis 181:2–9.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121. </w:t>
      </w:r>
      <w:r w:rsidRPr="00741009">
        <w:rPr>
          <w:rFonts w:ascii="Times New Roman" w:hAnsi="Times New Roman"/>
          <w:noProof/>
        </w:rPr>
        <w:tab/>
        <w:t>Fried JR, Gibbons R V., Kalayanarooj S, Thomas SJ, Srikiatkhachorn A, Yoon IK, Jarman RG, Green S, Rothman AL, Cummings DAT. 2010. Serotype-specific differences in the risk of dengue hemorrhagic fever: An analysis of data collected in Bangkok, Thailand from 1994 to 2006. PLoS Negl Trop Dis 4:1–6.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122. </w:t>
      </w:r>
      <w:r w:rsidRPr="00741009">
        <w:rPr>
          <w:rFonts w:ascii="Times New Roman" w:hAnsi="Times New Roman"/>
          <w:noProof/>
        </w:rPr>
        <w:tab/>
        <w:t>Welsch S, Miller S, Romero-Brey I, Merz A, Bleck CKE, Walther P, Fuller SD, Antony C, Krijnse-Locker J, Bartenschlager R. 2009. Composition and Three-Dimensional Architecture of the Dengue Virus Replication and Assembly Sites. Cell Host Microbe 5:365–375.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123. </w:t>
      </w:r>
      <w:r w:rsidRPr="00741009">
        <w:rPr>
          <w:rFonts w:ascii="Times New Roman" w:hAnsi="Times New Roman"/>
          <w:noProof/>
        </w:rPr>
        <w:tab/>
        <w:t>Rothwell C, LeBreton A, Young Ng C, Lim JYH, Liu W, Vasudevan S, Labow M, Gu F, Gaither LA. 2009. Cholesterol biosynthesis modulation regulates dengue viral replication. Virology 389:8–19.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124. </w:t>
      </w:r>
      <w:r w:rsidRPr="00741009">
        <w:rPr>
          <w:rFonts w:ascii="Times New Roman" w:hAnsi="Times New Roman"/>
          <w:noProof/>
        </w:rPr>
        <w:tab/>
        <w:t>Fournier M V, Guimarães da Costa F, Paschoal ME, Ronco L V, Carvalho MG, Pardee  a B, Giumaraes FC. 1999. Identification of a gene encoding a human oxysterol-binding protein-homologue: a potential general molecular marker for blood dissemination of solid tumors. Cancer Res 59:3748–53.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125. </w:t>
      </w:r>
      <w:r w:rsidRPr="00741009">
        <w:rPr>
          <w:rFonts w:ascii="Times New Roman" w:hAnsi="Times New Roman"/>
          <w:noProof/>
        </w:rPr>
        <w:tab/>
        <w:t>Albulescu L, Bigay J, Biswas B, Weber-Boyvat M, Dorobantu CM, Delang L, van der Schaar HM, Jung YS, Neyts J, Olkkonen VM, van Kuppeveld FJM, Strating JRPM. 2017. Uncovering oxysterol-binding protein (OSBP) as a target of the anti-enteroviral compound TTP-8307. Antiviral Res 140:37–44.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126. </w:t>
      </w:r>
      <w:r w:rsidRPr="00741009">
        <w:rPr>
          <w:rFonts w:ascii="Times New Roman" w:hAnsi="Times New Roman"/>
          <w:noProof/>
        </w:rPr>
        <w:tab/>
        <w:t>Kubo S, Mimaki Y, Terao M, Sashida Y. 1992. Acylated cholestane glycosides from the bulbs of. Phytochemistry 31:3969–3973.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127. </w:t>
      </w:r>
      <w:r w:rsidRPr="00741009">
        <w:rPr>
          <w:rFonts w:ascii="Times New Roman" w:hAnsi="Times New Roman"/>
          <w:noProof/>
        </w:rPr>
        <w:tab/>
        <w:t xml:space="preserve">Mimaki Y, Kuroda M, Kameyama A, Sashida Y, Hirano T, Oka K, Maekawa R, Wada T, Sugita K, Beutler JA. 1997. Cholestane glycosides with potent cytostatic activities on </w:t>
      </w:r>
      <w:r w:rsidRPr="00741009">
        <w:rPr>
          <w:rFonts w:ascii="Times New Roman" w:hAnsi="Times New Roman"/>
          <w:noProof/>
        </w:rPr>
        <w:lastRenderedPageBreak/>
        <w:t>various tumor cells from Ornithogalum saundersiae bulbs. Bioorganic Med Chem Lett 7:633–636.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128. </w:t>
      </w:r>
      <w:r w:rsidRPr="00741009">
        <w:rPr>
          <w:rFonts w:ascii="Times New Roman" w:hAnsi="Times New Roman"/>
          <w:noProof/>
        </w:rPr>
        <w:tab/>
        <w:t>Antonny B, Bigay J, Mesmin B. 2018. The Oxysterol-Binding Protein Cycle: Burning Off PI(4)P to Transport Cholesterol. Annu Rev Biochem 87:annurev-biochem-061516-044924.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129. </w:t>
      </w:r>
      <w:r w:rsidRPr="00741009">
        <w:rPr>
          <w:rFonts w:ascii="Times New Roman" w:hAnsi="Times New Roman"/>
          <w:noProof/>
        </w:rPr>
        <w:tab/>
        <w:t>Zhou Y, Garcia-Prieto C, Carney D a, Xu R, Pelicano H, Kang Y, Yu W, Lou C, Kondo S, Liu J, Harris DM, Estrov Z, Keating MJ, Jin Z, Huang P. 2005. OSW-1: a natural compound with potent anticancer activity and a novel mechanism of action. J Natl Cancer Inst 97:1781–5.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130. </w:t>
      </w:r>
      <w:r w:rsidRPr="00741009">
        <w:rPr>
          <w:rFonts w:ascii="Times New Roman" w:hAnsi="Times New Roman"/>
          <w:noProof/>
        </w:rPr>
        <w:tab/>
        <w:t>Garcia-Prieto C, Ahmed KBR, Chen Z, Zhou Y, Hammoudi N, Kang Y, Lou C, Mei Y, Jin Z, Huang P. 2013. Effective killing of leukemia cells by the natural product OSW-1 through disruption of cellular calcium homeostasis. J Biol Chem 288:3240–3250.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131. </w:t>
      </w:r>
      <w:r w:rsidRPr="00741009">
        <w:rPr>
          <w:rFonts w:ascii="Times New Roman" w:hAnsi="Times New Roman"/>
          <w:noProof/>
        </w:rPr>
        <w:tab/>
        <w:t>Beutler JA, Shoemaker RH, Johnson T, Boyd MR. 1998. Cytotoxic geranyl stilbenes from Macaranga schweinfurthii. J Nat Prod 61:1509–1512.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132. </w:t>
      </w:r>
      <w:r w:rsidRPr="00741009">
        <w:rPr>
          <w:rFonts w:ascii="Times New Roman" w:hAnsi="Times New Roman"/>
          <w:noProof/>
        </w:rPr>
        <w:tab/>
        <w:t>Beutler JA, Jato J, Cragg GM, Boyd MR. 2000. Schweinfurthin D, a cytotoxic stilbene from Macaranga schweinfurthii. Nat Prod Lett 14:399–404.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133. </w:t>
      </w:r>
      <w:r w:rsidRPr="00741009">
        <w:rPr>
          <w:rFonts w:ascii="Times New Roman" w:hAnsi="Times New Roman"/>
          <w:noProof/>
        </w:rPr>
        <w:tab/>
        <w:t>Klausmeyer P, Van Que N, Jato J, McCloud TG, Beutler JA. 2010. Schweinfurthins I and J from Macaranga schweinfurthii. J Nat Prod 73:479–481.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134. </w:t>
      </w:r>
      <w:r w:rsidRPr="00741009">
        <w:rPr>
          <w:rFonts w:ascii="Times New Roman" w:hAnsi="Times New Roman"/>
          <w:noProof/>
        </w:rPr>
        <w:tab/>
        <w:t>Harmalkar DS, Mali JR, Sivaraman A, Choi Y, Lee K. 2018. Schweinfurthins A-Q: Isolation, synthesis, and biochemical properties. RSC Adv 8:21191–21209.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135. </w:t>
      </w:r>
      <w:r w:rsidRPr="00741009">
        <w:rPr>
          <w:rFonts w:ascii="Times New Roman" w:hAnsi="Times New Roman"/>
          <w:noProof/>
        </w:rPr>
        <w:tab/>
        <w:t xml:space="preserve">Bao X, Zheng W, Sugi NH, Agarwala KL, Xu Q, Wang Z, Tendyke K, Lee W, Parent L, Li W, Cheng H, Shen Y, Taylor N, Dezso Z, Du H, Kotake Y, Zhao N, Wang J, Postema M, Woodall-Jappe M, Takase Y, Uenaka T, Kingston DGI, Nomoto K. 2015. Small </w:t>
      </w:r>
      <w:r w:rsidRPr="00741009">
        <w:rPr>
          <w:rFonts w:ascii="Times New Roman" w:hAnsi="Times New Roman"/>
          <w:noProof/>
        </w:rPr>
        <w:lastRenderedPageBreak/>
        <w:t>molecule schweinfurthins selectively inhibit cancer cell proliferation and mTOR/AKT signaling by interfering with trans-Golgi-network trafficking. Cancer Biol Ther 16:589–601.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136. </w:t>
      </w:r>
      <w:r w:rsidRPr="00741009">
        <w:rPr>
          <w:rFonts w:ascii="Times New Roman" w:hAnsi="Times New Roman"/>
          <w:noProof/>
        </w:rPr>
        <w:tab/>
        <w:t>Beutler JA, Jato JG, Cragg G, Wiemer DF, Neighbors JD, Salnikova M, Hollingshead M, Scudiero DA, Mccloud TG. 2006. Chapter 22 the Schweinfurthins. Med Aromat Plants Agric Commerical, Ecol Leg Pharmalogical Soc Asp 301–309.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137. </w:t>
      </w:r>
      <w:r w:rsidRPr="00741009">
        <w:rPr>
          <w:rFonts w:ascii="Times New Roman" w:hAnsi="Times New Roman"/>
          <w:noProof/>
        </w:rPr>
        <w:tab/>
        <w:t>Pettit GR, Inoue M, Kamano Y, Herald DL, Arm C, Dufresne C, Christie ND, Schmidt JM, Doubek DL, Krupa TS. 1988. Isolation and structure of the powerful cell growth inhibitor cephalostatin 1. J Am Chem Soc 110:2006–2007.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138. </w:t>
      </w:r>
      <w:r w:rsidRPr="00741009">
        <w:rPr>
          <w:rFonts w:ascii="Times New Roman" w:hAnsi="Times New Roman"/>
          <w:noProof/>
        </w:rPr>
        <w:tab/>
        <w:t xml:space="preserve">Dirsch VM, Vollmar AM. 2005. Cephalostatin 1-induced apoptosis in tumor cells: Selective induction of Smac/DIABLO Release, p. 209–221. </w:t>
      </w:r>
      <w:r w:rsidRPr="00741009">
        <w:rPr>
          <w:rFonts w:ascii="Times New Roman" w:hAnsi="Times New Roman"/>
          <w:i/>
          <w:iCs/>
          <w:noProof/>
        </w:rPr>
        <w:t>In</w:t>
      </w:r>
      <w:r w:rsidRPr="00741009">
        <w:rPr>
          <w:rFonts w:ascii="Times New Roman" w:hAnsi="Times New Roman"/>
          <w:noProof/>
        </w:rPr>
        <w:t xml:space="preserve"> Application of Apoptosis to Cancer Treatment. Springer-Verlag, Berlin/Heidelberg.</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139. </w:t>
      </w:r>
      <w:r w:rsidRPr="00741009">
        <w:rPr>
          <w:rFonts w:ascii="Times New Roman" w:hAnsi="Times New Roman"/>
          <w:noProof/>
        </w:rPr>
        <w:tab/>
        <w:t>Fukuzawa S, Matsunaga S, Fusetani N. 1995. Isolation and structure elucidation of ritterazines B and C, highly cytotoxic dimeric steroidal alkaloids, from the tunicate Ritterella tokioka. J Org Chem 60:608–614.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140. </w:t>
      </w:r>
      <w:r w:rsidRPr="00741009">
        <w:rPr>
          <w:rFonts w:ascii="Times New Roman" w:hAnsi="Times New Roman"/>
          <w:noProof/>
        </w:rPr>
        <w:tab/>
        <w:t xml:space="preserve">Knölker H-J. 2018. Cephalostatins and Ritterazines, p. 175. </w:t>
      </w:r>
      <w:r w:rsidRPr="00741009">
        <w:rPr>
          <w:rFonts w:ascii="Times New Roman" w:hAnsi="Times New Roman"/>
          <w:i/>
          <w:iCs/>
          <w:noProof/>
        </w:rPr>
        <w:t>In</w:t>
      </w:r>
      <w:r w:rsidRPr="00741009">
        <w:rPr>
          <w:rFonts w:ascii="Times New Roman" w:hAnsi="Times New Roman"/>
          <w:noProof/>
        </w:rPr>
        <w:t xml:space="preserve"> The Alkaloids, 16th ed. Elsevier Science.</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141. </w:t>
      </w:r>
      <w:r w:rsidRPr="00741009">
        <w:rPr>
          <w:rFonts w:ascii="Times New Roman" w:hAnsi="Times New Roman"/>
          <w:noProof/>
        </w:rPr>
        <w:tab/>
        <w:t>Gryszkiewicz-Wojtkielewicz A, Jastrzebska I, Morzycki J, Romanowska D. 2003. Approaches Towards the Synthesis of Cephalostatins, Ritterazines and Saponins from Ornithogalum saundersiae - New Natural Products With Cytostatic Activity. Curr Org Chem 7:1257–1277.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142. </w:t>
      </w:r>
      <w:r w:rsidRPr="00741009">
        <w:rPr>
          <w:rFonts w:ascii="Times New Roman" w:hAnsi="Times New Roman"/>
          <w:noProof/>
        </w:rPr>
        <w:tab/>
        <w:t>DELESCLUSE J, CAUWENBERGH G, DEGREEF H. 1986. Itraconazole, a new orally active antifungal, in the treatment of pityriasis versicolor. Br J Dermatol 114:701–703.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143. </w:t>
      </w:r>
      <w:r w:rsidRPr="00741009">
        <w:rPr>
          <w:rFonts w:ascii="Times New Roman" w:hAnsi="Times New Roman"/>
          <w:noProof/>
        </w:rPr>
        <w:tab/>
        <w:t>Van Cutsem J, Van Gerven F, Van de Ven MA. 1984. Itraconazole, a new triazole that is orally active in aspergillosis. Antimicrob Agents Chemother 26:527–534.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144. </w:t>
      </w:r>
      <w:r w:rsidRPr="00741009">
        <w:rPr>
          <w:rFonts w:ascii="Times New Roman" w:hAnsi="Times New Roman"/>
          <w:noProof/>
        </w:rPr>
        <w:tab/>
        <w:t>Lestner J, Hope WW. 2013. Itraconazole: an update on pharmacology and clinical use for treatment of invasive and allergic fungal infections. Expert Opin Drug Metab Toxicol 9:911–926.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145. </w:t>
      </w:r>
      <w:r w:rsidRPr="00741009">
        <w:rPr>
          <w:rFonts w:ascii="Times New Roman" w:hAnsi="Times New Roman"/>
          <w:noProof/>
        </w:rPr>
        <w:tab/>
        <w:t>U.S. Food &amp; Drug Administration. Drug Approval Package.</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146. </w:t>
      </w:r>
      <w:r w:rsidRPr="00741009">
        <w:rPr>
          <w:rFonts w:ascii="Times New Roman" w:hAnsi="Times New Roman"/>
          <w:noProof/>
        </w:rPr>
        <w:tab/>
        <w:t>Pounds R, Leonard S, Dawson C, Kehoe S. 2017. Repurposing itraconazole for the treatment of cancer (review). Oncol Lett 14:2587–2597.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147. </w:t>
      </w:r>
      <w:r w:rsidRPr="00741009">
        <w:rPr>
          <w:rFonts w:ascii="Times New Roman" w:hAnsi="Times New Roman"/>
          <w:noProof/>
        </w:rPr>
        <w:tab/>
        <w:t>Gao Q, Yuan S, Zhang C, Wang Y, Wang Y, He G, Zhang S, Altmeyer R, Zou G. 2015. Discovery of itraconazole with broad-spectrum in vitro antienterovirus activity that targets nonstructural protein 3A. Antimicrob Agents Chemother 59:2654–2665.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148. </w:t>
      </w:r>
      <w:r w:rsidRPr="00741009">
        <w:rPr>
          <w:rFonts w:ascii="Times New Roman" w:hAnsi="Times New Roman"/>
          <w:noProof/>
        </w:rPr>
        <w:tab/>
        <w:t>Xu J, Dang Y, Ren YR, Liu JO. 2010. Cholesterol trafficking is required for mTOR activation in endothelial cells. Proc Natl Acad Sci 107:4764–4769.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149. </w:t>
      </w:r>
      <w:r w:rsidRPr="00741009">
        <w:rPr>
          <w:rFonts w:ascii="Times New Roman" w:hAnsi="Times New Roman"/>
          <w:noProof/>
        </w:rPr>
        <w:tab/>
        <w:t>Nacev BA, Grassi P, Dell A, Haslam SM, Liu JO. 2011. The antifungal drug itraconazole inhibits Vascular Endothelial Growth Factor Receptor 2 (VEGFR2) glycosylation, trafficking, and signaling in endothelial cells. J Biol Chem 286:44045–44056.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150. </w:t>
      </w:r>
      <w:r w:rsidRPr="00741009">
        <w:rPr>
          <w:rFonts w:ascii="Times New Roman" w:hAnsi="Times New Roman"/>
          <w:noProof/>
        </w:rPr>
        <w:tab/>
        <w:t>Kim J, Tang JY, Gong R, Kim J, Lee JJ, Clemons K V., Chong CR, Chang KS, Fereshteh M, Gardner D, Reya T, Liu JO, Epstein EH, Stevens DA, Beachy PA. 2010. Itraconazole, a Commonly Used Antifungal that Inhibits Hedgehog Pathway Activity and Cancer Growth. Cancer Cell 17:388–399.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151. </w:t>
      </w:r>
      <w:r w:rsidRPr="00741009">
        <w:rPr>
          <w:rFonts w:ascii="Times New Roman" w:hAnsi="Times New Roman"/>
          <w:noProof/>
        </w:rPr>
        <w:tab/>
        <w:t xml:space="preserve">Mellaerts R, Mols R, Jammaer JAG, Aerts CA, Annaert P, Van Humbeeck J, Van den Mooter G, Augustijns P, Martens JA. 2008. Increasing the oral bioavailability of the poorly water soluble drug itraconazole with ordered mesoporous silica. Eur J Pharm </w:t>
      </w:r>
      <w:r w:rsidRPr="00741009">
        <w:rPr>
          <w:rFonts w:ascii="Times New Roman" w:hAnsi="Times New Roman"/>
          <w:noProof/>
        </w:rPr>
        <w:lastRenderedPageBreak/>
        <w:t>Biopharm 69:223–230.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152. </w:t>
      </w:r>
      <w:r w:rsidRPr="00741009">
        <w:rPr>
          <w:rFonts w:ascii="Times New Roman" w:hAnsi="Times New Roman"/>
          <w:noProof/>
        </w:rPr>
        <w:tab/>
        <w:t>Heinz BA, Vance LM. 1995. The antiviral compound enviroxime targets the 3A coding region of rhinovirus and poliovirus. J Virol 69:4189–4197.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153. </w:t>
      </w:r>
      <w:r w:rsidRPr="00741009">
        <w:rPr>
          <w:rFonts w:ascii="Times New Roman" w:hAnsi="Times New Roman"/>
          <w:noProof/>
        </w:rPr>
        <w:tab/>
        <w:t>Brown-Augsburger P, Vance LM, Malcolm SK, Hsiung H, Smith DP, Heinz BA. 1999. Evidence that enviroxime targets multiple components of the rhinovirus 14 replication complex. Arch Virol 144:1569–1585.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154. </w:t>
      </w:r>
      <w:r w:rsidRPr="00741009">
        <w:rPr>
          <w:rFonts w:ascii="Times New Roman" w:hAnsi="Times New Roman"/>
          <w:noProof/>
        </w:rPr>
        <w:tab/>
        <w:t>Arita M, Kojima H, Nagano T, Okabe T, Wakita T, Shimizu H. 2011. Phosphatidylinositol 4-Kinase III Beta Is a Target of Enviroxime-Like Compounds for Antipoliovirus Activity. J Virol 85:2364–2372.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155. </w:t>
      </w:r>
      <w:r w:rsidRPr="00741009">
        <w:rPr>
          <w:rFonts w:ascii="Times New Roman" w:hAnsi="Times New Roman"/>
          <w:noProof/>
        </w:rPr>
        <w:tab/>
        <w:t>Arita M, Kojima H, Nagano T, Okabe T, Wakita T, Shimizu H. 2013. Oxysterol-binding protein family I is the target of minor enviroxime-like compounds. J Virol 87:4252–4260.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156. </w:t>
      </w:r>
      <w:r w:rsidRPr="00741009">
        <w:rPr>
          <w:rFonts w:ascii="Times New Roman" w:hAnsi="Times New Roman"/>
          <w:noProof/>
        </w:rPr>
        <w:tab/>
        <w:t>Albulescu L, Bigay J, Biswas B, Weber-Boyvat M, Dorobantu CM, Delang L, van der Schaar HM, Jung YS, Neyts J, Olkkonen VM, van Kuppeveld FJM, Strating JRPM. 2017. Uncovering oxysterol-binding protein (OSBP) as a target of the anti-enteroviral compound TTP-8307. Antiviral Res 140:37–44.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157. </w:t>
      </w:r>
      <w:r w:rsidRPr="00741009">
        <w:rPr>
          <w:rFonts w:ascii="Times New Roman" w:hAnsi="Times New Roman"/>
          <w:noProof/>
        </w:rPr>
        <w:tab/>
        <w:t xml:space="preserve"> Statistics - DrugBank.</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158. </w:t>
      </w:r>
      <w:r w:rsidRPr="00741009">
        <w:rPr>
          <w:rFonts w:ascii="Times New Roman" w:hAnsi="Times New Roman"/>
          <w:noProof/>
        </w:rPr>
        <w:tab/>
        <w:t>Aberle N, Crews CM. 2012. Exploring biology with small organic molecules. Chem Genomics 432:10–25.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159. </w:t>
      </w:r>
      <w:r w:rsidRPr="00741009">
        <w:rPr>
          <w:rFonts w:ascii="Times New Roman" w:hAnsi="Times New Roman"/>
          <w:noProof/>
        </w:rPr>
        <w:tab/>
        <w:t>Ravid T, Hochstrasser M. 2008. Diversity of degradation signals in the ubiquitin-proteasome system. Nat Rev Mol Cell Biol 9:679–689.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160. </w:t>
      </w:r>
      <w:r w:rsidRPr="00741009">
        <w:rPr>
          <w:rFonts w:ascii="Times New Roman" w:hAnsi="Times New Roman"/>
          <w:noProof/>
        </w:rPr>
        <w:tab/>
        <w:t>Nalepa G, Rolfe M, Harper JW. 2006. Drug discovery in the ubiquitin - Proteasome system. Nat Rev Drug Discov 5:596–613.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161. </w:t>
      </w:r>
      <w:r w:rsidRPr="00741009">
        <w:rPr>
          <w:rFonts w:ascii="Times New Roman" w:hAnsi="Times New Roman"/>
          <w:noProof/>
        </w:rPr>
        <w:tab/>
        <w:t xml:space="preserve">Tanaka K. 2009. The proteasome: overview of structure and functions. Proc Jpn Acad Ser </w:t>
      </w:r>
      <w:r w:rsidRPr="00741009">
        <w:rPr>
          <w:rFonts w:ascii="Times New Roman" w:hAnsi="Times New Roman"/>
          <w:noProof/>
        </w:rPr>
        <w:lastRenderedPageBreak/>
        <w:t>B Phys Biol Sci 85:12–36.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162. </w:t>
      </w:r>
      <w:r w:rsidRPr="00741009">
        <w:rPr>
          <w:rFonts w:ascii="Times New Roman" w:hAnsi="Times New Roman"/>
          <w:noProof/>
        </w:rPr>
        <w:tab/>
        <w:t>Aiken CT, Kaake RM, Wang X, Huang L. 2011. Oxidative Stress-Mediated Regulation of Proteasome Complexes. Mol Cell Proteomics 10:R110.006924.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163. </w:t>
      </w:r>
      <w:r w:rsidRPr="00741009">
        <w:rPr>
          <w:rFonts w:ascii="Times New Roman" w:hAnsi="Times New Roman"/>
          <w:noProof/>
        </w:rPr>
        <w:tab/>
        <w:t>Kammerl IE, Meiners S. 2016. Proteasome function shapes innate and adaptive immune responses. Am J Physiol - Lung Cell Mol Physiol ajplung.00156.2016.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164. </w:t>
      </w:r>
      <w:r w:rsidRPr="00741009">
        <w:rPr>
          <w:rFonts w:ascii="Times New Roman" w:hAnsi="Times New Roman"/>
          <w:noProof/>
        </w:rPr>
        <w:tab/>
        <w:t xml:space="preserve">Adams J. 2004. The Proteasome in Cell-Cycle Regulation, p. 77–84. </w:t>
      </w:r>
      <w:r w:rsidRPr="00741009">
        <w:rPr>
          <w:rFonts w:ascii="Times New Roman" w:hAnsi="Times New Roman"/>
          <w:i/>
          <w:iCs/>
          <w:noProof/>
        </w:rPr>
        <w:t>In</w:t>
      </w:r>
      <w:r w:rsidRPr="00741009">
        <w:rPr>
          <w:rFonts w:ascii="Times New Roman" w:hAnsi="Times New Roman"/>
          <w:noProof/>
        </w:rPr>
        <w:t xml:space="preserve"> Proteasome Inhibitors in Cancer Therapy. Humana Press, Totowa, NJ.</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165. </w:t>
      </w:r>
      <w:r w:rsidRPr="00741009">
        <w:rPr>
          <w:rFonts w:ascii="Times New Roman" w:hAnsi="Times New Roman"/>
          <w:noProof/>
        </w:rPr>
        <w:tab/>
        <w:t>Leonard JP, Furman RR, Coleman M. 2006. Proteasome inhibition with bortezomib: A new therapeutic strategy for non-Hodgkin’s lymphoma. Int J Cancer 119:971–979.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166. </w:t>
      </w:r>
      <w:r w:rsidRPr="00741009">
        <w:rPr>
          <w:rFonts w:ascii="Times New Roman" w:hAnsi="Times New Roman"/>
          <w:noProof/>
        </w:rPr>
        <w:tab/>
        <w:t>Elliott PJ, Zollner TM, Boehncke WH. 2003. Proteasome inhibition: A new anti-inflammatory strategy. J Mol Med 81:235–245.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167. </w:t>
      </w:r>
      <w:r w:rsidRPr="00741009">
        <w:rPr>
          <w:rFonts w:ascii="Times New Roman" w:hAnsi="Times New Roman"/>
          <w:noProof/>
        </w:rPr>
        <w:tab/>
        <w:t>Goldberg AL. 2012. Development of proteasome inhibitors as research tools and cancer drugs. J Cell Biol 199:583–588.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168. </w:t>
      </w:r>
      <w:r w:rsidRPr="00741009">
        <w:rPr>
          <w:rFonts w:ascii="Times New Roman" w:hAnsi="Times New Roman"/>
          <w:noProof/>
        </w:rPr>
        <w:tab/>
        <w:t>Kisselev AF, Goldberg AL. 2001. Proteasome inhibitors: from research tools to drug candidates. Chem Biol 8:739–758.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169. </w:t>
      </w:r>
      <w:r w:rsidRPr="00741009">
        <w:rPr>
          <w:rFonts w:ascii="Times New Roman" w:hAnsi="Times New Roman"/>
          <w:noProof/>
        </w:rPr>
        <w:tab/>
        <w:t>Vinitsky A, Michaud C, Orlowski M, Powers JC. 1992. Inhibition of the Chymotrypsin-like Activity of the Pituitary Multicatalytic Proteinase Complex. Biochemistry 31:9421–9428.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170. </w:t>
      </w:r>
      <w:r w:rsidRPr="00741009">
        <w:rPr>
          <w:rFonts w:ascii="Times New Roman" w:hAnsi="Times New Roman"/>
          <w:noProof/>
        </w:rPr>
        <w:tab/>
        <w:t>Lee DH, Goldberg AL. 1996. Selective inhibitors of the proteasome-dependent and vacuolar pathways of protein degradation in Saccharomyces cerevisiae. J Biol Chem 271:27280–27284.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171. </w:t>
      </w:r>
      <w:r w:rsidRPr="00741009">
        <w:rPr>
          <w:rFonts w:ascii="Times New Roman" w:hAnsi="Times New Roman"/>
          <w:noProof/>
        </w:rPr>
        <w:tab/>
        <w:t>Wang KK, Yuen PW. 1994. Calpain inhibition: an overview of its therapeutic potential. Trends Pharmacol Sci 15:412–9.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172. </w:t>
      </w:r>
      <w:r w:rsidRPr="00741009">
        <w:rPr>
          <w:rFonts w:ascii="Times New Roman" w:hAnsi="Times New Roman"/>
          <w:noProof/>
        </w:rPr>
        <w:tab/>
        <w:t>Rock KL, Gramm C, Rothstein L, Clark K, Stein R, Dick L, Hwang D, Goldberg AL. 1994. Inhibitors of the proteasome block the degradation of most cell proteins and the generation of peptides presented on MHC class I molecules. Cell 78:761–71.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173. </w:t>
      </w:r>
      <w:r w:rsidRPr="00741009">
        <w:rPr>
          <w:rFonts w:ascii="Times New Roman" w:hAnsi="Times New Roman"/>
          <w:noProof/>
        </w:rPr>
        <w:tab/>
        <w:t>Palombella VJ, Rando OJ, Goldberg AL, Maniatis T. 1994. The ubiquitin-proteasome pathway is required for processing the NF-kappa B1 precursor protein and the activation of NF-kappa B. Cell 78:773–85.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174. </w:t>
      </w:r>
      <w:r w:rsidRPr="00741009">
        <w:rPr>
          <w:rFonts w:ascii="Times New Roman" w:hAnsi="Times New Roman"/>
          <w:noProof/>
        </w:rPr>
        <w:tab/>
        <w:t>Tsubuki S, Saito Y, Tomioka M, Ito H, Kawashima S. 1996. Differential inhibition of calpain and proteasome activities by peptidyl aldehydes of di-leucine and tri-leucine. J Biochem 119:572–6.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175. </w:t>
      </w:r>
      <w:r w:rsidRPr="00741009">
        <w:rPr>
          <w:rFonts w:ascii="Times New Roman" w:hAnsi="Times New Roman"/>
          <w:noProof/>
        </w:rPr>
        <w:tab/>
        <w:t>Kane RC, Bross PF, Farrell AT, Pazdur R. 2003. Velcade: U.S. FDA Approval for the Treatment of Multiple Myeloma Progressing on Prior Therapy. Oncologist 8:508–513.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176. </w:t>
      </w:r>
      <w:r w:rsidRPr="00741009">
        <w:rPr>
          <w:rFonts w:ascii="Times New Roman" w:hAnsi="Times New Roman"/>
          <w:noProof/>
        </w:rPr>
        <w:tab/>
        <w:t>Groll M, Berkers CR, Ploegh HL, Ovaa H. 2006. Crystal Structure of the Boronic Acid-Based Proteasome Inhibitor Bortezomib in Complex with the Yeast 20S Proteasome. Structure 14:451–456.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177. </w:t>
      </w:r>
      <w:r w:rsidRPr="00741009">
        <w:rPr>
          <w:rFonts w:ascii="Times New Roman" w:hAnsi="Times New Roman"/>
          <w:noProof/>
        </w:rPr>
        <w:tab/>
        <w:t>Accardi F, Toscani D, Bolzoni M, Dalla Palma B, Aversa F, Giuliani N. 2015. Mechanism of action of bortezomib and the new proteasome inhibitors on myeloma cells and the bone microenvironment: Impact on myeloma-induced alterations of bone remodeling. Biomed Res Int 2015.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178. </w:t>
      </w:r>
      <w:r w:rsidRPr="00741009">
        <w:rPr>
          <w:rFonts w:ascii="Times New Roman" w:hAnsi="Times New Roman"/>
          <w:noProof/>
        </w:rPr>
        <w:tab/>
        <w:t>Perel G, Bliss J, Thomas CM. 2016. Carfilzomib (Kyprolis): A Novel Proteasome Inhibitor for Relapsed And/or Refractory Multiple Myeloma. Pharm Ther 41:303–7.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179. </w:t>
      </w:r>
      <w:r w:rsidRPr="00741009">
        <w:rPr>
          <w:rFonts w:ascii="Times New Roman" w:hAnsi="Times New Roman"/>
          <w:noProof/>
        </w:rPr>
        <w:tab/>
        <w:t>Schneekloth AR, Pucheault M, Tae HS, Crews CM. 2008. Targeted intracellular protein degradation induced by a small molecule: En route to chemical proteomics. Bioorg Med Chem Lett 18:5904–5908.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180. </w:t>
      </w:r>
      <w:r w:rsidRPr="00741009">
        <w:rPr>
          <w:rFonts w:ascii="Times New Roman" w:hAnsi="Times New Roman"/>
          <w:noProof/>
        </w:rPr>
        <w:tab/>
        <w:t>Cromm PM, Crews CM. 2017. Targeted Protein Degradation: from Chemical Biology to Drug Discovery. Cell Chem Biol 24:1181–1190.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181. </w:t>
      </w:r>
      <w:r w:rsidRPr="00741009">
        <w:rPr>
          <w:rFonts w:ascii="Times New Roman" w:hAnsi="Times New Roman"/>
          <w:noProof/>
        </w:rPr>
        <w:tab/>
        <w:t>Tonelli F, Lim KG, Loveridge C, Long J, Pitson SM, Tigyi G, Bittman R, Pyne S, Pyne NJ. 2010. FTY720 and (S)-FTY720 vinylphosphonate inhibit sphingosine kinase 1 and promote its proteasomal degradation in human pulmonary artery smooth muscle, breast cancer and androgen-independent prostate cancer cells. Cell Signal 22:1536–1542.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182. </w:t>
      </w:r>
      <w:r w:rsidRPr="00741009">
        <w:rPr>
          <w:rFonts w:ascii="Times New Roman" w:hAnsi="Times New Roman"/>
          <w:noProof/>
        </w:rPr>
        <w:tab/>
        <w:t>Myat LO, Thangada S, Wu MT, Liu CH, Macdonald TL, Lynch KR, Lin CY, Hla T. 2007. Immunosuppressive and anti-angiogenic sphingosine 1-phosphate receptor-1 agonists induce ubiquitinylation and proteasomal degradation of the receptor. J Biol Chem 282:9082–9089.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183. </w:t>
      </w:r>
      <w:r w:rsidRPr="00741009">
        <w:rPr>
          <w:rFonts w:ascii="Times New Roman" w:hAnsi="Times New Roman"/>
          <w:noProof/>
        </w:rPr>
        <w:tab/>
        <w:t>Chiosis G, Timaul MN, Lucas B, Munster PN, Zheng FF, Sepp-Lorenzino L, Rosen N. 2001. A small molecule designed to bind to the adenine nucleotide pocket of Hsp90 causes Her2 degradation and the growth arrest and differentiation of breast cancer cells. Chem Biol 8:289–299.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184. </w:t>
      </w:r>
      <w:r w:rsidRPr="00741009">
        <w:rPr>
          <w:rFonts w:ascii="Times New Roman" w:hAnsi="Times New Roman"/>
          <w:noProof/>
        </w:rPr>
        <w:tab/>
        <w:t>Bondeson DP, Mares A, Smith IED, Ko E, Campos S, Miah AH, Mulholland KE, Routly N, Buckley DL, Gustafson JL, Zinn N, Grandi P, Shimamura S, Bergamini G, Faelth-Savitski M, Bantscheff M, Cox C, Gordon DA, Willard RR, Flanagan JJ, Casillas LN, Votta BJ, den Besten W, Famm K, Kruidenier L, Carter PS, Harling JD, Churcher I, Crews CM. 2015. Catalytic in vivo protein knockdown by small-molecule PROTACs. Nat Chem Biol 11:611–617.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185. </w:t>
      </w:r>
      <w:r w:rsidRPr="00741009">
        <w:rPr>
          <w:rFonts w:ascii="Times New Roman" w:hAnsi="Times New Roman"/>
          <w:noProof/>
        </w:rPr>
        <w:tab/>
        <w:t>Yang Z, Klionsky DJ. 2010. Mammalian autophagy: core molecular machinery and signaling regulation. Curr Opin Cell Biol 22:124–131.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186. </w:t>
      </w:r>
      <w:r w:rsidRPr="00741009">
        <w:rPr>
          <w:rFonts w:ascii="Times New Roman" w:hAnsi="Times New Roman"/>
          <w:noProof/>
        </w:rPr>
        <w:tab/>
        <w:t xml:space="preserve">Yorimitsu T, Klionsky DJ. 2005. Autophagy: molecular machinery for self-eating. Cell </w:t>
      </w:r>
      <w:r w:rsidRPr="00741009">
        <w:rPr>
          <w:rFonts w:ascii="Times New Roman" w:hAnsi="Times New Roman"/>
          <w:noProof/>
        </w:rPr>
        <w:lastRenderedPageBreak/>
        <w:t>Death Differ 12:1542–1552.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187. </w:t>
      </w:r>
      <w:r w:rsidRPr="00741009">
        <w:rPr>
          <w:rFonts w:ascii="Times New Roman" w:hAnsi="Times New Roman"/>
          <w:noProof/>
        </w:rPr>
        <w:tab/>
        <w:t>Parzych KR, Klionsky DJ. 2014. An Overview of Autophagy: Morphology, Mechanism, and Regulation. Antioxid Redox Signal 20:460–473.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188. </w:t>
      </w:r>
      <w:r w:rsidRPr="00741009">
        <w:rPr>
          <w:rFonts w:ascii="Times New Roman" w:hAnsi="Times New Roman"/>
          <w:noProof/>
        </w:rPr>
        <w:tab/>
        <w:t>Zachari M, Ganley IG. 2017. The mammalian ULK1 complex and autophagy initiation. Essays Biochem 61:585–596.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189. </w:t>
      </w:r>
      <w:r w:rsidRPr="00741009">
        <w:rPr>
          <w:rFonts w:ascii="Times New Roman" w:hAnsi="Times New Roman"/>
          <w:noProof/>
        </w:rPr>
        <w:tab/>
        <w:t>SEHGAL SN, BAKER H, VÉZINA C. 1975. Rapamycin (AY-22,989), a new antifungal antibiotic. II. Fermentation, isolation and characterization. J Antibiot (Tokyo) 28:727–732.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190. </w:t>
      </w:r>
      <w:r w:rsidRPr="00741009">
        <w:rPr>
          <w:rFonts w:ascii="Times New Roman" w:hAnsi="Times New Roman"/>
          <w:noProof/>
        </w:rPr>
        <w:tab/>
        <w:t>Abraham RT, Wiederrecht GJ. 1996. Immunopharmacology of Rapamycin. Annu Rev Immunol 14:483–510.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191. </w:t>
      </w:r>
      <w:r w:rsidRPr="00741009">
        <w:rPr>
          <w:rFonts w:ascii="Times New Roman" w:hAnsi="Times New Roman"/>
          <w:noProof/>
        </w:rPr>
        <w:tab/>
        <w:t>Seto B. 2012. Rapamycin and mTOR: a serendipitous discovery and implications for breast cancer. Clin Transl Med 1:29.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192. </w:t>
      </w:r>
      <w:r w:rsidRPr="00741009">
        <w:rPr>
          <w:rFonts w:ascii="Times New Roman" w:hAnsi="Times New Roman"/>
          <w:noProof/>
        </w:rPr>
        <w:tab/>
        <w:t>Mizushima N, Yoshimori T, Levine B. 2010. Methods in Mammalian Autophagy Research. Cell 140:313–326.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193. </w:t>
      </w:r>
      <w:r w:rsidRPr="00741009">
        <w:rPr>
          <w:rFonts w:ascii="Times New Roman" w:hAnsi="Times New Roman"/>
          <w:noProof/>
        </w:rPr>
        <w:tab/>
        <w:t>Thoreen CC, Sabatini DM. 2009. Rapamycin inhibits mTORC1, but not completely. Autophagy 5:725–726.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194. </w:t>
      </w:r>
      <w:r w:rsidRPr="00741009">
        <w:rPr>
          <w:rFonts w:ascii="Times New Roman" w:hAnsi="Times New Roman"/>
          <w:noProof/>
        </w:rPr>
        <w:tab/>
        <w:t xml:space="preserve">Tanida I, Ueno T, Kominami E. 2008. LC3 and Autophagy, p. 77–88. </w:t>
      </w:r>
      <w:r w:rsidRPr="00741009">
        <w:rPr>
          <w:rFonts w:ascii="Times New Roman" w:hAnsi="Times New Roman"/>
          <w:i/>
          <w:iCs/>
          <w:noProof/>
        </w:rPr>
        <w:t>In</w:t>
      </w:r>
      <w:r w:rsidRPr="00741009">
        <w:rPr>
          <w:rFonts w:ascii="Times New Roman" w:hAnsi="Times New Roman"/>
          <w:noProof/>
        </w:rPr>
        <w:t xml:space="preserve"> Methods in molecular biology (Clifton, N.J.).</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195. </w:t>
      </w:r>
      <w:r w:rsidRPr="00741009">
        <w:rPr>
          <w:rFonts w:ascii="Times New Roman" w:hAnsi="Times New Roman"/>
          <w:noProof/>
        </w:rPr>
        <w:tab/>
        <w:t>Mauthe M, Orhon I, Rocchi C, Zhou X, Luhr M, Hijlkema KJ, Coppes RP, Engedal N, Mari M, Reggiori F. 2018. Chloroquine inhibits autophagic flux by decreasing autophagosome-lysosome fusion. Autophagy 14:1435–1455.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196. </w:t>
      </w:r>
      <w:r w:rsidRPr="00741009">
        <w:rPr>
          <w:rFonts w:ascii="Times New Roman" w:hAnsi="Times New Roman"/>
          <w:noProof/>
        </w:rPr>
        <w:tab/>
        <w:t>Schneider-Poetsch T, Ju J, Eyler DE, Dang Y, Bhat S, Merrick WC, Green R, Shen B, Liu JO. 2010. Inhibition of eukaryotic translation elongation by cycloheximide and lactimidomycin. Nat Chem Biol 6:209–217.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197. </w:t>
      </w:r>
      <w:r w:rsidRPr="00741009">
        <w:rPr>
          <w:rFonts w:ascii="Times New Roman" w:hAnsi="Times New Roman"/>
          <w:noProof/>
        </w:rPr>
        <w:tab/>
        <w:t>Obrig TG, Culp WJ, McKeehan WL, Hardesty B. 1971. The mechanism by which cycloheximide and related glutarimide antibiotics inhibit peptide synthesis on reticulocyte ribosomes. J Biol Chem 246:174–81.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198. </w:t>
      </w:r>
      <w:r w:rsidRPr="00741009">
        <w:rPr>
          <w:rFonts w:ascii="Times New Roman" w:hAnsi="Times New Roman"/>
          <w:noProof/>
        </w:rPr>
        <w:tab/>
        <w:t>Pestova T V., Hellen CUT. 2003. Translation elongation after assembly of ribosomes on the Cricket paralysis virus internal ribosomal entry site without initiation factors or initiator tRNA. Genes Dev 17:181–186.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199. </w:t>
      </w:r>
      <w:r w:rsidRPr="00741009">
        <w:rPr>
          <w:rFonts w:ascii="Times New Roman" w:hAnsi="Times New Roman"/>
          <w:noProof/>
        </w:rPr>
        <w:tab/>
        <w:t>Buchanan BW, Lloyd ME, Engle SM, Rubenstein EM. 2016. Cycloheximide Chase Analysis of Protein Degradation in &amp;lt;em&amp;gt;Saccharomyces cerevisiae&amp;lt;/em&amp;gt; J Vis Exp 1–9.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200. </w:t>
      </w:r>
      <w:r w:rsidRPr="00741009">
        <w:rPr>
          <w:rFonts w:ascii="Times New Roman" w:hAnsi="Times New Roman"/>
          <w:noProof/>
        </w:rPr>
        <w:tab/>
        <w:t>JIN J, JIN X, QIAN C, RUAN Y, JIANG H. 2013. Signaling network of OSW-1-induced apoptosis and necroptosis in hepatocellular carcinoma. Mol Med Rep 7:1646–1650.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201. </w:t>
      </w:r>
      <w:r w:rsidRPr="00741009">
        <w:rPr>
          <w:rFonts w:ascii="Times New Roman" w:hAnsi="Times New Roman"/>
          <w:noProof/>
        </w:rPr>
        <w:tab/>
        <w:t>Zhu J, Xiong L, Yu B, Wu J. 2005. Apoptosis induced by a new member of saponin family is mediated through caspase-8-dependent cleavage of Bcl-2. Mol Pharmacol 68:1831–1838.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202. </w:t>
      </w:r>
      <w:r w:rsidRPr="00741009">
        <w:rPr>
          <w:rFonts w:ascii="Times New Roman" w:hAnsi="Times New Roman"/>
          <w:noProof/>
        </w:rPr>
        <w:tab/>
        <w:t xml:space="preserve"> M-PER Mammalian Protein Extraction Reagent - Thermo Fisher Scientific.</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203. </w:t>
      </w:r>
      <w:r w:rsidRPr="00741009">
        <w:rPr>
          <w:rFonts w:ascii="Times New Roman" w:hAnsi="Times New Roman"/>
          <w:noProof/>
        </w:rPr>
        <w:tab/>
        <w:t>Wang Z, Ma H, Smith K, Wu S. 2018. Two-dimensional separation using high-pH and low-pH reversed phase liquid chromatography for top-down proteomics. Int J Mass Spectrom 427:43–51.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204. </w:t>
      </w:r>
      <w:r w:rsidRPr="00741009">
        <w:rPr>
          <w:rFonts w:ascii="Times New Roman" w:hAnsi="Times New Roman"/>
          <w:noProof/>
        </w:rPr>
        <w:tab/>
        <w:t>Goto A, Charman M, Ridgway ND. 2016. Oxysterol-binding protein activation at endoplasmic reticulum-golgi contact sites reorganizes phosphatidylinositol 4-phosphate pools. J Biol Chem 291:1336–1347.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205. </w:t>
      </w:r>
      <w:r w:rsidRPr="00741009">
        <w:rPr>
          <w:rFonts w:ascii="Times New Roman" w:hAnsi="Times New Roman"/>
          <w:noProof/>
        </w:rPr>
        <w:tab/>
        <w:t xml:space="preserve"> MRC-5 ATCC ® CCL-171</w:t>
      </w:r>
      <w:r w:rsidRPr="00741009">
        <w:rPr>
          <w:rFonts w:ascii="Times New Roman" w:hAnsi="Times New Roman"/>
          <w:noProof/>
          <w:vertAlign w:val="superscript"/>
        </w:rPr>
        <w:t>TM</w:t>
      </w:r>
      <w:r w:rsidRPr="00741009">
        <w:rPr>
          <w:rFonts w:ascii="Times New Roman" w:hAnsi="Times New Roman"/>
          <w:noProof/>
        </w:rPr>
        <w:t xml:space="preserve"> Homo sapiens lung Normal.</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206. </w:t>
      </w:r>
      <w:r w:rsidRPr="00741009">
        <w:rPr>
          <w:rFonts w:ascii="Times New Roman" w:hAnsi="Times New Roman"/>
          <w:noProof/>
        </w:rPr>
        <w:tab/>
        <w:t xml:space="preserve">Pan N, Rao W, Kothapalli NR, Liu R, Burgett AWG, Yang Z. 2014. The Single-Probe: A </w:t>
      </w:r>
      <w:r w:rsidRPr="00741009">
        <w:rPr>
          <w:rFonts w:ascii="Times New Roman" w:hAnsi="Times New Roman"/>
          <w:noProof/>
        </w:rPr>
        <w:lastRenderedPageBreak/>
        <w:t>Miniaturized Multifunctional Device for Single Cell Mass Spectrometry Analysis. Anal Chem 86:9376–9380.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207. </w:t>
      </w:r>
      <w:r w:rsidRPr="00741009">
        <w:rPr>
          <w:rFonts w:ascii="Times New Roman" w:hAnsi="Times New Roman"/>
          <w:noProof/>
        </w:rPr>
        <w:tab/>
        <w:t>Rao W, Pan N, Yang Z. 2016. Applications of the Single-probe: Mass Spectrometry Imaging and Single Cell Analysis under Ambient Conditions. J Vis Exp 1–9.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208. </w:t>
      </w:r>
      <w:r w:rsidRPr="00741009">
        <w:rPr>
          <w:rFonts w:ascii="Times New Roman" w:hAnsi="Times New Roman"/>
          <w:noProof/>
        </w:rPr>
        <w:tab/>
        <w:t>Newman CF, Havelund R, Passarelli MK, Marshall PS, Francis I, West A, Alexander MR, Gilmore IS, Dollery CT. 2017. Intracellular Drug Uptake—A Comparison of Single Cell Measurements Using ToF-SIMS Imaging and Quantification from Cell Populations with LC/MS/MS. Anal Chem 89:11944–11953.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209. </w:t>
      </w:r>
      <w:r w:rsidRPr="00741009">
        <w:rPr>
          <w:rFonts w:ascii="Times New Roman" w:hAnsi="Times New Roman"/>
          <w:noProof/>
        </w:rPr>
        <w:tab/>
        <w:t>Passarelli MK, Newman CF, Marshall PS, West A, Gilmore IS, Bunch J, Alexander MR, Dollery CT. 2015. Single-Cell Analysis: Visualizing Pharmaceutical and Metabolite Uptake in Cells with Label-Free 3D Mass Spectrometry Imaging. Anal Chem 87:6696–6702.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210. </w:t>
      </w:r>
      <w:r w:rsidRPr="00741009">
        <w:rPr>
          <w:rFonts w:ascii="Times New Roman" w:hAnsi="Times New Roman"/>
          <w:noProof/>
        </w:rPr>
        <w:tab/>
        <w:t>REED LJ, MUENCH H. 1938. A SIMPLE METHOD OF ESTIMATING FIFTY PER CENT ENDPOINTS12. Am J Epidemiol 27:493–497.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211. </w:t>
      </w:r>
      <w:r w:rsidRPr="00741009">
        <w:rPr>
          <w:rFonts w:ascii="Times New Roman" w:hAnsi="Times New Roman"/>
          <w:noProof/>
        </w:rPr>
        <w:tab/>
        <w:t>Jie Xue, Peng Liu, Yanbin Pan  and, Guo* Z. 2007. A Total Synthesis of OSW-1.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212. </w:t>
      </w:r>
      <w:r w:rsidRPr="00741009">
        <w:rPr>
          <w:rFonts w:ascii="Times New Roman" w:hAnsi="Times New Roman"/>
          <w:noProof/>
        </w:rPr>
        <w:tab/>
        <w:t>Deng S, Yu B, Lou Y, Hui Y. 1999. First total synthesis of an exceptionally potent antitumor saponin, OSW- 1. J Org Chem 64:202–208.</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213. </w:t>
      </w:r>
      <w:r w:rsidRPr="00741009">
        <w:rPr>
          <w:rFonts w:ascii="Times New Roman" w:hAnsi="Times New Roman"/>
          <w:noProof/>
        </w:rPr>
        <w:tab/>
        <w:t>Yang F, Shen Y, Camp Ii DG, Smith RD. 2012. High pH reversed-phase chromatography with fraction concatenation as an alternative to strong-cation exchange chromatography for two-dimensional proteomic analysis 9:129–134.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214. </w:t>
      </w:r>
      <w:r w:rsidRPr="00741009">
        <w:rPr>
          <w:rFonts w:ascii="Times New Roman" w:hAnsi="Times New Roman"/>
          <w:noProof/>
        </w:rPr>
        <w:tab/>
        <w:t>Rojo F. 2001. Mechanisms of transcriptional repression. Curr Opin Microbiol 4:145–51.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215. </w:t>
      </w:r>
      <w:r w:rsidRPr="00741009">
        <w:rPr>
          <w:rFonts w:ascii="Times New Roman" w:hAnsi="Times New Roman"/>
          <w:noProof/>
        </w:rPr>
        <w:tab/>
        <w:t>Iwakawa H oki, Tomari Y. 2015. The Functions of MicroRNAs: mRNA Decay and Translational Repression. Trends Cell Biol 25:651–665.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lastRenderedPageBreak/>
        <w:t xml:space="preserve">216. </w:t>
      </w:r>
      <w:r w:rsidRPr="00741009">
        <w:rPr>
          <w:rFonts w:ascii="Times New Roman" w:hAnsi="Times New Roman"/>
          <w:noProof/>
        </w:rPr>
        <w:tab/>
        <w:t>Levine M, Tjian R. 2003. Transcription regulation and animal diversity. Nature 424:147–151.</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217. </w:t>
      </w:r>
      <w:r w:rsidRPr="00741009">
        <w:rPr>
          <w:rFonts w:ascii="Times New Roman" w:hAnsi="Times New Roman"/>
          <w:noProof/>
        </w:rPr>
        <w:tab/>
        <w:t>Orang AV, Safaralizadeh R, Kazemzadeh-Bavili M. 2014. Mechanisms of miRNA-mediated gene regulation from common downregulation to mRNA-specific upregulation. Int J Genomics 2014.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218. </w:t>
      </w:r>
      <w:r w:rsidRPr="00741009">
        <w:rPr>
          <w:rFonts w:ascii="Times New Roman" w:hAnsi="Times New Roman"/>
          <w:noProof/>
        </w:rPr>
        <w:tab/>
        <w:t>Jin JC, Jin XL, Zhang X, Piao YS, Liu SP. 2013. Effect of OSW-1 on microRNA expression profiles of hepatoma cells and functions of novel microRNAs. Mol Med Rep 7:1831–1837.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219. </w:t>
      </w:r>
      <w:r w:rsidRPr="00741009">
        <w:rPr>
          <w:rFonts w:ascii="Times New Roman" w:hAnsi="Times New Roman"/>
          <w:noProof/>
        </w:rPr>
        <w:tab/>
        <w:t>He C, Klionsky DJ. 2009. Regulation Mechanisms and Signaling Pathways of Autophagy. Annu Rev Genet 43:67–93.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220. </w:t>
      </w:r>
      <w:r w:rsidRPr="00741009">
        <w:rPr>
          <w:rFonts w:ascii="Times New Roman" w:hAnsi="Times New Roman"/>
          <w:noProof/>
        </w:rPr>
        <w:tab/>
        <w:t>Rousseau D, Cannella D, Boulaire J, Fitzgerald P, Fotedar A, Fotedar R. 1999. Growth inhibition by CDK-cyclin and PCNA binding domains of p21 occurs by distinct mechanisms and is regulated by ubiquitin-proteasome pathway. Oncogene 18:4313–4325.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221. </w:t>
      </w:r>
      <w:r w:rsidRPr="00741009">
        <w:rPr>
          <w:rFonts w:ascii="Times New Roman" w:hAnsi="Times New Roman"/>
          <w:noProof/>
        </w:rPr>
        <w:tab/>
        <w:t>Bloom J, Amador V, Bartolini F, DeMartino G, Pagano M. 2003. Proteasome-mediated degradation of p21 via N-terminal ubiquitinylation. Cell 115:71–82.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222. </w:t>
      </w:r>
      <w:r w:rsidRPr="00741009">
        <w:rPr>
          <w:rFonts w:ascii="Times New Roman" w:hAnsi="Times New Roman"/>
          <w:noProof/>
        </w:rPr>
        <w:tab/>
        <w:t>Lin PY, Fosmire SP, Park SH, Park JY, Baksh S, Modiano JF, Weiss RH. 2007. Attenuation of PTEN increases p21 stability and cytosolic localization in kidney cancer cells: A potential mechanism of apoptosis resistance. Mol Cancer 6:1–14.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223. </w:t>
      </w:r>
      <w:r w:rsidRPr="00741009">
        <w:rPr>
          <w:rFonts w:ascii="Times New Roman" w:hAnsi="Times New Roman"/>
          <w:noProof/>
        </w:rPr>
        <w:tab/>
        <w:t>Cambridge SB, Gnad F, Nguyen C, Bermejo JL, Krüger M, Mann M. 2011. Systems-wide proteomic analysis in mammalian cells reveals conserved, functional protein turnover. J Proteome Res 10:5275–5284.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224. </w:t>
      </w:r>
      <w:r w:rsidRPr="00741009">
        <w:rPr>
          <w:rFonts w:ascii="Times New Roman" w:hAnsi="Times New Roman"/>
          <w:noProof/>
        </w:rPr>
        <w:tab/>
        <w:t xml:space="preserve">Rosengren V, Johansson H, Lehtiö J, Fransson L, Sjöholm Å, Ortsäter H. 2012. Thapsigargin down-regulates protein levels of GRP78/BiP in INS-1E cells. J Cell </w:t>
      </w:r>
      <w:r w:rsidRPr="00741009">
        <w:rPr>
          <w:rFonts w:ascii="Times New Roman" w:hAnsi="Times New Roman"/>
          <w:noProof/>
        </w:rPr>
        <w:lastRenderedPageBreak/>
        <w:t>Biochem 113:1635–1644.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225. </w:t>
      </w:r>
      <w:r w:rsidRPr="00741009">
        <w:rPr>
          <w:rFonts w:ascii="Times New Roman" w:hAnsi="Times New Roman"/>
          <w:noProof/>
        </w:rPr>
        <w:tab/>
        <w:t>Shi Y, Porter K, Parameswaran N, Bae HK, Pestka JJ. 2009. Role of GRP78/BiP degradation and ER stress in deoxynivalenol-induced interleukin-6 upregulation in the macrophage. Toxicol Sci 109:247–255.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226. </w:t>
      </w:r>
      <w:r w:rsidRPr="00741009">
        <w:rPr>
          <w:rFonts w:ascii="Times New Roman" w:hAnsi="Times New Roman"/>
          <w:noProof/>
        </w:rPr>
        <w:tab/>
        <w:t>Decker CJ, Parker R. 2012. P-Bodies and Stress Granules: Possible Roles in the Control of Translation and mRNA Degradation. Cold Spring Harb Perspect Biol 4:a012286–a012286.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227. </w:t>
      </w:r>
      <w:r w:rsidRPr="00741009">
        <w:rPr>
          <w:rFonts w:ascii="Times New Roman" w:hAnsi="Times New Roman"/>
          <w:noProof/>
        </w:rPr>
        <w:tab/>
        <w:t>Jordan SD, Krüger M, Willmes DM, Redemann N, Wunderlich FT, Brönneke HS, Merkwirth C, Kashkar H, Olkkonen VM, Böttger T, Braun T, Seibler J, Brüning JC. 2011. Obesity-induced overexpression of miRNA-143 inhibits insulin-stimulated AKT activation and impairs glucose metabolism. Nat Cell Biol 13:434–446.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228. </w:t>
      </w:r>
      <w:r w:rsidRPr="00741009">
        <w:rPr>
          <w:rFonts w:ascii="Times New Roman" w:hAnsi="Times New Roman"/>
          <w:noProof/>
        </w:rPr>
        <w:tab/>
        <w:t>Chen T, Huang Z, Wang L, Wang Y, Wu F, Meng S, Wang C. 2009. MicroRNA-125a-5p partly regulates the inflammatory response, lipid uptake, and ORP9 expression in oxLDL-stimulated monocyte/macrophages. Cardiovasc Res 83:131–139.</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229. </w:t>
      </w:r>
      <w:r w:rsidRPr="00741009">
        <w:rPr>
          <w:rFonts w:ascii="Times New Roman" w:hAnsi="Times New Roman"/>
          <w:noProof/>
        </w:rPr>
        <w:tab/>
        <w:t>Gu X, Li A, Liu S, Lin L, Xu S, Zhang P, Li S, Li X, Tian B, Zhu X, Wang X. 2016. MicroRNA124 Regulated Neurite Elongation by Targeting OSBP. Mol Neurobiol 53:6388–6396.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230. </w:t>
      </w:r>
      <w:r w:rsidRPr="00741009">
        <w:rPr>
          <w:rFonts w:ascii="Times New Roman" w:hAnsi="Times New Roman"/>
          <w:noProof/>
        </w:rPr>
        <w:tab/>
        <w:t>Ma H, Delafield DG, Wang Z, You J, Wu S. 2017. Finding Biomass Degrading Enzymes Through an Activity-Correlated Quantitative Proteomics Platform (ACPP). J Am Soc Mass Spectrom 28:655–663.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231. </w:t>
      </w:r>
      <w:r w:rsidRPr="00741009">
        <w:rPr>
          <w:rFonts w:ascii="Times New Roman" w:hAnsi="Times New Roman"/>
          <w:noProof/>
        </w:rPr>
        <w:tab/>
        <w:t xml:space="preserve">Chen C, Huang H, Wu CH. 2017. Protein Bioinformatics Databases and Resources, p. 3–39. </w:t>
      </w:r>
      <w:r w:rsidRPr="00741009">
        <w:rPr>
          <w:rFonts w:ascii="Times New Roman" w:hAnsi="Times New Roman"/>
          <w:i/>
          <w:iCs/>
          <w:noProof/>
        </w:rPr>
        <w:t>In</w:t>
      </w:r>
      <w:r w:rsidRPr="00741009">
        <w:rPr>
          <w:rFonts w:ascii="Times New Roman" w:hAnsi="Times New Roman"/>
          <w:noProof/>
        </w:rPr>
        <w:t xml:space="preserve"> .</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232. </w:t>
      </w:r>
      <w:r w:rsidRPr="00741009">
        <w:rPr>
          <w:rFonts w:ascii="Times New Roman" w:hAnsi="Times New Roman"/>
          <w:noProof/>
        </w:rPr>
        <w:tab/>
        <w:t xml:space="preserve">Kim S, Pevzner PA. 2014. MS-GF+ makes progress towards a universal database search </w:t>
      </w:r>
      <w:r w:rsidRPr="00741009">
        <w:rPr>
          <w:rFonts w:ascii="Times New Roman" w:hAnsi="Times New Roman"/>
          <w:noProof/>
        </w:rPr>
        <w:lastRenderedPageBreak/>
        <w:t>tool for proteomics. Nat Commun 5:1–10.</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233. </w:t>
      </w:r>
      <w:r w:rsidRPr="00741009">
        <w:rPr>
          <w:rFonts w:ascii="Times New Roman" w:hAnsi="Times New Roman"/>
          <w:noProof/>
        </w:rPr>
        <w:tab/>
        <w:t>Head SA, Shi W, Zhao L, Gorshkov K, Pasunooti K, Chen Y, Deng Z, Li R, Shim JS, Tan W, Hartung T, Zhang J, Zhao Y, Colombini M, Liu JO. 2015. Antifungal drug itraconazole targets VDAC1 to modulate the AMPK/mTOR signaling axis in endothelial cells. Proc Natl Acad Sci 112:E7276–E7285.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234. </w:t>
      </w:r>
      <w:r w:rsidRPr="00741009">
        <w:rPr>
          <w:rFonts w:ascii="Times New Roman" w:hAnsi="Times New Roman"/>
          <w:noProof/>
        </w:rPr>
        <w:tab/>
        <w:t>Lathe R, Kotelevtsev Y. 2014. Steroid signaling: Ligand-binding promiscuity, molecular symmetry, and the need for gating. Steroids 82:14–22.</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235. </w:t>
      </w:r>
      <w:r w:rsidRPr="00741009">
        <w:rPr>
          <w:rFonts w:ascii="Times New Roman" w:hAnsi="Times New Roman"/>
          <w:noProof/>
        </w:rPr>
        <w:tab/>
        <w:t>Bauer L, Ferla S, Head SA, Bhat S, Pasunooti KK, Shi WQ, Albulescu L, Liu JO, Brancale A, van Kuppeveld FJM, Strating JRPM. 2018. Structure-activity relationship study of itraconazole, a broad-range inhibitor of picornavirus replication that targets oxysterol-binding protein (OSBP). Antiviral Res 156:55–63.</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236. </w:t>
      </w:r>
      <w:r w:rsidRPr="00741009">
        <w:rPr>
          <w:rFonts w:ascii="Times New Roman" w:hAnsi="Times New Roman"/>
          <w:noProof/>
        </w:rPr>
        <w:tab/>
        <w:t>Kawai T, Fan J, Mazan-Mamczarz K, Gorospe M. 2004. Global mRNA Stabilization Preferentially Linked to Translational Repression during the Endoplasmic Reticulum Stress Response. Mol Cell Biol 24:6773–6787.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237. </w:t>
      </w:r>
      <w:r w:rsidRPr="00741009">
        <w:rPr>
          <w:rFonts w:ascii="Times New Roman" w:hAnsi="Times New Roman"/>
          <w:noProof/>
        </w:rPr>
        <w:tab/>
        <w:t>Maurel M, Chevet E, Tavernier J, Gerlo S. 2014. Getting RIDD of RNA: IRE1 in cell fate regulation. Trends Biochem Sci 39:245–254.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238. </w:t>
      </w:r>
      <w:r w:rsidRPr="00741009">
        <w:rPr>
          <w:rFonts w:ascii="Times New Roman" w:hAnsi="Times New Roman"/>
          <w:noProof/>
        </w:rPr>
        <w:tab/>
        <w:t>Papandreou I, Denko NC, Olson M, Van Melckebeke H, Lust S, Tam A, Solow-Cordero DE, Bouley DM, Offner F, Niwa M, Koong AC. 2011. Identification of an Ire1alpha endonuclease specific inhibitor with cytotoxic activity against human multiple myeloma. Blood 117:1311–1314.</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239. </w:t>
      </w:r>
      <w:r w:rsidRPr="00741009">
        <w:rPr>
          <w:rFonts w:ascii="Times New Roman" w:hAnsi="Times New Roman"/>
          <w:noProof/>
        </w:rPr>
        <w:tab/>
        <w:t>Panda A, Martindale J, Gorospe M. 2017. Polysome Fractionation to Analyze mRNA Distribution Profiles. Bio-Protocol 7.</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240. </w:t>
      </w:r>
      <w:r w:rsidRPr="00741009">
        <w:rPr>
          <w:rFonts w:ascii="Times New Roman" w:hAnsi="Times New Roman"/>
          <w:noProof/>
        </w:rPr>
        <w:tab/>
        <w:t xml:space="preserve">Chassé H, Boulben S, Costache V, Cormier P, Morales J. 2017. Analysis of translation </w:t>
      </w:r>
      <w:r w:rsidRPr="00741009">
        <w:rPr>
          <w:rFonts w:ascii="Times New Roman" w:hAnsi="Times New Roman"/>
          <w:noProof/>
        </w:rPr>
        <w:lastRenderedPageBreak/>
        <w:t>using polysome profiling. Nucleic Acids Res 45:e15.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241. </w:t>
      </w:r>
      <w:r w:rsidRPr="00741009">
        <w:rPr>
          <w:rFonts w:ascii="Times New Roman" w:hAnsi="Times New Roman"/>
          <w:noProof/>
        </w:rPr>
        <w:tab/>
        <w:t>Wang C, Schmich F, Srivatsa S, Weidner J, Beerenwinkel N, Spang A. 2018. Context-dependent deposition and regulation of mRNAs in P-bodies. Elife 7:1–25.</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242. </w:t>
      </w:r>
      <w:r w:rsidRPr="00741009">
        <w:rPr>
          <w:rFonts w:ascii="Times New Roman" w:hAnsi="Times New Roman"/>
          <w:noProof/>
        </w:rPr>
        <w:tab/>
        <w:t>Aizer A, Kalo A, Kafri P, Shraga A, Ben-Yishay R, Jacob A, Kinor N, Shav-Tal Y. 2014. Quantifying mRNA targeting to P-bodies in living human cells reveals their dual role in mRNA decay and storage. J Cell Sci 127:4443–4456.</w:t>
      </w:r>
    </w:p>
    <w:p w:rsidR="00741009" w:rsidRPr="00741009" w:rsidRDefault="00741009" w:rsidP="00741009">
      <w:pPr>
        <w:widowControl w:val="0"/>
        <w:autoSpaceDE w:val="0"/>
        <w:autoSpaceDN w:val="0"/>
        <w:adjustRightInd w:val="0"/>
        <w:ind w:left="640" w:hanging="640"/>
        <w:rPr>
          <w:rFonts w:ascii="Times New Roman" w:hAnsi="Times New Roman"/>
          <w:noProof/>
        </w:rPr>
      </w:pPr>
      <w:r w:rsidRPr="00741009">
        <w:rPr>
          <w:rFonts w:ascii="Times New Roman" w:hAnsi="Times New Roman"/>
          <w:noProof/>
        </w:rPr>
        <w:t xml:space="preserve">243. </w:t>
      </w:r>
      <w:r w:rsidRPr="00741009">
        <w:rPr>
          <w:rFonts w:ascii="Times New Roman" w:hAnsi="Times New Roman"/>
          <w:noProof/>
        </w:rPr>
        <w:tab/>
        <w:t>Baggen J, Thibaut HJ, Strating JRPM, van Kuppeveld FJM. 2018. The life cycle of non-polio enteroviruses and how to target it. Nat Rev Microbiol 16:368–381.</w:t>
      </w:r>
    </w:p>
    <w:p w:rsidR="00AA0B13" w:rsidRDefault="00006268" w:rsidP="00FB099D">
      <w:pPr>
        <w:spacing w:after="240" w:line="240" w:lineRule="auto"/>
        <w:ind w:left="720" w:hanging="720"/>
        <w:jc w:val="both"/>
      </w:pPr>
      <w:r>
        <w:rPr>
          <w:rFonts w:cstheme="minorHAnsi"/>
        </w:rPr>
        <w:fldChar w:fldCharType="end"/>
      </w:r>
    </w:p>
    <w:p w:rsidR="001B5ABA" w:rsidRDefault="00AA0B13" w:rsidP="00E87672">
      <w:pPr>
        <w:pStyle w:val="Heading1"/>
      </w:pPr>
      <w:r>
        <w:br w:type="page"/>
      </w:r>
      <w:bookmarkStart w:id="232" w:name="_Toc310579475"/>
      <w:bookmarkStart w:id="233" w:name="_Toc532553181"/>
      <w:r w:rsidR="0015171B" w:rsidRPr="00083E13">
        <w:rPr>
          <w:noProof/>
          <w:lang w:bidi="ar-SA"/>
        </w:rPr>
        <w:lastRenderedPageBreak/>
        <w:drawing>
          <wp:anchor distT="0" distB="0" distL="114300" distR="114300" simplePos="0" relativeHeight="251687936" behindDoc="1" locked="0" layoutInCell="1" allowOverlap="1" wp14:anchorId="19B36622" wp14:editId="1261DC87">
            <wp:simplePos x="0" y="0"/>
            <wp:positionH relativeFrom="margin">
              <wp:posOffset>323850</wp:posOffset>
            </wp:positionH>
            <wp:positionV relativeFrom="paragraph">
              <wp:posOffset>412750</wp:posOffset>
            </wp:positionV>
            <wp:extent cx="5347970" cy="3823335"/>
            <wp:effectExtent l="19050" t="19050" r="24130" b="24765"/>
            <wp:wrapTight wrapText="bothSides">
              <wp:wrapPolygon edited="0">
                <wp:start x="-77" y="-108"/>
                <wp:lineTo x="-77" y="21632"/>
                <wp:lineTo x="21621" y="21632"/>
                <wp:lineTo x="21621" y="-108"/>
                <wp:lineTo x="-77" y="-108"/>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47970" cy="382333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8671EA">
        <w:t xml:space="preserve">Appendix </w:t>
      </w:r>
      <w:r w:rsidR="001B5ABA">
        <w:t>1</w:t>
      </w:r>
      <w:bookmarkEnd w:id="232"/>
      <w:r w:rsidR="008671EA">
        <w:t>: Chapter 2 Supplemental</w:t>
      </w:r>
      <w:bookmarkEnd w:id="233"/>
    </w:p>
    <w:p w:rsidR="001B5ABA" w:rsidRDefault="00A841B4" w:rsidP="00FB099D">
      <w:pPr>
        <w:pStyle w:val="Caption"/>
        <w:jc w:val="both"/>
        <w:rPr>
          <w:b w:val="0"/>
        </w:rPr>
      </w:pPr>
      <w:bookmarkStart w:id="234" w:name="_Ref530126023"/>
      <w:bookmarkStart w:id="235" w:name="_Toc530673959"/>
      <w:r w:rsidRPr="00A841B4">
        <w:t>Figure</w:t>
      </w:r>
      <w:r w:rsidR="001B5ABA">
        <w:t xml:space="preserve"> </w:t>
      </w:r>
      <w:fldSimple w:instr=" SEQ Figure \* ARABIC ">
        <w:r w:rsidR="00E2070A">
          <w:rPr>
            <w:noProof/>
          </w:rPr>
          <w:t>34</w:t>
        </w:r>
      </w:fldSimple>
      <w:bookmarkEnd w:id="234"/>
      <w:r w:rsidR="001B5ABA">
        <w:t xml:space="preserve">: OSBP and ORP4 Sequence Homology. </w:t>
      </w:r>
      <w:r w:rsidR="001B5ABA">
        <w:rPr>
          <w:b w:val="0"/>
        </w:rPr>
        <w:t>Protein and DNA Identities and Positives for Full length and LBD sequences of OSBP and ORP4.</w:t>
      </w:r>
      <w:bookmarkEnd w:id="235"/>
    </w:p>
    <w:p w:rsidR="004B00E4" w:rsidRDefault="004B00E4" w:rsidP="00FB099D">
      <w:pPr>
        <w:keepNext/>
        <w:jc w:val="both"/>
      </w:pPr>
      <w:r>
        <w:rPr>
          <w:noProof/>
          <w:lang w:bidi="ar-SA"/>
        </w:rPr>
        <w:lastRenderedPageBreak/>
        <w:drawing>
          <wp:inline distT="0" distB="0" distL="0" distR="0" wp14:anchorId="4F55E708" wp14:editId="2D8CFC64">
            <wp:extent cx="5394960" cy="4256376"/>
            <wp:effectExtent l="19050" t="19050" r="15240" b="1143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4960" cy="4256376"/>
                    </a:xfrm>
                    <a:prstGeom prst="rect">
                      <a:avLst/>
                    </a:prstGeom>
                    <a:noFill/>
                    <a:ln>
                      <a:solidFill>
                        <a:schemeClr val="tx1"/>
                      </a:solidFill>
                    </a:ln>
                  </pic:spPr>
                </pic:pic>
              </a:graphicData>
            </a:graphic>
          </wp:inline>
        </w:drawing>
      </w:r>
    </w:p>
    <w:p w:rsidR="004B00E4" w:rsidRDefault="00A841B4" w:rsidP="00FB099D">
      <w:pPr>
        <w:pStyle w:val="Caption"/>
        <w:jc w:val="both"/>
      </w:pPr>
      <w:bookmarkStart w:id="236" w:name="_Ref530125529"/>
      <w:bookmarkStart w:id="237" w:name="_Toc530673960"/>
      <w:r w:rsidRPr="00A841B4">
        <w:t>Figure</w:t>
      </w:r>
      <w:r w:rsidR="004B00E4">
        <w:t xml:space="preserve"> </w:t>
      </w:r>
      <w:fldSimple w:instr=" SEQ Figure \* ARABIC ">
        <w:r w:rsidR="00E2070A">
          <w:rPr>
            <w:noProof/>
          </w:rPr>
          <w:t>35</w:t>
        </w:r>
      </w:fldSimple>
      <w:bookmarkEnd w:id="236"/>
      <w:r w:rsidR="004B00E4">
        <w:t xml:space="preserve">: Full blots of </w:t>
      </w:r>
      <w:r w:rsidR="00BC0618">
        <w:fldChar w:fldCharType="begin"/>
      </w:r>
      <w:r w:rsidR="00BC0618">
        <w:instrText xml:space="preserve"> REF _Ref532554289 \h </w:instrText>
      </w:r>
      <w:r w:rsidR="00BC0618">
        <w:fldChar w:fldCharType="separate"/>
      </w:r>
      <w:r w:rsidR="00E2070A" w:rsidRPr="00A841B4">
        <w:t>Figure</w:t>
      </w:r>
      <w:r w:rsidR="00E2070A">
        <w:t xml:space="preserve"> </w:t>
      </w:r>
      <w:r w:rsidR="00E2070A">
        <w:rPr>
          <w:noProof/>
        </w:rPr>
        <w:t>17</w:t>
      </w:r>
      <w:r w:rsidR="00BC0618">
        <w:fldChar w:fldCharType="end"/>
      </w:r>
      <w:r w:rsidR="004B00E4">
        <w:t>A</w:t>
      </w:r>
      <w:bookmarkEnd w:id="237"/>
    </w:p>
    <w:p w:rsidR="00BD5F5B" w:rsidRDefault="00BD5F5B" w:rsidP="00FB099D">
      <w:pPr>
        <w:keepNext/>
        <w:jc w:val="both"/>
      </w:pPr>
      <w:r w:rsidRPr="00BD5F5B">
        <w:rPr>
          <w:noProof/>
          <w:lang w:bidi="ar-SA"/>
        </w:rPr>
        <w:lastRenderedPageBreak/>
        <w:drawing>
          <wp:inline distT="0" distB="0" distL="0" distR="0" wp14:anchorId="14BB640B" wp14:editId="73F9BA0F">
            <wp:extent cx="5394960" cy="6673215"/>
            <wp:effectExtent l="19050" t="19050" r="15240" b="13335"/>
            <wp:docPr id="2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2"/>
                    <a:stretch>
                      <a:fillRect/>
                    </a:stretch>
                  </pic:blipFill>
                  <pic:spPr>
                    <a:xfrm>
                      <a:off x="0" y="0"/>
                      <a:ext cx="5394960" cy="6673215"/>
                    </a:xfrm>
                    <a:prstGeom prst="rect">
                      <a:avLst/>
                    </a:prstGeom>
                    <a:ln>
                      <a:solidFill>
                        <a:schemeClr val="tx1"/>
                      </a:solidFill>
                    </a:ln>
                  </pic:spPr>
                </pic:pic>
              </a:graphicData>
            </a:graphic>
          </wp:inline>
        </w:drawing>
      </w:r>
    </w:p>
    <w:p w:rsidR="001B5ABA" w:rsidRDefault="00A841B4" w:rsidP="00FB099D">
      <w:pPr>
        <w:pStyle w:val="Caption"/>
        <w:jc w:val="both"/>
      </w:pPr>
      <w:bookmarkStart w:id="238" w:name="_Ref530125532"/>
      <w:bookmarkStart w:id="239" w:name="_Toc530673961"/>
      <w:r w:rsidRPr="00A841B4">
        <w:t>Figure</w:t>
      </w:r>
      <w:r w:rsidR="00BD5F5B">
        <w:t xml:space="preserve"> </w:t>
      </w:r>
      <w:fldSimple w:instr=" SEQ Figure \* ARABIC ">
        <w:r w:rsidR="00E2070A">
          <w:rPr>
            <w:noProof/>
          </w:rPr>
          <w:t>36</w:t>
        </w:r>
      </w:fldSimple>
      <w:bookmarkEnd w:id="238"/>
      <w:r w:rsidR="00BD5F5B">
        <w:t xml:space="preserve">: Full </w:t>
      </w:r>
      <w:r w:rsidR="004B00E4">
        <w:t xml:space="preserve">OSBP </w:t>
      </w:r>
      <w:r w:rsidR="00BD5F5B">
        <w:t xml:space="preserve">blots of </w:t>
      </w:r>
      <w:r w:rsidR="00BC0618">
        <w:fldChar w:fldCharType="begin"/>
      </w:r>
      <w:r w:rsidR="00BC0618">
        <w:instrText xml:space="preserve"> REF _Ref532554289 \h </w:instrText>
      </w:r>
      <w:r w:rsidR="00BC0618">
        <w:fldChar w:fldCharType="separate"/>
      </w:r>
      <w:r w:rsidR="00E2070A" w:rsidRPr="00A841B4">
        <w:t>Figure</w:t>
      </w:r>
      <w:r w:rsidR="00E2070A">
        <w:t xml:space="preserve"> </w:t>
      </w:r>
      <w:r w:rsidR="00E2070A">
        <w:rPr>
          <w:noProof/>
        </w:rPr>
        <w:t>17</w:t>
      </w:r>
      <w:r w:rsidR="00BC0618">
        <w:fldChar w:fldCharType="end"/>
      </w:r>
      <w:r w:rsidR="00BD5F5B">
        <w:t>B.</w:t>
      </w:r>
      <w:bookmarkEnd w:id="239"/>
    </w:p>
    <w:p w:rsidR="004B00E4" w:rsidRDefault="004B00E4" w:rsidP="00FB099D">
      <w:pPr>
        <w:keepNext/>
        <w:jc w:val="both"/>
      </w:pPr>
      <w:r>
        <w:rPr>
          <w:noProof/>
          <w:lang w:bidi="ar-SA"/>
        </w:rPr>
        <w:lastRenderedPageBreak/>
        <w:drawing>
          <wp:inline distT="0" distB="0" distL="0" distR="0" wp14:anchorId="4E63B6E7" wp14:editId="626C93A8">
            <wp:extent cx="5394960" cy="4325487"/>
            <wp:effectExtent l="19050" t="19050" r="15240" b="1841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r="9244"/>
                    <a:stretch/>
                  </pic:blipFill>
                  <pic:spPr bwMode="auto">
                    <a:xfrm>
                      <a:off x="0" y="0"/>
                      <a:ext cx="5394960" cy="432548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1B5ABA" w:rsidRDefault="00A841B4" w:rsidP="00FB099D">
      <w:pPr>
        <w:pStyle w:val="Caption"/>
        <w:jc w:val="both"/>
      </w:pPr>
      <w:bookmarkStart w:id="240" w:name="_Ref530125534"/>
      <w:bookmarkStart w:id="241" w:name="_Toc530673962"/>
      <w:r w:rsidRPr="00A841B4">
        <w:t>Figure</w:t>
      </w:r>
      <w:r w:rsidR="004B00E4">
        <w:t xml:space="preserve"> </w:t>
      </w:r>
      <w:fldSimple w:instr=" SEQ Figure \* ARABIC ">
        <w:r w:rsidR="00E2070A">
          <w:rPr>
            <w:noProof/>
          </w:rPr>
          <w:t>37</w:t>
        </w:r>
      </w:fldSimple>
      <w:bookmarkEnd w:id="240"/>
      <w:r w:rsidR="004B00E4">
        <w:t xml:space="preserve">: Full ORP4 blots of </w:t>
      </w:r>
      <w:r w:rsidR="00BC0618">
        <w:fldChar w:fldCharType="begin"/>
      </w:r>
      <w:r w:rsidR="00BC0618">
        <w:instrText xml:space="preserve"> REF _Ref532554289 \h </w:instrText>
      </w:r>
      <w:r w:rsidR="00BC0618">
        <w:fldChar w:fldCharType="separate"/>
      </w:r>
      <w:r w:rsidR="00E2070A" w:rsidRPr="00A841B4">
        <w:t>Figure</w:t>
      </w:r>
      <w:r w:rsidR="00E2070A">
        <w:t xml:space="preserve"> </w:t>
      </w:r>
      <w:r w:rsidR="00E2070A">
        <w:rPr>
          <w:noProof/>
        </w:rPr>
        <w:t>17</w:t>
      </w:r>
      <w:r w:rsidR="00BC0618">
        <w:fldChar w:fldCharType="end"/>
      </w:r>
      <w:r w:rsidR="004B00E4">
        <w:t>B</w:t>
      </w:r>
      <w:bookmarkEnd w:id="241"/>
    </w:p>
    <w:p w:rsidR="004B00E4" w:rsidRDefault="004B00E4" w:rsidP="00FB099D">
      <w:pPr>
        <w:keepNext/>
        <w:jc w:val="both"/>
      </w:pPr>
      <w:r>
        <w:rPr>
          <w:noProof/>
          <w:lang w:bidi="ar-SA"/>
        </w:rPr>
        <w:lastRenderedPageBreak/>
        <w:drawing>
          <wp:inline distT="0" distB="0" distL="0" distR="0" wp14:anchorId="7A6988C4" wp14:editId="3DB0C742">
            <wp:extent cx="5394960" cy="5476266"/>
            <wp:effectExtent l="19050" t="19050" r="15240" b="1016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94960" cy="5476266"/>
                    </a:xfrm>
                    <a:prstGeom prst="rect">
                      <a:avLst/>
                    </a:prstGeom>
                    <a:noFill/>
                    <a:ln>
                      <a:solidFill>
                        <a:schemeClr val="tx1"/>
                      </a:solidFill>
                    </a:ln>
                  </pic:spPr>
                </pic:pic>
              </a:graphicData>
            </a:graphic>
          </wp:inline>
        </w:drawing>
      </w:r>
    </w:p>
    <w:p w:rsidR="001B5ABA" w:rsidRDefault="00A841B4" w:rsidP="00FB099D">
      <w:pPr>
        <w:pStyle w:val="Caption"/>
        <w:jc w:val="both"/>
      </w:pPr>
      <w:bookmarkStart w:id="242" w:name="_Ref530125982"/>
      <w:bookmarkStart w:id="243" w:name="_Toc530673963"/>
      <w:r w:rsidRPr="00A841B4">
        <w:t>Figure</w:t>
      </w:r>
      <w:r w:rsidR="004B00E4">
        <w:t xml:space="preserve"> </w:t>
      </w:r>
      <w:fldSimple w:instr=" SEQ Figure \* ARABIC ">
        <w:r w:rsidR="00E2070A">
          <w:rPr>
            <w:noProof/>
          </w:rPr>
          <w:t>38</w:t>
        </w:r>
      </w:fldSimple>
      <w:bookmarkEnd w:id="242"/>
      <w:r w:rsidR="004B00E4">
        <w:t xml:space="preserve">: Full blots of </w:t>
      </w:r>
      <w:r w:rsidR="004B00E4" w:rsidRPr="004B00E4">
        <w:fldChar w:fldCharType="begin"/>
      </w:r>
      <w:r w:rsidR="004B00E4" w:rsidRPr="004B00E4">
        <w:instrText xml:space="preserve"> REF _Ref530125940 \h  \* MERGEFORMAT </w:instrText>
      </w:r>
      <w:r w:rsidR="004B00E4" w:rsidRPr="004B00E4">
        <w:fldChar w:fldCharType="separate"/>
      </w:r>
      <w:r w:rsidR="00E2070A" w:rsidRPr="00E2070A">
        <w:t xml:space="preserve">Figure </w:t>
      </w:r>
      <w:r w:rsidR="00E2070A" w:rsidRPr="00E2070A">
        <w:rPr>
          <w:noProof/>
        </w:rPr>
        <w:t>18</w:t>
      </w:r>
      <w:r w:rsidR="004B00E4" w:rsidRPr="004B00E4">
        <w:fldChar w:fldCharType="end"/>
      </w:r>
      <w:r w:rsidR="004B00E4">
        <w:t>.</w:t>
      </w:r>
      <w:bookmarkEnd w:id="243"/>
    </w:p>
    <w:p w:rsidR="001B5ABA" w:rsidRDefault="001B5ABA" w:rsidP="00FB099D">
      <w:pPr>
        <w:jc w:val="both"/>
      </w:pPr>
    </w:p>
    <w:p w:rsidR="001B5ABA" w:rsidRDefault="001B5ABA" w:rsidP="00FB099D">
      <w:pPr>
        <w:jc w:val="both"/>
      </w:pPr>
    </w:p>
    <w:p w:rsidR="001B5ABA" w:rsidRDefault="001B5ABA" w:rsidP="00FB099D">
      <w:pPr>
        <w:jc w:val="both"/>
      </w:pPr>
    </w:p>
    <w:p w:rsidR="001B5ABA" w:rsidRDefault="001B5ABA" w:rsidP="00FB099D">
      <w:pPr>
        <w:jc w:val="both"/>
      </w:pPr>
    </w:p>
    <w:p w:rsidR="001B5ABA" w:rsidRDefault="001B5ABA" w:rsidP="00FB099D">
      <w:pPr>
        <w:jc w:val="both"/>
      </w:pPr>
    </w:p>
    <w:p w:rsidR="001B5ABA" w:rsidRDefault="001B5ABA" w:rsidP="00FB099D">
      <w:pPr>
        <w:jc w:val="both"/>
      </w:pPr>
    </w:p>
    <w:p w:rsidR="001B5ABA" w:rsidRDefault="001B5ABA" w:rsidP="00FB099D">
      <w:pPr>
        <w:jc w:val="both"/>
      </w:pPr>
    </w:p>
    <w:p w:rsidR="001B5ABA" w:rsidRPr="003C2AB2" w:rsidRDefault="001B5ABA" w:rsidP="00FB099D">
      <w:pPr>
        <w:jc w:val="both"/>
      </w:pPr>
    </w:p>
    <w:p w:rsidR="001B5ABA" w:rsidRDefault="0015171B" w:rsidP="00FB099D">
      <w:pPr>
        <w:jc w:val="both"/>
      </w:pPr>
      <w:r>
        <w:rPr>
          <w:noProof/>
          <w:lang w:bidi="ar-SA"/>
        </w:rPr>
        <w:drawing>
          <wp:anchor distT="0" distB="0" distL="114300" distR="114300" simplePos="0" relativeHeight="251686912" behindDoc="1" locked="0" layoutInCell="1" allowOverlap="1" wp14:anchorId="41D8F2C9" wp14:editId="3AE6F19F">
            <wp:simplePos x="0" y="0"/>
            <wp:positionH relativeFrom="margin">
              <wp:posOffset>304800</wp:posOffset>
            </wp:positionH>
            <wp:positionV relativeFrom="paragraph">
              <wp:posOffset>431800</wp:posOffset>
            </wp:positionV>
            <wp:extent cx="5356225" cy="2731135"/>
            <wp:effectExtent l="19050" t="19050" r="15875" b="12065"/>
            <wp:wrapTight wrapText="bothSides">
              <wp:wrapPolygon edited="0">
                <wp:start x="-77" y="-151"/>
                <wp:lineTo x="-77" y="21545"/>
                <wp:lineTo x="21587" y="21545"/>
                <wp:lineTo x="21587" y="-151"/>
                <wp:lineTo x="-77" y="-151"/>
              </wp:wrapPolygon>
            </wp:wrapTight>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a:extLst>
                        <a:ext uri="{28A0092B-C50C-407E-A947-70E740481C1C}">
                          <a14:useLocalDpi xmlns:a14="http://schemas.microsoft.com/office/drawing/2010/main" val="0"/>
                        </a:ext>
                      </a:extLst>
                    </a:blip>
                    <a:srcRect r="14589"/>
                    <a:stretch/>
                  </pic:blipFill>
                  <pic:spPr bwMode="auto">
                    <a:xfrm>
                      <a:off x="0" y="0"/>
                      <a:ext cx="5356225" cy="273113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B5ABA" w:rsidRDefault="00A841B4" w:rsidP="00FB099D">
      <w:pPr>
        <w:pStyle w:val="Caption"/>
        <w:jc w:val="both"/>
        <w:rPr>
          <w:b w:val="0"/>
        </w:rPr>
      </w:pPr>
      <w:bookmarkStart w:id="244" w:name="_Ref530131409"/>
      <w:bookmarkStart w:id="245" w:name="_Toc530673964"/>
      <w:r w:rsidRPr="00A841B4">
        <w:t>Figure</w:t>
      </w:r>
      <w:r w:rsidR="001B5ABA">
        <w:t xml:space="preserve"> </w:t>
      </w:r>
      <w:fldSimple w:instr=" SEQ Figure \* ARABIC ">
        <w:r w:rsidR="00E2070A">
          <w:rPr>
            <w:noProof/>
          </w:rPr>
          <w:t>39</w:t>
        </w:r>
      </w:fldSimple>
      <w:bookmarkEnd w:id="244"/>
      <w:r w:rsidR="001B5ABA">
        <w:t xml:space="preserve">: </w:t>
      </w:r>
      <w:r w:rsidR="007A587E">
        <w:t>OSW-1 compound</w:t>
      </w:r>
      <w:r w:rsidR="001B5ABA">
        <w:t xml:space="preserve"> washout shows reduction of OSBP up t</w:t>
      </w:r>
      <w:r w:rsidR="005A44E2">
        <w:t>o 24</w:t>
      </w:r>
      <w:r w:rsidR="001B5ABA">
        <w:t xml:space="preserve"> hours. </w:t>
      </w:r>
      <w:r w:rsidR="001B5ABA">
        <w:rPr>
          <w:b w:val="0"/>
        </w:rPr>
        <w:t>Cells were treated with 1 nM OSW-1 or DMSO for 6 hours and then the media was replaced and cells were allowed to recover for the indicated time before cell lysis and analysis by western blot.</w:t>
      </w:r>
      <w:bookmarkEnd w:id="245"/>
    </w:p>
    <w:p w:rsidR="001B5ABA" w:rsidRDefault="001B5ABA" w:rsidP="00FB099D">
      <w:pPr>
        <w:pStyle w:val="Caption"/>
        <w:jc w:val="both"/>
        <w:rPr>
          <w:rStyle w:val="Heading2Char"/>
          <w:b/>
        </w:rPr>
      </w:pPr>
    </w:p>
    <w:p w:rsidR="00181300" w:rsidRDefault="00181300" w:rsidP="00FB099D">
      <w:pPr>
        <w:pStyle w:val="Caption"/>
        <w:jc w:val="both"/>
        <w:rPr>
          <w:rStyle w:val="Heading2Char"/>
          <w:b/>
          <w:sz w:val="28"/>
        </w:rPr>
      </w:pPr>
    </w:p>
    <w:p w:rsidR="00181300" w:rsidRDefault="00181300" w:rsidP="00FB099D">
      <w:pPr>
        <w:pStyle w:val="Caption"/>
        <w:jc w:val="both"/>
        <w:rPr>
          <w:rStyle w:val="Heading2Char"/>
          <w:b/>
          <w:sz w:val="28"/>
        </w:rPr>
      </w:pPr>
    </w:p>
    <w:p w:rsidR="00181300" w:rsidRDefault="00181300" w:rsidP="00FB099D">
      <w:pPr>
        <w:pStyle w:val="Caption"/>
        <w:jc w:val="both"/>
        <w:rPr>
          <w:rStyle w:val="Heading2Char"/>
          <w:b/>
          <w:sz w:val="28"/>
        </w:rPr>
      </w:pPr>
    </w:p>
    <w:p w:rsidR="001B5ABA" w:rsidRPr="001B5ABA" w:rsidRDefault="0015171B" w:rsidP="00FB099D">
      <w:pPr>
        <w:jc w:val="both"/>
      </w:pPr>
      <w:r w:rsidRPr="00700E04">
        <w:rPr>
          <w:noProof/>
          <w:lang w:bidi="ar-SA"/>
        </w:rPr>
        <w:lastRenderedPageBreak/>
        <w:drawing>
          <wp:anchor distT="0" distB="0" distL="114300" distR="114300" simplePos="0" relativeHeight="251704320" behindDoc="1" locked="0" layoutInCell="1" allowOverlap="1" wp14:anchorId="48D02A1E" wp14:editId="74EC9411">
            <wp:simplePos x="0" y="0"/>
            <wp:positionH relativeFrom="margin">
              <wp:posOffset>352425</wp:posOffset>
            </wp:positionH>
            <wp:positionV relativeFrom="paragraph">
              <wp:posOffset>483870</wp:posOffset>
            </wp:positionV>
            <wp:extent cx="5356225" cy="3012440"/>
            <wp:effectExtent l="19050" t="19050" r="15875" b="16510"/>
            <wp:wrapTight wrapText="bothSides">
              <wp:wrapPolygon edited="0">
                <wp:start x="-77" y="-137"/>
                <wp:lineTo x="-77" y="21582"/>
                <wp:lineTo x="21587" y="21582"/>
                <wp:lineTo x="21587" y="-137"/>
                <wp:lineTo x="-77" y="-137"/>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5356225" cy="3012440"/>
                    </a:xfrm>
                    <a:prstGeom prst="rect">
                      <a:avLst/>
                    </a:prstGeom>
                    <a:ln>
                      <a:solidFill>
                        <a:schemeClr val="tx1"/>
                      </a:solidFill>
                    </a:ln>
                  </pic:spPr>
                </pic:pic>
              </a:graphicData>
            </a:graphic>
          </wp:anchor>
        </w:drawing>
      </w:r>
    </w:p>
    <w:p w:rsidR="00FC168B" w:rsidRDefault="00A841B4" w:rsidP="00FB099D">
      <w:pPr>
        <w:pStyle w:val="Caption"/>
        <w:jc w:val="both"/>
        <w:rPr>
          <w:b w:val="0"/>
        </w:rPr>
      </w:pPr>
      <w:bookmarkStart w:id="246" w:name="_Ref530058200"/>
      <w:bookmarkStart w:id="247" w:name="_Toc530673965"/>
      <w:r w:rsidRPr="00A841B4">
        <w:t>Figure</w:t>
      </w:r>
      <w:r w:rsidR="001B5ABA">
        <w:t xml:space="preserve"> </w:t>
      </w:r>
      <w:fldSimple w:instr=" SEQ Figure \* ARABIC ">
        <w:r w:rsidR="00E2070A">
          <w:rPr>
            <w:noProof/>
          </w:rPr>
          <w:t>40</w:t>
        </w:r>
      </w:fldSimple>
      <w:bookmarkEnd w:id="246"/>
      <w:r w:rsidR="001B5ABA">
        <w:t xml:space="preserve">: Confirmation of OSBP loss by multiple antibodies. </w:t>
      </w:r>
      <w:r w:rsidR="001B5ABA">
        <w:rPr>
          <w:b w:val="0"/>
        </w:rPr>
        <w:t xml:space="preserve">A combination of different clonalities from various hosts with distinct epitopes shows similar OSBP expression in both DMSO and </w:t>
      </w:r>
      <w:r w:rsidR="00181300">
        <w:rPr>
          <w:b w:val="0"/>
        </w:rPr>
        <w:t xml:space="preserve">1 nM </w:t>
      </w:r>
      <w:r w:rsidR="001B5ABA">
        <w:rPr>
          <w:b w:val="0"/>
        </w:rPr>
        <w:t xml:space="preserve">OSW-1 </w:t>
      </w:r>
      <w:r w:rsidR="00181300">
        <w:rPr>
          <w:b w:val="0"/>
        </w:rPr>
        <w:t xml:space="preserve">0 hr washout recovery </w:t>
      </w:r>
      <w:r w:rsidR="001B5ABA">
        <w:rPr>
          <w:b w:val="0"/>
        </w:rPr>
        <w:t xml:space="preserve">treated </w:t>
      </w:r>
      <w:r w:rsidR="00181300">
        <w:rPr>
          <w:b w:val="0"/>
        </w:rPr>
        <w:t xml:space="preserve">HCT116 </w:t>
      </w:r>
      <w:r w:rsidR="001B5ABA">
        <w:rPr>
          <w:b w:val="0"/>
        </w:rPr>
        <w:t>lysates.</w:t>
      </w:r>
      <w:r w:rsidR="005A44E2">
        <w:rPr>
          <w:b w:val="0"/>
        </w:rPr>
        <w:t xml:space="preserve"> (Full blots in</w:t>
      </w:r>
      <w:r w:rsidR="00893BA7">
        <w:rPr>
          <w:b w:val="0"/>
        </w:rPr>
        <w:t xml:space="preserve"> </w:t>
      </w:r>
      <w:r w:rsidR="00893BA7" w:rsidRPr="00893BA7">
        <w:rPr>
          <w:b w:val="0"/>
        </w:rPr>
        <w:fldChar w:fldCharType="begin"/>
      </w:r>
      <w:r w:rsidR="00893BA7" w:rsidRPr="00893BA7">
        <w:rPr>
          <w:b w:val="0"/>
        </w:rPr>
        <w:instrText xml:space="preserve"> REF _Ref530122237 \h  \* MERGEFORMAT </w:instrText>
      </w:r>
      <w:r w:rsidR="00893BA7" w:rsidRPr="00893BA7">
        <w:rPr>
          <w:b w:val="0"/>
        </w:rPr>
      </w:r>
      <w:r w:rsidR="00893BA7" w:rsidRPr="00893BA7">
        <w:rPr>
          <w:b w:val="0"/>
        </w:rPr>
        <w:fldChar w:fldCharType="separate"/>
      </w:r>
      <w:r w:rsidR="00E2070A" w:rsidRPr="00A841B4">
        <w:t>Figure</w:t>
      </w:r>
      <w:r w:rsidR="00E2070A" w:rsidRPr="00E2070A">
        <w:rPr>
          <w:b w:val="0"/>
        </w:rPr>
        <w:t xml:space="preserve"> </w:t>
      </w:r>
      <w:r w:rsidR="00E2070A" w:rsidRPr="00E2070A">
        <w:rPr>
          <w:b w:val="0"/>
          <w:noProof/>
        </w:rPr>
        <w:t>52</w:t>
      </w:r>
      <w:r w:rsidR="00893BA7" w:rsidRPr="00893BA7">
        <w:rPr>
          <w:b w:val="0"/>
        </w:rPr>
        <w:fldChar w:fldCharType="end"/>
      </w:r>
      <w:r w:rsidR="00181300">
        <w:rPr>
          <w:b w:val="0"/>
        </w:rPr>
        <w:t>).</w:t>
      </w:r>
      <w:bookmarkEnd w:id="247"/>
    </w:p>
    <w:p w:rsidR="00FC168B" w:rsidRDefault="00FC168B" w:rsidP="00FB099D">
      <w:pPr>
        <w:jc w:val="both"/>
      </w:pPr>
    </w:p>
    <w:p w:rsidR="001754F1" w:rsidRDefault="001754F1" w:rsidP="00FB099D">
      <w:pPr>
        <w:keepNext/>
        <w:jc w:val="both"/>
      </w:pPr>
      <w:r>
        <w:rPr>
          <w:noProof/>
          <w:lang w:bidi="ar-SA"/>
        </w:rPr>
        <w:lastRenderedPageBreak/>
        <w:drawing>
          <wp:inline distT="0" distB="0" distL="0" distR="0" wp14:anchorId="32F941D8" wp14:editId="1F5FC414">
            <wp:extent cx="5298023" cy="3810000"/>
            <wp:effectExtent l="19050" t="19050" r="17145" b="1905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99445" cy="3811023"/>
                    </a:xfrm>
                    <a:prstGeom prst="rect">
                      <a:avLst/>
                    </a:prstGeom>
                    <a:noFill/>
                    <a:ln>
                      <a:solidFill>
                        <a:schemeClr val="tx1"/>
                      </a:solidFill>
                    </a:ln>
                  </pic:spPr>
                </pic:pic>
              </a:graphicData>
            </a:graphic>
          </wp:inline>
        </w:drawing>
      </w:r>
    </w:p>
    <w:p w:rsidR="00FC168B" w:rsidRDefault="00A841B4" w:rsidP="00FB099D">
      <w:pPr>
        <w:pStyle w:val="Caption"/>
        <w:jc w:val="both"/>
      </w:pPr>
      <w:bookmarkStart w:id="248" w:name="_Ref530133852"/>
      <w:bookmarkStart w:id="249" w:name="_Toc530673966"/>
      <w:r w:rsidRPr="00A841B4">
        <w:t>Figure</w:t>
      </w:r>
      <w:r w:rsidR="001754F1">
        <w:t xml:space="preserve"> </w:t>
      </w:r>
      <w:fldSimple w:instr=" SEQ Figure \* ARABIC ">
        <w:r w:rsidR="00E2070A">
          <w:rPr>
            <w:noProof/>
          </w:rPr>
          <w:t>41</w:t>
        </w:r>
      </w:fldSimple>
      <w:bookmarkEnd w:id="248"/>
      <w:r w:rsidR="001754F1">
        <w:t xml:space="preserve">:Full blots of </w:t>
      </w:r>
      <w:r w:rsidR="001754F1">
        <w:fldChar w:fldCharType="begin"/>
      </w:r>
      <w:r w:rsidR="001754F1">
        <w:instrText xml:space="preserve"> REF _Ref530131535 \h </w:instrText>
      </w:r>
      <w:r w:rsidR="001B3703">
        <w:instrText xml:space="preserve"> \* MERGEFORMAT </w:instrText>
      </w:r>
      <w:r w:rsidR="001754F1">
        <w:fldChar w:fldCharType="separate"/>
      </w:r>
      <w:r w:rsidR="00E2070A" w:rsidRPr="00A841B4">
        <w:t>Figure</w:t>
      </w:r>
      <w:r w:rsidR="00E2070A">
        <w:t xml:space="preserve"> </w:t>
      </w:r>
      <w:r w:rsidR="00E2070A">
        <w:rPr>
          <w:noProof/>
        </w:rPr>
        <w:t>19</w:t>
      </w:r>
      <w:r w:rsidR="001754F1">
        <w:fldChar w:fldCharType="end"/>
      </w:r>
      <w:r w:rsidR="001754F1">
        <w:t>.</w:t>
      </w:r>
      <w:bookmarkEnd w:id="249"/>
    </w:p>
    <w:p w:rsidR="001754F1" w:rsidRDefault="001754F1" w:rsidP="00FB099D">
      <w:pPr>
        <w:jc w:val="both"/>
      </w:pPr>
    </w:p>
    <w:p w:rsidR="001754F1" w:rsidRPr="001754F1" w:rsidRDefault="001754F1" w:rsidP="00FB099D">
      <w:pPr>
        <w:jc w:val="both"/>
      </w:pPr>
    </w:p>
    <w:p w:rsidR="001B5ABA" w:rsidRPr="00B267C0" w:rsidRDefault="0015171B" w:rsidP="00FB099D">
      <w:pPr>
        <w:jc w:val="both"/>
      </w:pPr>
      <w:r w:rsidRPr="00FC168B">
        <w:rPr>
          <w:noProof/>
          <w:lang w:bidi="ar-SA"/>
        </w:rPr>
        <w:lastRenderedPageBreak/>
        <w:drawing>
          <wp:anchor distT="0" distB="0" distL="114300" distR="114300" simplePos="0" relativeHeight="251692032" behindDoc="1" locked="0" layoutInCell="1" allowOverlap="1" wp14:anchorId="37F1E71E" wp14:editId="563C380C">
            <wp:simplePos x="0" y="0"/>
            <wp:positionH relativeFrom="margin">
              <wp:posOffset>257175</wp:posOffset>
            </wp:positionH>
            <wp:positionV relativeFrom="paragraph">
              <wp:posOffset>409575</wp:posOffset>
            </wp:positionV>
            <wp:extent cx="5351145" cy="3009900"/>
            <wp:effectExtent l="19050" t="19050" r="20955" b="19050"/>
            <wp:wrapTight wrapText="bothSides">
              <wp:wrapPolygon edited="0">
                <wp:start x="-77" y="-137"/>
                <wp:lineTo x="-77" y="21600"/>
                <wp:lineTo x="21608" y="21600"/>
                <wp:lineTo x="21608" y="-137"/>
                <wp:lineTo x="-77" y="-137"/>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5351145" cy="30099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5E4814" w:rsidRDefault="00A841B4" w:rsidP="00FB099D">
      <w:pPr>
        <w:pStyle w:val="Caption"/>
        <w:jc w:val="both"/>
        <w:rPr>
          <w:b w:val="0"/>
        </w:rPr>
      </w:pPr>
      <w:bookmarkStart w:id="250" w:name="_Ref530062121"/>
      <w:bookmarkStart w:id="251" w:name="_Toc530673967"/>
      <w:r w:rsidRPr="00A841B4">
        <w:t>Figure</w:t>
      </w:r>
      <w:r w:rsidR="001B5ABA">
        <w:t xml:space="preserve"> </w:t>
      </w:r>
      <w:fldSimple w:instr=" SEQ Figure \* ARABIC ">
        <w:r w:rsidR="00E2070A">
          <w:rPr>
            <w:noProof/>
          </w:rPr>
          <w:t>42</w:t>
        </w:r>
      </w:fldSimple>
      <w:bookmarkEnd w:id="250"/>
      <w:r w:rsidR="001B5ABA">
        <w:t xml:space="preserve">: Continual </w:t>
      </w:r>
      <w:r w:rsidR="007A587E">
        <w:t>OSW-1 compound</w:t>
      </w:r>
      <w:r w:rsidR="001B5ABA">
        <w:t xml:space="preserve"> treatment is cytotoxic but </w:t>
      </w:r>
      <w:r w:rsidR="007A587E">
        <w:t>OSW-1 compound</w:t>
      </w:r>
      <w:r w:rsidR="001B5ABA">
        <w:t xml:space="preserve"> washout cells do not show ORP4 loss similar to OSBP. </w:t>
      </w:r>
      <w:r w:rsidR="001B5ABA">
        <w:rPr>
          <w:b w:val="0"/>
        </w:rPr>
        <w:t>(A)</w:t>
      </w:r>
      <w:r w:rsidR="001B5ABA" w:rsidRPr="005603FF">
        <w:t xml:space="preserve"> </w:t>
      </w:r>
      <w:r w:rsidR="001B5ABA" w:rsidRPr="005603FF">
        <w:rPr>
          <w:b w:val="0"/>
        </w:rPr>
        <w:t>Calcein AM and</w:t>
      </w:r>
      <w:r w:rsidR="001B5ABA">
        <w:rPr>
          <w:b w:val="0"/>
        </w:rPr>
        <w:t xml:space="preserve"> Hoechst 33342 staining of 0-72 hours </w:t>
      </w:r>
      <w:r w:rsidR="001B5ABA" w:rsidRPr="005603FF">
        <w:rPr>
          <w:b w:val="0"/>
        </w:rPr>
        <w:t>of 1 nM OSW-1 or DMSO in HEK293 cells using Operetta High-Content Imaging System</w:t>
      </w:r>
      <w:r w:rsidR="001B5ABA">
        <w:rPr>
          <w:b w:val="0"/>
        </w:rPr>
        <w:t xml:space="preserve"> that shows cytotoxicity in OSW-1 treated cells by 24 hours. (B) Western blot analysis reveals that ORP4 levels do not experience the same change as OSBP during 1 nM OSW-1 washout recovery</w:t>
      </w:r>
      <w:r w:rsidR="00995DD2">
        <w:rPr>
          <w:b w:val="0"/>
        </w:rPr>
        <w:t xml:space="preserve"> (Full blots in </w:t>
      </w:r>
      <w:r w:rsidR="001754F1" w:rsidRPr="001754F1">
        <w:rPr>
          <w:b w:val="0"/>
        </w:rPr>
        <w:fldChar w:fldCharType="begin"/>
      </w:r>
      <w:r w:rsidR="001754F1" w:rsidRPr="001754F1">
        <w:rPr>
          <w:b w:val="0"/>
        </w:rPr>
        <w:instrText xml:space="preserve"> REF _Ref530133830 \h  \* MERGEFORMAT </w:instrText>
      </w:r>
      <w:r w:rsidR="001754F1" w:rsidRPr="001754F1">
        <w:rPr>
          <w:b w:val="0"/>
        </w:rPr>
      </w:r>
      <w:r w:rsidR="001754F1" w:rsidRPr="001754F1">
        <w:rPr>
          <w:b w:val="0"/>
        </w:rPr>
        <w:fldChar w:fldCharType="separate"/>
      </w:r>
      <w:r w:rsidR="00E2070A" w:rsidRPr="00A841B4">
        <w:t>Figure</w:t>
      </w:r>
      <w:r w:rsidR="00E2070A" w:rsidRPr="00E2070A">
        <w:rPr>
          <w:b w:val="0"/>
        </w:rPr>
        <w:t xml:space="preserve"> </w:t>
      </w:r>
      <w:r w:rsidR="00E2070A" w:rsidRPr="00E2070A">
        <w:rPr>
          <w:b w:val="0"/>
          <w:noProof/>
        </w:rPr>
        <w:t>53</w:t>
      </w:r>
      <w:r w:rsidR="001754F1" w:rsidRPr="001754F1">
        <w:rPr>
          <w:b w:val="0"/>
        </w:rPr>
        <w:fldChar w:fldCharType="end"/>
      </w:r>
      <w:r w:rsidR="00995DD2" w:rsidRPr="00995DD2">
        <w:rPr>
          <w:b w:val="0"/>
        </w:rPr>
        <w:t>)</w:t>
      </w:r>
      <w:r w:rsidR="001B5ABA">
        <w:rPr>
          <w:b w:val="0"/>
        </w:rPr>
        <w:t>.</w:t>
      </w:r>
      <w:bookmarkEnd w:id="251"/>
    </w:p>
    <w:p w:rsidR="005E4814" w:rsidRDefault="005E4814" w:rsidP="00FB099D">
      <w:pPr>
        <w:keepNext/>
        <w:jc w:val="both"/>
      </w:pPr>
      <w:r>
        <w:rPr>
          <w:noProof/>
          <w:lang w:bidi="ar-SA"/>
        </w:rPr>
        <w:lastRenderedPageBreak/>
        <w:drawing>
          <wp:inline distT="0" distB="0" distL="0" distR="0" wp14:anchorId="5F3F0F81" wp14:editId="1142BE54">
            <wp:extent cx="3886200" cy="7678552"/>
            <wp:effectExtent l="19050" t="19050" r="19050" b="177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86200" cy="7678552"/>
                    </a:xfrm>
                    <a:prstGeom prst="rect">
                      <a:avLst/>
                    </a:prstGeom>
                    <a:noFill/>
                    <a:ln>
                      <a:solidFill>
                        <a:schemeClr val="tx1"/>
                      </a:solidFill>
                    </a:ln>
                  </pic:spPr>
                </pic:pic>
              </a:graphicData>
            </a:graphic>
          </wp:inline>
        </w:drawing>
      </w:r>
    </w:p>
    <w:p w:rsidR="005E4814" w:rsidRPr="005E4814" w:rsidRDefault="00A841B4" w:rsidP="00FB099D">
      <w:pPr>
        <w:pStyle w:val="Caption"/>
        <w:jc w:val="both"/>
      </w:pPr>
      <w:bookmarkStart w:id="252" w:name="_Ref530136973"/>
      <w:bookmarkStart w:id="253" w:name="_Toc530673968"/>
      <w:r w:rsidRPr="00A841B4">
        <w:t>Figure</w:t>
      </w:r>
      <w:r w:rsidR="005E4814">
        <w:t xml:space="preserve"> </w:t>
      </w:r>
      <w:fldSimple w:instr=" SEQ Figure \* ARABIC ">
        <w:r w:rsidR="00E2070A">
          <w:rPr>
            <w:noProof/>
          </w:rPr>
          <w:t>43</w:t>
        </w:r>
      </w:fldSimple>
      <w:bookmarkEnd w:id="252"/>
      <w:r w:rsidR="005E4814">
        <w:t xml:space="preserve">: Full blots of  </w:t>
      </w:r>
      <w:r w:rsidR="005E4814">
        <w:fldChar w:fldCharType="begin"/>
      </w:r>
      <w:r w:rsidR="005E4814">
        <w:instrText xml:space="preserve"> REF _Ref530053889 \h  \* MERGEFORMAT </w:instrText>
      </w:r>
      <w:r w:rsidR="005E4814">
        <w:fldChar w:fldCharType="separate"/>
      </w:r>
      <w:r w:rsidR="00E2070A" w:rsidRPr="00A841B4">
        <w:t>Figure</w:t>
      </w:r>
      <w:r w:rsidR="00E2070A">
        <w:t xml:space="preserve"> </w:t>
      </w:r>
      <w:r w:rsidR="00E2070A">
        <w:rPr>
          <w:noProof/>
        </w:rPr>
        <w:t>22</w:t>
      </w:r>
      <w:r w:rsidR="005E4814">
        <w:fldChar w:fldCharType="end"/>
      </w:r>
      <w:r w:rsidR="005E4814">
        <w:t>A</w:t>
      </w:r>
      <w:bookmarkEnd w:id="253"/>
    </w:p>
    <w:p w:rsidR="005E4814" w:rsidRDefault="005E4814" w:rsidP="00FB099D">
      <w:pPr>
        <w:pStyle w:val="Caption"/>
        <w:keepNext/>
        <w:jc w:val="both"/>
      </w:pPr>
      <w:r>
        <w:rPr>
          <w:b w:val="0"/>
          <w:noProof/>
          <w:lang w:bidi="ar-SA"/>
        </w:rPr>
        <w:lastRenderedPageBreak/>
        <w:drawing>
          <wp:inline distT="0" distB="0" distL="0" distR="0" wp14:anchorId="488C56A9" wp14:editId="4AE5696F">
            <wp:extent cx="5306182" cy="6972300"/>
            <wp:effectExtent l="19050" t="19050" r="2794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08572" cy="6975441"/>
                    </a:xfrm>
                    <a:prstGeom prst="rect">
                      <a:avLst/>
                    </a:prstGeom>
                    <a:noFill/>
                    <a:ln>
                      <a:solidFill>
                        <a:schemeClr val="tx1"/>
                      </a:solidFill>
                    </a:ln>
                  </pic:spPr>
                </pic:pic>
              </a:graphicData>
            </a:graphic>
          </wp:inline>
        </w:drawing>
      </w:r>
    </w:p>
    <w:p w:rsidR="001B5ABA" w:rsidRDefault="00A841B4" w:rsidP="00FB099D">
      <w:pPr>
        <w:pStyle w:val="Caption"/>
        <w:jc w:val="both"/>
        <w:rPr>
          <w:b w:val="0"/>
        </w:rPr>
      </w:pPr>
      <w:bookmarkStart w:id="254" w:name="_Ref530136974"/>
      <w:bookmarkStart w:id="255" w:name="_Toc530673969"/>
      <w:r w:rsidRPr="00A841B4">
        <w:t>Figure</w:t>
      </w:r>
      <w:r w:rsidR="005E4814">
        <w:t xml:space="preserve"> </w:t>
      </w:r>
      <w:fldSimple w:instr=" SEQ Figure \* ARABIC ">
        <w:r w:rsidR="00E2070A">
          <w:rPr>
            <w:noProof/>
          </w:rPr>
          <w:t>44</w:t>
        </w:r>
      </w:fldSimple>
      <w:bookmarkEnd w:id="254"/>
      <w:r w:rsidR="005E4814">
        <w:t xml:space="preserve">: Full blots of </w:t>
      </w:r>
      <w:r w:rsidR="005E4814">
        <w:fldChar w:fldCharType="begin"/>
      </w:r>
      <w:r w:rsidR="005E4814">
        <w:instrText xml:space="preserve"> REF _Ref530053889 \h </w:instrText>
      </w:r>
      <w:r w:rsidR="001B3703">
        <w:instrText xml:space="preserve"> \* MERGEFORMAT </w:instrText>
      </w:r>
      <w:r w:rsidR="005E4814">
        <w:fldChar w:fldCharType="separate"/>
      </w:r>
      <w:r w:rsidR="00E2070A" w:rsidRPr="00A841B4">
        <w:t>Figure</w:t>
      </w:r>
      <w:r w:rsidR="00E2070A">
        <w:t xml:space="preserve"> </w:t>
      </w:r>
      <w:r w:rsidR="00E2070A">
        <w:rPr>
          <w:noProof/>
        </w:rPr>
        <w:t>22</w:t>
      </w:r>
      <w:r w:rsidR="005E4814">
        <w:fldChar w:fldCharType="end"/>
      </w:r>
      <w:r w:rsidR="005E4814">
        <w:t>B.</w:t>
      </w:r>
      <w:bookmarkEnd w:id="255"/>
    </w:p>
    <w:p w:rsidR="005E4814" w:rsidRDefault="005E4814" w:rsidP="00FB099D">
      <w:pPr>
        <w:keepNext/>
        <w:jc w:val="both"/>
      </w:pPr>
      <w:r>
        <w:rPr>
          <w:noProof/>
          <w:lang w:bidi="ar-SA"/>
        </w:rPr>
        <w:lastRenderedPageBreak/>
        <w:drawing>
          <wp:inline distT="0" distB="0" distL="0" distR="0" wp14:anchorId="5E0AB192" wp14:editId="5B4B1D9B">
            <wp:extent cx="4231005" cy="74441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31005" cy="7444105"/>
                    </a:xfrm>
                    <a:prstGeom prst="rect">
                      <a:avLst/>
                    </a:prstGeom>
                    <a:noFill/>
                  </pic:spPr>
                </pic:pic>
              </a:graphicData>
            </a:graphic>
          </wp:inline>
        </w:drawing>
      </w:r>
    </w:p>
    <w:p w:rsidR="00FC168B" w:rsidRPr="00CA648C" w:rsidRDefault="00A841B4" w:rsidP="00FB099D">
      <w:pPr>
        <w:pStyle w:val="Caption"/>
        <w:jc w:val="both"/>
      </w:pPr>
      <w:bookmarkStart w:id="256" w:name="_Ref530136976"/>
      <w:bookmarkStart w:id="257" w:name="_Toc530673970"/>
      <w:r w:rsidRPr="00A841B4">
        <w:t>Figure</w:t>
      </w:r>
      <w:r w:rsidR="005E4814">
        <w:t xml:space="preserve"> </w:t>
      </w:r>
      <w:fldSimple w:instr=" SEQ Figure \* ARABIC ">
        <w:r w:rsidR="00E2070A">
          <w:rPr>
            <w:noProof/>
          </w:rPr>
          <w:t>45</w:t>
        </w:r>
      </w:fldSimple>
      <w:bookmarkEnd w:id="256"/>
      <w:r w:rsidR="005E4814">
        <w:t xml:space="preserve">: Full blots of </w:t>
      </w:r>
      <w:r w:rsidR="005E4814">
        <w:fldChar w:fldCharType="begin"/>
      </w:r>
      <w:r w:rsidR="005E4814">
        <w:instrText xml:space="preserve"> REF _Ref530053889 \h  \* MERGEFORMAT </w:instrText>
      </w:r>
      <w:r w:rsidR="005E4814">
        <w:fldChar w:fldCharType="separate"/>
      </w:r>
      <w:r w:rsidR="00E2070A" w:rsidRPr="00A841B4">
        <w:t>Figure</w:t>
      </w:r>
      <w:r w:rsidR="00E2070A">
        <w:t xml:space="preserve"> </w:t>
      </w:r>
      <w:r w:rsidR="00E2070A">
        <w:rPr>
          <w:noProof/>
        </w:rPr>
        <w:t>22</w:t>
      </w:r>
      <w:r w:rsidR="005E4814">
        <w:fldChar w:fldCharType="end"/>
      </w:r>
      <w:r w:rsidR="005E4814">
        <w:t>C.</w:t>
      </w:r>
      <w:bookmarkEnd w:id="257"/>
    </w:p>
    <w:p w:rsidR="001B5ABA" w:rsidRDefault="0015171B" w:rsidP="00FB099D">
      <w:pPr>
        <w:jc w:val="both"/>
      </w:pPr>
      <w:r>
        <w:rPr>
          <w:rStyle w:val="Heading1Char"/>
          <w:b w:val="0"/>
          <w:noProof/>
          <w:lang w:bidi="ar-SA"/>
        </w:rPr>
        <w:lastRenderedPageBreak/>
        <w:drawing>
          <wp:anchor distT="0" distB="0" distL="114300" distR="114300" simplePos="0" relativeHeight="251697152" behindDoc="1" locked="0" layoutInCell="1" allowOverlap="1" wp14:anchorId="6BBBAEE7" wp14:editId="1A31CDD4">
            <wp:simplePos x="0" y="0"/>
            <wp:positionH relativeFrom="margin">
              <wp:posOffset>342900</wp:posOffset>
            </wp:positionH>
            <wp:positionV relativeFrom="paragraph">
              <wp:posOffset>414020</wp:posOffset>
            </wp:positionV>
            <wp:extent cx="5347970" cy="5426710"/>
            <wp:effectExtent l="19050" t="19050" r="24130" b="21590"/>
            <wp:wrapTight wrapText="bothSides">
              <wp:wrapPolygon edited="0">
                <wp:start x="-77" y="-76"/>
                <wp:lineTo x="-77" y="21610"/>
                <wp:lineTo x="21621" y="21610"/>
                <wp:lineTo x="21621" y="-76"/>
                <wp:lineTo x="-77" y="-76"/>
              </wp:wrapPolygon>
            </wp:wrapTight>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r="32062"/>
                    <a:stretch/>
                  </pic:blipFill>
                  <pic:spPr bwMode="auto">
                    <a:xfrm>
                      <a:off x="0" y="0"/>
                      <a:ext cx="5347970" cy="542671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01F17" w:rsidRDefault="00A841B4" w:rsidP="00FB099D">
      <w:pPr>
        <w:pStyle w:val="Caption"/>
        <w:jc w:val="both"/>
      </w:pPr>
      <w:bookmarkStart w:id="258" w:name="_Ref530053922"/>
      <w:bookmarkStart w:id="259" w:name="_Toc530673971"/>
      <w:r w:rsidRPr="00A841B4">
        <w:t>Figure</w:t>
      </w:r>
      <w:r w:rsidR="001B5ABA">
        <w:t xml:space="preserve"> </w:t>
      </w:r>
      <w:fldSimple w:instr=" SEQ Figure \* ARABIC ">
        <w:r w:rsidR="00E2070A">
          <w:rPr>
            <w:noProof/>
          </w:rPr>
          <w:t>46</w:t>
        </w:r>
      </w:fldSimple>
      <w:bookmarkEnd w:id="258"/>
      <w:r w:rsidR="001B5ABA">
        <w:t xml:space="preserve">: Sub-nanomolar </w:t>
      </w:r>
      <w:r w:rsidR="007A587E">
        <w:t>OSW-1 compound</w:t>
      </w:r>
      <w:r w:rsidR="001B5ABA">
        <w:t xml:space="preserve"> washout treatments lead to significant OSBP reduction.</w:t>
      </w:r>
      <w:bookmarkEnd w:id="259"/>
    </w:p>
    <w:p w:rsidR="008671EA" w:rsidRDefault="001B5ABA" w:rsidP="00FB099D">
      <w:pPr>
        <w:pStyle w:val="Caption"/>
        <w:jc w:val="both"/>
        <w:rPr>
          <w:b w:val="0"/>
        </w:rPr>
      </w:pPr>
      <w:r>
        <w:rPr>
          <w:b w:val="0"/>
        </w:rPr>
        <w:t xml:space="preserve">Cell lines were treated with the indicated concentration of </w:t>
      </w:r>
      <w:r w:rsidR="007A587E">
        <w:rPr>
          <w:b w:val="0"/>
        </w:rPr>
        <w:t>OSW-1 compound</w:t>
      </w:r>
      <w:r>
        <w:rPr>
          <w:b w:val="0"/>
        </w:rPr>
        <w:t xml:space="preserve"> for 6 hours and then recovered for 24 hours before being analyzed by western blot. Values are mean </w:t>
      </w:r>
      <w:r>
        <w:rPr>
          <w:rFonts w:cstheme="minorHAnsi"/>
          <w:b w:val="0"/>
        </w:rPr>
        <w:t>±</w:t>
      </w:r>
      <w:r>
        <w:rPr>
          <w:b w:val="0"/>
        </w:rPr>
        <w:t xml:space="preserve"> sd (n=3)</w:t>
      </w:r>
      <w:r w:rsidRPr="00CA648C">
        <w:rPr>
          <w:b w:val="0"/>
        </w:rPr>
        <w:t>.</w:t>
      </w:r>
      <w:r>
        <w:rPr>
          <w:b w:val="0"/>
        </w:rPr>
        <w:t xml:space="preserve"> HEK293 results were collected by Mr. </w:t>
      </w:r>
      <w:r w:rsidR="00E87672">
        <w:rPr>
          <w:b w:val="0"/>
        </w:rPr>
        <w:t>Zachary</w:t>
      </w:r>
      <w:r>
        <w:rPr>
          <w:b w:val="0"/>
        </w:rPr>
        <w:t xml:space="preserve"> Severance and HCT116 results were collected by Mr. Ryan </w:t>
      </w:r>
      <w:r w:rsidR="00BE3671">
        <w:rPr>
          <w:b w:val="0"/>
        </w:rPr>
        <w:t>Bensen</w:t>
      </w:r>
      <w:r>
        <w:rPr>
          <w:b w:val="0"/>
        </w:rPr>
        <w:t>.</w:t>
      </w:r>
      <w:r w:rsidR="00995DD2">
        <w:rPr>
          <w:b w:val="0"/>
        </w:rPr>
        <w:t xml:space="preserve"> (Full western blots in</w:t>
      </w:r>
      <w:r w:rsidR="00B267C0">
        <w:rPr>
          <w:b w:val="0"/>
        </w:rPr>
        <w:t xml:space="preserve"> </w:t>
      </w:r>
      <w:r w:rsidR="00B267C0" w:rsidRPr="00B267C0">
        <w:rPr>
          <w:b w:val="0"/>
        </w:rPr>
        <w:fldChar w:fldCharType="begin"/>
      </w:r>
      <w:r w:rsidR="00B267C0" w:rsidRPr="00B267C0">
        <w:rPr>
          <w:b w:val="0"/>
        </w:rPr>
        <w:instrText xml:space="preserve"> REF _Ref530062741 \h  \* MERGEFORMAT </w:instrText>
      </w:r>
      <w:r w:rsidR="00B267C0" w:rsidRPr="00B267C0">
        <w:rPr>
          <w:b w:val="0"/>
        </w:rPr>
      </w:r>
      <w:r w:rsidR="00B267C0" w:rsidRPr="00B267C0">
        <w:rPr>
          <w:b w:val="0"/>
        </w:rPr>
        <w:fldChar w:fldCharType="separate"/>
      </w:r>
      <w:r w:rsidR="00E2070A" w:rsidRPr="00A841B4">
        <w:t>Figure</w:t>
      </w:r>
      <w:r w:rsidR="00E2070A" w:rsidRPr="00E2070A">
        <w:rPr>
          <w:b w:val="0"/>
        </w:rPr>
        <w:t xml:space="preserve"> </w:t>
      </w:r>
      <w:r w:rsidR="00E2070A" w:rsidRPr="00E2070A">
        <w:rPr>
          <w:b w:val="0"/>
          <w:noProof/>
        </w:rPr>
        <w:t>54</w:t>
      </w:r>
      <w:r w:rsidR="00B267C0" w:rsidRPr="00B267C0">
        <w:rPr>
          <w:b w:val="0"/>
        </w:rPr>
        <w:fldChar w:fldCharType="end"/>
      </w:r>
      <w:r w:rsidR="00B267C0">
        <w:rPr>
          <w:b w:val="0"/>
        </w:rPr>
        <w:t>)</w:t>
      </w:r>
    </w:p>
    <w:p w:rsidR="00301F17" w:rsidRDefault="00301F17" w:rsidP="00FB099D">
      <w:pPr>
        <w:keepNext/>
        <w:jc w:val="both"/>
      </w:pPr>
      <w:r>
        <w:rPr>
          <w:noProof/>
          <w:lang w:bidi="ar-SA"/>
        </w:rPr>
        <w:lastRenderedPageBreak/>
        <w:drawing>
          <wp:inline distT="0" distB="0" distL="0" distR="0" wp14:anchorId="03B205E0" wp14:editId="5F981D44">
            <wp:extent cx="5394960" cy="4951022"/>
            <wp:effectExtent l="19050" t="19050" r="15240" b="215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94960" cy="4951022"/>
                    </a:xfrm>
                    <a:prstGeom prst="rect">
                      <a:avLst/>
                    </a:prstGeom>
                    <a:noFill/>
                    <a:ln>
                      <a:solidFill>
                        <a:schemeClr val="tx1"/>
                      </a:solidFill>
                    </a:ln>
                  </pic:spPr>
                </pic:pic>
              </a:graphicData>
            </a:graphic>
          </wp:inline>
        </w:drawing>
      </w:r>
    </w:p>
    <w:p w:rsidR="00301F17" w:rsidRDefault="00A841B4" w:rsidP="00FB099D">
      <w:pPr>
        <w:pStyle w:val="Caption"/>
        <w:jc w:val="both"/>
        <w:rPr>
          <w:b w:val="0"/>
        </w:rPr>
      </w:pPr>
      <w:bookmarkStart w:id="260" w:name="_Ref530222290"/>
      <w:bookmarkStart w:id="261" w:name="_Toc530673972"/>
      <w:r w:rsidRPr="00A841B4">
        <w:t>Figure</w:t>
      </w:r>
      <w:r w:rsidR="00301F17">
        <w:t xml:space="preserve"> </w:t>
      </w:r>
      <w:fldSimple w:instr=" SEQ Figure \* ARABIC ">
        <w:r w:rsidR="00E2070A">
          <w:rPr>
            <w:noProof/>
          </w:rPr>
          <w:t>47</w:t>
        </w:r>
      </w:fldSimple>
      <w:bookmarkEnd w:id="260"/>
      <w:r w:rsidR="00301F17">
        <w:t>: Full Chromatogram of LCMS 100 nM OSW-1 Treatment.</w:t>
      </w:r>
      <w:r w:rsidR="00301F17" w:rsidRPr="00301F17">
        <w:rPr>
          <w:b w:val="0"/>
        </w:rPr>
        <w:t xml:space="preserve">  Chromatogram of Liquid Chromatography Mass Spectrometry (LCMS) quantification of OSW-1 via an internal standard of 50nM deuterated OSW-1 following a 1hr 100nM treatment of OSW-1 with 0 or 24hr recovery.</w:t>
      </w:r>
      <w:bookmarkEnd w:id="261"/>
    </w:p>
    <w:p w:rsidR="00301F17" w:rsidRDefault="00301F17" w:rsidP="00FB099D">
      <w:pPr>
        <w:keepNext/>
        <w:jc w:val="both"/>
      </w:pPr>
      <w:r>
        <w:rPr>
          <w:noProof/>
          <w:lang w:bidi="ar-SA"/>
        </w:rPr>
        <w:lastRenderedPageBreak/>
        <w:drawing>
          <wp:inline distT="0" distB="0" distL="0" distR="0" wp14:anchorId="69A7B110" wp14:editId="61409A36">
            <wp:extent cx="5394960" cy="2681204"/>
            <wp:effectExtent l="19050" t="19050" r="15240" b="2413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94960" cy="2681204"/>
                    </a:xfrm>
                    <a:prstGeom prst="rect">
                      <a:avLst/>
                    </a:prstGeom>
                    <a:noFill/>
                    <a:ln>
                      <a:solidFill>
                        <a:schemeClr val="tx1"/>
                      </a:solidFill>
                    </a:ln>
                  </pic:spPr>
                </pic:pic>
              </a:graphicData>
            </a:graphic>
          </wp:inline>
        </w:drawing>
      </w:r>
    </w:p>
    <w:p w:rsidR="00301F17" w:rsidRDefault="00A841B4" w:rsidP="00FB099D">
      <w:pPr>
        <w:pStyle w:val="Caption"/>
        <w:jc w:val="both"/>
      </w:pPr>
      <w:bookmarkStart w:id="262" w:name="_Ref530222329"/>
      <w:bookmarkStart w:id="263" w:name="_Toc530673973"/>
      <w:r w:rsidRPr="00A841B4">
        <w:t>Figure</w:t>
      </w:r>
      <w:r w:rsidR="00301F17">
        <w:t xml:space="preserve"> </w:t>
      </w:r>
      <w:fldSimple w:instr=" SEQ Figure \* ARABIC ">
        <w:r w:rsidR="00E2070A">
          <w:rPr>
            <w:noProof/>
          </w:rPr>
          <w:t>48</w:t>
        </w:r>
      </w:fldSimple>
      <w:bookmarkEnd w:id="262"/>
      <w:r w:rsidR="00301F17">
        <w:t>: LCMS Limit of Quantification.</w:t>
      </w:r>
      <w:bookmarkEnd w:id="263"/>
    </w:p>
    <w:p w:rsidR="00301F17" w:rsidRDefault="00301F17" w:rsidP="00FB099D">
      <w:pPr>
        <w:pStyle w:val="Caption"/>
        <w:jc w:val="both"/>
        <w:rPr>
          <w:b w:val="0"/>
        </w:rPr>
      </w:pPr>
      <w:r w:rsidRPr="00301F17">
        <w:rPr>
          <w:b w:val="0"/>
        </w:rPr>
        <w:t>Spectra of LCMS 100pM OSW-1 spiked lysate sample for limit of quantification. 100pM OSW-1 signified ~4 fold ratio between signal to noise. Experiment was run in two independent replicates (n=2).</w:t>
      </w:r>
    </w:p>
    <w:p w:rsidR="00301F17" w:rsidRDefault="00301F17" w:rsidP="00FB099D">
      <w:pPr>
        <w:keepNext/>
        <w:jc w:val="both"/>
      </w:pPr>
      <w:r>
        <w:rPr>
          <w:noProof/>
          <w:lang w:bidi="ar-SA"/>
        </w:rPr>
        <w:lastRenderedPageBreak/>
        <w:drawing>
          <wp:inline distT="0" distB="0" distL="0" distR="0" wp14:anchorId="0668FCF0" wp14:editId="04BC2535">
            <wp:extent cx="5394960" cy="5573751"/>
            <wp:effectExtent l="19050" t="19050" r="15240" b="273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94960" cy="5573751"/>
                    </a:xfrm>
                    <a:prstGeom prst="rect">
                      <a:avLst/>
                    </a:prstGeom>
                    <a:noFill/>
                    <a:ln>
                      <a:solidFill>
                        <a:schemeClr val="tx1"/>
                      </a:solidFill>
                    </a:ln>
                  </pic:spPr>
                </pic:pic>
              </a:graphicData>
            </a:graphic>
          </wp:inline>
        </w:drawing>
      </w:r>
    </w:p>
    <w:p w:rsidR="00301F17" w:rsidRPr="00301F17" w:rsidRDefault="00A841B4" w:rsidP="00FB099D">
      <w:pPr>
        <w:pStyle w:val="Caption"/>
        <w:jc w:val="both"/>
      </w:pPr>
      <w:bookmarkStart w:id="264" w:name="_Ref530222359"/>
      <w:bookmarkStart w:id="265" w:name="_Toc530673974"/>
      <w:r w:rsidRPr="00A841B4">
        <w:t>Figure</w:t>
      </w:r>
      <w:r w:rsidR="00301F17">
        <w:t xml:space="preserve"> </w:t>
      </w:r>
      <w:fldSimple w:instr=" SEQ Figure \* ARABIC ">
        <w:r w:rsidR="00E2070A">
          <w:rPr>
            <w:noProof/>
          </w:rPr>
          <w:t>49</w:t>
        </w:r>
      </w:fldSimple>
      <w:bookmarkEnd w:id="264"/>
      <w:r w:rsidR="00301F17">
        <w:t xml:space="preserve">: Full Chromatogram of SCMS 100 nM OSW-1 Treatment. </w:t>
      </w:r>
      <w:r w:rsidR="00301F17" w:rsidRPr="00301F17">
        <w:rPr>
          <w:b w:val="0"/>
        </w:rPr>
        <w:t>Chromatogram of Single Cell Mass Spectrometry (SCMS) quantification of OSW-1 utilizing a constant flow of d-OSW-1. Individual cells were analyzed with the Single-Probe upon detection of the intracellular lipid, phosphatidylcholine, and depicted as specified.</w:t>
      </w:r>
      <w:bookmarkEnd w:id="265"/>
    </w:p>
    <w:p w:rsidR="00301F17" w:rsidRDefault="00301F17" w:rsidP="00FB099D">
      <w:pPr>
        <w:pStyle w:val="Caption"/>
        <w:keepNext/>
        <w:jc w:val="both"/>
      </w:pPr>
      <w:r>
        <w:rPr>
          <w:noProof/>
          <w:lang w:bidi="ar-SA"/>
        </w:rPr>
        <w:lastRenderedPageBreak/>
        <w:drawing>
          <wp:inline distT="0" distB="0" distL="0" distR="0" wp14:anchorId="40EC2790" wp14:editId="3EB699D4">
            <wp:extent cx="5394960" cy="3782111"/>
            <wp:effectExtent l="19050" t="19050" r="15240" b="279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94960" cy="3782111"/>
                    </a:xfrm>
                    <a:prstGeom prst="rect">
                      <a:avLst/>
                    </a:prstGeom>
                    <a:noFill/>
                    <a:ln>
                      <a:solidFill>
                        <a:schemeClr val="tx1"/>
                      </a:solidFill>
                    </a:ln>
                  </pic:spPr>
                </pic:pic>
              </a:graphicData>
            </a:graphic>
          </wp:inline>
        </w:drawing>
      </w:r>
    </w:p>
    <w:p w:rsidR="00301F17" w:rsidRPr="00301F17" w:rsidRDefault="00A841B4" w:rsidP="00FB099D">
      <w:pPr>
        <w:pStyle w:val="Caption"/>
        <w:jc w:val="both"/>
      </w:pPr>
      <w:bookmarkStart w:id="266" w:name="_Ref530222362"/>
      <w:bookmarkStart w:id="267" w:name="_Toc530673975"/>
      <w:r w:rsidRPr="00A841B4">
        <w:t>Figure</w:t>
      </w:r>
      <w:r w:rsidR="00301F17">
        <w:t xml:space="preserve"> </w:t>
      </w:r>
      <w:fldSimple w:instr=" SEQ Figure \* ARABIC ">
        <w:r w:rsidR="00E2070A">
          <w:rPr>
            <w:noProof/>
          </w:rPr>
          <w:t>50</w:t>
        </w:r>
      </w:fldSimple>
      <w:bookmarkEnd w:id="266"/>
      <w:r w:rsidR="00301F17">
        <w:t xml:space="preserve">: </w:t>
      </w:r>
      <w:r w:rsidR="00301F17" w:rsidRPr="00301F17">
        <w:t>Spectra of SCMS at 0 and 24 hr Recovery</w:t>
      </w:r>
      <w:bookmarkEnd w:id="267"/>
    </w:p>
    <w:p w:rsidR="00301F17" w:rsidRPr="00301F17" w:rsidRDefault="00301F17" w:rsidP="00FB099D">
      <w:pPr>
        <w:pStyle w:val="Caption"/>
        <w:jc w:val="both"/>
        <w:rPr>
          <w:b w:val="0"/>
        </w:rPr>
      </w:pPr>
      <w:r w:rsidRPr="00301F17">
        <w:rPr>
          <w:b w:val="0"/>
        </w:rPr>
        <w:t xml:space="preserve">Zoomed out spectra of </w:t>
      </w:r>
      <w:r w:rsidR="00A841B4" w:rsidRPr="00A841B4">
        <w:t>Figure</w:t>
      </w:r>
      <w:r w:rsidRPr="00301F17">
        <w:rPr>
          <w:b w:val="0"/>
        </w:rPr>
        <w:t xml:space="preserve"> 2 Single Cell Mass Spectrometry (SCMS) detecting Phosphatidylserine (PS). PS lipid detection signifies cellular content is being analyzed with either the detection (0hr recovery) or absence (24hr recovery) of OSW-1.</w:t>
      </w:r>
    </w:p>
    <w:p w:rsidR="006521C8" w:rsidRPr="00301F17" w:rsidRDefault="006521C8" w:rsidP="00FB099D">
      <w:pPr>
        <w:spacing w:line="240" w:lineRule="auto"/>
        <w:jc w:val="both"/>
      </w:pPr>
    </w:p>
    <w:p w:rsidR="00712117" w:rsidRDefault="00712117" w:rsidP="00FB099D">
      <w:pPr>
        <w:keepNext/>
        <w:jc w:val="both"/>
      </w:pPr>
    </w:p>
    <w:p w:rsidR="00712117" w:rsidRPr="00712117" w:rsidRDefault="00712117" w:rsidP="00FB099D">
      <w:pPr>
        <w:pStyle w:val="Caption"/>
        <w:jc w:val="both"/>
      </w:pPr>
    </w:p>
    <w:p w:rsidR="001B5ABA" w:rsidRPr="008671EA" w:rsidRDefault="001B5ABA" w:rsidP="00FB099D">
      <w:pPr>
        <w:pStyle w:val="Caption"/>
        <w:jc w:val="both"/>
        <w:rPr>
          <w:b w:val="0"/>
        </w:rPr>
      </w:pPr>
      <w:r w:rsidRPr="00BF0C64">
        <w:rPr>
          <w:noProof/>
          <w:lang w:bidi="ar-SA"/>
        </w:rPr>
        <w:lastRenderedPageBreak/>
        <w:drawing>
          <wp:inline distT="0" distB="0" distL="0" distR="0" wp14:anchorId="7E381DAC" wp14:editId="49D75083">
            <wp:extent cx="2790825" cy="4076700"/>
            <wp:effectExtent l="19050" t="19050" r="28575"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1342" t="7008" r="20833" b="11932"/>
                    <a:stretch/>
                  </pic:blipFill>
                  <pic:spPr bwMode="auto">
                    <a:xfrm>
                      <a:off x="0" y="0"/>
                      <a:ext cx="2791067" cy="407705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B5ABA" w:rsidRPr="00BF0C64" w:rsidRDefault="00A841B4" w:rsidP="00FB099D">
      <w:pPr>
        <w:pStyle w:val="Caption"/>
        <w:jc w:val="both"/>
      </w:pPr>
      <w:bookmarkStart w:id="268" w:name="_Ref530137547"/>
      <w:bookmarkStart w:id="269" w:name="_Toc530673976"/>
      <w:r w:rsidRPr="00A841B4">
        <w:t>Figure</w:t>
      </w:r>
      <w:r w:rsidR="001B5ABA">
        <w:t xml:space="preserve"> </w:t>
      </w:r>
      <w:fldSimple w:instr=" SEQ Figure \* ARABIC ">
        <w:r w:rsidR="00E2070A">
          <w:rPr>
            <w:noProof/>
          </w:rPr>
          <w:t>51</w:t>
        </w:r>
      </w:fldSimple>
      <w:bookmarkEnd w:id="268"/>
      <w:r w:rsidR="001B5ABA">
        <w:t xml:space="preserve">: </w:t>
      </w:r>
      <w:r w:rsidR="001B5ABA" w:rsidRPr="00BF0C64">
        <w:t>Binding curves of OSW-1 to OSBP and ORP4</w:t>
      </w:r>
      <w:bookmarkEnd w:id="269"/>
    </w:p>
    <w:p w:rsidR="001B5ABA" w:rsidRDefault="001B5ABA" w:rsidP="00FB099D">
      <w:pPr>
        <w:pStyle w:val="Caption"/>
        <w:jc w:val="both"/>
        <w:rPr>
          <w:b w:val="0"/>
        </w:rPr>
      </w:pPr>
      <w:r w:rsidRPr="00BF0C64">
        <w:rPr>
          <w:b w:val="0"/>
        </w:rPr>
        <w:t>Representative binding curves for OSW-1 to overexpressed OSBP and ORP4L in HEK293T cells using a competition radioactivity assay against [3H]-25-OHC. Ki values indicated are the average between each replicate. The error comprises of standard deviation between the replic</w:t>
      </w:r>
      <w:r>
        <w:rPr>
          <w:b w:val="0"/>
        </w:rPr>
        <w:t>ates. A minimum of n=2 was used. Work done by Dr. Juan Nu</w:t>
      </w:r>
      <w:r>
        <w:rPr>
          <w:rFonts w:cstheme="minorHAnsi"/>
          <w:b w:val="0"/>
        </w:rPr>
        <w:t>ñ</w:t>
      </w:r>
      <w:r>
        <w:rPr>
          <w:b w:val="0"/>
        </w:rPr>
        <w:t>ez.</w:t>
      </w:r>
    </w:p>
    <w:p w:rsidR="008671EA" w:rsidRPr="008671EA" w:rsidRDefault="008671EA" w:rsidP="00FB099D">
      <w:pPr>
        <w:jc w:val="both"/>
      </w:pPr>
    </w:p>
    <w:p w:rsidR="008671EA" w:rsidRDefault="008671EA" w:rsidP="00FB099D">
      <w:pPr>
        <w:jc w:val="both"/>
      </w:pPr>
    </w:p>
    <w:p w:rsidR="008671EA" w:rsidRPr="008671EA" w:rsidRDefault="0015171B" w:rsidP="00FB099D">
      <w:pPr>
        <w:jc w:val="both"/>
      </w:pPr>
      <w:r>
        <w:rPr>
          <w:noProof/>
          <w:lang w:bidi="ar-SA"/>
        </w:rPr>
        <w:lastRenderedPageBreak/>
        <w:drawing>
          <wp:anchor distT="0" distB="0" distL="114300" distR="114300" simplePos="0" relativeHeight="251709440" behindDoc="1" locked="0" layoutInCell="1" allowOverlap="1" wp14:anchorId="64388356" wp14:editId="67135A99">
            <wp:simplePos x="0" y="0"/>
            <wp:positionH relativeFrom="margin">
              <wp:align>center</wp:align>
            </wp:positionH>
            <wp:positionV relativeFrom="paragraph">
              <wp:posOffset>3138170</wp:posOffset>
            </wp:positionV>
            <wp:extent cx="5356225" cy="2030730"/>
            <wp:effectExtent l="19050" t="19050" r="15875" b="26670"/>
            <wp:wrapTight wrapText="bothSides">
              <wp:wrapPolygon edited="0">
                <wp:start x="-77" y="-203"/>
                <wp:lineTo x="-77" y="21681"/>
                <wp:lineTo x="21587" y="21681"/>
                <wp:lineTo x="21587" y="-203"/>
                <wp:lineTo x="-77" y="-203"/>
              </wp:wrapPolygon>
            </wp:wrapTight>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56225" cy="203073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8671EA">
        <w:rPr>
          <w:noProof/>
          <w:lang w:bidi="ar-SA"/>
        </w:rPr>
        <mc:AlternateContent>
          <mc:Choice Requires="wps">
            <w:drawing>
              <wp:anchor distT="0" distB="0" distL="114300" distR="114300" simplePos="0" relativeHeight="251712512" behindDoc="1" locked="0" layoutInCell="1" allowOverlap="1" wp14:anchorId="6C87900C" wp14:editId="27AE0EDA">
                <wp:simplePos x="0" y="0"/>
                <wp:positionH relativeFrom="column">
                  <wp:posOffset>19050</wp:posOffset>
                </wp:positionH>
                <wp:positionV relativeFrom="paragraph">
                  <wp:posOffset>2629535</wp:posOffset>
                </wp:positionV>
                <wp:extent cx="5391150" cy="635"/>
                <wp:effectExtent l="0" t="0" r="0" b="0"/>
                <wp:wrapTight wrapText="bothSides">
                  <wp:wrapPolygon edited="0">
                    <wp:start x="0" y="0"/>
                    <wp:lineTo x="0" y="21600"/>
                    <wp:lineTo x="21600" y="21600"/>
                    <wp:lineTo x="21600" y="0"/>
                  </wp:wrapPolygon>
                </wp:wrapTight>
                <wp:docPr id="284" name="Text Box 284"/>
                <wp:cNvGraphicFramePr/>
                <a:graphic xmlns:a="http://schemas.openxmlformats.org/drawingml/2006/main">
                  <a:graphicData uri="http://schemas.microsoft.com/office/word/2010/wordprocessingShape">
                    <wps:wsp>
                      <wps:cNvSpPr txBox="1"/>
                      <wps:spPr>
                        <a:xfrm>
                          <a:off x="0" y="0"/>
                          <a:ext cx="5391150" cy="635"/>
                        </a:xfrm>
                        <a:prstGeom prst="rect">
                          <a:avLst/>
                        </a:prstGeom>
                        <a:solidFill>
                          <a:prstClr val="white"/>
                        </a:solidFill>
                        <a:ln>
                          <a:noFill/>
                        </a:ln>
                      </wps:spPr>
                      <wps:txbx>
                        <w:txbxContent>
                          <w:p w:rsidR="00D9132A" w:rsidRPr="006D23C4" w:rsidRDefault="00D9132A" w:rsidP="008671EA">
                            <w:pPr>
                              <w:pStyle w:val="Caption"/>
                              <w:rPr>
                                <w:szCs w:val="24"/>
                              </w:rPr>
                            </w:pPr>
                            <w:bookmarkStart w:id="270" w:name="_Ref530122237"/>
                            <w:bookmarkStart w:id="271" w:name="_Toc530673977"/>
                            <w:r w:rsidRPr="00A841B4">
                              <w:t>Figure</w:t>
                            </w:r>
                            <w:r>
                              <w:t xml:space="preserve"> </w:t>
                            </w:r>
                            <w:fldSimple w:instr=" SEQ Figure \* ARABIC ">
                              <w:r w:rsidR="00E2070A">
                                <w:rPr>
                                  <w:noProof/>
                                </w:rPr>
                                <w:t>52</w:t>
                              </w:r>
                            </w:fldSimple>
                            <w:bookmarkEnd w:id="270"/>
                            <w:r>
                              <w:t xml:space="preserve">: Full western blots of </w:t>
                            </w:r>
                            <w:r>
                              <w:fldChar w:fldCharType="begin"/>
                            </w:r>
                            <w:r>
                              <w:instrText xml:space="preserve"> REF _Ref530058200 \h </w:instrText>
                            </w:r>
                            <w:r>
                              <w:fldChar w:fldCharType="separate"/>
                            </w:r>
                            <w:r w:rsidR="00E2070A" w:rsidRPr="00A841B4">
                              <w:t>Figure</w:t>
                            </w:r>
                            <w:r w:rsidR="00E2070A">
                              <w:t xml:space="preserve"> </w:t>
                            </w:r>
                            <w:r w:rsidR="00E2070A">
                              <w:rPr>
                                <w:noProof/>
                              </w:rPr>
                              <w:t>40</w:t>
                            </w:r>
                            <w:r>
                              <w:fldChar w:fldCharType="end"/>
                            </w:r>
                            <w:r>
                              <w:t>.</w:t>
                            </w:r>
                            <w:bookmarkEnd w:id="2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87900C" id="Text Box 284" o:spid="_x0000_s1030" type="#_x0000_t202" style="position:absolute;left:0;text-align:left;margin-left:1.5pt;margin-top:207.05pt;width:424.5pt;height:.05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" stroked="f">
                <v:textbox style="mso-fit-shape-to-text:t" inset="0,0,0,0">
                  <w:txbxContent>
                    <w:p w:rsidR="00D9132A" w:rsidRPr="006D23C4" w:rsidRDefault="00D9132A" w:rsidP="008671EA">
                      <w:pPr>
                        <w:pStyle w:val="Caption"/>
                        <w:rPr>
                          <w:szCs w:val="24"/>
                        </w:rPr>
                      </w:pPr>
                      <w:bookmarkStart w:id="272" w:name="_Ref530122237"/>
                      <w:bookmarkStart w:id="273" w:name="_Toc530673977"/>
                      <w:r w:rsidRPr="00A841B4">
                        <w:t>Figure</w:t>
                      </w:r>
                      <w:r>
                        <w:t xml:space="preserve"> </w:t>
                      </w:r>
                      <w:fldSimple w:instr=" SEQ Figure \* ARABIC ">
                        <w:r w:rsidR="00E2070A">
                          <w:rPr>
                            <w:noProof/>
                          </w:rPr>
                          <w:t>52</w:t>
                        </w:r>
                      </w:fldSimple>
                      <w:bookmarkEnd w:id="272"/>
                      <w:r>
                        <w:t xml:space="preserve">: Full western blots of </w:t>
                      </w:r>
                      <w:r>
                        <w:fldChar w:fldCharType="begin"/>
                      </w:r>
                      <w:r>
                        <w:instrText xml:space="preserve"> REF _Ref530058200 \h </w:instrText>
                      </w:r>
                      <w:r>
                        <w:fldChar w:fldCharType="separate"/>
                      </w:r>
                      <w:r w:rsidR="00E2070A" w:rsidRPr="00A841B4">
                        <w:t>Figure</w:t>
                      </w:r>
                      <w:r w:rsidR="00E2070A">
                        <w:t xml:space="preserve"> </w:t>
                      </w:r>
                      <w:r w:rsidR="00E2070A">
                        <w:rPr>
                          <w:noProof/>
                        </w:rPr>
                        <w:t>40</w:t>
                      </w:r>
                      <w:r>
                        <w:fldChar w:fldCharType="end"/>
                      </w:r>
                      <w:r>
                        <w:t>.</w:t>
                      </w:r>
                      <w:bookmarkEnd w:id="273"/>
                    </w:p>
                  </w:txbxContent>
                </v:textbox>
                <w10:wrap type="tight"/>
              </v:shape>
            </w:pict>
          </mc:Fallback>
        </mc:AlternateContent>
      </w:r>
      <w:r w:rsidR="008671EA" w:rsidRPr="008671EA">
        <w:rPr>
          <w:noProof/>
          <w:lang w:bidi="ar-SA"/>
        </w:rPr>
        <w:drawing>
          <wp:anchor distT="0" distB="0" distL="114300" distR="114300" simplePos="0" relativeHeight="251706368" behindDoc="1" locked="0" layoutInCell="1" allowOverlap="1" wp14:anchorId="5B7C89A6" wp14:editId="53B997F2">
            <wp:simplePos x="0" y="0"/>
            <wp:positionH relativeFrom="margin">
              <wp:align>left</wp:align>
            </wp:positionH>
            <wp:positionV relativeFrom="paragraph">
              <wp:posOffset>19050</wp:posOffset>
            </wp:positionV>
            <wp:extent cx="5391150" cy="2553335"/>
            <wp:effectExtent l="19050" t="19050" r="19050" b="18415"/>
            <wp:wrapTight wrapText="bothSides">
              <wp:wrapPolygon edited="0">
                <wp:start x="-76" y="-161"/>
                <wp:lineTo x="-76" y="21595"/>
                <wp:lineTo x="21600" y="21595"/>
                <wp:lineTo x="21600" y="-161"/>
                <wp:lineTo x="-76" y="-161"/>
              </wp:wrapPolygon>
            </wp:wrapTight>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38275" r="12613"/>
                    <a:stretch/>
                  </pic:blipFill>
                  <pic:spPr bwMode="auto">
                    <a:xfrm>
                      <a:off x="0" y="0"/>
                      <a:ext cx="5391150" cy="255333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71EA">
        <w:rPr>
          <w:noProof/>
          <w:lang w:bidi="ar-SA"/>
        </w:rPr>
        <mc:AlternateContent>
          <mc:Choice Requires="wps">
            <w:drawing>
              <wp:anchor distT="0" distB="0" distL="114300" distR="114300" simplePos="0" relativeHeight="251714560" behindDoc="1" locked="0" layoutInCell="1" allowOverlap="1" wp14:anchorId="1206F54F" wp14:editId="2FFD9BBC">
                <wp:simplePos x="0" y="0"/>
                <wp:positionH relativeFrom="column">
                  <wp:posOffset>22860</wp:posOffset>
                </wp:positionH>
                <wp:positionV relativeFrom="paragraph">
                  <wp:posOffset>5264150</wp:posOffset>
                </wp:positionV>
                <wp:extent cx="5356225" cy="635"/>
                <wp:effectExtent l="0" t="0" r="0" b="0"/>
                <wp:wrapTight wrapText="bothSides">
                  <wp:wrapPolygon edited="0">
                    <wp:start x="0" y="0"/>
                    <wp:lineTo x="0" y="21600"/>
                    <wp:lineTo x="21600" y="21600"/>
                    <wp:lineTo x="21600" y="0"/>
                  </wp:wrapPolygon>
                </wp:wrapTight>
                <wp:docPr id="285" name="Text Box 285"/>
                <wp:cNvGraphicFramePr/>
                <a:graphic xmlns:a="http://schemas.openxmlformats.org/drawingml/2006/main">
                  <a:graphicData uri="http://schemas.microsoft.com/office/word/2010/wordprocessingShape">
                    <wps:wsp>
                      <wps:cNvSpPr txBox="1"/>
                      <wps:spPr>
                        <a:xfrm>
                          <a:off x="0" y="0"/>
                          <a:ext cx="5356225" cy="635"/>
                        </a:xfrm>
                        <a:prstGeom prst="rect">
                          <a:avLst/>
                        </a:prstGeom>
                        <a:solidFill>
                          <a:prstClr val="white"/>
                        </a:solidFill>
                        <a:ln>
                          <a:noFill/>
                        </a:ln>
                      </wps:spPr>
                      <wps:txbx>
                        <w:txbxContent>
                          <w:p w:rsidR="00D9132A" w:rsidRPr="00B87A0F" w:rsidRDefault="00D9132A" w:rsidP="008671EA">
                            <w:pPr>
                              <w:pStyle w:val="Caption"/>
                              <w:rPr>
                                <w:noProof/>
                                <w:szCs w:val="24"/>
                              </w:rPr>
                            </w:pPr>
                            <w:bookmarkStart w:id="274" w:name="_Ref530133830"/>
                            <w:bookmarkStart w:id="275" w:name="_Toc530673978"/>
                            <w:r w:rsidRPr="00A841B4">
                              <w:t>Figure</w:t>
                            </w:r>
                            <w:r>
                              <w:t xml:space="preserve"> </w:t>
                            </w:r>
                            <w:fldSimple w:instr=" SEQ Figure \* ARABIC ">
                              <w:r w:rsidR="00E2070A">
                                <w:rPr>
                                  <w:noProof/>
                                </w:rPr>
                                <w:t>53</w:t>
                              </w:r>
                            </w:fldSimple>
                            <w:bookmarkEnd w:id="274"/>
                            <w:r>
                              <w:t>:</w:t>
                            </w:r>
                            <w:r w:rsidRPr="008671EA">
                              <w:t xml:space="preserve"> </w:t>
                            </w:r>
                            <w:r>
                              <w:t xml:space="preserve">Full western blots of </w:t>
                            </w:r>
                            <w:r>
                              <w:fldChar w:fldCharType="begin"/>
                            </w:r>
                            <w:r>
                              <w:instrText xml:space="preserve"> REF _Ref530062121 \h </w:instrText>
                            </w:r>
                            <w:r>
                              <w:fldChar w:fldCharType="separate"/>
                            </w:r>
                            <w:r w:rsidR="00E2070A" w:rsidRPr="00A841B4">
                              <w:t>Figure</w:t>
                            </w:r>
                            <w:r w:rsidR="00E2070A">
                              <w:t xml:space="preserve"> </w:t>
                            </w:r>
                            <w:r w:rsidR="00E2070A">
                              <w:rPr>
                                <w:noProof/>
                              </w:rPr>
                              <w:t>42</w:t>
                            </w:r>
                            <w:r>
                              <w:fldChar w:fldCharType="end"/>
                            </w:r>
                            <w:r>
                              <w:t xml:space="preserve">. </w:t>
                            </w:r>
                            <w:r>
                              <w:rPr>
                                <w:b w:val="0"/>
                              </w:rPr>
                              <w:t>(A) HEK293 and (B) HCT116 cells were treated with DMSO, 1 nM Taxol, or 1nM OSW-1 for 6 hours followed by compound washout and recovered for the times indicated before lysis and analysis by western blot.</w:t>
                            </w:r>
                            <w:bookmarkEnd w:id="2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06F54F" id="Text Box 285" o:spid="_x0000_s1031" type="#_x0000_t202" style="position:absolute;left:0;text-align:left;margin-left:1.8pt;margin-top:414.5pt;width:421.75pt;height:.0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" stroked="f">
                <v:textbox style="mso-fit-shape-to-text:t" inset="0,0,0,0">
                  <w:txbxContent>
                    <w:p w:rsidR="00D9132A" w:rsidRPr="00B87A0F" w:rsidRDefault="00D9132A" w:rsidP="008671EA">
                      <w:pPr>
                        <w:pStyle w:val="Caption"/>
                        <w:rPr>
                          <w:noProof/>
                          <w:szCs w:val="24"/>
                        </w:rPr>
                      </w:pPr>
                      <w:bookmarkStart w:id="276" w:name="_Ref530133830"/>
                      <w:bookmarkStart w:id="277" w:name="_Toc530673978"/>
                      <w:r w:rsidRPr="00A841B4">
                        <w:t>Figure</w:t>
                      </w:r>
                      <w:r>
                        <w:t xml:space="preserve"> </w:t>
                      </w:r>
                      <w:fldSimple w:instr=" SEQ Figure \* ARABIC ">
                        <w:r w:rsidR="00E2070A">
                          <w:rPr>
                            <w:noProof/>
                          </w:rPr>
                          <w:t>53</w:t>
                        </w:r>
                      </w:fldSimple>
                      <w:bookmarkEnd w:id="276"/>
                      <w:r>
                        <w:t>:</w:t>
                      </w:r>
                      <w:r w:rsidRPr="008671EA">
                        <w:t xml:space="preserve"> </w:t>
                      </w:r>
                      <w:r>
                        <w:t xml:space="preserve">Full western blots of </w:t>
                      </w:r>
                      <w:r>
                        <w:fldChar w:fldCharType="begin"/>
                      </w:r>
                      <w:r>
                        <w:instrText xml:space="preserve"> REF _Ref530062121 \h </w:instrText>
                      </w:r>
                      <w:r>
                        <w:fldChar w:fldCharType="separate"/>
                      </w:r>
                      <w:r w:rsidR="00E2070A" w:rsidRPr="00A841B4">
                        <w:t>Figure</w:t>
                      </w:r>
                      <w:r w:rsidR="00E2070A">
                        <w:t xml:space="preserve"> </w:t>
                      </w:r>
                      <w:r w:rsidR="00E2070A">
                        <w:rPr>
                          <w:noProof/>
                        </w:rPr>
                        <w:t>42</w:t>
                      </w:r>
                      <w:r>
                        <w:fldChar w:fldCharType="end"/>
                      </w:r>
                      <w:r>
                        <w:t xml:space="preserve">. </w:t>
                      </w:r>
                      <w:r>
                        <w:rPr>
                          <w:b w:val="0"/>
                        </w:rPr>
                        <w:t>(A) HEK293 and (B) HCT116 cells were treated with DMSO, 1 nM Taxol, or 1nM OSW-1 for 6 hours followed by compound washout and recovered for the times indicated before lysis and analysis by western blot.</w:t>
                      </w:r>
                      <w:bookmarkEnd w:id="277"/>
                    </w:p>
                  </w:txbxContent>
                </v:textbox>
                <w10:wrap type="tight"/>
              </v:shape>
            </w:pict>
          </mc:Fallback>
        </mc:AlternateContent>
      </w:r>
      <w:r w:rsidR="008671EA">
        <w:rPr>
          <w:noProof/>
          <w:lang w:bidi="ar-SA"/>
        </w:rPr>
        <mc:AlternateContent>
          <mc:Choice Requires="wps">
            <w:drawing>
              <wp:anchor distT="0" distB="0" distL="114300" distR="114300" simplePos="0" relativeHeight="251710464" behindDoc="1" locked="0" layoutInCell="1" allowOverlap="1" wp14:anchorId="2F4C5271" wp14:editId="1E03760B">
                <wp:simplePos x="0" y="0"/>
                <wp:positionH relativeFrom="column">
                  <wp:posOffset>0</wp:posOffset>
                </wp:positionH>
                <wp:positionV relativeFrom="paragraph">
                  <wp:posOffset>5245100</wp:posOffset>
                </wp:positionV>
                <wp:extent cx="5356225" cy="635"/>
                <wp:effectExtent l="0" t="0" r="0" b="0"/>
                <wp:wrapTight wrapText="bothSides">
                  <wp:wrapPolygon edited="0">
                    <wp:start x="0" y="0"/>
                    <wp:lineTo x="0" y="21600"/>
                    <wp:lineTo x="21600" y="21600"/>
                    <wp:lineTo x="21600" y="0"/>
                  </wp:wrapPolygon>
                </wp:wrapTight>
                <wp:docPr id="276" name="Text Box 276"/>
                <wp:cNvGraphicFramePr/>
                <a:graphic xmlns:a="http://schemas.openxmlformats.org/drawingml/2006/main">
                  <a:graphicData uri="http://schemas.microsoft.com/office/word/2010/wordprocessingShape">
                    <wps:wsp>
                      <wps:cNvSpPr txBox="1"/>
                      <wps:spPr>
                        <a:xfrm>
                          <a:off x="0" y="0"/>
                          <a:ext cx="5356225" cy="635"/>
                        </a:xfrm>
                        <a:prstGeom prst="rect">
                          <a:avLst/>
                        </a:prstGeom>
                        <a:solidFill>
                          <a:prstClr val="white"/>
                        </a:solidFill>
                        <a:ln>
                          <a:noFill/>
                        </a:ln>
                      </wps:spPr>
                      <wps:txbx>
                        <w:txbxContent>
                          <w:p w:rsidR="00D9132A" w:rsidRPr="00995DD2" w:rsidRDefault="00D9132A" w:rsidP="008671EA">
                            <w:pPr>
                              <w:pStyle w:val="Caption"/>
                              <w:rPr>
                                <w:b w:val="0"/>
                                <w:noProof/>
                                <w:sz w:val="28"/>
                              </w:rPr>
                            </w:pPr>
                            <w:bookmarkStart w:id="278" w:name="_Ref530062209"/>
                            <w:r w:rsidRPr="00A841B4">
                              <w:t>Figure</w:t>
                            </w:r>
                            <w:r>
                              <w:t xml:space="preserve"> </w:t>
                            </w:r>
                            <w:bookmarkEnd w:id="278"/>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4C5271" id="Text Box 276" o:spid="_x0000_s1032" type="#_x0000_t202" style="position:absolute;left:0;text-align:left;margin-left:0;margin-top:413pt;width:421.75pt;height:.0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" stroked="f">
                <v:textbox style="mso-fit-shape-to-text:t" inset="0,0,0,0">
                  <w:txbxContent>
                    <w:p w:rsidR="00D9132A" w:rsidRPr="00995DD2" w:rsidRDefault="00D9132A" w:rsidP="008671EA">
                      <w:pPr>
                        <w:pStyle w:val="Caption"/>
                        <w:rPr>
                          <w:b w:val="0"/>
                          <w:noProof/>
                          <w:sz w:val="28"/>
                        </w:rPr>
                      </w:pPr>
                      <w:bookmarkStart w:id="279" w:name="_Ref530062209"/>
                      <w:r w:rsidRPr="00A841B4">
                        <w:t>Figure</w:t>
                      </w:r>
                      <w:r>
                        <w:t xml:space="preserve"> </w:t>
                      </w:r>
                      <w:bookmarkEnd w:id="279"/>
                      <w:r>
                        <w:t xml:space="preserve">: </w:t>
                      </w:r>
                    </w:p>
                  </w:txbxContent>
                </v:textbox>
                <w10:wrap type="tight"/>
              </v:shape>
            </w:pict>
          </mc:Fallback>
        </mc:AlternateContent>
      </w:r>
      <w:r w:rsidR="008671EA" w:rsidRPr="008671EA">
        <w:rPr>
          <w:noProof/>
          <w:lang w:bidi="ar-SA"/>
        </w:rPr>
        <mc:AlternateContent>
          <mc:Choice Requires="wps">
            <w:drawing>
              <wp:anchor distT="0" distB="0" distL="114300" distR="114300" simplePos="0" relativeHeight="251707392" behindDoc="1" locked="0" layoutInCell="1" allowOverlap="1" wp14:anchorId="05D4584B" wp14:editId="3E4BF5FC">
                <wp:simplePos x="0" y="0"/>
                <wp:positionH relativeFrom="margin">
                  <wp:align>right</wp:align>
                </wp:positionH>
                <wp:positionV relativeFrom="paragraph">
                  <wp:posOffset>2635454</wp:posOffset>
                </wp:positionV>
                <wp:extent cx="5391150" cy="635"/>
                <wp:effectExtent l="0" t="0" r="0" b="0"/>
                <wp:wrapTight wrapText="bothSides">
                  <wp:wrapPolygon edited="0">
                    <wp:start x="0" y="0"/>
                    <wp:lineTo x="0" y="18783"/>
                    <wp:lineTo x="21524" y="18783"/>
                    <wp:lineTo x="21524" y="0"/>
                    <wp:lineTo x="0" y="0"/>
                  </wp:wrapPolygon>
                </wp:wrapTight>
                <wp:docPr id="274" name="Text Box 274"/>
                <wp:cNvGraphicFramePr/>
                <a:graphic xmlns:a="http://schemas.openxmlformats.org/drawingml/2006/main">
                  <a:graphicData uri="http://schemas.microsoft.com/office/word/2010/wordprocessingShape">
                    <wps:wsp>
                      <wps:cNvSpPr txBox="1"/>
                      <wps:spPr>
                        <a:xfrm>
                          <a:off x="0" y="0"/>
                          <a:ext cx="5391150" cy="635"/>
                        </a:xfrm>
                        <a:prstGeom prst="rect">
                          <a:avLst/>
                        </a:prstGeom>
                        <a:solidFill>
                          <a:prstClr val="white"/>
                        </a:solidFill>
                        <a:ln>
                          <a:noFill/>
                        </a:ln>
                      </wps:spPr>
                      <wps:txbx>
                        <w:txbxContent>
                          <w:p w:rsidR="00D9132A" w:rsidRPr="00BE1249" w:rsidRDefault="00D9132A" w:rsidP="008671EA">
                            <w:pPr>
                              <w:pStyle w:val="Caption"/>
                              <w:rPr>
                                <w:noProof/>
                                <w:szCs w:val="24"/>
                              </w:rPr>
                            </w:pPr>
                            <w:bookmarkStart w:id="280" w:name="_Ref530058228"/>
                            <w:r w:rsidRPr="00A841B4">
                              <w:t>Figure</w:t>
                            </w:r>
                            <w:r>
                              <w:t xml:space="preserve"> </w:t>
                            </w:r>
                            <w:bookmarkEnd w:id="28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D4584B" id="Text Box 274" o:spid="_x0000_s1033" type="#_x0000_t202" style="position:absolute;left:0;text-align:left;margin-left:373.3pt;margin-top:207.5pt;width:424.5pt;height:.05pt;z-index:-2516090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" stroked="f">
                <v:textbox style="mso-fit-shape-to-text:t" inset="0,0,0,0">
                  <w:txbxContent>
                    <w:p w:rsidR="00D9132A" w:rsidRPr="00BE1249" w:rsidRDefault="00D9132A" w:rsidP="008671EA">
                      <w:pPr>
                        <w:pStyle w:val="Caption"/>
                        <w:rPr>
                          <w:noProof/>
                          <w:szCs w:val="24"/>
                        </w:rPr>
                      </w:pPr>
                      <w:bookmarkStart w:id="281" w:name="_Ref530058228"/>
                      <w:r w:rsidRPr="00A841B4">
                        <w:t>Figure</w:t>
                      </w:r>
                      <w:r>
                        <w:t xml:space="preserve"> </w:t>
                      </w:r>
                      <w:bookmarkEnd w:id="281"/>
                      <w:r>
                        <w:t xml:space="preserve">: </w:t>
                      </w:r>
                    </w:p>
                  </w:txbxContent>
                </v:textbox>
                <w10:wrap type="tight" anchorx="margin"/>
              </v:shape>
            </w:pict>
          </mc:Fallback>
        </mc:AlternateContent>
      </w:r>
    </w:p>
    <w:p w:rsidR="008671EA" w:rsidRDefault="008671EA" w:rsidP="00FB099D">
      <w:pPr>
        <w:keepNext/>
        <w:jc w:val="both"/>
      </w:pPr>
      <w:r>
        <w:rPr>
          <w:noProof/>
          <w:lang w:bidi="ar-SA"/>
        </w:rPr>
        <w:lastRenderedPageBreak/>
        <w:drawing>
          <wp:inline distT="0" distB="0" distL="0" distR="0" wp14:anchorId="03289BFE" wp14:editId="47F511C6">
            <wp:extent cx="3666226" cy="6578600"/>
            <wp:effectExtent l="19050" t="19050" r="10795" b="1270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19805"/>
                    <a:stretch/>
                  </pic:blipFill>
                  <pic:spPr bwMode="auto">
                    <a:xfrm>
                      <a:off x="0" y="0"/>
                      <a:ext cx="3666226" cy="6578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671EA" w:rsidRDefault="00A841B4" w:rsidP="00FB099D">
      <w:pPr>
        <w:pStyle w:val="Caption"/>
        <w:jc w:val="both"/>
      </w:pPr>
      <w:bookmarkStart w:id="282" w:name="_Ref530062741"/>
      <w:bookmarkStart w:id="283" w:name="_Toc530673979"/>
      <w:r w:rsidRPr="00A841B4">
        <w:t>Figure</w:t>
      </w:r>
      <w:r w:rsidR="008671EA">
        <w:t xml:space="preserve"> </w:t>
      </w:r>
      <w:fldSimple w:instr=" SEQ Figure \* ARABIC ">
        <w:r w:rsidR="00E2070A">
          <w:rPr>
            <w:noProof/>
          </w:rPr>
          <w:t>54</w:t>
        </w:r>
      </w:fldSimple>
      <w:bookmarkEnd w:id="282"/>
      <w:r w:rsidR="008671EA">
        <w:t xml:space="preserve">: Full blots of </w:t>
      </w:r>
      <w:r w:rsidR="008671EA">
        <w:fldChar w:fldCharType="begin"/>
      </w:r>
      <w:r w:rsidR="008671EA">
        <w:instrText xml:space="preserve"> REF _Ref530053922 \h </w:instrText>
      </w:r>
      <w:r w:rsidR="001B3703">
        <w:instrText xml:space="preserve"> \* MERGEFORMAT </w:instrText>
      </w:r>
      <w:r w:rsidR="008671EA">
        <w:fldChar w:fldCharType="separate"/>
      </w:r>
      <w:r w:rsidR="00E2070A" w:rsidRPr="00A841B4">
        <w:t>Figure</w:t>
      </w:r>
      <w:r w:rsidR="00E2070A">
        <w:t xml:space="preserve"> </w:t>
      </w:r>
      <w:r w:rsidR="00E2070A">
        <w:rPr>
          <w:noProof/>
        </w:rPr>
        <w:t>46</w:t>
      </w:r>
      <w:bookmarkEnd w:id="283"/>
      <w:r w:rsidR="008671EA">
        <w:fldChar w:fldCharType="end"/>
      </w:r>
    </w:p>
    <w:p w:rsidR="001B5ABA" w:rsidRDefault="001B5ABA" w:rsidP="00FB099D">
      <w:pPr>
        <w:jc w:val="both"/>
      </w:pPr>
    </w:p>
    <w:p w:rsidR="00B267C0" w:rsidRDefault="00B267C0" w:rsidP="00FB099D">
      <w:pPr>
        <w:jc w:val="both"/>
      </w:pPr>
    </w:p>
    <w:p w:rsidR="00B267C0" w:rsidRDefault="00B267C0" w:rsidP="00FB099D">
      <w:pPr>
        <w:jc w:val="both"/>
      </w:pPr>
    </w:p>
    <w:p w:rsidR="008671EA" w:rsidRDefault="008671EA" w:rsidP="00FB099D">
      <w:pPr>
        <w:jc w:val="both"/>
      </w:pPr>
    </w:p>
    <w:p w:rsidR="005F53C5" w:rsidRDefault="008671EA" w:rsidP="00E87672">
      <w:pPr>
        <w:pStyle w:val="Heading1"/>
        <w:rPr>
          <w:rStyle w:val="Heading1Char"/>
          <w:b/>
          <w:bCs/>
        </w:rPr>
      </w:pPr>
      <w:bookmarkStart w:id="284" w:name="_Toc532553182"/>
      <w:r>
        <w:rPr>
          <w:rStyle w:val="Heading1Char"/>
          <w:b/>
          <w:bCs/>
        </w:rPr>
        <w:lastRenderedPageBreak/>
        <w:t>Appendix 2: Chapter 3 Supplemental</w:t>
      </w:r>
      <w:bookmarkEnd w:id="284"/>
    </w:p>
    <w:p w:rsidR="005F53C5" w:rsidRDefault="005F53C5" w:rsidP="00FB099D">
      <w:pPr>
        <w:keepNext/>
        <w:jc w:val="both"/>
      </w:pPr>
      <w:r>
        <w:rPr>
          <w:noProof/>
          <w:lang w:bidi="ar-SA"/>
        </w:rPr>
        <w:drawing>
          <wp:inline distT="0" distB="0" distL="0" distR="0" wp14:anchorId="1FB7C31C" wp14:editId="67C4BC0C">
            <wp:extent cx="5394960" cy="3017054"/>
            <wp:effectExtent l="19050" t="19050" r="15240" b="1206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94960" cy="3017054"/>
                    </a:xfrm>
                    <a:prstGeom prst="rect">
                      <a:avLst/>
                    </a:prstGeom>
                    <a:noFill/>
                    <a:ln>
                      <a:solidFill>
                        <a:schemeClr val="tx1"/>
                      </a:solidFill>
                    </a:ln>
                  </pic:spPr>
                </pic:pic>
              </a:graphicData>
            </a:graphic>
          </wp:inline>
        </w:drawing>
      </w:r>
    </w:p>
    <w:p w:rsidR="005F53C5" w:rsidRPr="00817F5D" w:rsidRDefault="00A841B4" w:rsidP="00FB099D">
      <w:pPr>
        <w:pStyle w:val="Caption"/>
        <w:jc w:val="both"/>
      </w:pPr>
      <w:bookmarkStart w:id="285" w:name="_Ref530225623"/>
      <w:bookmarkStart w:id="286" w:name="_Toc530673980"/>
      <w:r w:rsidRPr="00A841B4">
        <w:t>Figure</w:t>
      </w:r>
      <w:r w:rsidR="005F53C5">
        <w:t xml:space="preserve"> </w:t>
      </w:r>
      <w:fldSimple w:instr=" SEQ Figure \* ARABIC ">
        <w:r w:rsidR="00E2070A">
          <w:rPr>
            <w:noProof/>
          </w:rPr>
          <w:t>55</w:t>
        </w:r>
      </w:fldSimple>
      <w:bookmarkEnd w:id="285"/>
      <w:r w:rsidR="005F53C5">
        <w:t>:Full blots of</w:t>
      </w:r>
      <w:r w:rsidR="00817F5D">
        <w:t xml:space="preserve"> </w:t>
      </w:r>
      <w:r w:rsidR="00817F5D">
        <w:fldChar w:fldCharType="begin"/>
      </w:r>
      <w:r w:rsidR="00817F5D">
        <w:instrText xml:space="preserve"> REF _Ref532556761 \h </w:instrText>
      </w:r>
      <w:r w:rsidR="00817F5D">
        <w:fldChar w:fldCharType="separate"/>
      </w:r>
      <w:r w:rsidR="00E2070A" w:rsidRPr="00A841B4">
        <w:t>Figure</w:t>
      </w:r>
      <w:r w:rsidR="00E2070A">
        <w:t xml:space="preserve"> </w:t>
      </w:r>
      <w:r w:rsidR="00E2070A">
        <w:rPr>
          <w:noProof/>
        </w:rPr>
        <w:t>25</w:t>
      </w:r>
      <w:r w:rsidR="00817F5D">
        <w:fldChar w:fldCharType="end"/>
      </w:r>
      <w:r w:rsidR="005F53C5">
        <w:t xml:space="preserve">. </w:t>
      </w:r>
      <w:r w:rsidR="005F53C5">
        <w:rPr>
          <w:b w:val="0"/>
        </w:rPr>
        <w:t>(A) Co-incubation blots correspond to (A) and (B) washout blots correspond to (B).</w:t>
      </w:r>
      <w:bookmarkEnd w:id="286"/>
    </w:p>
    <w:p w:rsidR="00895AD7" w:rsidRDefault="00895AD7" w:rsidP="00FB099D">
      <w:pPr>
        <w:keepNext/>
        <w:jc w:val="both"/>
      </w:pPr>
      <w:r>
        <w:rPr>
          <w:noProof/>
          <w:lang w:bidi="ar-SA"/>
        </w:rPr>
        <w:lastRenderedPageBreak/>
        <w:drawing>
          <wp:inline distT="0" distB="0" distL="0" distR="0" wp14:anchorId="016EFF04" wp14:editId="1A39EA16">
            <wp:extent cx="4572000" cy="7683652"/>
            <wp:effectExtent l="19050" t="19050" r="19050"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2000" cy="7683652"/>
                    </a:xfrm>
                    <a:prstGeom prst="rect">
                      <a:avLst/>
                    </a:prstGeom>
                    <a:noFill/>
                    <a:ln>
                      <a:solidFill>
                        <a:schemeClr val="tx1"/>
                      </a:solidFill>
                    </a:ln>
                  </pic:spPr>
                </pic:pic>
              </a:graphicData>
            </a:graphic>
          </wp:inline>
        </w:drawing>
      </w:r>
    </w:p>
    <w:p w:rsidR="00294E65" w:rsidRDefault="00A841B4" w:rsidP="00FB099D">
      <w:pPr>
        <w:pStyle w:val="Caption"/>
        <w:jc w:val="both"/>
      </w:pPr>
      <w:bookmarkStart w:id="287" w:name="_Ref530226798"/>
      <w:bookmarkStart w:id="288" w:name="_Toc530673981"/>
      <w:r w:rsidRPr="00A841B4">
        <w:t>Figure</w:t>
      </w:r>
      <w:r w:rsidR="00895AD7">
        <w:t xml:space="preserve"> </w:t>
      </w:r>
      <w:fldSimple w:instr=" SEQ Figure \* ARABIC ">
        <w:r w:rsidR="00E2070A">
          <w:rPr>
            <w:noProof/>
          </w:rPr>
          <w:t>56</w:t>
        </w:r>
      </w:fldSimple>
      <w:bookmarkEnd w:id="287"/>
      <w:r w:rsidR="00895AD7">
        <w:t xml:space="preserve">:Full blots of LC3A/B from </w:t>
      </w:r>
      <w:r w:rsidR="00895AD7">
        <w:fldChar w:fldCharType="begin"/>
      </w:r>
      <w:r w:rsidR="00895AD7">
        <w:instrText xml:space="preserve"> REF _Ref530225978 \h  \* MERGEFORMAT </w:instrText>
      </w:r>
      <w:r w:rsidR="00895AD7">
        <w:fldChar w:fldCharType="separate"/>
      </w:r>
      <w:r w:rsidR="00E2070A" w:rsidRPr="00A841B4">
        <w:t>Figure</w:t>
      </w:r>
      <w:r w:rsidR="00E2070A">
        <w:t xml:space="preserve"> </w:t>
      </w:r>
      <w:r w:rsidR="00E2070A">
        <w:rPr>
          <w:noProof/>
        </w:rPr>
        <w:t>26</w:t>
      </w:r>
      <w:bookmarkEnd w:id="288"/>
      <w:r w:rsidR="00895AD7">
        <w:fldChar w:fldCharType="end"/>
      </w:r>
    </w:p>
    <w:p w:rsidR="00895AD7" w:rsidRDefault="00895AD7" w:rsidP="00FB099D">
      <w:pPr>
        <w:keepNext/>
        <w:jc w:val="both"/>
      </w:pPr>
      <w:r>
        <w:rPr>
          <w:noProof/>
          <w:lang w:bidi="ar-SA"/>
        </w:rPr>
        <w:lastRenderedPageBreak/>
        <w:drawing>
          <wp:inline distT="0" distB="0" distL="0" distR="0" wp14:anchorId="3AD61939" wp14:editId="42926CC5">
            <wp:extent cx="4572000" cy="7747145"/>
            <wp:effectExtent l="19050" t="19050" r="19050" b="2540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72000" cy="7747145"/>
                    </a:xfrm>
                    <a:prstGeom prst="rect">
                      <a:avLst/>
                    </a:prstGeom>
                    <a:noFill/>
                    <a:ln>
                      <a:solidFill>
                        <a:schemeClr val="tx1"/>
                      </a:solidFill>
                    </a:ln>
                  </pic:spPr>
                </pic:pic>
              </a:graphicData>
            </a:graphic>
          </wp:inline>
        </w:drawing>
      </w:r>
    </w:p>
    <w:p w:rsidR="00895AD7" w:rsidRDefault="00A841B4" w:rsidP="00FB099D">
      <w:pPr>
        <w:pStyle w:val="Caption"/>
        <w:jc w:val="both"/>
      </w:pPr>
      <w:bookmarkStart w:id="289" w:name="_Ref530226799"/>
      <w:bookmarkStart w:id="290" w:name="_Toc530673982"/>
      <w:r w:rsidRPr="00A841B4">
        <w:t>Figure</w:t>
      </w:r>
      <w:r w:rsidR="00895AD7">
        <w:t xml:space="preserve"> </w:t>
      </w:r>
      <w:fldSimple w:instr=" SEQ Figure \* ARABIC ">
        <w:r w:rsidR="00E2070A">
          <w:rPr>
            <w:noProof/>
          </w:rPr>
          <w:t>57</w:t>
        </w:r>
      </w:fldSimple>
      <w:bookmarkEnd w:id="289"/>
      <w:r w:rsidR="00895AD7">
        <w:t xml:space="preserve">: Full blots of p62 from </w:t>
      </w:r>
      <w:r w:rsidR="00895AD7">
        <w:fldChar w:fldCharType="begin"/>
      </w:r>
      <w:r w:rsidR="00895AD7">
        <w:instrText xml:space="preserve"> REF _Ref530225978 \h </w:instrText>
      </w:r>
      <w:r w:rsidR="001B3703">
        <w:instrText xml:space="preserve"> \* MERGEFORMAT </w:instrText>
      </w:r>
      <w:r w:rsidR="00895AD7">
        <w:fldChar w:fldCharType="separate"/>
      </w:r>
      <w:r w:rsidR="00E2070A" w:rsidRPr="00A841B4">
        <w:t>Figure</w:t>
      </w:r>
      <w:r w:rsidR="00E2070A">
        <w:t xml:space="preserve"> </w:t>
      </w:r>
      <w:r w:rsidR="00E2070A">
        <w:rPr>
          <w:noProof/>
        </w:rPr>
        <w:t>26</w:t>
      </w:r>
      <w:bookmarkEnd w:id="290"/>
      <w:r w:rsidR="00895AD7">
        <w:fldChar w:fldCharType="end"/>
      </w:r>
    </w:p>
    <w:p w:rsidR="00895AD7" w:rsidRDefault="00895AD7" w:rsidP="00FB099D">
      <w:pPr>
        <w:keepNext/>
        <w:jc w:val="both"/>
      </w:pPr>
      <w:r>
        <w:rPr>
          <w:noProof/>
          <w:lang w:bidi="ar-SA"/>
        </w:rPr>
        <w:lastRenderedPageBreak/>
        <w:drawing>
          <wp:inline distT="0" distB="0" distL="0" distR="0" wp14:anchorId="0663A79F" wp14:editId="38224160">
            <wp:extent cx="5394960" cy="3693435"/>
            <wp:effectExtent l="19050" t="19050" r="15240" b="215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94960" cy="3693435"/>
                    </a:xfrm>
                    <a:prstGeom prst="rect">
                      <a:avLst/>
                    </a:prstGeom>
                    <a:noFill/>
                    <a:ln>
                      <a:solidFill>
                        <a:schemeClr val="tx1"/>
                      </a:solidFill>
                    </a:ln>
                  </pic:spPr>
                </pic:pic>
              </a:graphicData>
            </a:graphic>
          </wp:inline>
        </w:drawing>
      </w:r>
    </w:p>
    <w:p w:rsidR="00895AD7" w:rsidRPr="00895AD7" w:rsidRDefault="00A841B4" w:rsidP="00FB099D">
      <w:pPr>
        <w:pStyle w:val="Caption"/>
        <w:jc w:val="both"/>
      </w:pPr>
      <w:bookmarkStart w:id="291" w:name="_Ref530226800"/>
      <w:bookmarkStart w:id="292" w:name="_Toc530673983"/>
      <w:r w:rsidRPr="00A841B4">
        <w:t>Figure</w:t>
      </w:r>
      <w:r w:rsidR="00895AD7">
        <w:t xml:space="preserve"> </w:t>
      </w:r>
      <w:fldSimple w:instr=" SEQ Figure \* ARABIC ">
        <w:r w:rsidR="00E2070A">
          <w:rPr>
            <w:noProof/>
          </w:rPr>
          <w:t>58</w:t>
        </w:r>
      </w:fldSimple>
      <w:bookmarkEnd w:id="291"/>
      <w:r w:rsidR="00895AD7">
        <w:t xml:space="preserve">:Full OSBP blot from </w:t>
      </w:r>
      <w:r w:rsidR="00895AD7">
        <w:fldChar w:fldCharType="begin"/>
      </w:r>
      <w:r w:rsidR="00895AD7">
        <w:instrText xml:space="preserve"> REF _Ref530225978 \h </w:instrText>
      </w:r>
      <w:r w:rsidR="001B3703">
        <w:instrText xml:space="preserve"> \* MERGEFORMAT </w:instrText>
      </w:r>
      <w:r w:rsidR="00895AD7">
        <w:fldChar w:fldCharType="separate"/>
      </w:r>
      <w:r w:rsidR="00E2070A" w:rsidRPr="00A841B4">
        <w:t>Figure</w:t>
      </w:r>
      <w:r w:rsidR="00E2070A">
        <w:t xml:space="preserve"> </w:t>
      </w:r>
      <w:r w:rsidR="00E2070A">
        <w:rPr>
          <w:noProof/>
        </w:rPr>
        <w:t>26</w:t>
      </w:r>
      <w:bookmarkEnd w:id="292"/>
      <w:r w:rsidR="00895AD7">
        <w:fldChar w:fldCharType="end"/>
      </w:r>
    </w:p>
    <w:p w:rsidR="001B5ABA" w:rsidRDefault="009C06FB" w:rsidP="00FB099D">
      <w:pPr>
        <w:jc w:val="both"/>
      </w:pPr>
      <w:r w:rsidRPr="00C750DE">
        <w:rPr>
          <w:noProof/>
          <w:lang w:bidi="ar-SA"/>
        </w:rPr>
        <w:lastRenderedPageBreak/>
        <w:drawing>
          <wp:inline distT="0" distB="0" distL="0" distR="0" wp14:anchorId="1532C5B6" wp14:editId="57D795AE">
            <wp:extent cx="3338423" cy="5419708"/>
            <wp:effectExtent l="19050" t="19050" r="14605" b="1016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extLst>
                        <a:ext uri="{28A0092B-C50C-407E-A947-70E740481C1C}">
                          <a14:useLocalDpi xmlns:a14="http://schemas.microsoft.com/office/drawing/2010/main" val="0"/>
                        </a:ext>
                      </a:extLst>
                    </a:blip>
                    <a:srcRect l="15586" t="8207" r="17284" b="2640"/>
                    <a:stretch/>
                  </pic:blipFill>
                  <pic:spPr bwMode="auto">
                    <a:xfrm>
                      <a:off x="0" y="0"/>
                      <a:ext cx="3366790" cy="54657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B5ABA" w:rsidRDefault="00A841B4" w:rsidP="00FB099D">
      <w:pPr>
        <w:pStyle w:val="Caption"/>
        <w:jc w:val="both"/>
        <w:rPr>
          <w:b w:val="0"/>
        </w:rPr>
      </w:pPr>
      <w:bookmarkStart w:id="293" w:name="_Ref530070347"/>
      <w:bookmarkStart w:id="294" w:name="_Toc530673984"/>
      <w:r w:rsidRPr="00A841B4">
        <w:t>Figure</w:t>
      </w:r>
      <w:r w:rsidR="001B5ABA">
        <w:t xml:space="preserve"> </w:t>
      </w:r>
      <w:fldSimple w:instr=" SEQ Figure \* ARABIC ">
        <w:r w:rsidR="00E2070A">
          <w:rPr>
            <w:noProof/>
          </w:rPr>
          <w:t>59</w:t>
        </w:r>
      </w:fldSimple>
      <w:bookmarkEnd w:id="293"/>
      <w:r w:rsidR="001B5ABA">
        <w:t xml:space="preserve">: Cell splitting and cell density do not recover OSBP. </w:t>
      </w:r>
      <w:r w:rsidR="001B5ABA">
        <w:rPr>
          <w:b w:val="0"/>
        </w:rPr>
        <w:t xml:space="preserve">HEK293 cells were treated with 1nM OSW-1 for 6 hours and then washed out. Following washout cells were split and then diluted as indicated and recovered for 24 hours before lysis. Results are mean </w:t>
      </w:r>
      <w:r w:rsidR="001B5ABA">
        <w:rPr>
          <w:rFonts w:cstheme="minorHAnsi"/>
          <w:b w:val="0"/>
        </w:rPr>
        <w:t xml:space="preserve">± sd </w:t>
      </w:r>
      <w:r w:rsidR="001B5ABA">
        <w:rPr>
          <w:b w:val="0"/>
        </w:rPr>
        <w:t>(n=3).</w:t>
      </w:r>
      <w:r w:rsidR="001B2C37">
        <w:rPr>
          <w:b w:val="0"/>
        </w:rPr>
        <w:t xml:space="preserve"> (Full blot in </w:t>
      </w:r>
      <w:r w:rsidR="001B2C37" w:rsidRPr="001B2C37">
        <w:rPr>
          <w:b w:val="0"/>
        </w:rPr>
        <w:fldChar w:fldCharType="begin"/>
      </w:r>
      <w:r w:rsidR="001B2C37" w:rsidRPr="001B2C37">
        <w:rPr>
          <w:b w:val="0"/>
        </w:rPr>
        <w:instrText xml:space="preserve"> REF _Ref530070321 \h  \* MERGEFORMAT </w:instrText>
      </w:r>
      <w:r w:rsidR="001B2C37" w:rsidRPr="001B2C37">
        <w:rPr>
          <w:b w:val="0"/>
        </w:rPr>
      </w:r>
      <w:r w:rsidR="001B2C37" w:rsidRPr="001B2C37">
        <w:rPr>
          <w:b w:val="0"/>
        </w:rPr>
        <w:fldChar w:fldCharType="separate"/>
      </w:r>
      <w:r w:rsidR="00E2070A" w:rsidRPr="00A841B4">
        <w:t>Figure</w:t>
      </w:r>
      <w:r w:rsidR="00E2070A" w:rsidRPr="00E2070A">
        <w:rPr>
          <w:b w:val="0"/>
        </w:rPr>
        <w:t xml:space="preserve"> </w:t>
      </w:r>
      <w:r w:rsidR="00E2070A" w:rsidRPr="00E2070A">
        <w:rPr>
          <w:b w:val="0"/>
          <w:noProof/>
        </w:rPr>
        <w:t>62</w:t>
      </w:r>
      <w:r w:rsidR="001B2C37" w:rsidRPr="001B2C37">
        <w:rPr>
          <w:b w:val="0"/>
        </w:rPr>
        <w:fldChar w:fldCharType="end"/>
      </w:r>
      <w:r w:rsidR="001B2C37">
        <w:rPr>
          <w:b w:val="0"/>
        </w:rPr>
        <w:t>)</w:t>
      </w:r>
      <w:bookmarkEnd w:id="294"/>
    </w:p>
    <w:p w:rsidR="00895AD7" w:rsidRDefault="00895AD7" w:rsidP="00FB099D">
      <w:pPr>
        <w:keepNext/>
        <w:jc w:val="both"/>
      </w:pPr>
      <w:r>
        <w:rPr>
          <w:noProof/>
          <w:lang w:bidi="ar-SA"/>
        </w:rPr>
        <w:lastRenderedPageBreak/>
        <w:drawing>
          <wp:inline distT="0" distB="0" distL="0" distR="0" wp14:anchorId="049627C1" wp14:editId="0F7FCE0A">
            <wp:extent cx="5394960" cy="4222074"/>
            <wp:effectExtent l="19050" t="19050" r="15240" b="266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r="4538"/>
                    <a:stretch/>
                  </pic:blipFill>
                  <pic:spPr bwMode="auto">
                    <a:xfrm>
                      <a:off x="0" y="0"/>
                      <a:ext cx="5394960" cy="422207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95AD7" w:rsidRPr="00895AD7" w:rsidRDefault="00A841B4" w:rsidP="00FB099D">
      <w:pPr>
        <w:pStyle w:val="Caption"/>
        <w:jc w:val="both"/>
      </w:pPr>
      <w:bookmarkStart w:id="295" w:name="_Ref530245094"/>
      <w:bookmarkStart w:id="296" w:name="_Toc530673985"/>
      <w:r w:rsidRPr="00A841B4">
        <w:t>Figure</w:t>
      </w:r>
      <w:r w:rsidR="00895AD7">
        <w:t xml:space="preserve"> </w:t>
      </w:r>
      <w:fldSimple w:instr=" SEQ Figure \* ARABIC ">
        <w:r w:rsidR="00E2070A">
          <w:rPr>
            <w:noProof/>
          </w:rPr>
          <w:t>60</w:t>
        </w:r>
      </w:fldSimple>
      <w:bookmarkEnd w:id="295"/>
      <w:r w:rsidR="00895AD7">
        <w:t xml:space="preserve">: Full blots of </w:t>
      </w:r>
      <w:r w:rsidR="00895AD7">
        <w:fldChar w:fldCharType="begin"/>
      </w:r>
      <w:r w:rsidR="00895AD7">
        <w:instrText xml:space="preserve"> REF _Ref530226858 \h </w:instrText>
      </w:r>
      <w:r w:rsidR="001B3703">
        <w:instrText xml:space="preserve"> \* MERGEFORMAT </w:instrText>
      </w:r>
      <w:r w:rsidR="00895AD7">
        <w:fldChar w:fldCharType="separate"/>
      </w:r>
      <w:r w:rsidR="00E2070A" w:rsidRPr="00A841B4">
        <w:t>Figure</w:t>
      </w:r>
      <w:r w:rsidR="00E2070A">
        <w:t xml:space="preserve"> </w:t>
      </w:r>
      <w:r w:rsidR="00E2070A">
        <w:rPr>
          <w:noProof/>
        </w:rPr>
        <w:t>27</w:t>
      </w:r>
      <w:bookmarkEnd w:id="296"/>
      <w:r w:rsidR="00895AD7">
        <w:fldChar w:fldCharType="end"/>
      </w:r>
    </w:p>
    <w:p w:rsidR="001B5ABA" w:rsidRDefault="001B5ABA" w:rsidP="00FB099D">
      <w:pPr>
        <w:jc w:val="both"/>
      </w:pPr>
      <w:r w:rsidRPr="0049250B">
        <w:rPr>
          <w:noProof/>
          <w:lang w:bidi="ar-SA"/>
        </w:rPr>
        <w:lastRenderedPageBreak/>
        <w:drawing>
          <wp:inline distT="0" distB="0" distL="0" distR="0" wp14:anchorId="35100E94" wp14:editId="440C1F67">
            <wp:extent cx="4115157" cy="5029636"/>
            <wp:effectExtent l="19050" t="19050" r="1905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4115157" cy="5029636"/>
                    </a:xfrm>
                    <a:prstGeom prst="rect">
                      <a:avLst/>
                    </a:prstGeom>
                    <a:ln>
                      <a:solidFill>
                        <a:schemeClr val="tx1"/>
                      </a:solidFill>
                    </a:ln>
                  </pic:spPr>
                </pic:pic>
              </a:graphicData>
            </a:graphic>
          </wp:inline>
        </w:drawing>
      </w:r>
    </w:p>
    <w:p w:rsidR="001B5ABA" w:rsidRDefault="00A841B4" w:rsidP="00FB099D">
      <w:pPr>
        <w:pStyle w:val="Caption"/>
        <w:jc w:val="both"/>
        <w:rPr>
          <w:b w:val="0"/>
        </w:rPr>
      </w:pPr>
      <w:bookmarkStart w:id="297" w:name="_Ref530072335"/>
      <w:bookmarkStart w:id="298" w:name="_Toc530673986"/>
      <w:r w:rsidRPr="00A841B4">
        <w:t>Figure</w:t>
      </w:r>
      <w:r w:rsidR="001B5ABA">
        <w:t xml:space="preserve"> </w:t>
      </w:r>
      <w:fldSimple w:instr=" SEQ Figure \* ARABIC ">
        <w:r w:rsidR="00E2070A">
          <w:rPr>
            <w:noProof/>
          </w:rPr>
          <w:t>61</w:t>
        </w:r>
      </w:fldSimple>
      <w:bookmarkEnd w:id="297"/>
      <w:r w:rsidR="001B5ABA">
        <w:t xml:space="preserve">: OSBP and ORP4 are long lived proteins. </w:t>
      </w:r>
      <w:r w:rsidR="001B5ABA">
        <w:rPr>
          <w:b w:val="0"/>
        </w:rPr>
        <w:t xml:space="preserve">(A) OSBP levels in HEK293 and (B) ORP4 levels in HCT116 show that the half-life of OSBP is over 24 hours. 178 </w:t>
      </w:r>
      <w:r w:rsidR="001B5ABA">
        <w:rPr>
          <w:rFonts w:ascii="Calibri" w:hAnsi="Calibri" w:cs="Calibri"/>
          <w:b w:val="0"/>
        </w:rPr>
        <w:t>µ</w:t>
      </w:r>
      <w:r w:rsidR="001B5ABA">
        <w:rPr>
          <w:b w:val="0"/>
        </w:rPr>
        <w:t xml:space="preserve">M Cycoloheximide (CHX) was used throughout the experiment. Results are mean </w:t>
      </w:r>
      <w:r w:rsidR="001B5ABA">
        <w:rPr>
          <w:rFonts w:cstheme="minorHAnsi"/>
          <w:b w:val="0"/>
        </w:rPr>
        <w:t>±</w:t>
      </w:r>
      <w:r w:rsidR="001B5ABA">
        <w:rPr>
          <w:b w:val="0"/>
        </w:rPr>
        <w:t xml:space="preserve"> sd (n=3).</w:t>
      </w:r>
      <w:r w:rsidR="002A0D94">
        <w:rPr>
          <w:b w:val="0"/>
        </w:rPr>
        <w:t xml:space="preserve"> (Full blots in</w:t>
      </w:r>
      <w:r w:rsidR="00BD5F5B">
        <w:rPr>
          <w:b w:val="0"/>
        </w:rPr>
        <w:t xml:space="preserve"> </w:t>
      </w:r>
      <w:r w:rsidR="00BD5F5B" w:rsidRPr="00BD5F5B">
        <w:rPr>
          <w:b w:val="0"/>
        </w:rPr>
        <w:fldChar w:fldCharType="begin"/>
      </w:r>
      <w:r w:rsidR="00BD5F5B" w:rsidRPr="00BD5F5B">
        <w:rPr>
          <w:b w:val="0"/>
        </w:rPr>
        <w:instrText xml:space="preserve"> REF _Ref530125198 \h  \* MERGEFORMAT </w:instrText>
      </w:r>
      <w:r w:rsidR="00BD5F5B" w:rsidRPr="00BD5F5B">
        <w:rPr>
          <w:b w:val="0"/>
        </w:rPr>
      </w:r>
      <w:r w:rsidR="00BD5F5B" w:rsidRPr="00BD5F5B">
        <w:rPr>
          <w:b w:val="0"/>
        </w:rPr>
        <w:fldChar w:fldCharType="separate"/>
      </w:r>
      <w:r w:rsidR="00E2070A" w:rsidRPr="00A841B4">
        <w:t>Figure</w:t>
      </w:r>
      <w:r w:rsidR="00E2070A" w:rsidRPr="00E2070A">
        <w:rPr>
          <w:b w:val="0"/>
        </w:rPr>
        <w:t xml:space="preserve"> </w:t>
      </w:r>
      <w:r w:rsidR="00E2070A" w:rsidRPr="00E2070A">
        <w:rPr>
          <w:b w:val="0"/>
          <w:noProof/>
        </w:rPr>
        <w:t>63</w:t>
      </w:r>
      <w:r w:rsidR="00BD5F5B" w:rsidRPr="00BD5F5B">
        <w:rPr>
          <w:b w:val="0"/>
        </w:rPr>
        <w:fldChar w:fldCharType="end"/>
      </w:r>
      <w:r w:rsidR="002A0D94">
        <w:rPr>
          <w:b w:val="0"/>
        </w:rPr>
        <w:t>)</w:t>
      </w:r>
      <w:bookmarkEnd w:id="298"/>
    </w:p>
    <w:p w:rsidR="008671EA" w:rsidRPr="002A0D94" w:rsidRDefault="008671EA" w:rsidP="00FB099D">
      <w:pPr>
        <w:jc w:val="both"/>
      </w:pPr>
      <w:r>
        <w:rPr>
          <w:noProof/>
          <w:lang w:bidi="ar-SA"/>
        </w:rPr>
        <w:lastRenderedPageBreak/>
        <mc:AlternateContent>
          <mc:Choice Requires="wps">
            <w:drawing>
              <wp:anchor distT="0" distB="0" distL="114300" distR="114300" simplePos="0" relativeHeight="251717632" behindDoc="1" locked="0" layoutInCell="1" allowOverlap="1" wp14:anchorId="201D91E1" wp14:editId="297227F3">
                <wp:simplePos x="0" y="0"/>
                <wp:positionH relativeFrom="column">
                  <wp:posOffset>220980</wp:posOffset>
                </wp:positionH>
                <wp:positionV relativeFrom="paragraph">
                  <wp:posOffset>5161280</wp:posOffset>
                </wp:positionV>
                <wp:extent cx="4951095" cy="635"/>
                <wp:effectExtent l="0" t="0" r="0" b="0"/>
                <wp:wrapTight wrapText="bothSides">
                  <wp:wrapPolygon edited="0">
                    <wp:start x="0" y="0"/>
                    <wp:lineTo x="0" y="21600"/>
                    <wp:lineTo x="21600" y="21600"/>
                    <wp:lineTo x="21600" y="0"/>
                  </wp:wrapPolygon>
                </wp:wrapTight>
                <wp:docPr id="280" name="Text Box 280"/>
                <wp:cNvGraphicFramePr/>
                <a:graphic xmlns:a="http://schemas.openxmlformats.org/drawingml/2006/main">
                  <a:graphicData uri="http://schemas.microsoft.com/office/word/2010/wordprocessingShape">
                    <wps:wsp>
                      <wps:cNvSpPr txBox="1"/>
                      <wps:spPr>
                        <a:xfrm>
                          <a:off x="0" y="0"/>
                          <a:ext cx="4951095" cy="635"/>
                        </a:xfrm>
                        <a:prstGeom prst="rect">
                          <a:avLst/>
                        </a:prstGeom>
                        <a:solidFill>
                          <a:prstClr val="white"/>
                        </a:solidFill>
                        <a:ln>
                          <a:noFill/>
                        </a:ln>
                      </wps:spPr>
                      <wps:txbx>
                        <w:txbxContent>
                          <w:p w:rsidR="00D9132A" w:rsidRPr="00F811A5" w:rsidRDefault="00D9132A" w:rsidP="008671EA">
                            <w:pPr>
                              <w:pStyle w:val="Caption"/>
                              <w:rPr>
                                <w:noProof/>
                                <w:sz w:val="28"/>
                              </w:rPr>
                            </w:pPr>
                            <w:bookmarkStart w:id="299" w:name="_Ref530070321"/>
                            <w:bookmarkStart w:id="300" w:name="_Toc530673987"/>
                            <w:r w:rsidRPr="00A841B4">
                              <w:t>Figure</w:t>
                            </w:r>
                            <w:r>
                              <w:t xml:space="preserve"> </w:t>
                            </w:r>
                            <w:fldSimple w:instr=" SEQ Figure \* ARABIC ">
                              <w:r w:rsidR="00E2070A">
                                <w:rPr>
                                  <w:noProof/>
                                </w:rPr>
                                <w:t>62</w:t>
                              </w:r>
                            </w:fldSimple>
                            <w:bookmarkEnd w:id="299"/>
                            <w:r>
                              <w:t xml:space="preserve">: Full blots of </w:t>
                            </w:r>
                            <w:r>
                              <w:fldChar w:fldCharType="begin"/>
                            </w:r>
                            <w:r>
                              <w:instrText xml:space="preserve"> REF _Ref530070347 \h </w:instrText>
                            </w:r>
                            <w:r>
                              <w:fldChar w:fldCharType="separate"/>
                            </w:r>
                            <w:r w:rsidR="00E2070A" w:rsidRPr="00A841B4">
                              <w:t>Figure</w:t>
                            </w:r>
                            <w:r w:rsidR="00E2070A">
                              <w:t xml:space="preserve"> </w:t>
                            </w:r>
                            <w:r w:rsidR="00E2070A">
                              <w:rPr>
                                <w:noProof/>
                              </w:rPr>
                              <w:t>59</w:t>
                            </w:r>
                            <w:bookmarkEnd w:id="300"/>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1D91E1" id="Text Box 280" o:spid="_x0000_s1034" type="#_x0000_t202" style="position:absolute;left:0;text-align:left;margin-left:17.4pt;margin-top:406.4pt;width:389.85pt;height:.05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" stroked="f">
                <v:textbox style="mso-fit-shape-to-text:t" inset="0,0,0,0">
                  <w:txbxContent>
                    <w:p w:rsidR="00D9132A" w:rsidRPr="00F811A5" w:rsidRDefault="00D9132A" w:rsidP="008671EA">
                      <w:pPr>
                        <w:pStyle w:val="Caption"/>
                        <w:rPr>
                          <w:noProof/>
                          <w:sz w:val="28"/>
                        </w:rPr>
                      </w:pPr>
                      <w:bookmarkStart w:id="301" w:name="_Ref530070321"/>
                      <w:bookmarkStart w:id="302" w:name="_Toc530673987"/>
                      <w:r w:rsidRPr="00A841B4">
                        <w:t>Figure</w:t>
                      </w:r>
                      <w:r>
                        <w:t xml:space="preserve"> </w:t>
                      </w:r>
                      <w:fldSimple w:instr=" SEQ Figure \* ARABIC ">
                        <w:r w:rsidR="00E2070A">
                          <w:rPr>
                            <w:noProof/>
                          </w:rPr>
                          <w:t>62</w:t>
                        </w:r>
                      </w:fldSimple>
                      <w:bookmarkEnd w:id="301"/>
                      <w:r>
                        <w:t xml:space="preserve">: Full blots of </w:t>
                      </w:r>
                      <w:r>
                        <w:fldChar w:fldCharType="begin"/>
                      </w:r>
                      <w:r>
                        <w:instrText xml:space="preserve"> REF _Ref530070347 \h </w:instrText>
                      </w:r>
                      <w:r>
                        <w:fldChar w:fldCharType="separate"/>
                      </w:r>
                      <w:r w:rsidR="00E2070A" w:rsidRPr="00A841B4">
                        <w:t>Figure</w:t>
                      </w:r>
                      <w:r w:rsidR="00E2070A">
                        <w:t xml:space="preserve"> </w:t>
                      </w:r>
                      <w:r w:rsidR="00E2070A">
                        <w:rPr>
                          <w:noProof/>
                        </w:rPr>
                        <w:t>59</w:t>
                      </w:r>
                      <w:bookmarkEnd w:id="302"/>
                      <w:r>
                        <w:fldChar w:fldCharType="end"/>
                      </w:r>
                    </w:p>
                  </w:txbxContent>
                </v:textbox>
                <w10:wrap type="tight"/>
              </v:shape>
            </w:pict>
          </mc:Fallback>
        </mc:AlternateContent>
      </w:r>
      <w:r>
        <w:rPr>
          <w:noProof/>
          <w:lang w:bidi="ar-SA"/>
        </w:rPr>
        <w:drawing>
          <wp:anchor distT="0" distB="0" distL="114300" distR="114300" simplePos="0" relativeHeight="251716608" behindDoc="1" locked="0" layoutInCell="1" allowOverlap="1" wp14:anchorId="1B736C7F" wp14:editId="36160819">
            <wp:simplePos x="0" y="0"/>
            <wp:positionH relativeFrom="margin">
              <wp:align>center</wp:align>
            </wp:positionH>
            <wp:positionV relativeFrom="paragraph">
              <wp:posOffset>387769</wp:posOffset>
            </wp:positionV>
            <wp:extent cx="4951095" cy="4716780"/>
            <wp:effectExtent l="19050" t="19050" r="20955" b="26670"/>
            <wp:wrapTight wrapText="bothSides">
              <wp:wrapPolygon edited="0">
                <wp:start x="-83" y="-87"/>
                <wp:lineTo x="-83" y="21635"/>
                <wp:lineTo x="21608" y="21635"/>
                <wp:lineTo x="21608" y="-87"/>
                <wp:lineTo x="-83" y="-87"/>
              </wp:wrapPolygon>
            </wp:wrapTight>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51095" cy="47167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rsidR="008671EA" w:rsidRPr="008671EA" w:rsidRDefault="008671EA" w:rsidP="00FB099D">
      <w:pPr>
        <w:jc w:val="both"/>
      </w:pPr>
    </w:p>
    <w:p w:rsidR="008671EA" w:rsidRDefault="008671EA" w:rsidP="00FB099D">
      <w:pPr>
        <w:jc w:val="both"/>
      </w:pPr>
    </w:p>
    <w:p w:rsidR="001B5ABA" w:rsidRDefault="001B5ABA" w:rsidP="00FB099D">
      <w:pPr>
        <w:jc w:val="both"/>
      </w:pPr>
    </w:p>
    <w:p w:rsidR="00BD5F5B" w:rsidRDefault="00BD5F5B" w:rsidP="00FB099D">
      <w:pPr>
        <w:jc w:val="both"/>
      </w:pPr>
    </w:p>
    <w:p w:rsidR="00BD5F5B" w:rsidRDefault="00BD5F5B" w:rsidP="00FB099D">
      <w:pPr>
        <w:jc w:val="both"/>
      </w:pPr>
    </w:p>
    <w:p w:rsidR="00BD5F5B" w:rsidRDefault="00BD5F5B" w:rsidP="00FB099D">
      <w:pPr>
        <w:jc w:val="both"/>
      </w:pPr>
    </w:p>
    <w:p w:rsidR="00BD5F5B" w:rsidRDefault="00BD5F5B" w:rsidP="00FB099D">
      <w:pPr>
        <w:jc w:val="both"/>
      </w:pPr>
    </w:p>
    <w:p w:rsidR="00BD5F5B" w:rsidRDefault="00BD5F5B" w:rsidP="00FB099D">
      <w:pPr>
        <w:jc w:val="both"/>
      </w:pPr>
    </w:p>
    <w:p w:rsidR="008E1FE9" w:rsidRDefault="008E1FE9" w:rsidP="00FB099D">
      <w:pPr>
        <w:jc w:val="both"/>
      </w:pPr>
    </w:p>
    <w:p w:rsidR="00BD5F5B" w:rsidRDefault="008E1FE9" w:rsidP="00FB099D">
      <w:pPr>
        <w:jc w:val="both"/>
      </w:pPr>
      <w:r>
        <w:rPr>
          <w:noProof/>
          <w:lang w:bidi="ar-SA"/>
        </w:rPr>
        <w:lastRenderedPageBreak/>
        <mc:AlternateContent>
          <mc:Choice Requires="wps">
            <w:drawing>
              <wp:anchor distT="0" distB="0" distL="114300" distR="114300" simplePos="0" relativeHeight="251723776" behindDoc="1" locked="0" layoutInCell="1" allowOverlap="1" wp14:anchorId="06417742" wp14:editId="1888E018">
                <wp:simplePos x="0" y="0"/>
                <wp:positionH relativeFrom="margin">
                  <wp:align>center</wp:align>
                </wp:positionH>
                <wp:positionV relativeFrom="paragraph">
                  <wp:posOffset>5153025</wp:posOffset>
                </wp:positionV>
                <wp:extent cx="5360035" cy="635"/>
                <wp:effectExtent l="0" t="0" r="0" b="0"/>
                <wp:wrapTight wrapText="bothSides">
                  <wp:wrapPolygon edited="0">
                    <wp:start x="0" y="0"/>
                    <wp:lineTo x="0" y="18783"/>
                    <wp:lineTo x="21495" y="18783"/>
                    <wp:lineTo x="21495" y="0"/>
                    <wp:lineTo x="0" y="0"/>
                  </wp:wrapPolygon>
                </wp:wrapTight>
                <wp:docPr id="330" name="Text Box 330"/>
                <wp:cNvGraphicFramePr/>
                <a:graphic xmlns:a="http://schemas.openxmlformats.org/drawingml/2006/main">
                  <a:graphicData uri="http://schemas.microsoft.com/office/word/2010/wordprocessingShape">
                    <wps:wsp>
                      <wps:cNvSpPr txBox="1"/>
                      <wps:spPr>
                        <a:xfrm>
                          <a:off x="0" y="0"/>
                          <a:ext cx="5360035" cy="635"/>
                        </a:xfrm>
                        <a:prstGeom prst="rect">
                          <a:avLst/>
                        </a:prstGeom>
                        <a:solidFill>
                          <a:prstClr val="white"/>
                        </a:solidFill>
                        <a:ln>
                          <a:noFill/>
                        </a:ln>
                      </wps:spPr>
                      <wps:txbx>
                        <w:txbxContent>
                          <w:p w:rsidR="00D9132A" w:rsidRPr="0017177D" w:rsidRDefault="00D9132A" w:rsidP="00BD5F5B">
                            <w:pPr>
                              <w:pStyle w:val="Caption"/>
                              <w:rPr>
                                <w:noProof/>
                                <w:szCs w:val="24"/>
                              </w:rPr>
                            </w:pPr>
                            <w:bookmarkStart w:id="303" w:name="_Ref530125198"/>
                            <w:bookmarkStart w:id="304" w:name="_Toc530673988"/>
                            <w:r w:rsidRPr="00A841B4">
                              <w:t>Figure</w:t>
                            </w:r>
                            <w:r>
                              <w:t xml:space="preserve"> </w:t>
                            </w:r>
                            <w:fldSimple w:instr=" SEQ Figure \* ARABIC ">
                              <w:r w:rsidR="00E2070A">
                                <w:rPr>
                                  <w:noProof/>
                                </w:rPr>
                                <w:t>63</w:t>
                              </w:r>
                            </w:fldSimple>
                            <w:bookmarkEnd w:id="303"/>
                            <w:r>
                              <w:t>:</w:t>
                            </w:r>
                            <w:r w:rsidRPr="00BD5F5B">
                              <w:t xml:space="preserve"> </w:t>
                            </w:r>
                            <w:r>
                              <w:t xml:space="preserve">Full blots from </w:t>
                            </w:r>
                            <w:r>
                              <w:fldChar w:fldCharType="begin"/>
                            </w:r>
                            <w:r>
                              <w:instrText xml:space="preserve"> REF _Ref530072335 \h </w:instrText>
                            </w:r>
                            <w:r>
                              <w:fldChar w:fldCharType="separate"/>
                            </w:r>
                            <w:r w:rsidR="00E2070A" w:rsidRPr="00A841B4">
                              <w:t>Figure</w:t>
                            </w:r>
                            <w:r w:rsidR="00E2070A">
                              <w:t xml:space="preserve"> </w:t>
                            </w:r>
                            <w:r w:rsidR="00E2070A">
                              <w:rPr>
                                <w:noProof/>
                              </w:rPr>
                              <w:t>61</w:t>
                            </w:r>
                            <w:r>
                              <w:fldChar w:fldCharType="end"/>
                            </w:r>
                            <w:r>
                              <w:t>.</w:t>
                            </w:r>
                            <w:bookmarkEnd w:id="3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417742" id="Text Box 330" o:spid="_x0000_s1035" type="#_x0000_t202" style="position:absolute;left:0;text-align:left;margin-left:0;margin-top:405.75pt;width:422.05pt;height:.05pt;z-index:-2515927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" stroked="f">
                <v:textbox style="mso-fit-shape-to-text:t" inset="0,0,0,0">
                  <w:txbxContent>
                    <w:p w:rsidR="00D9132A" w:rsidRPr="0017177D" w:rsidRDefault="00D9132A" w:rsidP="00BD5F5B">
                      <w:pPr>
                        <w:pStyle w:val="Caption"/>
                        <w:rPr>
                          <w:noProof/>
                          <w:szCs w:val="24"/>
                        </w:rPr>
                      </w:pPr>
                      <w:bookmarkStart w:id="305" w:name="_Ref530125198"/>
                      <w:bookmarkStart w:id="306" w:name="_Toc530673988"/>
                      <w:r w:rsidRPr="00A841B4">
                        <w:t>Figure</w:t>
                      </w:r>
                      <w:r>
                        <w:t xml:space="preserve"> </w:t>
                      </w:r>
                      <w:fldSimple w:instr=" SEQ Figure \* ARABIC ">
                        <w:r w:rsidR="00E2070A">
                          <w:rPr>
                            <w:noProof/>
                          </w:rPr>
                          <w:t>63</w:t>
                        </w:r>
                      </w:fldSimple>
                      <w:bookmarkEnd w:id="305"/>
                      <w:r>
                        <w:t>:</w:t>
                      </w:r>
                      <w:r w:rsidRPr="00BD5F5B">
                        <w:t xml:space="preserve"> </w:t>
                      </w:r>
                      <w:r>
                        <w:t xml:space="preserve">Full blots from </w:t>
                      </w:r>
                      <w:r>
                        <w:fldChar w:fldCharType="begin"/>
                      </w:r>
                      <w:r>
                        <w:instrText xml:space="preserve"> REF _Ref530072335 \h </w:instrText>
                      </w:r>
                      <w:r>
                        <w:fldChar w:fldCharType="separate"/>
                      </w:r>
                      <w:r w:rsidR="00E2070A" w:rsidRPr="00A841B4">
                        <w:t>Figure</w:t>
                      </w:r>
                      <w:r w:rsidR="00E2070A">
                        <w:t xml:space="preserve"> </w:t>
                      </w:r>
                      <w:r w:rsidR="00E2070A">
                        <w:rPr>
                          <w:noProof/>
                        </w:rPr>
                        <w:t>61</w:t>
                      </w:r>
                      <w:r>
                        <w:fldChar w:fldCharType="end"/>
                      </w:r>
                      <w:r>
                        <w:t>.</w:t>
                      </w:r>
                      <w:bookmarkEnd w:id="306"/>
                    </w:p>
                  </w:txbxContent>
                </v:textbox>
                <w10:wrap type="tight" anchorx="margin"/>
              </v:shape>
            </w:pict>
          </mc:Fallback>
        </mc:AlternateContent>
      </w:r>
      <w:r w:rsidR="0015171B">
        <w:rPr>
          <w:noProof/>
          <w:lang w:bidi="ar-SA"/>
        </w:rPr>
        <w:drawing>
          <wp:anchor distT="0" distB="0" distL="114300" distR="114300" simplePos="0" relativeHeight="251721728" behindDoc="1" locked="0" layoutInCell="1" allowOverlap="1" wp14:anchorId="5609A646" wp14:editId="4B3CB60D">
            <wp:simplePos x="0" y="0"/>
            <wp:positionH relativeFrom="margin">
              <wp:align>center</wp:align>
            </wp:positionH>
            <wp:positionV relativeFrom="paragraph">
              <wp:posOffset>325755</wp:posOffset>
            </wp:positionV>
            <wp:extent cx="5360035" cy="4730115"/>
            <wp:effectExtent l="19050" t="19050" r="12065" b="13335"/>
            <wp:wrapTight wrapText="bothSides">
              <wp:wrapPolygon edited="0">
                <wp:start x="-77" y="-87"/>
                <wp:lineTo x="-77" y="21574"/>
                <wp:lineTo x="21572" y="21574"/>
                <wp:lineTo x="21572" y="-87"/>
                <wp:lineTo x="-77" y="-87"/>
              </wp:wrapPolygon>
            </wp:wrapTight>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r="10746"/>
                    <a:stretch/>
                  </pic:blipFill>
                  <pic:spPr bwMode="auto">
                    <a:xfrm>
                      <a:off x="0" y="0"/>
                      <a:ext cx="5360035" cy="4730115"/>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p>
    <w:p w:rsidR="00BD5F5B" w:rsidRDefault="00BD5F5B" w:rsidP="00FB099D">
      <w:pPr>
        <w:jc w:val="both"/>
      </w:pPr>
    </w:p>
    <w:p w:rsidR="00BD5F5B" w:rsidRDefault="00BD5F5B" w:rsidP="00FB099D">
      <w:pPr>
        <w:jc w:val="both"/>
      </w:pPr>
    </w:p>
    <w:p w:rsidR="00BD5F5B" w:rsidRDefault="00BD5F5B" w:rsidP="00FB099D">
      <w:pPr>
        <w:jc w:val="both"/>
      </w:pPr>
    </w:p>
    <w:p w:rsidR="00BD5F5B" w:rsidRDefault="00BD5F5B" w:rsidP="00FB099D">
      <w:pPr>
        <w:jc w:val="both"/>
      </w:pPr>
    </w:p>
    <w:p w:rsidR="00626D47" w:rsidRDefault="00626D47" w:rsidP="00FB099D">
      <w:pPr>
        <w:jc w:val="both"/>
      </w:pPr>
    </w:p>
    <w:p w:rsidR="008E1FE9" w:rsidRDefault="008E1FE9" w:rsidP="00FB099D">
      <w:pPr>
        <w:jc w:val="both"/>
      </w:pPr>
    </w:p>
    <w:p w:rsidR="00626D47" w:rsidRDefault="00626D47" w:rsidP="00FB099D">
      <w:pPr>
        <w:jc w:val="both"/>
      </w:pPr>
    </w:p>
    <w:p w:rsidR="00626D47" w:rsidRDefault="00626D47" w:rsidP="00FB099D">
      <w:pPr>
        <w:jc w:val="both"/>
      </w:pPr>
    </w:p>
    <w:p w:rsidR="00835528" w:rsidRDefault="008671EA" w:rsidP="00E87672">
      <w:pPr>
        <w:pStyle w:val="Heading1"/>
      </w:pPr>
      <w:bookmarkStart w:id="307" w:name="_Toc532553183"/>
      <w:r>
        <w:lastRenderedPageBreak/>
        <w:t>Appendix 3: Chapter 4 Supplemental</w:t>
      </w:r>
      <w:bookmarkEnd w:id="307"/>
    </w:p>
    <w:p w:rsidR="00835528" w:rsidRDefault="00835528" w:rsidP="00FB099D">
      <w:pPr>
        <w:keepNext/>
        <w:jc w:val="both"/>
      </w:pPr>
      <w:r>
        <w:rPr>
          <w:noProof/>
          <w:lang w:bidi="ar-SA"/>
        </w:rPr>
        <w:drawing>
          <wp:inline distT="0" distB="0" distL="0" distR="0" wp14:anchorId="7320FCC4" wp14:editId="538DE88F">
            <wp:extent cx="5355606" cy="7239000"/>
            <wp:effectExtent l="19050" t="19050" r="16510" b="190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56007" cy="7239542"/>
                    </a:xfrm>
                    <a:prstGeom prst="rect">
                      <a:avLst/>
                    </a:prstGeom>
                    <a:noFill/>
                    <a:ln>
                      <a:solidFill>
                        <a:schemeClr val="tx1"/>
                      </a:solidFill>
                    </a:ln>
                  </pic:spPr>
                </pic:pic>
              </a:graphicData>
            </a:graphic>
          </wp:inline>
        </w:drawing>
      </w:r>
    </w:p>
    <w:p w:rsidR="00835528" w:rsidRDefault="00A841B4" w:rsidP="00FB099D">
      <w:pPr>
        <w:pStyle w:val="Caption"/>
        <w:jc w:val="both"/>
      </w:pPr>
      <w:bookmarkStart w:id="308" w:name="_Ref530229993"/>
      <w:bookmarkStart w:id="309" w:name="_Toc530673989"/>
      <w:r w:rsidRPr="00A841B4">
        <w:t>Figure</w:t>
      </w:r>
      <w:r w:rsidR="00835528">
        <w:t xml:space="preserve"> </w:t>
      </w:r>
      <w:fldSimple w:instr=" SEQ Figure \* ARABIC ">
        <w:r w:rsidR="00E2070A">
          <w:rPr>
            <w:noProof/>
          </w:rPr>
          <w:t>64</w:t>
        </w:r>
      </w:fldSimple>
      <w:bookmarkEnd w:id="308"/>
      <w:r w:rsidR="00835528">
        <w:t xml:space="preserve">: Full blots of </w:t>
      </w:r>
      <w:r w:rsidR="00835528">
        <w:fldChar w:fldCharType="begin"/>
      </w:r>
      <w:r w:rsidR="00835528">
        <w:instrText xml:space="preserve"> REF _Ref530052556 \h </w:instrText>
      </w:r>
      <w:r w:rsidR="001B3703">
        <w:instrText xml:space="preserve"> \* MERGEFORMAT </w:instrText>
      </w:r>
      <w:r w:rsidR="00835528">
        <w:fldChar w:fldCharType="separate"/>
      </w:r>
      <w:r w:rsidR="00E2070A" w:rsidRPr="00A841B4">
        <w:t>Figure</w:t>
      </w:r>
      <w:r w:rsidR="00E2070A">
        <w:t xml:space="preserve"> </w:t>
      </w:r>
      <w:r w:rsidR="00E2070A">
        <w:rPr>
          <w:noProof/>
        </w:rPr>
        <w:t>29</w:t>
      </w:r>
      <w:bookmarkEnd w:id="309"/>
      <w:r w:rsidR="00835528">
        <w:fldChar w:fldCharType="end"/>
      </w:r>
    </w:p>
    <w:p w:rsidR="00835528" w:rsidRDefault="00835528" w:rsidP="00FB099D">
      <w:pPr>
        <w:jc w:val="both"/>
      </w:pPr>
    </w:p>
    <w:p w:rsidR="00835528" w:rsidRDefault="00835528" w:rsidP="00FB099D">
      <w:pPr>
        <w:keepNext/>
        <w:jc w:val="both"/>
      </w:pPr>
      <w:r>
        <w:rPr>
          <w:noProof/>
          <w:lang w:bidi="ar-SA"/>
        </w:rPr>
        <w:lastRenderedPageBreak/>
        <w:drawing>
          <wp:inline distT="0" distB="0" distL="0" distR="0" wp14:anchorId="061F8B72" wp14:editId="0335518F">
            <wp:extent cx="5394960" cy="5928606"/>
            <wp:effectExtent l="19050" t="19050" r="15240" b="152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94960" cy="5928606"/>
                    </a:xfrm>
                    <a:prstGeom prst="rect">
                      <a:avLst/>
                    </a:prstGeom>
                    <a:noFill/>
                    <a:ln>
                      <a:solidFill>
                        <a:schemeClr val="tx1"/>
                      </a:solidFill>
                    </a:ln>
                  </pic:spPr>
                </pic:pic>
              </a:graphicData>
            </a:graphic>
          </wp:inline>
        </w:drawing>
      </w:r>
    </w:p>
    <w:p w:rsidR="00835528" w:rsidRPr="00835528" w:rsidRDefault="00A841B4" w:rsidP="00FB099D">
      <w:pPr>
        <w:pStyle w:val="Caption"/>
        <w:jc w:val="both"/>
      </w:pPr>
      <w:bookmarkStart w:id="310" w:name="_Ref530231910"/>
      <w:bookmarkStart w:id="311" w:name="_Toc530673990"/>
      <w:r w:rsidRPr="00A841B4">
        <w:t>Figure</w:t>
      </w:r>
      <w:r w:rsidR="00835528">
        <w:t xml:space="preserve"> </w:t>
      </w:r>
      <w:fldSimple w:instr=" SEQ Figure \* ARABIC ">
        <w:r w:rsidR="00E2070A">
          <w:rPr>
            <w:noProof/>
          </w:rPr>
          <w:t>65</w:t>
        </w:r>
      </w:fldSimple>
      <w:bookmarkEnd w:id="310"/>
      <w:r w:rsidR="00835528">
        <w:t>: Full blots of</w:t>
      </w:r>
      <w:r w:rsidR="00BC0618">
        <w:t xml:space="preserve"> </w:t>
      </w:r>
      <w:r w:rsidR="00BC0618" w:rsidRPr="00BC0618">
        <w:fldChar w:fldCharType="begin"/>
      </w:r>
      <w:r w:rsidR="00BC0618" w:rsidRPr="00BC0618">
        <w:instrText xml:space="preserve"> REF _Ref532555107 \h </w:instrText>
      </w:r>
      <w:r w:rsidR="00BC0618" w:rsidRPr="00BC0618">
        <w:instrText xml:space="preserve"> \* MERGEFORMAT </w:instrText>
      </w:r>
      <w:r w:rsidR="00BC0618" w:rsidRPr="00BC0618">
        <w:fldChar w:fldCharType="separate"/>
      </w:r>
      <w:r w:rsidR="00E2070A" w:rsidRPr="00E2070A">
        <w:t xml:space="preserve">Figure </w:t>
      </w:r>
      <w:r w:rsidR="00E2070A" w:rsidRPr="00E2070A">
        <w:rPr>
          <w:noProof/>
        </w:rPr>
        <w:t>31</w:t>
      </w:r>
      <w:r w:rsidR="00BC0618" w:rsidRPr="00BC0618">
        <w:fldChar w:fldCharType="end"/>
      </w:r>
      <w:r w:rsidR="00835528">
        <w:t>.</w:t>
      </w:r>
      <w:bookmarkEnd w:id="311"/>
    </w:p>
    <w:p w:rsidR="00835528" w:rsidRPr="00835528" w:rsidRDefault="00835528" w:rsidP="00FB099D">
      <w:pPr>
        <w:jc w:val="both"/>
      </w:pPr>
      <w:r w:rsidRPr="00F9513E">
        <w:rPr>
          <w:noProof/>
          <w:lang w:bidi="ar-SA"/>
        </w:rPr>
        <w:lastRenderedPageBreak/>
        <w:drawing>
          <wp:inline distT="0" distB="0" distL="0" distR="0" wp14:anchorId="2F8696D1" wp14:editId="5954AEC9">
            <wp:extent cx="5350510" cy="3030220"/>
            <wp:effectExtent l="19050" t="19050" r="21590" b="177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t="18309" b="35354"/>
                    <a:stretch/>
                  </pic:blipFill>
                  <pic:spPr bwMode="auto">
                    <a:xfrm>
                      <a:off x="0" y="0"/>
                      <a:ext cx="5350510" cy="30302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B5ABA" w:rsidRDefault="00A841B4" w:rsidP="00FB099D">
      <w:pPr>
        <w:pStyle w:val="Caption"/>
        <w:jc w:val="both"/>
      </w:pPr>
      <w:bookmarkStart w:id="312" w:name="_Ref530053074"/>
      <w:bookmarkStart w:id="313" w:name="_Toc530673991"/>
      <w:r w:rsidRPr="00A841B4">
        <w:t>Figure</w:t>
      </w:r>
      <w:r w:rsidR="001B5ABA">
        <w:t xml:space="preserve"> </w:t>
      </w:r>
      <w:fldSimple w:instr=" SEQ Figure \* ARABIC ">
        <w:r w:rsidR="00E2070A">
          <w:rPr>
            <w:noProof/>
          </w:rPr>
          <w:t>66</w:t>
        </w:r>
      </w:fldSimple>
      <w:bookmarkEnd w:id="312"/>
      <w:r w:rsidR="001B5ABA">
        <w:t xml:space="preserve">: THEV2 attenuates OSW-1 induced viability loss. </w:t>
      </w:r>
      <w:r w:rsidR="001B5ABA">
        <w:rPr>
          <w:b w:val="0"/>
        </w:rPr>
        <w:t>(A) HCT116 cells were treated with DMSO, 1 nM OSW-1, or a combination of OSW-1 and 10</w:t>
      </w:r>
      <w:r w:rsidR="001B5ABA">
        <w:rPr>
          <w:rFonts w:cstheme="minorHAnsi"/>
          <w:b w:val="0"/>
        </w:rPr>
        <w:t>µ</w:t>
      </w:r>
      <w:r w:rsidR="001B5ABA">
        <w:rPr>
          <w:b w:val="0"/>
        </w:rPr>
        <w:t>M of the indicated compound for 24 hours after which cell viability was determined by Cell Titer Blue method. (B) HCT116 cells were treated with DMSO, 1 nM Taxol, 1 nM OSW-1 or 10</w:t>
      </w:r>
      <w:r w:rsidR="001B5ABA">
        <w:rPr>
          <w:rFonts w:cstheme="minorHAnsi"/>
          <w:b w:val="0"/>
        </w:rPr>
        <w:t>µ</w:t>
      </w:r>
      <w:r w:rsidR="001B5ABA">
        <w:rPr>
          <w:b w:val="0"/>
        </w:rPr>
        <w:t>M of the indicated compound for 24 hours after which cell viability was determined by Cell Titer Blue method.</w:t>
      </w:r>
      <w:bookmarkEnd w:id="313"/>
    </w:p>
    <w:p w:rsidR="001B5ABA" w:rsidRDefault="001B5ABA" w:rsidP="00FB099D">
      <w:pPr>
        <w:jc w:val="both"/>
      </w:pPr>
    </w:p>
    <w:p w:rsidR="001B5ABA" w:rsidRDefault="001B5ABA" w:rsidP="00FB099D">
      <w:pPr>
        <w:jc w:val="both"/>
      </w:pPr>
    </w:p>
    <w:p w:rsidR="00995DD2" w:rsidRDefault="00995DD2" w:rsidP="00FB099D">
      <w:pPr>
        <w:jc w:val="both"/>
      </w:pPr>
    </w:p>
    <w:p w:rsidR="00995DD2" w:rsidRDefault="00995DD2" w:rsidP="00FB099D">
      <w:pPr>
        <w:jc w:val="both"/>
      </w:pPr>
    </w:p>
    <w:p w:rsidR="00995DD2" w:rsidRDefault="00995DD2" w:rsidP="00FB099D">
      <w:pPr>
        <w:jc w:val="both"/>
      </w:pPr>
    </w:p>
    <w:p w:rsidR="00995DD2" w:rsidRDefault="00995DD2" w:rsidP="00FB099D">
      <w:pPr>
        <w:jc w:val="both"/>
      </w:pPr>
    </w:p>
    <w:p w:rsidR="00995DD2" w:rsidRDefault="00995DD2" w:rsidP="00FB099D">
      <w:pPr>
        <w:jc w:val="both"/>
      </w:pPr>
    </w:p>
    <w:p w:rsidR="00995DD2" w:rsidRDefault="00995DD2" w:rsidP="00FB099D">
      <w:pPr>
        <w:jc w:val="both"/>
      </w:pPr>
    </w:p>
    <w:p w:rsidR="00995DD2" w:rsidRDefault="00995DD2" w:rsidP="00FB099D">
      <w:pPr>
        <w:jc w:val="both"/>
      </w:pPr>
    </w:p>
    <w:p w:rsidR="00995DD2" w:rsidRPr="00F9513E" w:rsidRDefault="00995DD2" w:rsidP="00FB099D">
      <w:pPr>
        <w:jc w:val="both"/>
      </w:pPr>
    </w:p>
    <w:p w:rsidR="00995DD2" w:rsidRDefault="00995DD2" w:rsidP="00FB099D">
      <w:pPr>
        <w:jc w:val="both"/>
      </w:pPr>
    </w:p>
    <w:p w:rsidR="001B5ABA" w:rsidRDefault="001B5ABA" w:rsidP="00FB099D">
      <w:pPr>
        <w:pStyle w:val="ListParagraph"/>
        <w:jc w:val="both"/>
      </w:pPr>
      <w:r w:rsidRPr="00E67AE7">
        <w:rPr>
          <w:noProof/>
          <w:lang w:bidi="ar-SA"/>
        </w:rPr>
        <w:lastRenderedPageBreak/>
        <w:drawing>
          <wp:inline distT="0" distB="0" distL="0" distR="0" wp14:anchorId="20C24437" wp14:editId="57BFBABC">
            <wp:extent cx="4114800" cy="3581400"/>
            <wp:effectExtent l="19050" t="19050" r="19050"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t="13258" b="15531"/>
                    <a:stretch/>
                  </pic:blipFill>
                  <pic:spPr bwMode="auto">
                    <a:xfrm>
                      <a:off x="0" y="0"/>
                      <a:ext cx="4115374" cy="35819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95DD2" w:rsidRDefault="00A841B4" w:rsidP="00FB099D">
      <w:pPr>
        <w:pStyle w:val="Caption"/>
        <w:jc w:val="both"/>
        <w:rPr>
          <w:b w:val="0"/>
        </w:rPr>
      </w:pPr>
      <w:bookmarkStart w:id="314" w:name="_Ref530053083"/>
      <w:bookmarkStart w:id="315" w:name="_Toc530673992"/>
      <w:r w:rsidRPr="00A841B4">
        <w:t>Figure</w:t>
      </w:r>
      <w:r w:rsidR="001B5ABA">
        <w:t xml:space="preserve"> </w:t>
      </w:r>
      <w:fldSimple w:instr=" SEQ Figure \* ARABIC ">
        <w:r w:rsidR="00E2070A">
          <w:rPr>
            <w:noProof/>
          </w:rPr>
          <w:t>67</w:t>
        </w:r>
      </w:fldSimple>
      <w:bookmarkEnd w:id="314"/>
      <w:r w:rsidR="001B5ABA">
        <w:t xml:space="preserve">: Co-incubation of OSW-1 and ORPphillins cause variable OSBP localization. </w:t>
      </w:r>
      <w:r w:rsidR="001B5ABA">
        <w:rPr>
          <w:b w:val="0"/>
        </w:rPr>
        <w:t xml:space="preserve">Indirect immunofluorescence was used to determine localization of OSBP (green) and TGN46 (red) when incubated with 1 nM OSW-1 and 10 </w:t>
      </w:r>
      <w:r w:rsidR="001B5ABA">
        <w:rPr>
          <w:rFonts w:cstheme="minorHAnsi"/>
          <w:b w:val="0"/>
        </w:rPr>
        <w:t>µ</w:t>
      </w:r>
      <w:r w:rsidR="001B5ABA">
        <w:rPr>
          <w:b w:val="0"/>
        </w:rPr>
        <w:t>M of an ORPphillin for 24 hours. Nuclei (blue) were stained with Hoescht 33342.</w:t>
      </w:r>
      <w:bookmarkEnd w:id="315"/>
    </w:p>
    <w:p w:rsidR="00835528" w:rsidRDefault="00835528" w:rsidP="00FB099D">
      <w:pPr>
        <w:jc w:val="both"/>
      </w:pPr>
    </w:p>
    <w:p w:rsidR="00835528" w:rsidRDefault="00835528" w:rsidP="00FB099D">
      <w:pPr>
        <w:keepNext/>
        <w:jc w:val="both"/>
      </w:pPr>
      <w:r>
        <w:rPr>
          <w:noProof/>
          <w:lang w:bidi="ar-SA"/>
        </w:rPr>
        <w:lastRenderedPageBreak/>
        <w:drawing>
          <wp:inline distT="0" distB="0" distL="0" distR="0" wp14:anchorId="716BA672" wp14:editId="49DD4FAF">
            <wp:extent cx="5394960" cy="3658104"/>
            <wp:effectExtent l="19050" t="19050" r="15240" b="190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94960" cy="3658104"/>
                    </a:xfrm>
                    <a:prstGeom prst="rect">
                      <a:avLst/>
                    </a:prstGeom>
                    <a:noFill/>
                    <a:ln>
                      <a:solidFill>
                        <a:schemeClr val="tx1"/>
                      </a:solidFill>
                    </a:ln>
                  </pic:spPr>
                </pic:pic>
              </a:graphicData>
            </a:graphic>
          </wp:inline>
        </w:drawing>
      </w:r>
    </w:p>
    <w:p w:rsidR="00835528" w:rsidRPr="00835528" w:rsidRDefault="00A841B4" w:rsidP="00FB099D">
      <w:pPr>
        <w:pStyle w:val="Caption"/>
        <w:jc w:val="both"/>
      </w:pPr>
      <w:bookmarkStart w:id="316" w:name="_Ref530234257"/>
      <w:bookmarkStart w:id="317" w:name="_Toc530673993"/>
      <w:r w:rsidRPr="00A841B4">
        <w:t>Figure</w:t>
      </w:r>
      <w:r w:rsidR="00835528">
        <w:t xml:space="preserve"> </w:t>
      </w:r>
      <w:fldSimple w:instr=" SEQ Figure \* ARABIC ">
        <w:r w:rsidR="00E2070A">
          <w:rPr>
            <w:noProof/>
          </w:rPr>
          <w:t>68</w:t>
        </w:r>
      </w:fldSimple>
      <w:bookmarkEnd w:id="316"/>
      <w:r w:rsidR="00835528">
        <w:t xml:space="preserve">: Full blot of </w:t>
      </w:r>
      <w:r w:rsidR="00835528">
        <w:fldChar w:fldCharType="begin"/>
      </w:r>
      <w:r w:rsidR="00835528">
        <w:instrText xml:space="preserve"> REF _Ref530234236 \h </w:instrText>
      </w:r>
      <w:r w:rsidR="001B3703">
        <w:instrText xml:space="preserve"> \* MERGEFORMAT </w:instrText>
      </w:r>
      <w:r w:rsidR="00835528">
        <w:fldChar w:fldCharType="separate"/>
      </w:r>
      <w:r w:rsidR="00E2070A" w:rsidRPr="00A841B4">
        <w:t>Figure</w:t>
      </w:r>
      <w:r w:rsidR="00E2070A">
        <w:t xml:space="preserve"> </w:t>
      </w:r>
      <w:r w:rsidR="00E2070A">
        <w:rPr>
          <w:noProof/>
        </w:rPr>
        <w:t>33</w:t>
      </w:r>
      <w:r w:rsidR="00835528">
        <w:fldChar w:fldCharType="end"/>
      </w:r>
      <w:r w:rsidR="00835528">
        <w:t>.</w:t>
      </w:r>
      <w:bookmarkEnd w:id="317"/>
    </w:p>
    <w:p w:rsidR="00995DD2" w:rsidRDefault="00995DD2" w:rsidP="00FB099D">
      <w:pPr>
        <w:jc w:val="both"/>
      </w:pPr>
    </w:p>
    <w:p w:rsidR="00CF0BF9" w:rsidRDefault="00CF0BF9" w:rsidP="00FB099D">
      <w:pPr>
        <w:jc w:val="both"/>
      </w:pPr>
    </w:p>
    <w:p w:rsidR="00CF0BF9" w:rsidRDefault="00CF0BF9" w:rsidP="00FB099D">
      <w:pPr>
        <w:jc w:val="both"/>
      </w:pPr>
    </w:p>
    <w:p w:rsidR="00CF0BF9" w:rsidRDefault="00CF0BF9" w:rsidP="00FB099D">
      <w:pPr>
        <w:jc w:val="both"/>
      </w:pPr>
    </w:p>
    <w:p w:rsidR="00CF0BF9" w:rsidRDefault="00CF0BF9" w:rsidP="00FB099D">
      <w:pPr>
        <w:jc w:val="both"/>
      </w:pPr>
    </w:p>
    <w:p w:rsidR="00CF0BF9" w:rsidRDefault="00CF0BF9" w:rsidP="00FB099D">
      <w:pPr>
        <w:jc w:val="both"/>
      </w:pPr>
    </w:p>
    <w:p w:rsidR="00CF0BF9" w:rsidRDefault="00CF0BF9" w:rsidP="00FB099D">
      <w:pPr>
        <w:jc w:val="both"/>
      </w:pPr>
    </w:p>
    <w:p w:rsidR="00CF0BF9" w:rsidRDefault="00CF0BF9" w:rsidP="00FB099D">
      <w:pPr>
        <w:jc w:val="both"/>
      </w:pPr>
    </w:p>
    <w:p w:rsidR="00CF0BF9" w:rsidRDefault="00CF0BF9" w:rsidP="00FB099D">
      <w:pPr>
        <w:jc w:val="both"/>
      </w:pPr>
    </w:p>
    <w:p w:rsidR="00CF0BF9" w:rsidRDefault="00CF0BF9" w:rsidP="00FB099D">
      <w:pPr>
        <w:jc w:val="both"/>
      </w:pPr>
    </w:p>
    <w:p w:rsidR="00CF0BF9" w:rsidRDefault="00CF0BF9" w:rsidP="00FB099D">
      <w:pPr>
        <w:jc w:val="both"/>
      </w:pPr>
    </w:p>
    <w:p w:rsidR="00CF0BF9" w:rsidRDefault="00CF0BF9" w:rsidP="00FB099D">
      <w:pPr>
        <w:jc w:val="both"/>
      </w:pPr>
    </w:p>
    <w:p w:rsidR="00995DD2" w:rsidRDefault="00CF0BF9" w:rsidP="00E87672">
      <w:pPr>
        <w:pStyle w:val="Heading1"/>
      </w:pPr>
      <w:bookmarkStart w:id="318" w:name="_Toc532553184"/>
      <w:r>
        <w:lastRenderedPageBreak/>
        <w:t>Appendix 4: Chapter 5 Supplemental</w:t>
      </w:r>
      <w:bookmarkEnd w:id="318"/>
    </w:p>
    <w:p w:rsidR="00CF0BF9" w:rsidRDefault="00CF0BF9" w:rsidP="009D07E7">
      <w:pPr>
        <w:keepNext/>
        <w:jc w:val="both"/>
      </w:pPr>
      <w:r>
        <w:rPr>
          <w:noProof/>
          <w:lang w:bidi="ar-SA"/>
        </w:rPr>
        <w:drawing>
          <wp:inline distT="0" distB="0" distL="0" distR="0" wp14:anchorId="4A46D88C" wp14:editId="1AEE42E3">
            <wp:extent cx="2707005" cy="3084830"/>
            <wp:effectExtent l="19050" t="19050" r="17145" b="203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07005" cy="3084830"/>
                    </a:xfrm>
                    <a:prstGeom prst="rect">
                      <a:avLst/>
                    </a:prstGeom>
                    <a:noFill/>
                    <a:ln>
                      <a:solidFill>
                        <a:schemeClr val="tx1"/>
                      </a:solidFill>
                    </a:ln>
                  </pic:spPr>
                </pic:pic>
              </a:graphicData>
            </a:graphic>
          </wp:inline>
        </w:drawing>
      </w:r>
    </w:p>
    <w:p w:rsidR="00CF0BF9" w:rsidRPr="00CF0BF9" w:rsidRDefault="00A841B4" w:rsidP="00FB099D">
      <w:pPr>
        <w:pStyle w:val="Caption"/>
        <w:jc w:val="both"/>
      </w:pPr>
      <w:bookmarkStart w:id="319" w:name="_Ref530317906"/>
      <w:bookmarkStart w:id="320" w:name="_Toc530673994"/>
      <w:r w:rsidRPr="00A841B4">
        <w:t>Figure</w:t>
      </w:r>
      <w:r w:rsidR="00CF0BF9">
        <w:t xml:space="preserve"> </w:t>
      </w:r>
      <w:fldSimple w:instr=" SEQ Figure \* ARABIC ">
        <w:r w:rsidR="00E2070A">
          <w:rPr>
            <w:noProof/>
          </w:rPr>
          <w:t>69</w:t>
        </w:r>
      </w:fldSimple>
      <w:bookmarkEnd w:id="319"/>
      <w:r w:rsidR="00CF0BF9">
        <w:t xml:space="preserve">: An ER-Stress inhibitor does not rescue OSBP induced OSW-1 degradation. </w:t>
      </w:r>
      <w:r w:rsidR="00CF0BF9">
        <w:rPr>
          <w:b w:val="0"/>
        </w:rPr>
        <w:t xml:space="preserve">HEK293 cells were treated with DMSO, 1 nM OSW-1, or 1 nM OSW-1 with 50 </w:t>
      </w:r>
      <w:r w:rsidR="00CF0BF9">
        <w:rPr>
          <w:rFonts w:cstheme="minorHAnsi"/>
          <w:b w:val="0"/>
        </w:rPr>
        <w:t>µ</w:t>
      </w:r>
      <w:r w:rsidR="00CF0BF9">
        <w:rPr>
          <w:b w:val="0"/>
        </w:rPr>
        <w:t>M STF-0803010 for 24 hours and analyzed by western blot.</w:t>
      </w:r>
      <w:bookmarkEnd w:id="320"/>
    </w:p>
    <w:p w:rsidR="00995DD2" w:rsidRDefault="00995DD2" w:rsidP="00FB099D">
      <w:pPr>
        <w:jc w:val="both"/>
      </w:pPr>
    </w:p>
    <w:p w:rsidR="009D07E7" w:rsidRDefault="009D07E7" w:rsidP="009D07E7">
      <w:pPr>
        <w:keepNext/>
        <w:jc w:val="both"/>
      </w:pPr>
      <w:r>
        <w:rPr>
          <w:noProof/>
          <w:lang w:bidi="ar-SA"/>
        </w:rPr>
        <w:lastRenderedPageBreak/>
        <w:drawing>
          <wp:inline distT="0" distB="0" distL="0" distR="0" wp14:anchorId="06DF2DC5" wp14:editId="3AEB860E">
            <wp:extent cx="5394960" cy="5935439"/>
            <wp:effectExtent l="19050" t="19050" r="1524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94960" cy="5935439"/>
                    </a:xfrm>
                    <a:prstGeom prst="rect">
                      <a:avLst/>
                    </a:prstGeom>
                    <a:noFill/>
                    <a:ln>
                      <a:solidFill>
                        <a:schemeClr val="tx1"/>
                      </a:solidFill>
                    </a:ln>
                  </pic:spPr>
                </pic:pic>
              </a:graphicData>
            </a:graphic>
          </wp:inline>
        </w:drawing>
      </w:r>
    </w:p>
    <w:p w:rsidR="009D07E7" w:rsidRPr="009D07E7" w:rsidRDefault="009D07E7" w:rsidP="009D07E7">
      <w:pPr>
        <w:pStyle w:val="Caption"/>
        <w:jc w:val="both"/>
        <w:rPr>
          <w:b w:val="0"/>
        </w:rPr>
      </w:pPr>
      <w:bookmarkStart w:id="321" w:name="_Ref530577563"/>
      <w:bookmarkStart w:id="322" w:name="_Toc530673995"/>
      <w:r>
        <w:t xml:space="preserve">Figure </w:t>
      </w:r>
      <w:fldSimple w:instr=" SEQ Figure \* ARABIC ">
        <w:r w:rsidR="00E2070A">
          <w:rPr>
            <w:noProof/>
          </w:rPr>
          <w:t>70</w:t>
        </w:r>
      </w:fldSimple>
      <w:bookmarkEnd w:id="321"/>
      <w:r>
        <w:t>: Schweinfurthin A induces OSBP washout, but to a lesser extent</w:t>
      </w:r>
      <w:r w:rsidR="002045C8">
        <w:t xml:space="preserve"> than OSW-1</w:t>
      </w:r>
      <w:r>
        <w:t xml:space="preserve">. </w:t>
      </w:r>
      <w:r w:rsidR="002045C8">
        <w:rPr>
          <w:b w:val="0"/>
        </w:rPr>
        <w:t xml:space="preserve"> Continual </w:t>
      </w:r>
      <w:r>
        <w:rPr>
          <w:b w:val="0"/>
        </w:rPr>
        <w:t>500 nM Schweinfurthin A (SchwA</w:t>
      </w:r>
      <w:r w:rsidR="002045C8">
        <w:rPr>
          <w:b w:val="0"/>
        </w:rPr>
        <w:t xml:space="preserve"> (C), n=1</w:t>
      </w:r>
      <w:r>
        <w:rPr>
          <w:b w:val="0"/>
        </w:rPr>
        <w:t>)</w:t>
      </w:r>
      <w:r w:rsidR="002045C8">
        <w:rPr>
          <w:b w:val="0"/>
        </w:rPr>
        <w:t xml:space="preserve"> causes a slight drop of OSBP levels in HEK293. 6-hour treatment of 500 nM SchwA followed by washout leads to a significant drop of OSBP levels in HEK293 at 0-hour and 24-hour recovery (SchwA (0R) and SchwA (24R), n=3).</w:t>
      </w:r>
      <w:bookmarkEnd w:id="322"/>
      <w:r w:rsidR="002045C8">
        <w:rPr>
          <w:b w:val="0"/>
        </w:rPr>
        <w:t xml:space="preserve"> </w:t>
      </w:r>
    </w:p>
    <w:p w:rsidR="009D07E7" w:rsidRPr="00995DD2" w:rsidRDefault="009D07E7" w:rsidP="00FB099D">
      <w:pPr>
        <w:jc w:val="both"/>
      </w:pPr>
    </w:p>
    <w:p w:rsidR="002A0D94" w:rsidRPr="002A0D94" w:rsidRDefault="002A0D94" w:rsidP="00FB099D">
      <w:pPr>
        <w:jc w:val="both"/>
      </w:pPr>
    </w:p>
    <w:sectPr w:rsidR="002A0D94" w:rsidRPr="002A0D94" w:rsidSect="004F60D6">
      <w:footerReference w:type="default" r:id="rId8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507" w:rsidRDefault="00664507" w:rsidP="008E1C26">
      <w:pPr>
        <w:spacing w:line="240" w:lineRule="auto"/>
      </w:pPr>
      <w:r>
        <w:separator/>
      </w:r>
    </w:p>
  </w:endnote>
  <w:endnote w:type="continuationSeparator" w:id="0">
    <w:p w:rsidR="00664507" w:rsidRDefault="0066450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32A" w:rsidRDefault="00D9132A" w:rsidP="008E1C26">
    <w:pPr>
      <w:pStyle w:val="Footer"/>
      <w:jc w:val="center"/>
    </w:pPr>
    <w:r>
      <w:fldChar w:fldCharType="begin"/>
    </w:r>
    <w:r>
      <w:instrText xml:space="preserve"> PAGE   \* MERGEFORMAT </w:instrText>
    </w:r>
    <w:r>
      <w:fldChar w:fldCharType="separate"/>
    </w:r>
    <w:r w:rsidR="00E2070A">
      <w:rPr>
        <w:noProof/>
      </w:rPr>
      <w:t>xvii</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32A" w:rsidRDefault="00D9132A" w:rsidP="008E1C26">
    <w:pPr>
      <w:pStyle w:val="Footer"/>
      <w:jc w:val="center"/>
    </w:pPr>
    <w:r>
      <w:fldChar w:fldCharType="begin"/>
    </w:r>
    <w:r>
      <w:instrText xml:space="preserve"> PAGE   \* MERGEFORMAT </w:instrText>
    </w:r>
    <w:r>
      <w:fldChar w:fldCharType="separate"/>
    </w:r>
    <w:r w:rsidR="00E2070A">
      <w:rPr>
        <w:noProof/>
      </w:rPr>
      <w:t>70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507" w:rsidRDefault="00664507" w:rsidP="008E1C26">
      <w:pPr>
        <w:spacing w:line="240" w:lineRule="auto"/>
      </w:pPr>
      <w:r>
        <w:separator/>
      </w:r>
    </w:p>
  </w:footnote>
  <w:footnote w:type="continuationSeparator" w:id="0">
    <w:p w:rsidR="00664507" w:rsidRDefault="00664507"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1C10"/>
    <w:multiLevelType w:val="hybridMultilevel"/>
    <w:tmpl w:val="9998D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1A03FA"/>
    <w:multiLevelType w:val="multilevel"/>
    <w:tmpl w:val="1004BFD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27D77C1"/>
    <w:multiLevelType w:val="hybridMultilevel"/>
    <w:tmpl w:val="E5F47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93695"/>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616A12"/>
    <w:multiLevelType w:val="hybridMultilevel"/>
    <w:tmpl w:val="E7068F6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6E55BF"/>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1440AA"/>
    <w:multiLevelType w:val="hybridMultilevel"/>
    <w:tmpl w:val="E7CC0E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5E6C5F"/>
    <w:multiLevelType w:val="hybridMultilevel"/>
    <w:tmpl w:val="ACAE3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A2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5E4073"/>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B456DE"/>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4F76A7"/>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EC7B02"/>
    <w:multiLevelType w:val="hybridMultilevel"/>
    <w:tmpl w:val="82DCB5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4348B4"/>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E63EFF"/>
    <w:multiLevelType w:val="hybridMultilevel"/>
    <w:tmpl w:val="DFD45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7D335D1"/>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7C51C8"/>
    <w:multiLevelType w:val="hybridMultilevel"/>
    <w:tmpl w:val="368E5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F54F13"/>
    <w:multiLevelType w:val="hybridMultilevel"/>
    <w:tmpl w:val="88F236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1566536"/>
    <w:multiLevelType w:val="hybridMultilevel"/>
    <w:tmpl w:val="6074974C"/>
    <w:lvl w:ilvl="0" w:tplc="6CBCC6C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70F76C7"/>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6D7E3D"/>
    <w:multiLevelType w:val="hybridMultilevel"/>
    <w:tmpl w:val="7734AA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911485"/>
    <w:multiLevelType w:val="hybridMultilevel"/>
    <w:tmpl w:val="DF78B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800748"/>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9D0789F"/>
    <w:multiLevelType w:val="multilevel"/>
    <w:tmpl w:val="9D3EE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BD27515"/>
    <w:multiLevelType w:val="hybridMultilevel"/>
    <w:tmpl w:val="E612F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4"/>
  </w:num>
  <w:num w:numId="4">
    <w:abstractNumId w:val="8"/>
  </w:num>
  <w:num w:numId="5">
    <w:abstractNumId w:val="16"/>
  </w:num>
  <w:num w:numId="6">
    <w:abstractNumId w:val="19"/>
  </w:num>
  <w:num w:numId="7">
    <w:abstractNumId w:val="20"/>
  </w:num>
  <w:num w:numId="8">
    <w:abstractNumId w:val="24"/>
  </w:num>
  <w:num w:numId="9">
    <w:abstractNumId w:val="27"/>
  </w:num>
  <w:num w:numId="10">
    <w:abstractNumId w:val="7"/>
  </w:num>
  <w:num w:numId="11">
    <w:abstractNumId w:val="10"/>
  </w:num>
  <w:num w:numId="12">
    <w:abstractNumId w:val="12"/>
  </w:num>
  <w:num w:numId="13">
    <w:abstractNumId w:val="3"/>
  </w:num>
  <w:num w:numId="14">
    <w:abstractNumId w:val="0"/>
  </w:num>
  <w:num w:numId="15">
    <w:abstractNumId w:val="30"/>
  </w:num>
  <w:num w:numId="16">
    <w:abstractNumId w:val="13"/>
  </w:num>
  <w:num w:numId="17">
    <w:abstractNumId w:val="21"/>
  </w:num>
  <w:num w:numId="18">
    <w:abstractNumId w:val="25"/>
  </w:num>
  <w:num w:numId="19">
    <w:abstractNumId w:val="6"/>
  </w:num>
  <w:num w:numId="20">
    <w:abstractNumId w:val="22"/>
  </w:num>
  <w:num w:numId="21">
    <w:abstractNumId w:val="17"/>
  </w:num>
  <w:num w:numId="22">
    <w:abstractNumId w:val="4"/>
  </w:num>
  <w:num w:numId="23">
    <w:abstractNumId w:val="29"/>
  </w:num>
  <w:num w:numId="24">
    <w:abstractNumId w:val="18"/>
  </w:num>
  <w:num w:numId="25">
    <w:abstractNumId w:val="26"/>
  </w:num>
  <w:num w:numId="26">
    <w:abstractNumId w:val="15"/>
  </w:num>
  <w:num w:numId="27">
    <w:abstractNumId w:val="5"/>
  </w:num>
  <w:num w:numId="28">
    <w:abstractNumId w:val="2"/>
  </w:num>
  <w:num w:numId="29">
    <w:abstractNumId w:val="11"/>
  </w:num>
  <w:num w:numId="30">
    <w:abstractNumId w:val="23"/>
  </w:num>
  <w:num w:numId="31">
    <w:abstractNumId w:val="1"/>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0DB9"/>
    <w:rsid w:val="00000ED4"/>
    <w:rsid w:val="00006268"/>
    <w:rsid w:val="00007ACD"/>
    <w:rsid w:val="00013ECF"/>
    <w:rsid w:val="0001500A"/>
    <w:rsid w:val="00015B5C"/>
    <w:rsid w:val="000177A8"/>
    <w:rsid w:val="000222A4"/>
    <w:rsid w:val="000226CA"/>
    <w:rsid w:val="00025183"/>
    <w:rsid w:val="00025A12"/>
    <w:rsid w:val="0002601D"/>
    <w:rsid w:val="000326CD"/>
    <w:rsid w:val="000326F6"/>
    <w:rsid w:val="00032868"/>
    <w:rsid w:val="00032E8A"/>
    <w:rsid w:val="0003308E"/>
    <w:rsid w:val="00036A3E"/>
    <w:rsid w:val="000377B7"/>
    <w:rsid w:val="00037A4C"/>
    <w:rsid w:val="00041B04"/>
    <w:rsid w:val="00041DAB"/>
    <w:rsid w:val="00042529"/>
    <w:rsid w:val="00044558"/>
    <w:rsid w:val="00046011"/>
    <w:rsid w:val="0005374D"/>
    <w:rsid w:val="0005398D"/>
    <w:rsid w:val="00055BA5"/>
    <w:rsid w:val="0005770C"/>
    <w:rsid w:val="0006008D"/>
    <w:rsid w:val="00061BE9"/>
    <w:rsid w:val="0006337E"/>
    <w:rsid w:val="00063738"/>
    <w:rsid w:val="000639E3"/>
    <w:rsid w:val="00063FF8"/>
    <w:rsid w:val="00064705"/>
    <w:rsid w:val="00067F2E"/>
    <w:rsid w:val="00070470"/>
    <w:rsid w:val="00071D05"/>
    <w:rsid w:val="000725D4"/>
    <w:rsid w:val="00072B23"/>
    <w:rsid w:val="00072BA0"/>
    <w:rsid w:val="00074EDA"/>
    <w:rsid w:val="0007634D"/>
    <w:rsid w:val="00076B36"/>
    <w:rsid w:val="00077A99"/>
    <w:rsid w:val="00077F0A"/>
    <w:rsid w:val="00080423"/>
    <w:rsid w:val="0008176F"/>
    <w:rsid w:val="0008190A"/>
    <w:rsid w:val="000839D4"/>
    <w:rsid w:val="00083E13"/>
    <w:rsid w:val="0008433E"/>
    <w:rsid w:val="00084AE2"/>
    <w:rsid w:val="00084AE7"/>
    <w:rsid w:val="00085B99"/>
    <w:rsid w:val="00086E2D"/>
    <w:rsid w:val="000879FD"/>
    <w:rsid w:val="0009058F"/>
    <w:rsid w:val="00090590"/>
    <w:rsid w:val="00091A18"/>
    <w:rsid w:val="00093712"/>
    <w:rsid w:val="00095204"/>
    <w:rsid w:val="000A096D"/>
    <w:rsid w:val="000A3AC5"/>
    <w:rsid w:val="000A4BA1"/>
    <w:rsid w:val="000B1045"/>
    <w:rsid w:val="000B2CE6"/>
    <w:rsid w:val="000B42FB"/>
    <w:rsid w:val="000C0267"/>
    <w:rsid w:val="000C18E6"/>
    <w:rsid w:val="000C24B8"/>
    <w:rsid w:val="000C47E5"/>
    <w:rsid w:val="000C53CF"/>
    <w:rsid w:val="000D03CF"/>
    <w:rsid w:val="000D6C7C"/>
    <w:rsid w:val="000D7BD2"/>
    <w:rsid w:val="000E0498"/>
    <w:rsid w:val="000E2C83"/>
    <w:rsid w:val="000E5593"/>
    <w:rsid w:val="000E7056"/>
    <w:rsid w:val="000F1FA4"/>
    <w:rsid w:val="000F3C30"/>
    <w:rsid w:val="000F56FF"/>
    <w:rsid w:val="000F7FB8"/>
    <w:rsid w:val="00105BBB"/>
    <w:rsid w:val="00105DF6"/>
    <w:rsid w:val="0010671C"/>
    <w:rsid w:val="00107E01"/>
    <w:rsid w:val="00111915"/>
    <w:rsid w:val="00112051"/>
    <w:rsid w:val="0011215B"/>
    <w:rsid w:val="00113C2D"/>
    <w:rsid w:val="00115241"/>
    <w:rsid w:val="001164E7"/>
    <w:rsid w:val="00116A66"/>
    <w:rsid w:val="00123068"/>
    <w:rsid w:val="00126087"/>
    <w:rsid w:val="001263A8"/>
    <w:rsid w:val="00127E18"/>
    <w:rsid w:val="00134413"/>
    <w:rsid w:val="0013606C"/>
    <w:rsid w:val="00143875"/>
    <w:rsid w:val="00143C50"/>
    <w:rsid w:val="00145462"/>
    <w:rsid w:val="001504BE"/>
    <w:rsid w:val="00151211"/>
    <w:rsid w:val="00151374"/>
    <w:rsid w:val="0015171B"/>
    <w:rsid w:val="00153813"/>
    <w:rsid w:val="00154328"/>
    <w:rsid w:val="00154AB8"/>
    <w:rsid w:val="001577CF"/>
    <w:rsid w:val="00160D89"/>
    <w:rsid w:val="001617D3"/>
    <w:rsid w:val="001621C8"/>
    <w:rsid w:val="00162BDF"/>
    <w:rsid w:val="001701B0"/>
    <w:rsid w:val="00172240"/>
    <w:rsid w:val="00172CFA"/>
    <w:rsid w:val="00172E06"/>
    <w:rsid w:val="00172F3F"/>
    <w:rsid w:val="00173214"/>
    <w:rsid w:val="001754F1"/>
    <w:rsid w:val="001803DE"/>
    <w:rsid w:val="00180562"/>
    <w:rsid w:val="0018117E"/>
    <w:rsid w:val="00181300"/>
    <w:rsid w:val="001836A9"/>
    <w:rsid w:val="00187691"/>
    <w:rsid w:val="001904BC"/>
    <w:rsid w:val="00193131"/>
    <w:rsid w:val="0019535A"/>
    <w:rsid w:val="00196EDB"/>
    <w:rsid w:val="001A1D5C"/>
    <w:rsid w:val="001A1E57"/>
    <w:rsid w:val="001A3DDE"/>
    <w:rsid w:val="001A474D"/>
    <w:rsid w:val="001A6B1E"/>
    <w:rsid w:val="001A79C9"/>
    <w:rsid w:val="001B12EF"/>
    <w:rsid w:val="001B2C37"/>
    <w:rsid w:val="001B3703"/>
    <w:rsid w:val="001B521A"/>
    <w:rsid w:val="001B5ABA"/>
    <w:rsid w:val="001C10A0"/>
    <w:rsid w:val="001C22E0"/>
    <w:rsid w:val="001C3B63"/>
    <w:rsid w:val="001C3C3F"/>
    <w:rsid w:val="001D1E40"/>
    <w:rsid w:val="001D4FE6"/>
    <w:rsid w:val="001D5AFD"/>
    <w:rsid w:val="001D75E2"/>
    <w:rsid w:val="001D7B2F"/>
    <w:rsid w:val="001E15D7"/>
    <w:rsid w:val="001E2413"/>
    <w:rsid w:val="001E5551"/>
    <w:rsid w:val="001E64DA"/>
    <w:rsid w:val="001E7969"/>
    <w:rsid w:val="001F10EE"/>
    <w:rsid w:val="001F3628"/>
    <w:rsid w:val="001F4F8E"/>
    <w:rsid w:val="002045C8"/>
    <w:rsid w:val="00207987"/>
    <w:rsid w:val="00213365"/>
    <w:rsid w:val="002147D8"/>
    <w:rsid w:val="002175FA"/>
    <w:rsid w:val="00227893"/>
    <w:rsid w:val="00233EB1"/>
    <w:rsid w:val="00235164"/>
    <w:rsid w:val="00235E4F"/>
    <w:rsid w:val="00236B44"/>
    <w:rsid w:val="002436AD"/>
    <w:rsid w:val="00244696"/>
    <w:rsid w:val="00244B9C"/>
    <w:rsid w:val="00244C26"/>
    <w:rsid w:val="00245857"/>
    <w:rsid w:val="00246CE4"/>
    <w:rsid w:val="00250D40"/>
    <w:rsid w:val="00251197"/>
    <w:rsid w:val="002554BD"/>
    <w:rsid w:val="00255A17"/>
    <w:rsid w:val="00257382"/>
    <w:rsid w:val="0025754A"/>
    <w:rsid w:val="00257CA5"/>
    <w:rsid w:val="00260F9A"/>
    <w:rsid w:val="002610A1"/>
    <w:rsid w:val="00262749"/>
    <w:rsid w:val="0026403C"/>
    <w:rsid w:val="002668C9"/>
    <w:rsid w:val="0026786B"/>
    <w:rsid w:val="00267970"/>
    <w:rsid w:val="00267AC4"/>
    <w:rsid w:val="00270D3C"/>
    <w:rsid w:val="00271ED6"/>
    <w:rsid w:val="0027326F"/>
    <w:rsid w:val="002737E8"/>
    <w:rsid w:val="00274E2C"/>
    <w:rsid w:val="00282026"/>
    <w:rsid w:val="00283E6F"/>
    <w:rsid w:val="00286453"/>
    <w:rsid w:val="00287BFE"/>
    <w:rsid w:val="00293447"/>
    <w:rsid w:val="00294ABE"/>
    <w:rsid w:val="00294E65"/>
    <w:rsid w:val="00297DB7"/>
    <w:rsid w:val="002A0D94"/>
    <w:rsid w:val="002A0EC2"/>
    <w:rsid w:val="002A0FFA"/>
    <w:rsid w:val="002A35A3"/>
    <w:rsid w:val="002A6808"/>
    <w:rsid w:val="002B38BC"/>
    <w:rsid w:val="002B635B"/>
    <w:rsid w:val="002C200E"/>
    <w:rsid w:val="002C2941"/>
    <w:rsid w:val="002C2BA3"/>
    <w:rsid w:val="002C535B"/>
    <w:rsid w:val="002C5F97"/>
    <w:rsid w:val="002C6912"/>
    <w:rsid w:val="002C6CB0"/>
    <w:rsid w:val="002D1C28"/>
    <w:rsid w:val="002D46ED"/>
    <w:rsid w:val="002D5C6B"/>
    <w:rsid w:val="002D5E12"/>
    <w:rsid w:val="002D6E20"/>
    <w:rsid w:val="002E157F"/>
    <w:rsid w:val="002E233D"/>
    <w:rsid w:val="002F0931"/>
    <w:rsid w:val="002F62AB"/>
    <w:rsid w:val="003001D5"/>
    <w:rsid w:val="00301F17"/>
    <w:rsid w:val="003022A5"/>
    <w:rsid w:val="003028D1"/>
    <w:rsid w:val="003031BA"/>
    <w:rsid w:val="00304040"/>
    <w:rsid w:val="00304FD6"/>
    <w:rsid w:val="00305893"/>
    <w:rsid w:val="0030650A"/>
    <w:rsid w:val="00306D3B"/>
    <w:rsid w:val="00307446"/>
    <w:rsid w:val="0030767B"/>
    <w:rsid w:val="00310FC2"/>
    <w:rsid w:val="003138F3"/>
    <w:rsid w:val="00314F3F"/>
    <w:rsid w:val="003169EA"/>
    <w:rsid w:val="003218D0"/>
    <w:rsid w:val="00323A1D"/>
    <w:rsid w:val="003240AA"/>
    <w:rsid w:val="003241B7"/>
    <w:rsid w:val="00326133"/>
    <w:rsid w:val="003261EE"/>
    <w:rsid w:val="003278AA"/>
    <w:rsid w:val="00342757"/>
    <w:rsid w:val="00343673"/>
    <w:rsid w:val="003450B1"/>
    <w:rsid w:val="00345913"/>
    <w:rsid w:val="00346CC4"/>
    <w:rsid w:val="00352DFD"/>
    <w:rsid w:val="00357203"/>
    <w:rsid w:val="0035790D"/>
    <w:rsid w:val="003608FD"/>
    <w:rsid w:val="0036218F"/>
    <w:rsid w:val="00362FAB"/>
    <w:rsid w:val="003635D6"/>
    <w:rsid w:val="0036434C"/>
    <w:rsid w:val="0036520E"/>
    <w:rsid w:val="00366DBC"/>
    <w:rsid w:val="0037036A"/>
    <w:rsid w:val="00370C4D"/>
    <w:rsid w:val="003721FB"/>
    <w:rsid w:val="00385E9D"/>
    <w:rsid w:val="00386E26"/>
    <w:rsid w:val="003876D4"/>
    <w:rsid w:val="00387D20"/>
    <w:rsid w:val="00391047"/>
    <w:rsid w:val="00393159"/>
    <w:rsid w:val="00393368"/>
    <w:rsid w:val="00393590"/>
    <w:rsid w:val="00395EEF"/>
    <w:rsid w:val="00396207"/>
    <w:rsid w:val="00396213"/>
    <w:rsid w:val="00396846"/>
    <w:rsid w:val="00396C71"/>
    <w:rsid w:val="00397A35"/>
    <w:rsid w:val="003A060D"/>
    <w:rsid w:val="003A3130"/>
    <w:rsid w:val="003A44E1"/>
    <w:rsid w:val="003A6DFE"/>
    <w:rsid w:val="003A72FB"/>
    <w:rsid w:val="003B0A2F"/>
    <w:rsid w:val="003B73A8"/>
    <w:rsid w:val="003C0A75"/>
    <w:rsid w:val="003C1336"/>
    <w:rsid w:val="003C2AB2"/>
    <w:rsid w:val="003C31C2"/>
    <w:rsid w:val="003C49DE"/>
    <w:rsid w:val="003C608E"/>
    <w:rsid w:val="003C79ED"/>
    <w:rsid w:val="003D18F8"/>
    <w:rsid w:val="003D34F2"/>
    <w:rsid w:val="003D4B48"/>
    <w:rsid w:val="003D4DED"/>
    <w:rsid w:val="003D50DB"/>
    <w:rsid w:val="003D685A"/>
    <w:rsid w:val="003E0D97"/>
    <w:rsid w:val="003E12B7"/>
    <w:rsid w:val="003E22B5"/>
    <w:rsid w:val="003E35AC"/>
    <w:rsid w:val="003E3743"/>
    <w:rsid w:val="003F31A6"/>
    <w:rsid w:val="003F5703"/>
    <w:rsid w:val="003F73FF"/>
    <w:rsid w:val="00402175"/>
    <w:rsid w:val="00404C3B"/>
    <w:rsid w:val="004057C0"/>
    <w:rsid w:val="00406486"/>
    <w:rsid w:val="004109E3"/>
    <w:rsid w:val="0041658F"/>
    <w:rsid w:val="00417666"/>
    <w:rsid w:val="00423910"/>
    <w:rsid w:val="00423CB6"/>
    <w:rsid w:val="0042568D"/>
    <w:rsid w:val="00427050"/>
    <w:rsid w:val="00431665"/>
    <w:rsid w:val="00432BF2"/>
    <w:rsid w:val="00437673"/>
    <w:rsid w:val="00437E03"/>
    <w:rsid w:val="00437E67"/>
    <w:rsid w:val="004431F8"/>
    <w:rsid w:val="004438CF"/>
    <w:rsid w:val="004452D1"/>
    <w:rsid w:val="004468C9"/>
    <w:rsid w:val="00447AFD"/>
    <w:rsid w:val="004511CE"/>
    <w:rsid w:val="004526B6"/>
    <w:rsid w:val="00453511"/>
    <w:rsid w:val="00454DBD"/>
    <w:rsid w:val="004560ED"/>
    <w:rsid w:val="004578F9"/>
    <w:rsid w:val="00457FC8"/>
    <w:rsid w:val="00461AA9"/>
    <w:rsid w:val="0046399B"/>
    <w:rsid w:val="00464818"/>
    <w:rsid w:val="0046555D"/>
    <w:rsid w:val="0046558C"/>
    <w:rsid w:val="004674B2"/>
    <w:rsid w:val="00470B16"/>
    <w:rsid w:val="0047178D"/>
    <w:rsid w:val="00472B7F"/>
    <w:rsid w:val="00473C14"/>
    <w:rsid w:val="00475153"/>
    <w:rsid w:val="00480E94"/>
    <w:rsid w:val="00490CAC"/>
    <w:rsid w:val="0049250B"/>
    <w:rsid w:val="00493F63"/>
    <w:rsid w:val="0049488F"/>
    <w:rsid w:val="00495F15"/>
    <w:rsid w:val="004A0D71"/>
    <w:rsid w:val="004A4617"/>
    <w:rsid w:val="004A52B4"/>
    <w:rsid w:val="004A5D7B"/>
    <w:rsid w:val="004A7222"/>
    <w:rsid w:val="004B00E4"/>
    <w:rsid w:val="004B0503"/>
    <w:rsid w:val="004B0E31"/>
    <w:rsid w:val="004B2848"/>
    <w:rsid w:val="004B38EB"/>
    <w:rsid w:val="004B4022"/>
    <w:rsid w:val="004B68E9"/>
    <w:rsid w:val="004C470C"/>
    <w:rsid w:val="004C4888"/>
    <w:rsid w:val="004D069C"/>
    <w:rsid w:val="004D1DF7"/>
    <w:rsid w:val="004D5FF7"/>
    <w:rsid w:val="004D7979"/>
    <w:rsid w:val="004D7FF3"/>
    <w:rsid w:val="004E0B66"/>
    <w:rsid w:val="004E0BF4"/>
    <w:rsid w:val="004E1B20"/>
    <w:rsid w:val="004E41F4"/>
    <w:rsid w:val="004F003C"/>
    <w:rsid w:val="004F60D6"/>
    <w:rsid w:val="004F6E3B"/>
    <w:rsid w:val="004F78B6"/>
    <w:rsid w:val="005033B8"/>
    <w:rsid w:val="00505D66"/>
    <w:rsid w:val="005077E9"/>
    <w:rsid w:val="00507C72"/>
    <w:rsid w:val="0051016F"/>
    <w:rsid w:val="0051425D"/>
    <w:rsid w:val="00526FC2"/>
    <w:rsid w:val="0053028C"/>
    <w:rsid w:val="0053031F"/>
    <w:rsid w:val="00530B35"/>
    <w:rsid w:val="005318A6"/>
    <w:rsid w:val="005354E8"/>
    <w:rsid w:val="0054306A"/>
    <w:rsid w:val="00550618"/>
    <w:rsid w:val="0055361A"/>
    <w:rsid w:val="00554BBF"/>
    <w:rsid w:val="00554E31"/>
    <w:rsid w:val="005557F5"/>
    <w:rsid w:val="00555A71"/>
    <w:rsid w:val="00556429"/>
    <w:rsid w:val="00556BB4"/>
    <w:rsid w:val="005578A9"/>
    <w:rsid w:val="005603FF"/>
    <w:rsid w:val="00560A95"/>
    <w:rsid w:val="00570C3B"/>
    <w:rsid w:val="00571290"/>
    <w:rsid w:val="00574B30"/>
    <w:rsid w:val="0057639C"/>
    <w:rsid w:val="00576F4B"/>
    <w:rsid w:val="0057775C"/>
    <w:rsid w:val="00582A00"/>
    <w:rsid w:val="00582EBC"/>
    <w:rsid w:val="00583C7E"/>
    <w:rsid w:val="0058471A"/>
    <w:rsid w:val="0058476D"/>
    <w:rsid w:val="00585E2C"/>
    <w:rsid w:val="005900AF"/>
    <w:rsid w:val="005924C4"/>
    <w:rsid w:val="00592F0A"/>
    <w:rsid w:val="005950B5"/>
    <w:rsid w:val="00595DFF"/>
    <w:rsid w:val="005972BD"/>
    <w:rsid w:val="005A1B3A"/>
    <w:rsid w:val="005A1BCB"/>
    <w:rsid w:val="005A2B79"/>
    <w:rsid w:val="005A2B7D"/>
    <w:rsid w:val="005A31B8"/>
    <w:rsid w:val="005A4334"/>
    <w:rsid w:val="005A4419"/>
    <w:rsid w:val="005A44E2"/>
    <w:rsid w:val="005A6116"/>
    <w:rsid w:val="005A68D1"/>
    <w:rsid w:val="005B0705"/>
    <w:rsid w:val="005B16E2"/>
    <w:rsid w:val="005B2319"/>
    <w:rsid w:val="005B4DAC"/>
    <w:rsid w:val="005B54FE"/>
    <w:rsid w:val="005B6A12"/>
    <w:rsid w:val="005C1925"/>
    <w:rsid w:val="005C1A59"/>
    <w:rsid w:val="005C2626"/>
    <w:rsid w:val="005C2E87"/>
    <w:rsid w:val="005C5180"/>
    <w:rsid w:val="005C63D2"/>
    <w:rsid w:val="005C67D8"/>
    <w:rsid w:val="005C7F0D"/>
    <w:rsid w:val="005D1C9F"/>
    <w:rsid w:val="005D2ADA"/>
    <w:rsid w:val="005D3378"/>
    <w:rsid w:val="005D4736"/>
    <w:rsid w:val="005E303D"/>
    <w:rsid w:val="005E4814"/>
    <w:rsid w:val="005E4A9F"/>
    <w:rsid w:val="005E5EA4"/>
    <w:rsid w:val="005E6309"/>
    <w:rsid w:val="005E64CF"/>
    <w:rsid w:val="005E6B43"/>
    <w:rsid w:val="005E7702"/>
    <w:rsid w:val="005E78EC"/>
    <w:rsid w:val="005F1637"/>
    <w:rsid w:val="005F1933"/>
    <w:rsid w:val="005F35B5"/>
    <w:rsid w:val="005F3E0E"/>
    <w:rsid w:val="005F47D4"/>
    <w:rsid w:val="005F53C5"/>
    <w:rsid w:val="005F564E"/>
    <w:rsid w:val="005F6CA7"/>
    <w:rsid w:val="006010A2"/>
    <w:rsid w:val="0060149E"/>
    <w:rsid w:val="00602F09"/>
    <w:rsid w:val="00603676"/>
    <w:rsid w:val="00605C9B"/>
    <w:rsid w:val="00610742"/>
    <w:rsid w:val="00614F37"/>
    <w:rsid w:val="00615C4C"/>
    <w:rsid w:val="00621027"/>
    <w:rsid w:val="006212D9"/>
    <w:rsid w:val="00622B25"/>
    <w:rsid w:val="00626D47"/>
    <w:rsid w:val="006273C0"/>
    <w:rsid w:val="00630E3E"/>
    <w:rsid w:val="00633C74"/>
    <w:rsid w:val="0063669E"/>
    <w:rsid w:val="00644A7E"/>
    <w:rsid w:val="00645A8F"/>
    <w:rsid w:val="00647814"/>
    <w:rsid w:val="00651823"/>
    <w:rsid w:val="006521C8"/>
    <w:rsid w:val="00653C73"/>
    <w:rsid w:val="006548DB"/>
    <w:rsid w:val="00657649"/>
    <w:rsid w:val="00661C13"/>
    <w:rsid w:val="00664507"/>
    <w:rsid w:val="006700EF"/>
    <w:rsid w:val="00671534"/>
    <w:rsid w:val="00673A4A"/>
    <w:rsid w:val="006751D9"/>
    <w:rsid w:val="00675527"/>
    <w:rsid w:val="0067568E"/>
    <w:rsid w:val="006760D2"/>
    <w:rsid w:val="006760F6"/>
    <w:rsid w:val="006760F9"/>
    <w:rsid w:val="00676FA0"/>
    <w:rsid w:val="00687F15"/>
    <w:rsid w:val="006933F6"/>
    <w:rsid w:val="0069531B"/>
    <w:rsid w:val="0069549B"/>
    <w:rsid w:val="00695B7E"/>
    <w:rsid w:val="006A1879"/>
    <w:rsid w:val="006A2B41"/>
    <w:rsid w:val="006A40CE"/>
    <w:rsid w:val="006A6340"/>
    <w:rsid w:val="006A6E20"/>
    <w:rsid w:val="006A716F"/>
    <w:rsid w:val="006B1244"/>
    <w:rsid w:val="006B1D41"/>
    <w:rsid w:val="006B31E1"/>
    <w:rsid w:val="006B4721"/>
    <w:rsid w:val="006C38C4"/>
    <w:rsid w:val="006C43EC"/>
    <w:rsid w:val="006C4F96"/>
    <w:rsid w:val="006C526A"/>
    <w:rsid w:val="006C6D2E"/>
    <w:rsid w:val="006C700C"/>
    <w:rsid w:val="006C780E"/>
    <w:rsid w:val="006D1B98"/>
    <w:rsid w:val="006D5D11"/>
    <w:rsid w:val="006F10CE"/>
    <w:rsid w:val="006F3897"/>
    <w:rsid w:val="006F401C"/>
    <w:rsid w:val="006F5519"/>
    <w:rsid w:val="006F57EF"/>
    <w:rsid w:val="006F5F4F"/>
    <w:rsid w:val="0070017B"/>
    <w:rsid w:val="00700E04"/>
    <w:rsid w:val="00702424"/>
    <w:rsid w:val="00703E43"/>
    <w:rsid w:val="00705086"/>
    <w:rsid w:val="00706B57"/>
    <w:rsid w:val="00710DF6"/>
    <w:rsid w:val="00711D9A"/>
    <w:rsid w:val="00712117"/>
    <w:rsid w:val="0072190B"/>
    <w:rsid w:val="00721B56"/>
    <w:rsid w:val="00722A6D"/>
    <w:rsid w:val="00722FAB"/>
    <w:rsid w:val="007247B0"/>
    <w:rsid w:val="00727F12"/>
    <w:rsid w:val="00730509"/>
    <w:rsid w:val="00730F0A"/>
    <w:rsid w:val="007337A5"/>
    <w:rsid w:val="00734E44"/>
    <w:rsid w:val="00737D20"/>
    <w:rsid w:val="00741009"/>
    <w:rsid w:val="00741759"/>
    <w:rsid w:val="00746E16"/>
    <w:rsid w:val="00746FB9"/>
    <w:rsid w:val="00751F3D"/>
    <w:rsid w:val="007559B1"/>
    <w:rsid w:val="007562F4"/>
    <w:rsid w:val="00761FDB"/>
    <w:rsid w:val="0076350C"/>
    <w:rsid w:val="0076471F"/>
    <w:rsid w:val="007673D5"/>
    <w:rsid w:val="007718FE"/>
    <w:rsid w:val="00771F51"/>
    <w:rsid w:val="007739FB"/>
    <w:rsid w:val="00775701"/>
    <w:rsid w:val="00775DE1"/>
    <w:rsid w:val="00777258"/>
    <w:rsid w:val="00777B9C"/>
    <w:rsid w:val="0078225D"/>
    <w:rsid w:val="00784171"/>
    <w:rsid w:val="007864D2"/>
    <w:rsid w:val="0078679A"/>
    <w:rsid w:val="00787281"/>
    <w:rsid w:val="00787CDA"/>
    <w:rsid w:val="00791A1A"/>
    <w:rsid w:val="00791B24"/>
    <w:rsid w:val="00792CB6"/>
    <w:rsid w:val="00795185"/>
    <w:rsid w:val="00796188"/>
    <w:rsid w:val="007A2071"/>
    <w:rsid w:val="007A3953"/>
    <w:rsid w:val="007A56D3"/>
    <w:rsid w:val="007A587E"/>
    <w:rsid w:val="007B3A0D"/>
    <w:rsid w:val="007B436E"/>
    <w:rsid w:val="007C0934"/>
    <w:rsid w:val="007C1A68"/>
    <w:rsid w:val="007D0329"/>
    <w:rsid w:val="007D046E"/>
    <w:rsid w:val="007D1534"/>
    <w:rsid w:val="007D5597"/>
    <w:rsid w:val="007E1A30"/>
    <w:rsid w:val="007E715C"/>
    <w:rsid w:val="007E7C21"/>
    <w:rsid w:val="007F16C3"/>
    <w:rsid w:val="007F2648"/>
    <w:rsid w:val="007F282D"/>
    <w:rsid w:val="007F47D0"/>
    <w:rsid w:val="00804220"/>
    <w:rsid w:val="00807E2B"/>
    <w:rsid w:val="00810CF0"/>
    <w:rsid w:val="008120D0"/>
    <w:rsid w:val="00814686"/>
    <w:rsid w:val="008161EF"/>
    <w:rsid w:val="00816957"/>
    <w:rsid w:val="00817326"/>
    <w:rsid w:val="00817F5D"/>
    <w:rsid w:val="00824877"/>
    <w:rsid w:val="008253D8"/>
    <w:rsid w:val="0082601C"/>
    <w:rsid w:val="008264BE"/>
    <w:rsid w:val="00830A0A"/>
    <w:rsid w:val="00835528"/>
    <w:rsid w:val="00835897"/>
    <w:rsid w:val="008365CA"/>
    <w:rsid w:val="008409A5"/>
    <w:rsid w:val="00841129"/>
    <w:rsid w:val="00846CE6"/>
    <w:rsid w:val="00852EEF"/>
    <w:rsid w:val="00857551"/>
    <w:rsid w:val="008577C1"/>
    <w:rsid w:val="00864481"/>
    <w:rsid w:val="008662F9"/>
    <w:rsid w:val="008671EA"/>
    <w:rsid w:val="00867D62"/>
    <w:rsid w:val="008708A0"/>
    <w:rsid w:val="00874582"/>
    <w:rsid w:val="00877027"/>
    <w:rsid w:val="008770F1"/>
    <w:rsid w:val="00880789"/>
    <w:rsid w:val="00880ADC"/>
    <w:rsid w:val="00887C1C"/>
    <w:rsid w:val="00890F98"/>
    <w:rsid w:val="00893BA7"/>
    <w:rsid w:val="00895AD7"/>
    <w:rsid w:val="008967A9"/>
    <w:rsid w:val="00897187"/>
    <w:rsid w:val="008977E4"/>
    <w:rsid w:val="00897FBD"/>
    <w:rsid w:val="008A1EE9"/>
    <w:rsid w:val="008A4C28"/>
    <w:rsid w:val="008A4F22"/>
    <w:rsid w:val="008B1C7E"/>
    <w:rsid w:val="008B2F57"/>
    <w:rsid w:val="008B48C7"/>
    <w:rsid w:val="008B5E18"/>
    <w:rsid w:val="008C27FE"/>
    <w:rsid w:val="008C30EF"/>
    <w:rsid w:val="008C3F1D"/>
    <w:rsid w:val="008D3294"/>
    <w:rsid w:val="008D51BD"/>
    <w:rsid w:val="008D5EA8"/>
    <w:rsid w:val="008D616F"/>
    <w:rsid w:val="008D70E0"/>
    <w:rsid w:val="008E0489"/>
    <w:rsid w:val="008E0DEE"/>
    <w:rsid w:val="008E1C26"/>
    <w:rsid w:val="008E1FE9"/>
    <w:rsid w:val="008E56FE"/>
    <w:rsid w:val="008E64B6"/>
    <w:rsid w:val="008E71B2"/>
    <w:rsid w:val="008F1822"/>
    <w:rsid w:val="008F3523"/>
    <w:rsid w:val="008F362C"/>
    <w:rsid w:val="008F375F"/>
    <w:rsid w:val="009011AB"/>
    <w:rsid w:val="00907525"/>
    <w:rsid w:val="00910EF0"/>
    <w:rsid w:val="009119DF"/>
    <w:rsid w:val="00915DDB"/>
    <w:rsid w:val="00916E8D"/>
    <w:rsid w:val="00917004"/>
    <w:rsid w:val="009173C5"/>
    <w:rsid w:val="00917D6C"/>
    <w:rsid w:val="00923533"/>
    <w:rsid w:val="00923D09"/>
    <w:rsid w:val="009245C5"/>
    <w:rsid w:val="0092466E"/>
    <w:rsid w:val="00931BB1"/>
    <w:rsid w:val="0093327A"/>
    <w:rsid w:val="00937047"/>
    <w:rsid w:val="00940663"/>
    <w:rsid w:val="00940CAD"/>
    <w:rsid w:val="00940FAD"/>
    <w:rsid w:val="00942867"/>
    <w:rsid w:val="00944C6A"/>
    <w:rsid w:val="00946EF8"/>
    <w:rsid w:val="009520B4"/>
    <w:rsid w:val="00952BBC"/>
    <w:rsid w:val="009531E3"/>
    <w:rsid w:val="00953B72"/>
    <w:rsid w:val="00961548"/>
    <w:rsid w:val="00961BC8"/>
    <w:rsid w:val="00961C50"/>
    <w:rsid w:val="009621F0"/>
    <w:rsid w:val="009639CE"/>
    <w:rsid w:val="00964845"/>
    <w:rsid w:val="009671ED"/>
    <w:rsid w:val="00973021"/>
    <w:rsid w:val="0097344A"/>
    <w:rsid w:val="00976BD6"/>
    <w:rsid w:val="0098465D"/>
    <w:rsid w:val="00986853"/>
    <w:rsid w:val="0099046F"/>
    <w:rsid w:val="00992C28"/>
    <w:rsid w:val="00995672"/>
    <w:rsid w:val="00995DD2"/>
    <w:rsid w:val="009964E0"/>
    <w:rsid w:val="009978B2"/>
    <w:rsid w:val="009A1894"/>
    <w:rsid w:val="009A1A77"/>
    <w:rsid w:val="009A4511"/>
    <w:rsid w:val="009B2BCB"/>
    <w:rsid w:val="009B3055"/>
    <w:rsid w:val="009B34DF"/>
    <w:rsid w:val="009B362D"/>
    <w:rsid w:val="009B49FC"/>
    <w:rsid w:val="009B53F2"/>
    <w:rsid w:val="009B5CCB"/>
    <w:rsid w:val="009B7E60"/>
    <w:rsid w:val="009C06FB"/>
    <w:rsid w:val="009C0FD7"/>
    <w:rsid w:val="009C3C6E"/>
    <w:rsid w:val="009C5137"/>
    <w:rsid w:val="009C7749"/>
    <w:rsid w:val="009D07E7"/>
    <w:rsid w:val="009D2AD7"/>
    <w:rsid w:val="009D4261"/>
    <w:rsid w:val="009D695B"/>
    <w:rsid w:val="009D779F"/>
    <w:rsid w:val="009E3C8D"/>
    <w:rsid w:val="009F0D45"/>
    <w:rsid w:val="009F24D5"/>
    <w:rsid w:val="009F260B"/>
    <w:rsid w:val="009F2AAE"/>
    <w:rsid w:val="009F5E7A"/>
    <w:rsid w:val="009F6B15"/>
    <w:rsid w:val="00A0094B"/>
    <w:rsid w:val="00A02001"/>
    <w:rsid w:val="00A0699E"/>
    <w:rsid w:val="00A10324"/>
    <w:rsid w:val="00A11A80"/>
    <w:rsid w:val="00A12B59"/>
    <w:rsid w:val="00A1633C"/>
    <w:rsid w:val="00A204D7"/>
    <w:rsid w:val="00A22087"/>
    <w:rsid w:val="00A239D6"/>
    <w:rsid w:val="00A275F4"/>
    <w:rsid w:val="00A34EAF"/>
    <w:rsid w:val="00A355B3"/>
    <w:rsid w:val="00A36808"/>
    <w:rsid w:val="00A37DC3"/>
    <w:rsid w:val="00A42AB2"/>
    <w:rsid w:val="00A460F3"/>
    <w:rsid w:val="00A50007"/>
    <w:rsid w:val="00A512BB"/>
    <w:rsid w:val="00A51BE2"/>
    <w:rsid w:val="00A52166"/>
    <w:rsid w:val="00A523B9"/>
    <w:rsid w:val="00A53A77"/>
    <w:rsid w:val="00A5626C"/>
    <w:rsid w:val="00A5670A"/>
    <w:rsid w:val="00A639E8"/>
    <w:rsid w:val="00A705BF"/>
    <w:rsid w:val="00A726C9"/>
    <w:rsid w:val="00A77093"/>
    <w:rsid w:val="00A77A5E"/>
    <w:rsid w:val="00A818FC"/>
    <w:rsid w:val="00A82147"/>
    <w:rsid w:val="00A841B4"/>
    <w:rsid w:val="00A85716"/>
    <w:rsid w:val="00A87A74"/>
    <w:rsid w:val="00A87FC7"/>
    <w:rsid w:val="00A97795"/>
    <w:rsid w:val="00A97C08"/>
    <w:rsid w:val="00AA06C7"/>
    <w:rsid w:val="00AA0B13"/>
    <w:rsid w:val="00AA1B3B"/>
    <w:rsid w:val="00AA4365"/>
    <w:rsid w:val="00AB1C75"/>
    <w:rsid w:val="00AB1D02"/>
    <w:rsid w:val="00AB3CE9"/>
    <w:rsid w:val="00AB7C7E"/>
    <w:rsid w:val="00AC5E50"/>
    <w:rsid w:val="00AD02D2"/>
    <w:rsid w:val="00AD731C"/>
    <w:rsid w:val="00AD76B0"/>
    <w:rsid w:val="00AE0583"/>
    <w:rsid w:val="00AE781C"/>
    <w:rsid w:val="00AF0BB2"/>
    <w:rsid w:val="00AF22F3"/>
    <w:rsid w:val="00AF6065"/>
    <w:rsid w:val="00AF6D22"/>
    <w:rsid w:val="00B021CD"/>
    <w:rsid w:val="00B02F62"/>
    <w:rsid w:val="00B07B54"/>
    <w:rsid w:val="00B11B38"/>
    <w:rsid w:val="00B152A4"/>
    <w:rsid w:val="00B15DB7"/>
    <w:rsid w:val="00B1694D"/>
    <w:rsid w:val="00B224CD"/>
    <w:rsid w:val="00B242B4"/>
    <w:rsid w:val="00B25249"/>
    <w:rsid w:val="00B257E2"/>
    <w:rsid w:val="00B26394"/>
    <w:rsid w:val="00B267C0"/>
    <w:rsid w:val="00B270FE"/>
    <w:rsid w:val="00B27960"/>
    <w:rsid w:val="00B303C5"/>
    <w:rsid w:val="00B35EEB"/>
    <w:rsid w:val="00B36426"/>
    <w:rsid w:val="00B37803"/>
    <w:rsid w:val="00B40D03"/>
    <w:rsid w:val="00B517D6"/>
    <w:rsid w:val="00B52783"/>
    <w:rsid w:val="00B53147"/>
    <w:rsid w:val="00B54DB6"/>
    <w:rsid w:val="00B554ED"/>
    <w:rsid w:val="00B56FF9"/>
    <w:rsid w:val="00B574EE"/>
    <w:rsid w:val="00B60C6D"/>
    <w:rsid w:val="00B64772"/>
    <w:rsid w:val="00B66E54"/>
    <w:rsid w:val="00B67A30"/>
    <w:rsid w:val="00B75315"/>
    <w:rsid w:val="00B82386"/>
    <w:rsid w:val="00B8300D"/>
    <w:rsid w:val="00B85D23"/>
    <w:rsid w:val="00B86BD8"/>
    <w:rsid w:val="00B905E2"/>
    <w:rsid w:val="00B95BF1"/>
    <w:rsid w:val="00B96547"/>
    <w:rsid w:val="00B96D75"/>
    <w:rsid w:val="00B97A47"/>
    <w:rsid w:val="00BA1511"/>
    <w:rsid w:val="00BA1A3A"/>
    <w:rsid w:val="00BA25CC"/>
    <w:rsid w:val="00BA291B"/>
    <w:rsid w:val="00BA47B6"/>
    <w:rsid w:val="00BA6E18"/>
    <w:rsid w:val="00BA7642"/>
    <w:rsid w:val="00BA78AD"/>
    <w:rsid w:val="00BA7CB4"/>
    <w:rsid w:val="00BB05C5"/>
    <w:rsid w:val="00BB09B7"/>
    <w:rsid w:val="00BB364B"/>
    <w:rsid w:val="00BB3F72"/>
    <w:rsid w:val="00BB4E66"/>
    <w:rsid w:val="00BB50E5"/>
    <w:rsid w:val="00BB678C"/>
    <w:rsid w:val="00BB7E01"/>
    <w:rsid w:val="00BC0618"/>
    <w:rsid w:val="00BC2535"/>
    <w:rsid w:val="00BC329B"/>
    <w:rsid w:val="00BC46C8"/>
    <w:rsid w:val="00BD07FA"/>
    <w:rsid w:val="00BD1142"/>
    <w:rsid w:val="00BD1508"/>
    <w:rsid w:val="00BD38F8"/>
    <w:rsid w:val="00BD45C8"/>
    <w:rsid w:val="00BD5F5B"/>
    <w:rsid w:val="00BD7A9F"/>
    <w:rsid w:val="00BD7B52"/>
    <w:rsid w:val="00BE3671"/>
    <w:rsid w:val="00BE65A1"/>
    <w:rsid w:val="00BE6DE9"/>
    <w:rsid w:val="00BF0412"/>
    <w:rsid w:val="00BF0C64"/>
    <w:rsid w:val="00BF2E36"/>
    <w:rsid w:val="00BF37E3"/>
    <w:rsid w:val="00BF6668"/>
    <w:rsid w:val="00C0266E"/>
    <w:rsid w:val="00C10ABC"/>
    <w:rsid w:val="00C16C66"/>
    <w:rsid w:val="00C20A7B"/>
    <w:rsid w:val="00C22D5A"/>
    <w:rsid w:val="00C22E91"/>
    <w:rsid w:val="00C24A5E"/>
    <w:rsid w:val="00C24E8E"/>
    <w:rsid w:val="00C257D0"/>
    <w:rsid w:val="00C26EC5"/>
    <w:rsid w:val="00C35BF8"/>
    <w:rsid w:val="00C3614A"/>
    <w:rsid w:val="00C3745C"/>
    <w:rsid w:val="00C4062A"/>
    <w:rsid w:val="00C41AB3"/>
    <w:rsid w:val="00C42093"/>
    <w:rsid w:val="00C421EE"/>
    <w:rsid w:val="00C44130"/>
    <w:rsid w:val="00C451B2"/>
    <w:rsid w:val="00C472EB"/>
    <w:rsid w:val="00C479D6"/>
    <w:rsid w:val="00C51A26"/>
    <w:rsid w:val="00C51F0A"/>
    <w:rsid w:val="00C5325B"/>
    <w:rsid w:val="00C54100"/>
    <w:rsid w:val="00C63C23"/>
    <w:rsid w:val="00C65388"/>
    <w:rsid w:val="00C6703B"/>
    <w:rsid w:val="00C67293"/>
    <w:rsid w:val="00C750DE"/>
    <w:rsid w:val="00C772E5"/>
    <w:rsid w:val="00C77CEF"/>
    <w:rsid w:val="00C82963"/>
    <w:rsid w:val="00C82F83"/>
    <w:rsid w:val="00C8326D"/>
    <w:rsid w:val="00C84028"/>
    <w:rsid w:val="00C87048"/>
    <w:rsid w:val="00C874A0"/>
    <w:rsid w:val="00C90A08"/>
    <w:rsid w:val="00C9132A"/>
    <w:rsid w:val="00C92079"/>
    <w:rsid w:val="00CA0E7F"/>
    <w:rsid w:val="00CA1992"/>
    <w:rsid w:val="00CA394E"/>
    <w:rsid w:val="00CA498F"/>
    <w:rsid w:val="00CA648C"/>
    <w:rsid w:val="00CA6D1D"/>
    <w:rsid w:val="00CB5008"/>
    <w:rsid w:val="00CB5D77"/>
    <w:rsid w:val="00CB607C"/>
    <w:rsid w:val="00CC1574"/>
    <w:rsid w:val="00CC77CF"/>
    <w:rsid w:val="00CC7E26"/>
    <w:rsid w:val="00CD6B8E"/>
    <w:rsid w:val="00CE1968"/>
    <w:rsid w:val="00CE4EC0"/>
    <w:rsid w:val="00CE6E81"/>
    <w:rsid w:val="00CF0BF9"/>
    <w:rsid w:val="00CF13F1"/>
    <w:rsid w:val="00CF2F6C"/>
    <w:rsid w:val="00CF336A"/>
    <w:rsid w:val="00CF411B"/>
    <w:rsid w:val="00CF71A2"/>
    <w:rsid w:val="00D02FE2"/>
    <w:rsid w:val="00D04B0E"/>
    <w:rsid w:val="00D11014"/>
    <w:rsid w:val="00D11F57"/>
    <w:rsid w:val="00D159E6"/>
    <w:rsid w:val="00D1734F"/>
    <w:rsid w:val="00D20CC8"/>
    <w:rsid w:val="00D20F1F"/>
    <w:rsid w:val="00D25907"/>
    <w:rsid w:val="00D31650"/>
    <w:rsid w:val="00D323D6"/>
    <w:rsid w:val="00D3460A"/>
    <w:rsid w:val="00D34EC5"/>
    <w:rsid w:val="00D41283"/>
    <w:rsid w:val="00D41EAF"/>
    <w:rsid w:val="00D45056"/>
    <w:rsid w:val="00D47C57"/>
    <w:rsid w:val="00D47EAE"/>
    <w:rsid w:val="00D51FC4"/>
    <w:rsid w:val="00D54F29"/>
    <w:rsid w:val="00D55F32"/>
    <w:rsid w:val="00D56F45"/>
    <w:rsid w:val="00D57608"/>
    <w:rsid w:val="00D57EF3"/>
    <w:rsid w:val="00D65384"/>
    <w:rsid w:val="00D67402"/>
    <w:rsid w:val="00D741FF"/>
    <w:rsid w:val="00D743C8"/>
    <w:rsid w:val="00D75B66"/>
    <w:rsid w:val="00D76DFE"/>
    <w:rsid w:val="00D777D3"/>
    <w:rsid w:val="00D80E56"/>
    <w:rsid w:val="00D8126B"/>
    <w:rsid w:val="00D8382E"/>
    <w:rsid w:val="00D83F31"/>
    <w:rsid w:val="00D9132A"/>
    <w:rsid w:val="00D97CFA"/>
    <w:rsid w:val="00DA02BF"/>
    <w:rsid w:val="00DA1614"/>
    <w:rsid w:val="00DA1971"/>
    <w:rsid w:val="00DA3BB5"/>
    <w:rsid w:val="00DA5757"/>
    <w:rsid w:val="00DB04B7"/>
    <w:rsid w:val="00DB4AE7"/>
    <w:rsid w:val="00DB57AB"/>
    <w:rsid w:val="00DB602F"/>
    <w:rsid w:val="00DB64F2"/>
    <w:rsid w:val="00DB664C"/>
    <w:rsid w:val="00DC4346"/>
    <w:rsid w:val="00DC5D69"/>
    <w:rsid w:val="00DC6749"/>
    <w:rsid w:val="00DD039F"/>
    <w:rsid w:val="00DD3D33"/>
    <w:rsid w:val="00DD484C"/>
    <w:rsid w:val="00DD49D0"/>
    <w:rsid w:val="00DD6015"/>
    <w:rsid w:val="00DD79F1"/>
    <w:rsid w:val="00DD7C9C"/>
    <w:rsid w:val="00DE0064"/>
    <w:rsid w:val="00DE076B"/>
    <w:rsid w:val="00DE1EF7"/>
    <w:rsid w:val="00DE50F8"/>
    <w:rsid w:val="00DE607D"/>
    <w:rsid w:val="00DE72B2"/>
    <w:rsid w:val="00DF109A"/>
    <w:rsid w:val="00DF46BB"/>
    <w:rsid w:val="00DF4B88"/>
    <w:rsid w:val="00DF6BE7"/>
    <w:rsid w:val="00E012C9"/>
    <w:rsid w:val="00E04EC6"/>
    <w:rsid w:val="00E0501B"/>
    <w:rsid w:val="00E06FE2"/>
    <w:rsid w:val="00E076CA"/>
    <w:rsid w:val="00E11D2F"/>
    <w:rsid w:val="00E14895"/>
    <w:rsid w:val="00E167C5"/>
    <w:rsid w:val="00E2070A"/>
    <w:rsid w:val="00E20829"/>
    <w:rsid w:val="00E20B9A"/>
    <w:rsid w:val="00E20FFE"/>
    <w:rsid w:val="00E227D7"/>
    <w:rsid w:val="00E23A6C"/>
    <w:rsid w:val="00E23F0E"/>
    <w:rsid w:val="00E252B0"/>
    <w:rsid w:val="00E2611D"/>
    <w:rsid w:val="00E307B9"/>
    <w:rsid w:val="00E30DA2"/>
    <w:rsid w:val="00E32406"/>
    <w:rsid w:val="00E334BB"/>
    <w:rsid w:val="00E33E7D"/>
    <w:rsid w:val="00E36F5A"/>
    <w:rsid w:val="00E3745F"/>
    <w:rsid w:val="00E43E10"/>
    <w:rsid w:val="00E44633"/>
    <w:rsid w:val="00E453E8"/>
    <w:rsid w:val="00E45942"/>
    <w:rsid w:val="00E46E85"/>
    <w:rsid w:val="00E50E02"/>
    <w:rsid w:val="00E53D7E"/>
    <w:rsid w:val="00E55AC1"/>
    <w:rsid w:val="00E56ED2"/>
    <w:rsid w:val="00E57DB8"/>
    <w:rsid w:val="00E6169A"/>
    <w:rsid w:val="00E61AED"/>
    <w:rsid w:val="00E61CD4"/>
    <w:rsid w:val="00E63B94"/>
    <w:rsid w:val="00E667C7"/>
    <w:rsid w:val="00E67AE7"/>
    <w:rsid w:val="00E70960"/>
    <w:rsid w:val="00E721AC"/>
    <w:rsid w:val="00E724F8"/>
    <w:rsid w:val="00E76DFB"/>
    <w:rsid w:val="00E77477"/>
    <w:rsid w:val="00E808A7"/>
    <w:rsid w:val="00E814F7"/>
    <w:rsid w:val="00E819D1"/>
    <w:rsid w:val="00E87672"/>
    <w:rsid w:val="00E877AE"/>
    <w:rsid w:val="00E921DB"/>
    <w:rsid w:val="00E9338F"/>
    <w:rsid w:val="00E934D3"/>
    <w:rsid w:val="00E97584"/>
    <w:rsid w:val="00E97CFC"/>
    <w:rsid w:val="00EA13D9"/>
    <w:rsid w:val="00EA70B9"/>
    <w:rsid w:val="00EA7996"/>
    <w:rsid w:val="00EA7E4F"/>
    <w:rsid w:val="00EB1566"/>
    <w:rsid w:val="00EB165B"/>
    <w:rsid w:val="00EB2789"/>
    <w:rsid w:val="00EB2BBA"/>
    <w:rsid w:val="00EB2BF9"/>
    <w:rsid w:val="00EB74E8"/>
    <w:rsid w:val="00EC27CD"/>
    <w:rsid w:val="00EC4EA6"/>
    <w:rsid w:val="00EC6B30"/>
    <w:rsid w:val="00ED0A16"/>
    <w:rsid w:val="00ED3E50"/>
    <w:rsid w:val="00ED42E4"/>
    <w:rsid w:val="00ED6F0B"/>
    <w:rsid w:val="00EE0A0A"/>
    <w:rsid w:val="00EE1461"/>
    <w:rsid w:val="00EE3797"/>
    <w:rsid w:val="00EE622D"/>
    <w:rsid w:val="00EE79C7"/>
    <w:rsid w:val="00EF1534"/>
    <w:rsid w:val="00EF6E46"/>
    <w:rsid w:val="00F014BA"/>
    <w:rsid w:val="00F0295D"/>
    <w:rsid w:val="00F03226"/>
    <w:rsid w:val="00F044E7"/>
    <w:rsid w:val="00F07FA6"/>
    <w:rsid w:val="00F126E2"/>
    <w:rsid w:val="00F13A1E"/>
    <w:rsid w:val="00F16961"/>
    <w:rsid w:val="00F17660"/>
    <w:rsid w:val="00F2054A"/>
    <w:rsid w:val="00F20E5F"/>
    <w:rsid w:val="00F241CB"/>
    <w:rsid w:val="00F26CDD"/>
    <w:rsid w:val="00F27248"/>
    <w:rsid w:val="00F32EB6"/>
    <w:rsid w:val="00F357B0"/>
    <w:rsid w:val="00F37F46"/>
    <w:rsid w:val="00F42F8B"/>
    <w:rsid w:val="00F46A49"/>
    <w:rsid w:val="00F47F31"/>
    <w:rsid w:val="00F50126"/>
    <w:rsid w:val="00F510DD"/>
    <w:rsid w:val="00F51EDC"/>
    <w:rsid w:val="00F60395"/>
    <w:rsid w:val="00F616FD"/>
    <w:rsid w:val="00F62D85"/>
    <w:rsid w:val="00F66DF8"/>
    <w:rsid w:val="00F700DF"/>
    <w:rsid w:val="00F7122D"/>
    <w:rsid w:val="00F73B45"/>
    <w:rsid w:val="00F749D1"/>
    <w:rsid w:val="00F75886"/>
    <w:rsid w:val="00F76303"/>
    <w:rsid w:val="00F81397"/>
    <w:rsid w:val="00F81E52"/>
    <w:rsid w:val="00F81FA6"/>
    <w:rsid w:val="00F8338A"/>
    <w:rsid w:val="00F83FEC"/>
    <w:rsid w:val="00F85E28"/>
    <w:rsid w:val="00F87923"/>
    <w:rsid w:val="00F93475"/>
    <w:rsid w:val="00F93CD4"/>
    <w:rsid w:val="00F9513E"/>
    <w:rsid w:val="00F95790"/>
    <w:rsid w:val="00FA2425"/>
    <w:rsid w:val="00FB099D"/>
    <w:rsid w:val="00FB16F0"/>
    <w:rsid w:val="00FB5287"/>
    <w:rsid w:val="00FC0A45"/>
    <w:rsid w:val="00FC168B"/>
    <w:rsid w:val="00FC2BF4"/>
    <w:rsid w:val="00FC2CCB"/>
    <w:rsid w:val="00FC6A58"/>
    <w:rsid w:val="00FD2924"/>
    <w:rsid w:val="00FD727D"/>
    <w:rsid w:val="00FD7DAB"/>
    <w:rsid w:val="00FE133B"/>
    <w:rsid w:val="00FE1C44"/>
    <w:rsid w:val="00FE3A16"/>
    <w:rsid w:val="00FE460A"/>
    <w:rsid w:val="00FE5149"/>
    <w:rsid w:val="00FE566F"/>
    <w:rsid w:val="00FF0F0F"/>
    <w:rsid w:val="00FF2D7F"/>
    <w:rsid w:val="00FF32D7"/>
    <w:rsid w:val="00FF3ABC"/>
    <w:rsid w:val="00FF4864"/>
    <w:rsid w:val="00FF6DDC"/>
    <w:rsid w:val="00FF721A"/>
    <w:rsid w:val="00FF7644"/>
    <w:rsid w:val="00FF7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F2BED"/>
  <w15:docId w15:val="{91E66212-B56C-4201-870C-7D1B6530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87672"/>
    <w:pPr>
      <w:spacing w:line="480" w:lineRule="auto"/>
      <w:ind w:left="432"/>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54AB8"/>
    <w:pPr>
      <w:keepNext/>
      <w:numPr>
        <w:ilvl w:val="1"/>
        <w:numId w:val="31"/>
      </w:numPr>
      <w:spacing w:line="480" w:lineRule="auto"/>
      <w:jc w:val="both"/>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042529"/>
    <w:pPr>
      <w:keepNext/>
      <w:numPr>
        <w:ilvl w:val="2"/>
        <w:numId w:val="31"/>
      </w:numPr>
      <w:spacing w:line="480" w:lineRule="auto"/>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numPr>
        <w:ilvl w:val="3"/>
        <w:numId w:val="31"/>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numPr>
        <w:ilvl w:val="4"/>
        <w:numId w:val="31"/>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numPr>
        <w:ilvl w:val="5"/>
        <w:numId w:val="31"/>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numPr>
        <w:ilvl w:val="6"/>
        <w:numId w:val="31"/>
      </w:numPr>
      <w:spacing w:before="240" w:after="60"/>
      <w:outlineLvl w:val="6"/>
    </w:pPr>
  </w:style>
  <w:style w:type="paragraph" w:styleId="Heading8">
    <w:name w:val="heading 8"/>
    <w:basedOn w:val="Normal"/>
    <w:next w:val="Normal"/>
    <w:link w:val="Heading8Char"/>
    <w:uiPriority w:val="9"/>
    <w:unhideWhenUsed/>
    <w:qFormat/>
    <w:rsid w:val="003A060D"/>
    <w:pPr>
      <w:numPr>
        <w:ilvl w:val="7"/>
        <w:numId w:val="31"/>
      </w:numPr>
      <w:spacing w:before="240" w:after="60"/>
      <w:outlineLvl w:val="7"/>
    </w:pPr>
    <w:rPr>
      <w:i/>
      <w:iCs/>
    </w:rPr>
  </w:style>
  <w:style w:type="paragraph" w:styleId="Heading9">
    <w:name w:val="heading 9"/>
    <w:basedOn w:val="Normal"/>
    <w:next w:val="Normal"/>
    <w:link w:val="Heading9Char"/>
    <w:uiPriority w:val="9"/>
    <w:unhideWhenUsed/>
    <w:qFormat/>
    <w:rsid w:val="003A060D"/>
    <w:pPr>
      <w:numPr>
        <w:ilvl w:val="8"/>
        <w:numId w:val="31"/>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67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54AB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042529"/>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rsid w:val="003A060D"/>
    <w:rPr>
      <w:rFonts w:cs="Times New Roman"/>
      <w:sz w:val="24"/>
      <w:szCs w:val="24"/>
    </w:rPr>
  </w:style>
  <w:style w:type="character" w:customStyle="1" w:styleId="Heading8Char">
    <w:name w:val="Heading 8 Char"/>
    <w:basedOn w:val="DefaultParagraphFont"/>
    <w:link w:val="Heading8"/>
    <w:uiPriority w:val="9"/>
    <w:rsid w:val="003A060D"/>
    <w:rPr>
      <w:rFonts w:cs="Times New Roman"/>
      <w:i/>
      <w:iCs/>
      <w:sz w:val="24"/>
      <w:szCs w:val="24"/>
    </w:rPr>
  </w:style>
  <w:style w:type="character" w:customStyle="1" w:styleId="Heading9Char">
    <w:name w:val="Heading 9 Char"/>
    <w:basedOn w:val="DefaultParagraphFont"/>
    <w:link w:val="Heading9"/>
    <w:uiPriority w:val="9"/>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245857"/>
    <w:rPr>
      <w:sz w:val="16"/>
      <w:szCs w:val="16"/>
    </w:rPr>
  </w:style>
  <w:style w:type="paragraph" w:styleId="CommentText">
    <w:name w:val="annotation text"/>
    <w:basedOn w:val="Normal"/>
    <w:link w:val="CommentTextChar"/>
    <w:uiPriority w:val="99"/>
    <w:semiHidden/>
    <w:unhideWhenUsed/>
    <w:rsid w:val="00245857"/>
    <w:pPr>
      <w:spacing w:line="240" w:lineRule="auto"/>
    </w:pPr>
    <w:rPr>
      <w:sz w:val="20"/>
      <w:szCs w:val="20"/>
    </w:rPr>
  </w:style>
  <w:style w:type="character" w:customStyle="1" w:styleId="CommentTextChar">
    <w:name w:val="Comment Text Char"/>
    <w:basedOn w:val="DefaultParagraphFont"/>
    <w:link w:val="CommentText"/>
    <w:uiPriority w:val="99"/>
    <w:semiHidden/>
    <w:rsid w:val="00245857"/>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245857"/>
    <w:rPr>
      <w:b/>
      <w:bCs/>
    </w:rPr>
  </w:style>
  <w:style w:type="character" w:customStyle="1" w:styleId="CommentSubjectChar">
    <w:name w:val="Comment Subject Char"/>
    <w:basedOn w:val="CommentTextChar"/>
    <w:link w:val="CommentSubject"/>
    <w:uiPriority w:val="99"/>
    <w:semiHidden/>
    <w:rsid w:val="00245857"/>
    <w:rPr>
      <w:rFonts w:asciiTheme="minorHAnsi" w:hAnsiTheme="minorHAnsi"/>
      <w:b/>
      <w:bCs/>
      <w:lang w:bidi="en-US"/>
    </w:rPr>
  </w:style>
  <w:style w:type="paragraph" w:styleId="EndnoteText">
    <w:name w:val="endnote text"/>
    <w:basedOn w:val="Normal"/>
    <w:link w:val="EndnoteTextChar"/>
    <w:uiPriority w:val="99"/>
    <w:semiHidden/>
    <w:unhideWhenUsed/>
    <w:rsid w:val="00402175"/>
    <w:pPr>
      <w:spacing w:line="240" w:lineRule="auto"/>
    </w:pPr>
    <w:rPr>
      <w:sz w:val="20"/>
      <w:szCs w:val="20"/>
    </w:rPr>
  </w:style>
  <w:style w:type="character" w:customStyle="1" w:styleId="EndnoteTextChar">
    <w:name w:val="Endnote Text Char"/>
    <w:basedOn w:val="DefaultParagraphFont"/>
    <w:link w:val="EndnoteText"/>
    <w:uiPriority w:val="99"/>
    <w:semiHidden/>
    <w:rsid w:val="00402175"/>
    <w:rPr>
      <w:rFonts w:asciiTheme="minorHAnsi" w:hAnsiTheme="minorHAnsi"/>
      <w:lang w:bidi="en-US"/>
    </w:rPr>
  </w:style>
  <w:style w:type="character" w:styleId="EndnoteReference">
    <w:name w:val="endnote reference"/>
    <w:basedOn w:val="DefaultParagraphFont"/>
    <w:uiPriority w:val="99"/>
    <w:semiHidden/>
    <w:unhideWhenUsed/>
    <w:rsid w:val="00402175"/>
    <w:rPr>
      <w:vertAlign w:val="superscript"/>
    </w:rPr>
  </w:style>
  <w:style w:type="paragraph" w:styleId="NormalWeb">
    <w:name w:val="Normal (Web)"/>
    <w:basedOn w:val="Normal"/>
    <w:uiPriority w:val="99"/>
    <w:semiHidden/>
    <w:unhideWhenUsed/>
    <w:rsid w:val="00301F17"/>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902417">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50748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glossaryDocument" Target="glossary/document.xml"/><Relationship Id="rId16" Type="http://schemas.openxmlformats.org/officeDocument/2006/relationships/footer" Target="footer1.xml"/><Relationship Id="rId11" Type="http://schemas.openxmlformats.org/officeDocument/2006/relationships/hyperlink" Target="file:///C:\Users\brett.DESKTOP-FBJJEQ3\Documents\DissertationTemplateFull%20Brett%20Roberts%20Complete%20Editting%20Draft%20(2).docx" TargetMode="External"/><Relationship Id="rId32" Type="http://schemas.openxmlformats.org/officeDocument/2006/relationships/image" Target="media/image16.emf"/><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file:///C:\Users\brett.DESKTOP-FBJJEQ3\Documents\DissertationTemplateFull%20Brett%20Roberts%20Complete%20Editting%20Draft%20(2).docx"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hyperlink" Target="file:///C:\Users\brett.DESKTOP-FBJJEQ3\Documents\DissertationTemplateFull%20Brett%20Roberts%20Complete%20Editting%20Draft%20(2).docx" TargetMode="External"/><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3" Type="http://schemas.openxmlformats.org/officeDocument/2006/relationships/styles" Target="styles.xml"/><Relationship Id="rId12" Type="http://schemas.openxmlformats.org/officeDocument/2006/relationships/hyperlink" Target="file:///C:\Users\brett.DESKTOP-FBJJEQ3\Documents\DissertationTemplateFull%20Brett%20Roberts%20Complete%20Editting%20Draft%20(2).docx" TargetMode="External"/><Relationship Id="rId17" Type="http://schemas.openxmlformats.org/officeDocument/2006/relationships/image" Target="media/image1.png"/><Relationship Id="rId25" Type="http://schemas.openxmlformats.org/officeDocument/2006/relationships/image" Target="media/image9.emf"/><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brett.DESKTOP-FBJJEQ3\Documents\DissertationTemplateFull%20Brett%20Roberts%20Complete%20Editting%20Draft%20(2).docx" TargetMode="External"/><Relationship Id="rId23" Type="http://schemas.openxmlformats.org/officeDocument/2006/relationships/image" Target="media/image7.png"/><Relationship Id="rId28" Type="http://schemas.openxmlformats.org/officeDocument/2006/relationships/image" Target="media/image12.emf"/><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yperlink" Target="file:///C:\Users\brett.DESKTOP-FBJJEQ3\Documents\DissertationTemplateFull%20Brett%20Roberts%20Complete%20Editting%20Draft%20(2).docx"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hyperlink" Target="file:///C:\Users\brett.DESKTOP-FBJJEQ3\Documents\DissertationTemplateFull%20Brett%20Roberts%20Complete%20Editting%20Draft%20(2).docx" TargetMode="External"/><Relationship Id="rId13" Type="http://schemas.openxmlformats.org/officeDocument/2006/relationships/hyperlink" Target="file:///C:\Users\brett.DESKTOP-FBJJEQ3\Documents\DissertationTemplateFull%20Brett%20Roberts%20Complete%20Editting%20Draft%20(2).docx" TargetMode="External"/><Relationship Id="rId18" Type="http://schemas.openxmlformats.org/officeDocument/2006/relationships/image" Target="media/image2.png"/><Relationship Id="rId39" Type="http://schemas.openxmlformats.org/officeDocument/2006/relationships/image" Target="media/image23.emf"/><Relationship Id="rId34" Type="http://schemas.openxmlformats.org/officeDocument/2006/relationships/image" Target="media/image18.png"/><Relationship Id="rId50" Type="http://schemas.openxmlformats.org/officeDocument/2006/relationships/image" Target="media/image34.emf"/><Relationship Id="rId55" Type="http://schemas.openxmlformats.org/officeDocument/2006/relationships/image" Target="media/image39.png"/><Relationship Id="rId76"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50.png"/><Relationship Id="rId87" Type="http://schemas.openxmlformats.org/officeDocument/2006/relationships/footer" Target="footer2.xml"/><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D14583CFCD23480AA57FBE4F70EF3E45"/>
        <w:category>
          <w:name w:val="General"/>
          <w:gallery w:val="placeholder"/>
        </w:category>
        <w:types>
          <w:type w:val="bbPlcHdr"/>
        </w:types>
        <w:behaviors>
          <w:behavior w:val="content"/>
        </w:behaviors>
        <w:guid w:val="{31236B91-20C5-431F-AEBD-3C6FC550D28E}"/>
      </w:docPartPr>
      <w:docPartBody>
        <w:p w:rsidR="009E6E5F" w:rsidRDefault="009E6E5F" w:rsidP="009E6E5F">
          <w:pPr>
            <w:pStyle w:val="D14583CFCD23480AA57FBE4F70EF3E4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0825C7"/>
    <w:rsid w:val="0015246B"/>
    <w:rsid w:val="00190672"/>
    <w:rsid w:val="001A1CD9"/>
    <w:rsid w:val="001B2B89"/>
    <w:rsid w:val="001E1A0C"/>
    <w:rsid w:val="001E44F2"/>
    <w:rsid w:val="0025270B"/>
    <w:rsid w:val="00276951"/>
    <w:rsid w:val="00293081"/>
    <w:rsid w:val="002A273F"/>
    <w:rsid w:val="002B04A5"/>
    <w:rsid w:val="00415A6D"/>
    <w:rsid w:val="004950C2"/>
    <w:rsid w:val="005374D7"/>
    <w:rsid w:val="00572AB3"/>
    <w:rsid w:val="005844EF"/>
    <w:rsid w:val="005902A4"/>
    <w:rsid w:val="005D07AC"/>
    <w:rsid w:val="00603BB0"/>
    <w:rsid w:val="006571B0"/>
    <w:rsid w:val="006649EC"/>
    <w:rsid w:val="006B53FA"/>
    <w:rsid w:val="00707FAA"/>
    <w:rsid w:val="00723033"/>
    <w:rsid w:val="00745B62"/>
    <w:rsid w:val="00787914"/>
    <w:rsid w:val="007A04BC"/>
    <w:rsid w:val="00860342"/>
    <w:rsid w:val="00875ABD"/>
    <w:rsid w:val="0093303A"/>
    <w:rsid w:val="009E6E5F"/>
    <w:rsid w:val="00A108B5"/>
    <w:rsid w:val="00A137D3"/>
    <w:rsid w:val="00A343F1"/>
    <w:rsid w:val="00A4769D"/>
    <w:rsid w:val="00A71EB9"/>
    <w:rsid w:val="00B06BBB"/>
    <w:rsid w:val="00B46CD3"/>
    <w:rsid w:val="00B630B5"/>
    <w:rsid w:val="00B96088"/>
    <w:rsid w:val="00BB5451"/>
    <w:rsid w:val="00BC5308"/>
    <w:rsid w:val="00C738D6"/>
    <w:rsid w:val="00C865FD"/>
    <w:rsid w:val="00CA39D2"/>
    <w:rsid w:val="00CF2231"/>
    <w:rsid w:val="00D87A49"/>
    <w:rsid w:val="00DD6093"/>
    <w:rsid w:val="00E04A1A"/>
    <w:rsid w:val="00E144A3"/>
    <w:rsid w:val="00E41849"/>
    <w:rsid w:val="00EC3109"/>
    <w:rsid w:val="00EF14E5"/>
    <w:rsid w:val="00EF1D23"/>
    <w:rsid w:val="00F720A5"/>
    <w:rsid w:val="00F80430"/>
    <w:rsid w:val="00FF1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E5F"/>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D14583CFCD23480AA57FBE4F70EF3E45">
    <w:name w:val="D14583CFCD23480AA57FBE4F70EF3E45"/>
    <w:rsid w:val="009E6E5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23C40-9679-4865-9932-BCC636451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256060</Words>
  <Characters>1459547</Characters>
  <Application>Microsoft Office Word</Application>
  <DocSecurity>0</DocSecurity>
  <Lines>12162</Lines>
  <Paragraphs>3424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1712183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Brett Roberts</cp:lastModifiedBy>
  <cp:revision>4</cp:revision>
  <cp:lastPrinted>2018-12-14T19:32:00Z</cp:lastPrinted>
  <dcterms:created xsi:type="dcterms:W3CDTF">2018-12-14T19:31:00Z</dcterms:created>
  <dcterms:modified xsi:type="dcterms:W3CDTF">2018-12-14T19:34:00Z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8def09a5-7ff5-3f6a-b4b1-e9e96e7d8aa4</vt:lpwstr>
  </property>
  <property fmtid="{D5CDD505-2E9C-101B-9397-08002B2CF9AE}" pid="4" name="Mendeley Citation Style_1">
    <vt:lpwstr>http://www.zotero.org/styles/american-society-for-microbiology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http://www.zotero.org/styles/american-society-for-microbiology</vt:lpwstr>
  </property>
  <property fmtid="{D5CDD505-2E9C-101B-9397-08002B2CF9AE}" pid="10" name="Mendeley Recent Style Name 2_1">
    <vt:lpwstr>American Society for Microbiology</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