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emf" ContentType="image/x-em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14:paraId="2D086BDB" w14:textId="77777777" w:rsidR="0085272D" w:rsidRDefault="0096367E">
          <w:pPr>
            <w:pStyle w:val="1"/>
            <w:jc w:val="center"/>
            <w:rPr>
              <w:caps/>
            </w:rPr>
          </w:pPr>
          <w:r>
            <w:rPr>
              <w:caps/>
            </w:rPr>
            <w:t>University of Oklahoma</w:t>
          </w:r>
        </w:p>
        <w:p w14:paraId="371E7A70" w14:textId="77777777" w:rsidR="0085272D" w:rsidRDefault="0085272D">
          <w:pPr>
            <w:pStyle w:val="1"/>
            <w:jc w:val="center"/>
            <w:rPr>
              <w:caps/>
            </w:rPr>
          </w:pPr>
        </w:p>
        <w:p w14:paraId="274BF846" w14:textId="77777777" w:rsidR="0085272D" w:rsidRDefault="0096367E">
          <w:pPr>
            <w:pStyle w:val="1"/>
            <w:jc w:val="center"/>
            <w:rPr>
              <w:caps/>
            </w:rPr>
          </w:pPr>
          <w:r>
            <w:rPr>
              <w:caps/>
            </w:rPr>
            <w:t>Graduate College</w:t>
          </w:r>
        </w:p>
      </w:sdtContent>
    </w:sdt>
    <w:p w14:paraId="28806A40" w14:textId="77777777" w:rsidR="0085272D" w:rsidRDefault="0085272D">
      <w:pPr>
        <w:pStyle w:val="1"/>
        <w:jc w:val="center"/>
        <w:rPr>
          <w:caps/>
        </w:rPr>
      </w:pPr>
    </w:p>
    <w:p w14:paraId="6178E467" w14:textId="77777777" w:rsidR="0085272D" w:rsidRDefault="0085272D">
      <w:pPr>
        <w:pStyle w:val="1"/>
        <w:jc w:val="center"/>
        <w:rPr>
          <w:caps/>
        </w:rPr>
      </w:pPr>
    </w:p>
    <w:p w14:paraId="75DF245F" w14:textId="77777777" w:rsidR="0085272D" w:rsidRDefault="0085272D">
      <w:pPr>
        <w:pStyle w:val="1"/>
        <w:jc w:val="center"/>
        <w:rPr>
          <w:caps/>
        </w:rPr>
      </w:pPr>
    </w:p>
    <w:p w14:paraId="0C83525E" w14:textId="77777777" w:rsidR="0085272D" w:rsidRDefault="0085272D">
      <w:pPr>
        <w:pStyle w:val="1"/>
        <w:jc w:val="center"/>
        <w:rPr>
          <w:caps/>
        </w:rPr>
      </w:pPr>
    </w:p>
    <w:p w14:paraId="24FB8B62" w14:textId="77777777" w:rsidR="0085272D" w:rsidRDefault="0085272D">
      <w:pPr>
        <w:pStyle w:val="1"/>
        <w:jc w:val="center"/>
        <w:rPr>
          <w:caps/>
        </w:rPr>
      </w:pPr>
    </w:p>
    <w:p w14:paraId="611F0105" w14:textId="77777777" w:rsidR="0085272D" w:rsidRDefault="0085272D">
      <w:pPr>
        <w:pStyle w:val="1"/>
        <w:jc w:val="center"/>
        <w:rPr>
          <w:caps/>
        </w:rPr>
      </w:pPr>
    </w:p>
    <w:p w14:paraId="7D771586" w14:textId="77777777" w:rsidR="0085272D" w:rsidRDefault="0085272D">
      <w:pPr>
        <w:pStyle w:val="1"/>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5C81A76B" w14:textId="77777777" w:rsidR="0085272D" w:rsidRDefault="0096367E">
          <w:pPr>
            <w:pStyle w:val="1"/>
            <w:spacing w:line="480" w:lineRule="auto"/>
            <w:jc w:val="center"/>
            <w:rPr>
              <w:caps/>
            </w:rPr>
          </w:pPr>
          <w:r>
            <w:rPr>
              <w:rFonts w:hint="eastAsia"/>
              <w:caps/>
              <w:lang w:eastAsia="zh-CN"/>
            </w:rPr>
            <w:t>THE STUDIES OF CONFINED FLUID PHASE BEHAVIOR IN SHALE RESOURCES</w:t>
          </w:r>
        </w:p>
        <w:p w14:paraId="7500A9E1" w14:textId="77777777" w:rsidR="0085272D" w:rsidRDefault="00C677F5">
          <w:pPr>
            <w:pStyle w:val="1"/>
            <w:spacing w:line="480" w:lineRule="auto"/>
            <w:jc w:val="center"/>
            <w:rPr>
              <w:caps/>
            </w:rPr>
          </w:pPr>
        </w:p>
      </w:sdtContent>
    </w:sdt>
    <w:p w14:paraId="3582202A" w14:textId="77777777" w:rsidR="0085272D" w:rsidRDefault="0085272D">
      <w:pPr>
        <w:pStyle w:val="1"/>
        <w:jc w:val="center"/>
        <w:rPr>
          <w:caps/>
        </w:rPr>
      </w:pPr>
    </w:p>
    <w:p w14:paraId="5C18B5CF" w14:textId="77777777" w:rsidR="0085272D" w:rsidRDefault="0085272D">
      <w:pPr>
        <w:pStyle w:val="1"/>
        <w:jc w:val="center"/>
        <w:rPr>
          <w:caps/>
        </w:rPr>
      </w:pPr>
    </w:p>
    <w:p w14:paraId="3B03BC23" w14:textId="77777777" w:rsidR="0085272D" w:rsidRDefault="0085272D">
      <w:pPr>
        <w:pStyle w:val="1"/>
        <w:jc w:val="center"/>
        <w:rPr>
          <w:caps/>
        </w:rPr>
      </w:pPr>
    </w:p>
    <w:p w14:paraId="195560CF" w14:textId="77777777" w:rsidR="0085272D" w:rsidRDefault="0085272D">
      <w:pPr>
        <w:pStyle w:val="1"/>
        <w:jc w:val="center"/>
        <w:rPr>
          <w:caps/>
        </w:rPr>
      </w:pPr>
    </w:p>
    <w:p w14:paraId="7B6FB3B9" w14:textId="77777777" w:rsidR="0085272D" w:rsidRDefault="0085272D">
      <w:pPr>
        <w:pStyle w:val="1"/>
        <w:jc w:val="center"/>
        <w:rPr>
          <w:caps/>
        </w:rPr>
      </w:pPr>
    </w:p>
    <w:p w14:paraId="074EA7D6" w14:textId="77777777" w:rsidR="0085272D" w:rsidRDefault="0085272D">
      <w:pPr>
        <w:pStyle w:val="1"/>
        <w:jc w:val="center"/>
        <w:rPr>
          <w:caps/>
        </w:rPr>
      </w:pPr>
    </w:p>
    <w:p w14:paraId="6F89784F" w14:textId="77777777" w:rsidR="0085272D" w:rsidRDefault="0096367E">
      <w:pPr>
        <w:pStyle w:val="1"/>
        <w:jc w:val="center"/>
        <w:rPr>
          <w:caps/>
        </w:rPr>
      </w:pPr>
      <w:r>
        <w:rPr>
          <w:caps/>
        </w:rPr>
        <w:t xml:space="preserve">A </w:t>
      </w:r>
      <w:sdt>
        <w:sdtPr>
          <w:rPr>
            <w:caps/>
          </w:rPr>
          <w:alias w:val="D.M.A. candidates use &quot;document,&quot; all others use &quot;dissertation&quot;"/>
          <w:tag w:val="D.M.A. candidates use &quot;document,&quot; all others use &quot;dissertation&quot;"/>
          <w:id w:val="11707811"/>
          <w:placeholder>
            <w:docPart w:val="FA45921CA9A647B2A6D163E739FF6D48"/>
          </w:placeholder>
          <w:dropDownList>
            <w:listItem w:displayText="[Dissertation/Document]" w:value="[Dissertation/Document]"/>
            <w:listItem w:displayText="Dissertation" w:value="Dissertation"/>
            <w:listItem w:displayText="Document" w:value="Document"/>
          </w:dropDownList>
        </w:sdtPr>
        <w:sdtEndPr/>
        <w:sdtContent>
          <w:r>
            <w:rPr>
              <w:caps/>
            </w:rPr>
            <w:t>Dissertation</w:t>
          </w:r>
        </w:sdtContent>
      </w:sdt>
    </w:p>
    <w:p w14:paraId="07D9580D" w14:textId="77777777" w:rsidR="0085272D" w:rsidRDefault="0085272D">
      <w:pPr>
        <w:pStyle w:val="1"/>
        <w:jc w:val="center"/>
        <w:rPr>
          <w:caps/>
        </w:rPr>
      </w:pPr>
    </w:p>
    <w:p w14:paraId="3813AD2F" w14:textId="77777777" w:rsidR="0085272D" w:rsidRDefault="0096367E">
      <w:pPr>
        <w:pStyle w:val="1"/>
        <w:jc w:val="center"/>
        <w:rPr>
          <w:caps/>
        </w:rPr>
      </w:pPr>
      <w:r>
        <w:rPr>
          <w:caps/>
        </w:rPr>
        <w:t>submitted to the Graduate Faculty</w:t>
      </w:r>
    </w:p>
    <w:p w14:paraId="65E7C255" w14:textId="77777777" w:rsidR="0085272D" w:rsidRDefault="0085272D">
      <w:pPr>
        <w:pStyle w:val="1"/>
        <w:jc w:val="center"/>
      </w:pPr>
    </w:p>
    <w:p w14:paraId="0717240E" w14:textId="77777777" w:rsidR="0085272D" w:rsidRDefault="0096367E">
      <w:pPr>
        <w:pStyle w:val="1"/>
        <w:jc w:val="center"/>
      </w:pPr>
      <w:r>
        <w:t>in partial fulfillment of the requirements for the</w:t>
      </w:r>
    </w:p>
    <w:p w14:paraId="1DCED327" w14:textId="77777777" w:rsidR="0085272D" w:rsidRDefault="0085272D">
      <w:pPr>
        <w:pStyle w:val="1"/>
        <w:jc w:val="center"/>
      </w:pPr>
    </w:p>
    <w:p w14:paraId="22873D23" w14:textId="77777777" w:rsidR="0085272D" w:rsidRDefault="0096367E">
      <w:pPr>
        <w:pStyle w:val="1"/>
        <w:jc w:val="center"/>
      </w:pPr>
      <w:r>
        <w:t>Degree of</w:t>
      </w:r>
    </w:p>
    <w:p w14:paraId="39412382" w14:textId="77777777" w:rsidR="0085272D" w:rsidRDefault="0085272D">
      <w:pPr>
        <w:pStyle w:val="1"/>
        <w:jc w:val="center"/>
        <w:rPr>
          <w:lang w:eastAsia="zh-CN"/>
        </w:rPr>
      </w:pPr>
    </w:p>
    <w:sdt>
      <w:sdtPr>
        <w:rPr>
          <w:caps/>
        </w:rPr>
        <w:alias w:val="Select the exact name of your degree"/>
        <w:tag w:val="Exact name of your degree in ALL CAPS"/>
        <w:id w:val="8173860"/>
        <w:placeholder>
          <w:docPart w:val="BCDC86ED8B944D7A93BFFA70D9D02C06"/>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2FC0A1F" w14:textId="77777777" w:rsidR="0085272D" w:rsidRDefault="0096367E">
          <w:pPr>
            <w:pStyle w:val="1"/>
            <w:spacing w:line="480" w:lineRule="auto"/>
            <w:jc w:val="center"/>
            <w:rPr>
              <w:caps/>
              <w:szCs w:val="24"/>
            </w:rPr>
          </w:pPr>
          <w:r>
            <w:rPr>
              <w:caps/>
            </w:rPr>
            <w:t>Doctor of Philosophy</w:t>
          </w:r>
        </w:p>
      </w:sdtContent>
    </w:sdt>
    <w:p w14:paraId="6A1CFD35" w14:textId="77777777" w:rsidR="0085272D" w:rsidRDefault="0085272D">
      <w:pPr>
        <w:pStyle w:val="1"/>
        <w:jc w:val="center"/>
      </w:pPr>
    </w:p>
    <w:p w14:paraId="752AD210" w14:textId="77777777" w:rsidR="0085272D" w:rsidRDefault="0085272D">
      <w:pPr>
        <w:pStyle w:val="1"/>
        <w:jc w:val="center"/>
      </w:pPr>
    </w:p>
    <w:p w14:paraId="06C99AAA" w14:textId="77777777" w:rsidR="0085272D" w:rsidRDefault="0085272D">
      <w:pPr>
        <w:pStyle w:val="1"/>
        <w:jc w:val="center"/>
      </w:pPr>
    </w:p>
    <w:p w14:paraId="7F3F2021" w14:textId="77777777" w:rsidR="0085272D" w:rsidRDefault="0085272D">
      <w:pPr>
        <w:pStyle w:val="1"/>
        <w:jc w:val="center"/>
      </w:pPr>
    </w:p>
    <w:p w14:paraId="33C090EB" w14:textId="77777777" w:rsidR="0085272D" w:rsidRDefault="0085272D">
      <w:pPr>
        <w:pStyle w:val="1"/>
        <w:jc w:val="center"/>
      </w:pPr>
    </w:p>
    <w:p w14:paraId="7D8455D1" w14:textId="77777777" w:rsidR="0085272D" w:rsidRDefault="0085272D">
      <w:pPr>
        <w:pStyle w:val="1"/>
        <w:jc w:val="center"/>
      </w:pPr>
    </w:p>
    <w:p w14:paraId="58DD39F2" w14:textId="77777777" w:rsidR="0085272D" w:rsidRDefault="0085272D">
      <w:pPr>
        <w:pStyle w:val="1"/>
        <w:jc w:val="center"/>
      </w:pPr>
    </w:p>
    <w:p w14:paraId="3A04DF0B" w14:textId="77777777" w:rsidR="0085272D" w:rsidRDefault="0085272D">
      <w:pPr>
        <w:pStyle w:val="1"/>
        <w:jc w:val="center"/>
      </w:pPr>
    </w:p>
    <w:p w14:paraId="67ED7293" w14:textId="77777777" w:rsidR="0085272D" w:rsidRDefault="0096367E">
      <w:pPr>
        <w:pStyle w:val="1"/>
        <w:jc w:val="center"/>
      </w:pPr>
      <w:r>
        <w:t>By</w:t>
      </w:r>
    </w:p>
    <w:p w14:paraId="1B51597B" w14:textId="77777777" w:rsidR="0085272D" w:rsidRDefault="0085272D">
      <w:pPr>
        <w:pStyle w:val="1"/>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1AE282A0" w14:textId="77777777" w:rsidR="0085272D" w:rsidRDefault="0096367E">
          <w:pPr>
            <w:pStyle w:val="1"/>
            <w:jc w:val="center"/>
            <w:rPr>
              <w:caps/>
            </w:rPr>
          </w:pPr>
          <w:r>
            <w:rPr>
              <w:caps/>
            </w:rPr>
            <w:t>yixin ma</w:t>
          </w:r>
        </w:p>
      </w:sdtContent>
    </w:sdt>
    <w:sdt>
      <w:sdtPr>
        <w:id w:val="30091838"/>
        <w:lock w:val="contentLocked"/>
        <w:placeholder>
          <w:docPart w:val="DefaultPlaceholder_22675703"/>
        </w:placeholder>
        <w:group/>
      </w:sdtPr>
      <w:sdtEndPr/>
      <w:sdtContent>
        <w:p w14:paraId="7EB9FDC7" w14:textId="77777777" w:rsidR="0085272D" w:rsidRDefault="0096367E">
          <w:pPr>
            <w:pStyle w:val="1"/>
            <w:jc w:val="center"/>
          </w:pPr>
          <w:r>
            <w:t xml:space="preserve"> 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049AA56" w14:textId="6AB2585B" w:rsidR="0085272D" w:rsidRDefault="002106DB">
          <w:pPr>
            <w:pStyle w:val="1"/>
            <w:jc w:val="center"/>
            <w:rPr>
              <w:lang w:eastAsia="zh-CN"/>
            </w:rPr>
          </w:pPr>
          <w:r>
            <w:rPr>
              <w:rFonts w:hint="eastAsia"/>
              <w:lang w:eastAsia="zh-CN"/>
            </w:rPr>
            <w:t>2018</w:t>
          </w:r>
        </w:p>
      </w:sdtContent>
    </w:sdt>
    <w:p w14:paraId="65188692" w14:textId="77777777" w:rsidR="0085272D" w:rsidRDefault="0096367E">
      <w:pPr>
        <w:pStyle w:val="1"/>
        <w:jc w:val="center"/>
      </w:pPr>
      <w:r>
        <w:br w:type="page"/>
      </w:r>
    </w:p>
    <w:p w14:paraId="78EF8D5D" w14:textId="77777777" w:rsidR="0085272D" w:rsidRDefault="0085272D">
      <w:pPr>
        <w:pStyle w:val="1"/>
        <w:jc w:val="center"/>
      </w:pPr>
    </w:p>
    <w:p w14:paraId="190F326E" w14:textId="77777777" w:rsidR="0085272D" w:rsidRDefault="0085272D">
      <w:pPr>
        <w:pStyle w:val="1"/>
        <w:jc w:val="center"/>
      </w:pPr>
    </w:p>
    <w:p w14:paraId="770E735C" w14:textId="77777777" w:rsidR="0085272D" w:rsidRDefault="0085272D">
      <w:pPr>
        <w:pStyle w:val="1"/>
        <w:jc w:val="center"/>
      </w:pPr>
    </w:p>
    <w:p w14:paraId="006C829E" w14:textId="77777777" w:rsidR="0085272D" w:rsidRDefault="0085272D">
      <w:pPr>
        <w:pStyle w:val="1"/>
        <w:jc w:val="center"/>
      </w:pPr>
    </w:p>
    <w:p w14:paraId="5DDB93FB" w14:textId="77777777" w:rsidR="0085272D" w:rsidRDefault="0085272D">
      <w:pPr>
        <w:pStyle w:val="1"/>
        <w:jc w:val="center"/>
      </w:pPr>
    </w:p>
    <w:sdt>
      <w:sdtPr>
        <w:rPr>
          <w:caps/>
        </w:rPr>
        <w:alias w:val="Click to enter thesis title"/>
        <w:tag w:val="Click to enter thesis title"/>
        <w:id w:val="30091843"/>
        <w:lock w:val="sdtLocked"/>
        <w:placeholder>
          <w:docPart w:val="DefaultPlaceholder_22675703"/>
        </w:placeholder>
      </w:sdtPr>
      <w:sdtEndPr/>
      <w:sdtContent>
        <w:p w14:paraId="4BC8E0F2" w14:textId="77777777" w:rsidR="0085272D" w:rsidRDefault="0096367E">
          <w:pPr>
            <w:pStyle w:val="1"/>
            <w:jc w:val="center"/>
            <w:rPr>
              <w:caps/>
            </w:rPr>
          </w:pPr>
          <w:r>
            <w:rPr>
              <w:rFonts w:hint="eastAsia"/>
              <w:caps/>
              <w:lang w:eastAsia="zh-CN"/>
            </w:rPr>
            <w:t>THE STUDIES OF CONFINED FLUID PHASE BEHAVIOR IN SHALE RESOURCES</w:t>
          </w:r>
        </w:p>
      </w:sdtContent>
    </w:sdt>
    <w:p w14:paraId="746A8445" w14:textId="77777777" w:rsidR="0085272D" w:rsidRDefault="0085272D">
      <w:pPr>
        <w:pStyle w:val="1"/>
        <w:jc w:val="center"/>
        <w:rPr>
          <w:caps/>
        </w:rPr>
      </w:pPr>
    </w:p>
    <w:p w14:paraId="35613B89" w14:textId="77777777" w:rsidR="0085272D" w:rsidRDefault="0085272D">
      <w:pPr>
        <w:pStyle w:val="1"/>
        <w:jc w:val="center"/>
        <w:rPr>
          <w:caps/>
        </w:rPr>
      </w:pPr>
    </w:p>
    <w:p w14:paraId="6E35C2F8" w14:textId="77777777" w:rsidR="0085272D" w:rsidRDefault="00C677F5">
      <w:pPr>
        <w:pStyle w:val="1"/>
        <w:jc w:val="center"/>
        <w:rPr>
          <w:caps/>
        </w:rPr>
      </w:pPr>
      <w:sdt>
        <w:sdtPr>
          <w:rPr>
            <w:caps/>
          </w:rPr>
          <w:id w:val="11707828"/>
          <w:lock w:val="contentLocked"/>
          <w:placeholder>
            <w:docPart w:val="81DCD41CD87E475486BF757C0F4FC7E8"/>
          </w:placeholder>
          <w:group/>
        </w:sdtPr>
        <w:sdtEndPr/>
        <w:sdtContent>
          <w:r w:rsidR="0096367E">
            <w:rPr>
              <w:caps/>
            </w:rPr>
            <w:t>A</w:t>
          </w:r>
        </w:sdtContent>
      </w:sdt>
      <w:r w:rsidR="0096367E">
        <w:rPr>
          <w:caps/>
        </w:rPr>
        <w:t xml:space="preserve"> </w:t>
      </w:r>
      <w:sdt>
        <w:sdtPr>
          <w:rPr>
            <w:caps/>
          </w:rPr>
          <w:alias w:val="D.M.A. candidates use &quot;document,&quot; all others use &quot;dissertation&quot;"/>
          <w:tag w:val="D.M.A. candidates use &quot;document,&quot; all others use &quot;dissertation&quot;"/>
          <w:id w:val="11707821"/>
          <w:placeholder>
            <w:docPart w:val="45CC04C27BCF40FD9A8927898C705D03"/>
          </w:placeholder>
          <w:dropDownList>
            <w:listItem w:displayText="[Dissertation/Document]" w:value="[Dissertation/Document]"/>
            <w:listItem w:displayText="Dissertation" w:value="Dissertation"/>
            <w:listItem w:displayText="Document" w:value="Document"/>
          </w:dropDownList>
        </w:sdtPr>
        <w:sdtEndPr/>
        <w:sdtContent>
          <w:r w:rsidR="0096367E">
            <w:rPr>
              <w:caps/>
            </w:rPr>
            <w:t>Dissertation</w:t>
          </w:r>
        </w:sdtContent>
      </w:sdt>
      <w:sdt>
        <w:sdtPr>
          <w:rPr>
            <w:caps/>
          </w:rPr>
          <w:id w:val="11707829"/>
          <w:lock w:val="contentLocked"/>
          <w:placeholder>
            <w:docPart w:val="81DCD41CD87E475486BF757C0F4FC7E8"/>
          </w:placeholder>
          <w:group/>
        </w:sdtPr>
        <w:sdtEndPr/>
        <w:sdtContent>
          <w:r w:rsidR="0096367E">
            <w:rPr>
              <w:caps/>
            </w:rPr>
            <w:t xml:space="preserve"> approved for the</w:t>
          </w:r>
        </w:sdtContent>
      </w:sdt>
    </w:p>
    <w:p w14:paraId="1F8599E2" w14:textId="77777777" w:rsidR="0085272D" w:rsidRDefault="0096367E">
      <w:pPr>
        <w:pStyle w:val="1"/>
        <w:jc w:val="center"/>
        <w:rPr>
          <w:caps/>
        </w:rPr>
      </w:pPr>
      <w:r>
        <w:rPr>
          <w:caps/>
        </w:rPr>
        <w:t>MEWBOURNE SCHOOL OF PETROLEUM AND GEOLOGICAL ENGIEERING</w:t>
      </w:r>
    </w:p>
    <w:p w14:paraId="636D3B41" w14:textId="77777777" w:rsidR="0085272D" w:rsidRDefault="0085272D">
      <w:pPr>
        <w:pStyle w:val="1"/>
        <w:jc w:val="center"/>
        <w:rPr>
          <w:caps/>
        </w:rPr>
      </w:pPr>
    </w:p>
    <w:p w14:paraId="708729BE" w14:textId="77777777" w:rsidR="0085272D" w:rsidRDefault="0085272D">
      <w:pPr>
        <w:pStyle w:val="1"/>
        <w:jc w:val="center"/>
        <w:rPr>
          <w:caps/>
        </w:rPr>
      </w:pPr>
    </w:p>
    <w:p w14:paraId="0C5944E7" w14:textId="77777777" w:rsidR="0085272D" w:rsidRDefault="0085272D">
      <w:pPr>
        <w:pStyle w:val="1"/>
        <w:jc w:val="center"/>
        <w:rPr>
          <w:caps/>
        </w:rPr>
      </w:pPr>
    </w:p>
    <w:p w14:paraId="57B51487" w14:textId="77777777" w:rsidR="0085272D" w:rsidRDefault="0085272D">
      <w:pPr>
        <w:pStyle w:val="1"/>
        <w:jc w:val="center"/>
        <w:rPr>
          <w:caps/>
        </w:rPr>
      </w:pPr>
    </w:p>
    <w:p w14:paraId="58E16B3D" w14:textId="77777777" w:rsidR="0085272D" w:rsidRDefault="0085272D">
      <w:pPr>
        <w:pStyle w:val="1"/>
        <w:jc w:val="center"/>
        <w:rPr>
          <w:caps/>
        </w:rPr>
      </w:pPr>
    </w:p>
    <w:p w14:paraId="5ADBE816" w14:textId="77777777" w:rsidR="0085272D" w:rsidRDefault="0085272D">
      <w:pPr>
        <w:pStyle w:val="1"/>
        <w:jc w:val="center"/>
        <w:rPr>
          <w:caps/>
        </w:rPr>
      </w:pPr>
    </w:p>
    <w:p w14:paraId="41638788" w14:textId="77777777" w:rsidR="0085272D" w:rsidRDefault="0085272D">
      <w:pPr>
        <w:pStyle w:val="1"/>
        <w:jc w:val="center"/>
        <w:rPr>
          <w:caps/>
        </w:rPr>
      </w:pPr>
    </w:p>
    <w:sdt>
      <w:sdtPr>
        <w:rPr>
          <w:caps/>
          <w:color w:val="808080"/>
        </w:rPr>
        <w:id w:val="30091876"/>
        <w:lock w:val="contentLocked"/>
        <w:placeholder>
          <w:docPart w:val="DefaultPlaceholder_22675703"/>
        </w:placeholder>
        <w:group/>
      </w:sdtPr>
      <w:sdtEndPr/>
      <w:sdtContent>
        <w:p w14:paraId="225349B2" w14:textId="77777777" w:rsidR="0085272D" w:rsidRDefault="0096367E">
          <w:pPr>
            <w:pStyle w:val="1"/>
            <w:jc w:val="center"/>
            <w:rPr>
              <w:caps/>
            </w:rPr>
          </w:pPr>
          <w:r>
            <w:rPr>
              <w:caps/>
            </w:rPr>
            <w:t>By</w:t>
          </w:r>
        </w:p>
      </w:sdtContent>
    </w:sdt>
    <w:p w14:paraId="703EEA9B" w14:textId="77777777" w:rsidR="0085272D" w:rsidRDefault="0085272D">
      <w:pPr>
        <w:pStyle w:val="1"/>
        <w:jc w:val="center"/>
      </w:pPr>
    </w:p>
    <w:p w14:paraId="38BB3E4F" w14:textId="77777777" w:rsidR="0085272D" w:rsidRDefault="0085272D">
      <w:pPr>
        <w:pStyle w:val="1"/>
        <w:jc w:val="center"/>
      </w:pPr>
    </w:p>
    <w:p w14:paraId="02523C3D" w14:textId="77777777" w:rsidR="0085272D" w:rsidRDefault="0085272D">
      <w:pPr>
        <w:pStyle w:val="1"/>
        <w:jc w:val="center"/>
      </w:pPr>
    </w:p>
    <w:p w14:paraId="27DD93FA" w14:textId="77777777" w:rsidR="0085272D" w:rsidRDefault="0096367E" w:rsidP="00BA39B5">
      <w:pPr>
        <w:pStyle w:val="1"/>
        <w:jc w:val="right"/>
      </w:pPr>
      <w:r>
        <w:t>______________________________</w:t>
      </w:r>
    </w:p>
    <w:p w14:paraId="7A82B0EA" w14:textId="77777777" w:rsidR="0085272D" w:rsidRDefault="00C677F5">
      <w:pPr>
        <w:pStyle w:val="1"/>
        <w:jc w:val="right"/>
      </w:pPr>
      <w:sdt>
        <w:sdtPr>
          <w:alias w:val="Click to enter committee chair name"/>
          <w:tag w:val="committee chair"/>
          <w:id w:val="30091849"/>
          <w:lock w:val="sdtLocked"/>
          <w:placeholder>
            <w:docPart w:val="DefaultPlaceholder_22675703"/>
          </w:placeholder>
        </w:sdtPr>
        <w:sdtEndPr/>
        <w:sdtContent>
          <w:r w:rsidR="0096367E">
            <w:t>Dr. Ahmad Jamili</w:t>
          </w:r>
        </w:sdtContent>
      </w:sdt>
      <w:r w:rsidR="0096367E">
        <w:t>, Chair</w:t>
      </w:r>
    </w:p>
    <w:p w14:paraId="02CA02B6" w14:textId="77777777" w:rsidR="0085272D" w:rsidRDefault="0085272D">
      <w:pPr>
        <w:pStyle w:val="1"/>
        <w:jc w:val="right"/>
      </w:pPr>
    </w:p>
    <w:p w14:paraId="1AD6C3C8" w14:textId="77777777" w:rsidR="0085272D" w:rsidRDefault="0085272D">
      <w:pPr>
        <w:pStyle w:val="1"/>
        <w:jc w:val="right"/>
      </w:pPr>
    </w:p>
    <w:p w14:paraId="3C2183F6" w14:textId="77777777" w:rsidR="0085272D" w:rsidRDefault="0096367E">
      <w:pPr>
        <w:pStyle w:val="1"/>
        <w:jc w:val="right"/>
      </w:pPr>
      <w:r>
        <w:t>______________________________</w:t>
      </w:r>
    </w:p>
    <w:p w14:paraId="6CD0369A" w14:textId="77777777" w:rsidR="0085272D" w:rsidRDefault="0096367E">
      <w:pPr>
        <w:pStyle w:val="1"/>
        <w:wordWrap w:val="0"/>
        <w:jc w:val="right"/>
      </w:pPr>
      <w:r>
        <w:t xml:space="preserve">Dr. </w:t>
      </w:r>
      <w:sdt>
        <w:sdtPr>
          <w:alias w:val="Click to enter 2nd member name"/>
          <w:tag w:val="2nd member"/>
          <w:id w:val="30091850"/>
          <w:lock w:val="sdtLocked"/>
          <w:placeholder>
            <w:docPart w:val="C062FEE9CF144A928363900CFCE29497"/>
          </w:placeholder>
        </w:sdtPr>
        <w:sdtEndPr/>
        <w:sdtContent>
          <w:r>
            <w:rPr>
              <w:rFonts w:hint="eastAsia"/>
              <w:lang w:eastAsia="zh-CN"/>
            </w:rPr>
            <w:t>Jeffrey H. Harwell</w:t>
          </w:r>
        </w:sdtContent>
      </w:sdt>
    </w:p>
    <w:p w14:paraId="0ACBA1AB" w14:textId="77777777" w:rsidR="0085272D" w:rsidRDefault="0085272D">
      <w:pPr>
        <w:pStyle w:val="1"/>
        <w:jc w:val="right"/>
      </w:pPr>
    </w:p>
    <w:p w14:paraId="4105CA01" w14:textId="77777777" w:rsidR="0085272D" w:rsidRDefault="0085272D">
      <w:pPr>
        <w:pStyle w:val="1"/>
        <w:jc w:val="right"/>
      </w:pPr>
    </w:p>
    <w:p w14:paraId="16235AA3" w14:textId="77777777" w:rsidR="0085272D" w:rsidRDefault="0096367E">
      <w:pPr>
        <w:pStyle w:val="1"/>
        <w:jc w:val="right"/>
      </w:pPr>
      <w:r>
        <w:t>______________________________</w:t>
      </w:r>
    </w:p>
    <w:p w14:paraId="6558E39F" w14:textId="77777777" w:rsidR="0085272D" w:rsidRDefault="0096367E">
      <w:pPr>
        <w:pStyle w:val="1"/>
        <w:wordWrap w:val="0"/>
        <w:jc w:val="right"/>
      </w:pPr>
      <w:r>
        <w:t xml:space="preserve">Dr. </w:t>
      </w:r>
      <w:sdt>
        <w:sdtPr>
          <w:alias w:val="Click to enter 3rd member name"/>
          <w:tag w:val="3rd member"/>
          <w:id w:val="30091852"/>
          <w:lock w:val="sdtLocked"/>
          <w:placeholder>
            <w:docPart w:val="6D39F422706D4B8B985B3284341ED3DD"/>
          </w:placeholder>
        </w:sdtPr>
        <w:sdtEndPr/>
        <w:sdtContent>
          <w:r>
            <w:rPr>
              <w:rFonts w:hint="eastAsia"/>
              <w:lang w:eastAsia="zh-CN"/>
            </w:rPr>
            <w:t>Xingru Wu</w:t>
          </w:r>
        </w:sdtContent>
      </w:sdt>
    </w:p>
    <w:p w14:paraId="1E2144BF" w14:textId="77777777" w:rsidR="0085272D" w:rsidRDefault="0085272D">
      <w:pPr>
        <w:pStyle w:val="1"/>
        <w:jc w:val="right"/>
      </w:pPr>
    </w:p>
    <w:p w14:paraId="7D572222" w14:textId="77777777" w:rsidR="0085272D" w:rsidRDefault="0085272D">
      <w:pPr>
        <w:pStyle w:val="1"/>
        <w:jc w:val="right"/>
      </w:pPr>
    </w:p>
    <w:p w14:paraId="12C56EE3" w14:textId="77777777" w:rsidR="0085272D" w:rsidRDefault="0096367E">
      <w:pPr>
        <w:pStyle w:val="1"/>
        <w:jc w:val="right"/>
      </w:pPr>
      <w:r>
        <w:t>______________________________</w:t>
      </w:r>
    </w:p>
    <w:p w14:paraId="3B3BA9BF" w14:textId="77777777" w:rsidR="0085272D" w:rsidRDefault="00C677F5">
      <w:pPr>
        <w:pStyle w:val="1"/>
        <w:wordWrap w:val="0"/>
        <w:jc w:val="right"/>
      </w:pPr>
      <w:sdt>
        <w:sdtPr>
          <w:alias w:val="Select the appropriate prefix"/>
          <w:tag w:val="Prefix"/>
          <w:id w:val="30091854"/>
          <w:placeholder>
            <w:docPart w:val="B214B4CFC25C4402926552C3DB706B07"/>
          </w:placeholder>
          <w:dropDownList>
            <w:listItem w:displayText="[Prefix]" w:value="[Prefix]"/>
            <w:listItem w:displayText="Dr." w:value="Dr."/>
            <w:listItem w:displayText="Mr." w:value="Mr."/>
            <w:listItem w:displayText="Mrs." w:value="Mrs."/>
            <w:listItem w:displayText="Ms." w:value="Ms."/>
          </w:dropDownList>
        </w:sdtPr>
        <w:sdtEndPr/>
        <w:sdtContent>
          <w:r w:rsidR="0096367E">
            <w:t>Dr.</w:t>
          </w:r>
        </w:sdtContent>
      </w:sdt>
      <w:r w:rsidR="0096367E">
        <w:t xml:space="preserve"> </w:t>
      </w:r>
      <w:sdt>
        <w:sdtPr>
          <w:alias w:val="Click to enter 4th member name"/>
          <w:tag w:val="4th member"/>
          <w:id w:val="30091855"/>
          <w:placeholder>
            <w:docPart w:val="F256EDC39A6D42B7881136720F54321E"/>
          </w:placeholder>
        </w:sdtPr>
        <w:sdtEndPr/>
        <w:sdtContent>
          <w:r w:rsidR="0096367E">
            <w:rPr>
              <w:rFonts w:hint="eastAsia"/>
              <w:lang w:eastAsia="zh-CN"/>
            </w:rPr>
            <w:t>Ramadan M. Ahmed</w:t>
          </w:r>
        </w:sdtContent>
      </w:sdt>
    </w:p>
    <w:p w14:paraId="7AEBCF76" w14:textId="77777777" w:rsidR="0085272D" w:rsidRDefault="0085272D">
      <w:pPr>
        <w:pStyle w:val="1"/>
        <w:jc w:val="right"/>
      </w:pPr>
    </w:p>
    <w:p w14:paraId="4382E238" w14:textId="77777777" w:rsidR="0085272D" w:rsidRDefault="0085272D">
      <w:pPr>
        <w:pStyle w:val="1"/>
        <w:jc w:val="right"/>
      </w:pPr>
    </w:p>
    <w:p w14:paraId="0F2D5E08" w14:textId="77777777" w:rsidR="0085272D" w:rsidRDefault="0096367E">
      <w:pPr>
        <w:pStyle w:val="1"/>
        <w:jc w:val="right"/>
      </w:pPr>
      <w:r>
        <w:t>______________________________</w:t>
      </w:r>
    </w:p>
    <w:p w14:paraId="5A7D0AA8" w14:textId="76103D1E" w:rsidR="0085272D" w:rsidRDefault="00C677F5">
      <w:pPr>
        <w:pStyle w:val="1"/>
        <w:jc w:val="right"/>
      </w:pPr>
      <w:sdt>
        <w:sdtPr>
          <w:alias w:val="Select the appropriate prefix"/>
          <w:tag w:val="Prefix"/>
          <w:id w:val="11707803"/>
          <w:placeholder>
            <w:docPart w:val="04A784F8E8054075BBB3A7628661F653"/>
          </w:placeholder>
          <w:dropDownList>
            <w:listItem w:displayText="[Prefix]" w:value="[Prefix]"/>
            <w:listItem w:displayText="Dr." w:value="Dr."/>
            <w:listItem w:displayText="Mr." w:value="Mr."/>
            <w:listItem w:displayText="Mrs." w:value="Mrs."/>
            <w:listItem w:displayText="Ms." w:value="Ms."/>
          </w:dropDownList>
        </w:sdtPr>
        <w:sdtEndPr/>
        <w:sdtContent>
          <w:r w:rsidR="0096367E">
            <w:t>Dr.</w:t>
          </w:r>
        </w:sdtContent>
      </w:sdt>
      <w:r w:rsidR="0096367E">
        <w:t xml:space="preserve"> </w:t>
      </w:r>
      <w:sdt>
        <w:sdtPr>
          <w:alias w:val="Click to enter 5th member name"/>
          <w:tag w:val="5th member"/>
          <w:id w:val="354566"/>
          <w:placeholder>
            <w:docPart w:val="3A018647A6DD4FAFB14F7723EDD3D2A5"/>
          </w:placeholder>
        </w:sdtPr>
        <w:sdtEndPr/>
        <w:sdtContent>
          <w:r w:rsidR="00C97C53">
            <w:t>Bor-Jier (Ben) Shiau</w:t>
          </w:r>
        </w:sdtContent>
      </w:sdt>
    </w:p>
    <w:p w14:paraId="0A0EC040" w14:textId="77777777" w:rsidR="0085272D" w:rsidRDefault="0085272D">
      <w:pPr>
        <w:pStyle w:val="1"/>
        <w:jc w:val="right"/>
      </w:pPr>
    </w:p>
    <w:p w14:paraId="4D35D4DA" w14:textId="77777777" w:rsidR="0085272D" w:rsidRDefault="0085272D">
      <w:pPr>
        <w:pStyle w:val="1"/>
        <w:jc w:val="right"/>
        <w:rPr>
          <w:rFonts w:hint="eastAsia"/>
          <w:lang w:eastAsia="zh-CN"/>
        </w:rPr>
      </w:pPr>
      <w:bookmarkStart w:id="0" w:name="_GoBack"/>
      <w:bookmarkEnd w:id="0"/>
    </w:p>
    <w:p w14:paraId="25337F4C" w14:textId="77777777" w:rsidR="0085272D" w:rsidRDefault="0085272D">
      <w:pPr>
        <w:pStyle w:val="1"/>
        <w:jc w:val="right"/>
      </w:pPr>
    </w:p>
    <w:p w14:paraId="43A740C1" w14:textId="77777777" w:rsidR="0085272D" w:rsidRDefault="0096367E">
      <w:pPr>
        <w:pStyle w:val="1"/>
        <w:jc w:val="center"/>
      </w:pPr>
      <w:r>
        <w:br w:type="page"/>
      </w:r>
    </w:p>
    <w:p w14:paraId="026C0428" w14:textId="77777777" w:rsidR="0085272D" w:rsidRDefault="0085272D">
      <w:pPr>
        <w:pStyle w:val="1"/>
        <w:jc w:val="center"/>
      </w:pPr>
    </w:p>
    <w:p w14:paraId="04E8366C" w14:textId="77777777" w:rsidR="0085272D" w:rsidRDefault="0085272D">
      <w:pPr>
        <w:pStyle w:val="1"/>
        <w:jc w:val="center"/>
      </w:pPr>
    </w:p>
    <w:p w14:paraId="5B7C7014" w14:textId="77777777" w:rsidR="0085272D" w:rsidRDefault="0085272D">
      <w:pPr>
        <w:pStyle w:val="1"/>
        <w:jc w:val="center"/>
      </w:pPr>
    </w:p>
    <w:p w14:paraId="4FE48B7E" w14:textId="77777777" w:rsidR="0085272D" w:rsidRDefault="0085272D">
      <w:pPr>
        <w:pStyle w:val="1"/>
        <w:jc w:val="center"/>
      </w:pPr>
    </w:p>
    <w:p w14:paraId="0DC84255" w14:textId="77777777" w:rsidR="0085272D" w:rsidRDefault="0085272D">
      <w:pPr>
        <w:pStyle w:val="1"/>
        <w:jc w:val="center"/>
      </w:pPr>
    </w:p>
    <w:p w14:paraId="56A57D63" w14:textId="77777777" w:rsidR="0085272D" w:rsidRDefault="0085272D">
      <w:pPr>
        <w:pStyle w:val="1"/>
        <w:jc w:val="center"/>
      </w:pPr>
    </w:p>
    <w:p w14:paraId="25C815E2" w14:textId="77777777" w:rsidR="0085272D" w:rsidRDefault="0085272D">
      <w:pPr>
        <w:pStyle w:val="1"/>
        <w:jc w:val="center"/>
      </w:pPr>
    </w:p>
    <w:p w14:paraId="07FC4D8E" w14:textId="77777777" w:rsidR="0085272D" w:rsidRDefault="0085272D">
      <w:pPr>
        <w:pStyle w:val="1"/>
        <w:jc w:val="center"/>
      </w:pPr>
    </w:p>
    <w:p w14:paraId="7537FAE1" w14:textId="77777777" w:rsidR="0085272D" w:rsidRDefault="0085272D">
      <w:pPr>
        <w:pStyle w:val="1"/>
        <w:jc w:val="center"/>
      </w:pPr>
    </w:p>
    <w:p w14:paraId="7FA06FB6" w14:textId="77777777" w:rsidR="0085272D" w:rsidRDefault="0085272D">
      <w:pPr>
        <w:pStyle w:val="1"/>
        <w:jc w:val="center"/>
      </w:pPr>
    </w:p>
    <w:p w14:paraId="48EAA190" w14:textId="77777777" w:rsidR="0085272D" w:rsidRDefault="0085272D">
      <w:pPr>
        <w:pStyle w:val="1"/>
        <w:jc w:val="center"/>
      </w:pPr>
    </w:p>
    <w:p w14:paraId="6C44E24F" w14:textId="77777777" w:rsidR="0085272D" w:rsidRDefault="0085272D">
      <w:pPr>
        <w:pStyle w:val="1"/>
        <w:jc w:val="center"/>
      </w:pPr>
    </w:p>
    <w:p w14:paraId="29AAD81A" w14:textId="77777777" w:rsidR="0085272D" w:rsidRDefault="0085272D">
      <w:pPr>
        <w:pStyle w:val="1"/>
        <w:jc w:val="center"/>
      </w:pPr>
    </w:p>
    <w:p w14:paraId="1A312A66" w14:textId="77777777" w:rsidR="0085272D" w:rsidRDefault="0085272D">
      <w:pPr>
        <w:pStyle w:val="1"/>
        <w:jc w:val="center"/>
      </w:pPr>
    </w:p>
    <w:p w14:paraId="6B34536F" w14:textId="77777777" w:rsidR="0085272D" w:rsidRDefault="0085272D">
      <w:pPr>
        <w:pStyle w:val="1"/>
        <w:jc w:val="center"/>
      </w:pPr>
    </w:p>
    <w:p w14:paraId="5171B4FF" w14:textId="77777777" w:rsidR="0085272D" w:rsidRDefault="0085272D">
      <w:pPr>
        <w:pStyle w:val="1"/>
        <w:jc w:val="center"/>
      </w:pPr>
    </w:p>
    <w:p w14:paraId="1239753A" w14:textId="77777777" w:rsidR="0085272D" w:rsidRDefault="0085272D">
      <w:pPr>
        <w:pStyle w:val="1"/>
        <w:jc w:val="center"/>
      </w:pPr>
    </w:p>
    <w:p w14:paraId="4152FCB3" w14:textId="77777777" w:rsidR="0085272D" w:rsidRDefault="0085272D">
      <w:pPr>
        <w:pStyle w:val="1"/>
        <w:jc w:val="center"/>
      </w:pPr>
    </w:p>
    <w:p w14:paraId="27B53592" w14:textId="77777777" w:rsidR="0085272D" w:rsidRDefault="0085272D">
      <w:pPr>
        <w:pStyle w:val="1"/>
        <w:jc w:val="center"/>
      </w:pPr>
    </w:p>
    <w:p w14:paraId="6DD4F402" w14:textId="77777777" w:rsidR="0085272D" w:rsidRDefault="0085272D">
      <w:pPr>
        <w:pStyle w:val="1"/>
        <w:jc w:val="center"/>
      </w:pPr>
    </w:p>
    <w:p w14:paraId="1DA1E5FE" w14:textId="77777777" w:rsidR="0085272D" w:rsidRDefault="0085272D">
      <w:pPr>
        <w:pStyle w:val="1"/>
        <w:jc w:val="center"/>
      </w:pPr>
    </w:p>
    <w:p w14:paraId="6700FF16" w14:textId="77777777" w:rsidR="0085272D" w:rsidRDefault="0085272D">
      <w:pPr>
        <w:pStyle w:val="1"/>
        <w:jc w:val="center"/>
      </w:pPr>
    </w:p>
    <w:p w14:paraId="2C46E994" w14:textId="77777777" w:rsidR="0085272D" w:rsidRDefault="0085272D">
      <w:pPr>
        <w:pStyle w:val="1"/>
        <w:jc w:val="center"/>
      </w:pPr>
    </w:p>
    <w:p w14:paraId="377B8C89" w14:textId="77777777" w:rsidR="0085272D" w:rsidRDefault="0085272D">
      <w:pPr>
        <w:pStyle w:val="1"/>
        <w:jc w:val="center"/>
      </w:pPr>
    </w:p>
    <w:p w14:paraId="19CB3F56" w14:textId="77777777" w:rsidR="0085272D" w:rsidRDefault="0085272D">
      <w:pPr>
        <w:pStyle w:val="1"/>
        <w:jc w:val="center"/>
      </w:pPr>
    </w:p>
    <w:p w14:paraId="2549785F" w14:textId="77777777" w:rsidR="0085272D" w:rsidRDefault="0085272D">
      <w:pPr>
        <w:pStyle w:val="1"/>
        <w:jc w:val="center"/>
      </w:pPr>
    </w:p>
    <w:p w14:paraId="0E9B9BD9" w14:textId="77777777" w:rsidR="0085272D" w:rsidRDefault="0085272D">
      <w:pPr>
        <w:pStyle w:val="1"/>
        <w:jc w:val="center"/>
      </w:pPr>
    </w:p>
    <w:p w14:paraId="02B68451" w14:textId="77777777" w:rsidR="0085272D" w:rsidRDefault="0085272D">
      <w:pPr>
        <w:pStyle w:val="1"/>
        <w:jc w:val="center"/>
      </w:pPr>
    </w:p>
    <w:p w14:paraId="2EFEB88C" w14:textId="77777777" w:rsidR="0085272D" w:rsidRDefault="0085272D">
      <w:pPr>
        <w:pStyle w:val="1"/>
        <w:jc w:val="center"/>
      </w:pPr>
    </w:p>
    <w:p w14:paraId="7CFA9146" w14:textId="77777777" w:rsidR="0085272D" w:rsidRDefault="0085272D">
      <w:pPr>
        <w:pStyle w:val="1"/>
        <w:jc w:val="center"/>
      </w:pPr>
    </w:p>
    <w:p w14:paraId="33A42709" w14:textId="77777777" w:rsidR="0085272D" w:rsidRDefault="0085272D">
      <w:pPr>
        <w:pStyle w:val="1"/>
        <w:jc w:val="center"/>
      </w:pPr>
    </w:p>
    <w:p w14:paraId="3B7A60CE" w14:textId="77777777" w:rsidR="0085272D" w:rsidRDefault="0085272D">
      <w:pPr>
        <w:pStyle w:val="1"/>
        <w:jc w:val="center"/>
      </w:pPr>
    </w:p>
    <w:p w14:paraId="60E0A530" w14:textId="77777777" w:rsidR="0085272D" w:rsidRDefault="0085272D">
      <w:pPr>
        <w:pStyle w:val="1"/>
        <w:jc w:val="center"/>
      </w:pPr>
    </w:p>
    <w:p w14:paraId="252E00ED" w14:textId="77777777" w:rsidR="0085272D" w:rsidRDefault="0085272D">
      <w:pPr>
        <w:pStyle w:val="1"/>
        <w:jc w:val="center"/>
      </w:pPr>
    </w:p>
    <w:p w14:paraId="70E63972" w14:textId="77777777" w:rsidR="0085272D" w:rsidRDefault="0085272D">
      <w:pPr>
        <w:pStyle w:val="1"/>
        <w:jc w:val="center"/>
      </w:pPr>
    </w:p>
    <w:p w14:paraId="4B36B0D7" w14:textId="77777777" w:rsidR="0085272D" w:rsidRDefault="0085272D">
      <w:pPr>
        <w:pStyle w:val="1"/>
        <w:jc w:val="center"/>
      </w:pPr>
    </w:p>
    <w:p w14:paraId="0C2B0DA3" w14:textId="77777777" w:rsidR="0085272D" w:rsidRDefault="0085272D">
      <w:pPr>
        <w:pStyle w:val="1"/>
        <w:jc w:val="center"/>
      </w:pPr>
    </w:p>
    <w:p w14:paraId="6AB6DE69" w14:textId="77777777" w:rsidR="0085272D" w:rsidRDefault="0085272D">
      <w:pPr>
        <w:pStyle w:val="1"/>
        <w:jc w:val="center"/>
      </w:pPr>
    </w:p>
    <w:p w14:paraId="047F44D4" w14:textId="77777777" w:rsidR="0085272D" w:rsidRDefault="0085272D">
      <w:pPr>
        <w:pStyle w:val="1"/>
        <w:jc w:val="center"/>
      </w:pPr>
    </w:p>
    <w:p w14:paraId="218034F6" w14:textId="77777777" w:rsidR="0085272D" w:rsidRDefault="0085272D">
      <w:pPr>
        <w:pStyle w:val="1"/>
        <w:jc w:val="center"/>
      </w:pPr>
    </w:p>
    <w:p w14:paraId="4E7C80D5" w14:textId="77777777" w:rsidR="0085272D" w:rsidRDefault="0085272D">
      <w:pPr>
        <w:pStyle w:val="1"/>
        <w:jc w:val="center"/>
      </w:pPr>
    </w:p>
    <w:p w14:paraId="19673F73" w14:textId="77777777" w:rsidR="0085272D" w:rsidRDefault="0085272D">
      <w:pPr>
        <w:pStyle w:val="1"/>
        <w:jc w:val="center"/>
      </w:pPr>
    </w:p>
    <w:p w14:paraId="28F9F0FA" w14:textId="07A624C4" w:rsidR="0085272D" w:rsidRDefault="00C677F5">
      <w:pPr>
        <w:pStyle w:val="1"/>
        <w:jc w:val="center"/>
      </w:pPr>
      <w:sdt>
        <w:sdtPr>
          <w:id w:val="30091877"/>
          <w:lock w:val="contentLocked"/>
          <w:placeholder>
            <w:docPart w:val="DefaultPlaceholder_22675703"/>
          </w:placeholder>
          <w:group/>
        </w:sdtPr>
        <w:sdtEndPr/>
        <w:sdtContent>
          <w:r w:rsidR="0096367E">
            <w:t>© Copyright by</w:t>
          </w:r>
        </w:sdtContent>
      </w:sdt>
      <w:r w:rsidR="0096367E">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6367E">
            <w:rPr>
              <w:caps/>
            </w:rPr>
            <w:t>YIXIN MA</w:t>
          </w:r>
        </w:sdtContent>
      </w:sdt>
      <w:r w:rsidR="0096367E">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6367E">
            <w:t>201</w:t>
          </w:r>
          <w:r w:rsidR="002106DB">
            <w:rPr>
              <w:lang w:eastAsia="zh-CN"/>
            </w:rPr>
            <w:t>8</w:t>
          </w:r>
        </w:sdtContent>
      </w:sdt>
    </w:p>
    <w:p w14:paraId="179E6444" w14:textId="77777777" w:rsidR="0085272D" w:rsidRDefault="0096367E">
      <w:pPr>
        <w:pStyle w:val="1"/>
        <w:jc w:val="center"/>
      </w:pPr>
      <w:r>
        <w:t>All Rights Reserved.</w:t>
      </w:r>
    </w:p>
    <w:p w14:paraId="32793615" w14:textId="77777777" w:rsidR="0085272D" w:rsidRDefault="0096367E">
      <w:r>
        <w:br w:type="page"/>
      </w:r>
    </w:p>
    <w:p w14:paraId="6F1C9200" w14:textId="77777777" w:rsidR="0085272D" w:rsidRDefault="0096367E">
      <w:r>
        <w:lastRenderedPageBreak/>
        <w:t>Dedicated to my family and my friends</w:t>
      </w:r>
    </w:p>
    <w:p w14:paraId="361A0A0E" w14:textId="77777777" w:rsidR="0085272D" w:rsidRDefault="0085272D">
      <w:pPr>
        <w:sectPr w:rsidR="0085272D">
          <w:pgSz w:w="12240" w:h="15840"/>
          <w:pgMar w:top="1440" w:right="1440" w:bottom="1440" w:left="2304" w:header="720" w:footer="720" w:gutter="0"/>
          <w:cols w:space="720"/>
          <w:docGrid w:linePitch="360"/>
        </w:sectPr>
      </w:pPr>
    </w:p>
    <w:p w14:paraId="20007EE6" w14:textId="77777777" w:rsidR="0085272D" w:rsidRDefault="0096367E">
      <w:pPr>
        <w:pStyle w:val="Heading1"/>
        <w:ind w:left="240" w:right="240"/>
      </w:pPr>
      <w:bookmarkStart w:id="1" w:name="_Toc256083293"/>
      <w:bookmarkStart w:id="2" w:name="_Toc310579464"/>
      <w:bookmarkStart w:id="3" w:name="_Toc508114128"/>
      <w:r>
        <w:lastRenderedPageBreak/>
        <w:t>Acknowledgements</w:t>
      </w:r>
      <w:bookmarkEnd w:id="1"/>
      <w:bookmarkEnd w:id="2"/>
      <w:bookmarkEnd w:id="3"/>
    </w:p>
    <w:p w14:paraId="4E10FFCA" w14:textId="131E6E84" w:rsidR="0085272D" w:rsidRDefault="0096367E" w:rsidP="006F4352">
      <w:pPr>
        <w:spacing w:afterLines="150" w:after="360"/>
        <w:jc w:val="both"/>
      </w:pPr>
      <w:r>
        <w:t>First and the most, I would like to express my heartiest gratitude to my aca</w:t>
      </w:r>
      <w:r w:rsidR="002F4E62">
        <w:t>demic advisor, Dr. Ahmad Jamili</w:t>
      </w:r>
      <w:r w:rsidR="00F62D1C">
        <w:rPr>
          <w:rFonts w:hint="eastAsia"/>
        </w:rPr>
        <w:t>, for his</w:t>
      </w:r>
      <w:r w:rsidR="00E02F97">
        <w:rPr>
          <w:rFonts w:hint="eastAsia"/>
        </w:rPr>
        <w:t xml:space="preserve"> veritable academic Godfathers to me during my PhD studies at OU in these years.</w:t>
      </w:r>
      <w:r>
        <w:t xml:space="preserve"> His guidance and supports are the mos</w:t>
      </w:r>
      <w:r w:rsidR="00E02F97">
        <w:t>t important driving force pushing me forward</w:t>
      </w:r>
      <w:r>
        <w:t>.</w:t>
      </w:r>
    </w:p>
    <w:p w14:paraId="7D31D819" w14:textId="03FB1352" w:rsidR="0085272D" w:rsidRDefault="00E02F97" w:rsidP="006F4352">
      <w:pPr>
        <w:spacing w:afterLines="150" w:after="360"/>
        <w:jc w:val="both"/>
      </w:pPr>
      <w:r>
        <w:rPr>
          <w:rFonts w:hint="eastAsia"/>
        </w:rPr>
        <w:t>Thanks are extended to</w:t>
      </w:r>
      <w:r w:rsidR="0096367E">
        <w:t xml:space="preserve"> </w:t>
      </w:r>
      <w:r w:rsidR="0096367E">
        <w:rPr>
          <w:rFonts w:hint="eastAsia"/>
          <w:lang w:eastAsia="zh-CN"/>
        </w:rPr>
        <w:t xml:space="preserve">rest </w:t>
      </w:r>
      <w:r w:rsidR="0096367E">
        <w:t xml:space="preserve">the committee members, </w:t>
      </w:r>
      <w:r w:rsidR="0096367E">
        <w:rPr>
          <w:rFonts w:hint="eastAsia"/>
          <w:lang w:eastAsia="zh-CN"/>
        </w:rPr>
        <w:t xml:space="preserve">Dr. Jeffrey Harwell, </w:t>
      </w:r>
      <w:r w:rsidR="0096367E">
        <w:t>Dr. Xingru Wu</w:t>
      </w:r>
      <w:r w:rsidR="0096367E">
        <w:rPr>
          <w:rFonts w:hint="eastAsia"/>
          <w:lang w:eastAsia="zh-CN"/>
        </w:rPr>
        <w:t xml:space="preserve">, Dr. Ramadan Ahmed </w:t>
      </w:r>
      <w:r w:rsidR="0096367E">
        <w:t xml:space="preserve">and Dr. </w:t>
      </w:r>
      <w:r w:rsidR="002106DB">
        <w:t>Bor-Jier Shiau</w:t>
      </w:r>
      <w:r w:rsidR="0096367E">
        <w:t>, for their excellent guidance and invaluable advice. I would like to especially thank Dr. Xingru Wu for his self-forgetful patience on guiding me and exposing me to new knowledge.</w:t>
      </w:r>
    </w:p>
    <w:p w14:paraId="7C3C309D" w14:textId="77777777" w:rsidR="0085272D" w:rsidRDefault="0096367E" w:rsidP="006F4352">
      <w:pPr>
        <w:spacing w:afterLines="150" w:after="360"/>
        <w:jc w:val="both"/>
      </w:pPr>
      <w:r>
        <w:t>I would also like to thank Dr. Carl Sondergeld and Dr. Chandra Rai for allowing me to participate the activities for the Unconventional Shale Resource Consortium. Such precious experience is one of the most important elements that built up my academic success.</w:t>
      </w:r>
    </w:p>
    <w:p w14:paraId="2C21E8DA" w14:textId="46C2E767" w:rsidR="00BA39B5" w:rsidRDefault="0096367E" w:rsidP="006F4352">
      <w:pPr>
        <w:spacing w:afterLines="150" w:after="360"/>
        <w:jc w:val="both"/>
      </w:pPr>
      <w:r>
        <w:t xml:space="preserve">Finally, I would like to thank my parents for their endless support behind me, without which I can never step any further. </w:t>
      </w:r>
      <w:r w:rsidR="00306A25">
        <w:t>Also,</w:t>
      </w:r>
      <w:r>
        <w:t xml:space="preserve"> I would like to have special thanks to my friends at OU, especially Shuoshi, </w:t>
      </w:r>
      <w:r w:rsidR="00143562">
        <w:rPr>
          <w:rFonts w:hint="eastAsia"/>
        </w:rPr>
        <w:t xml:space="preserve">Qin, </w:t>
      </w:r>
      <w:r>
        <w:t>Li, Luchao, Jiman, Xiaochun, Alireza, Saied, Sumeer, Mounraj, Aman, Aditya, Victor, Chao, Changlong, Yuqing, Yinan and many others who helped me through the struggling time and colored my life here at OU.</w:t>
      </w:r>
    </w:p>
    <w:p w14:paraId="2BEEC9BD" w14:textId="77777777" w:rsidR="0096367E" w:rsidRDefault="0096367E" w:rsidP="006F4352">
      <w:pPr>
        <w:spacing w:afterLines="150" w:after="360"/>
        <w:jc w:val="both"/>
      </w:pPr>
    </w:p>
    <w:p w14:paraId="02BE29A3" w14:textId="77777777" w:rsidR="0096367E" w:rsidRDefault="0096367E" w:rsidP="006F4352">
      <w:pPr>
        <w:spacing w:afterLines="150" w:after="360"/>
        <w:jc w:val="both"/>
      </w:pPr>
    </w:p>
    <w:sdt>
      <w:sdtPr>
        <w:rPr>
          <w:rFonts w:asciiTheme="minorHAnsi" w:hAnsiTheme="minorHAnsi"/>
          <w:b w:val="0"/>
          <w:bCs w:val="0"/>
          <w:sz w:val="24"/>
          <w:szCs w:val="24"/>
        </w:rPr>
        <w:id w:val="-2118746378"/>
      </w:sdtPr>
      <w:sdtEndPr/>
      <w:sdtContent>
        <w:p w14:paraId="544FFAC0" w14:textId="77777777" w:rsidR="0085272D" w:rsidRDefault="0096367E">
          <w:pPr>
            <w:pStyle w:val="TOC10"/>
            <w:ind w:left="240" w:right="240"/>
          </w:pPr>
          <w:r>
            <w:t>Table of Contents</w:t>
          </w:r>
        </w:p>
        <w:p w14:paraId="4C715B95" w14:textId="77777777" w:rsidR="00D02295" w:rsidRDefault="000759E2">
          <w:pPr>
            <w:pStyle w:val="TOC1"/>
            <w:tabs>
              <w:tab w:val="right" w:leader="dot" w:pos="8486"/>
            </w:tabs>
            <w:rPr>
              <w:rFonts w:eastAsiaTheme="minorEastAsia" w:cstheme="minorBidi"/>
              <w:b w:val="0"/>
              <w:caps w:val="0"/>
              <w:noProof/>
              <w:sz w:val="24"/>
              <w:szCs w:val="24"/>
              <w:lang w:bidi="ar-SA"/>
            </w:rPr>
          </w:pPr>
          <w:r>
            <w:rPr>
              <w:b w:val="0"/>
            </w:rPr>
            <w:fldChar w:fldCharType="begin"/>
          </w:r>
          <w:r w:rsidR="00F441FA">
            <w:rPr>
              <w:b w:val="0"/>
            </w:rPr>
            <w:instrText xml:space="preserve"> TOC \o \u </w:instrText>
          </w:r>
          <w:r>
            <w:rPr>
              <w:b w:val="0"/>
            </w:rPr>
            <w:fldChar w:fldCharType="separate"/>
          </w:r>
          <w:r w:rsidR="00D02295">
            <w:rPr>
              <w:noProof/>
            </w:rPr>
            <w:t>Acknowledgements</w:t>
          </w:r>
          <w:r w:rsidR="00D02295">
            <w:rPr>
              <w:noProof/>
            </w:rPr>
            <w:tab/>
          </w:r>
          <w:r w:rsidR="00D02295">
            <w:rPr>
              <w:noProof/>
            </w:rPr>
            <w:fldChar w:fldCharType="begin"/>
          </w:r>
          <w:r w:rsidR="00D02295">
            <w:rPr>
              <w:noProof/>
            </w:rPr>
            <w:instrText xml:space="preserve"> PAGEREF _Toc508114128 \h </w:instrText>
          </w:r>
          <w:r w:rsidR="00D02295">
            <w:rPr>
              <w:noProof/>
            </w:rPr>
          </w:r>
          <w:r w:rsidR="00D02295">
            <w:rPr>
              <w:noProof/>
            </w:rPr>
            <w:fldChar w:fldCharType="separate"/>
          </w:r>
          <w:r w:rsidR="00230CB9">
            <w:rPr>
              <w:noProof/>
            </w:rPr>
            <w:t>iv</w:t>
          </w:r>
          <w:r w:rsidR="00D02295">
            <w:rPr>
              <w:noProof/>
            </w:rPr>
            <w:fldChar w:fldCharType="end"/>
          </w:r>
        </w:p>
        <w:p w14:paraId="33D34510"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List of Tables</w:t>
          </w:r>
          <w:r>
            <w:rPr>
              <w:noProof/>
            </w:rPr>
            <w:tab/>
          </w:r>
          <w:r>
            <w:rPr>
              <w:noProof/>
            </w:rPr>
            <w:fldChar w:fldCharType="begin"/>
          </w:r>
          <w:r>
            <w:rPr>
              <w:noProof/>
            </w:rPr>
            <w:instrText xml:space="preserve"> PAGEREF _Toc508114129 \h </w:instrText>
          </w:r>
          <w:r>
            <w:rPr>
              <w:noProof/>
            </w:rPr>
          </w:r>
          <w:r>
            <w:rPr>
              <w:noProof/>
            </w:rPr>
            <w:fldChar w:fldCharType="separate"/>
          </w:r>
          <w:r w:rsidR="00230CB9">
            <w:rPr>
              <w:noProof/>
            </w:rPr>
            <w:t>viii</w:t>
          </w:r>
          <w:r>
            <w:rPr>
              <w:noProof/>
            </w:rPr>
            <w:fldChar w:fldCharType="end"/>
          </w:r>
        </w:p>
        <w:p w14:paraId="4B0D39CC" w14:textId="77777777" w:rsidR="00D02295" w:rsidRDefault="00D02295">
          <w:pPr>
            <w:pStyle w:val="TOC1"/>
            <w:tabs>
              <w:tab w:val="right" w:leader="dot" w:pos="8486"/>
            </w:tabs>
            <w:rPr>
              <w:rFonts w:eastAsiaTheme="minorEastAsia" w:cstheme="minorBidi"/>
              <w:b w:val="0"/>
              <w:caps w:val="0"/>
              <w:noProof/>
              <w:sz w:val="24"/>
              <w:szCs w:val="24"/>
              <w:lang w:bidi="ar-SA"/>
            </w:rPr>
          </w:pPr>
          <w:r w:rsidRPr="00AB6694">
            <w:rPr>
              <w:rFonts w:asciiTheme="majorHAnsi" w:hAnsiTheme="majorHAnsi"/>
              <w:bCs/>
              <w:noProof/>
            </w:rPr>
            <w:t>List of Figures</w:t>
          </w:r>
          <w:r>
            <w:rPr>
              <w:noProof/>
            </w:rPr>
            <w:tab/>
          </w:r>
          <w:r>
            <w:rPr>
              <w:noProof/>
            </w:rPr>
            <w:fldChar w:fldCharType="begin"/>
          </w:r>
          <w:r>
            <w:rPr>
              <w:noProof/>
            </w:rPr>
            <w:instrText xml:space="preserve"> PAGEREF _Toc508114130 \h </w:instrText>
          </w:r>
          <w:r>
            <w:rPr>
              <w:noProof/>
            </w:rPr>
          </w:r>
          <w:r>
            <w:rPr>
              <w:noProof/>
            </w:rPr>
            <w:fldChar w:fldCharType="separate"/>
          </w:r>
          <w:r w:rsidR="00230CB9">
            <w:rPr>
              <w:noProof/>
            </w:rPr>
            <w:t>x</w:t>
          </w:r>
          <w:r>
            <w:rPr>
              <w:noProof/>
            </w:rPr>
            <w:fldChar w:fldCharType="end"/>
          </w:r>
        </w:p>
        <w:p w14:paraId="556F2FC9"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A</w:t>
          </w:r>
          <w:r>
            <w:rPr>
              <w:noProof/>
              <w:lang w:eastAsia="zh-CN"/>
            </w:rPr>
            <w:t>BSTRACT</w:t>
          </w:r>
          <w:r>
            <w:rPr>
              <w:noProof/>
            </w:rPr>
            <w:tab/>
          </w:r>
          <w:r>
            <w:rPr>
              <w:noProof/>
            </w:rPr>
            <w:fldChar w:fldCharType="begin"/>
          </w:r>
          <w:r>
            <w:rPr>
              <w:noProof/>
            </w:rPr>
            <w:instrText xml:space="preserve"> PAGEREF _Toc508114131 \h </w:instrText>
          </w:r>
          <w:r>
            <w:rPr>
              <w:noProof/>
            </w:rPr>
          </w:r>
          <w:r>
            <w:rPr>
              <w:noProof/>
            </w:rPr>
            <w:fldChar w:fldCharType="separate"/>
          </w:r>
          <w:r w:rsidR="00230CB9">
            <w:rPr>
              <w:noProof/>
            </w:rPr>
            <w:t>xvii</w:t>
          </w:r>
          <w:r>
            <w:rPr>
              <w:noProof/>
            </w:rPr>
            <w:fldChar w:fldCharType="end"/>
          </w:r>
        </w:p>
        <w:p w14:paraId="25890258"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Chapter 1: Introduction</w:t>
          </w:r>
          <w:r>
            <w:rPr>
              <w:noProof/>
            </w:rPr>
            <w:tab/>
          </w:r>
          <w:r>
            <w:rPr>
              <w:noProof/>
            </w:rPr>
            <w:fldChar w:fldCharType="begin"/>
          </w:r>
          <w:r>
            <w:rPr>
              <w:noProof/>
            </w:rPr>
            <w:instrText xml:space="preserve"> PAGEREF _Toc508114132 \h </w:instrText>
          </w:r>
          <w:r>
            <w:rPr>
              <w:noProof/>
            </w:rPr>
          </w:r>
          <w:r>
            <w:rPr>
              <w:noProof/>
            </w:rPr>
            <w:fldChar w:fldCharType="separate"/>
          </w:r>
          <w:r w:rsidR="00230CB9">
            <w:rPr>
              <w:noProof/>
            </w:rPr>
            <w:t>1</w:t>
          </w:r>
          <w:r>
            <w:rPr>
              <w:noProof/>
            </w:rPr>
            <w:fldChar w:fldCharType="end"/>
          </w:r>
        </w:p>
        <w:p w14:paraId="142BB905"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1.1 Introduction to Shale Resources</w:t>
          </w:r>
          <w:r>
            <w:rPr>
              <w:noProof/>
            </w:rPr>
            <w:tab/>
          </w:r>
          <w:r>
            <w:rPr>
              <w:noProof/>
            </w:rPr>
            <w:fldChar w:fldCharType="begin"/>
          </w:r>
          <w:r>
            <w:rPr>
              <w:noProof/>
            </w:rPr>
            <w:instrText xml:space="preserve"> PAGEREF _Toc508114133 \h </w:instrText>
          </w:r>
          <w:r>
            <w:rPr>
              <w:noProof/>
            </w:rPr>
          </w:r>
          <w:r>
            <w:rPr>
              <w:noProof/>
            </w:rPr>
            <w:fldChar w:fldCharType="separate"/>
          </w:r>
          <w:r w:rsidR="00230CB9">
            <w:rPr>
              <w:noProof/>
            </w:rPr>
            <w:t>1</w:t>
          </w:r>
          <w:r>
            <w:rPr>
              <w:noProof/>
            </w:rPr>
            <w:fldChar w:fldCharType="end"/>
          </w:r>
        </w:p>
        <w:p w14:paraId="6C65C07E"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1.2 Phase Behavior in Shale Resources</w:t>
          </w:r>
          <w:r>
            <w:rPr>
              <w:noProof/>
            </w:rPr>
            <w:tab/>
          </w:r>
          <w:r>
            <w:rPr>
              <w:noProof/>
            </w:rPr>
            <w:fldChar w:fldCharType="begin"/>
          </w:r>
          <w:r>
            <w:rPr>
              <w:noProof/>
            </w:rPr>
            <w:instrText xml:space="preserve"> PAGEREF _Toc508114134 \h </w:instrText>
          </w:r>
          <w:r>
            <w:rPr>
              <w:noProof/>
            </w:rPr>
          </w:r>
          <w:r>
            <w:rPr>
              <w:noProof/>
            </w:rPr>
            <w:fldChar w:fldCharType="separate"/>
          </w:r>
          <w:r w:rsidR="00230CB9">
            <w:rPr>
              <w:noProof/>
            </w:rPr>
            <w:t>6</w:t>
          </w:r>
          <w:r>
            <w:rPr>
              <w:noProof/>
            </w:rPr>
            <w:fldChar w:fldCharType="end"/>
          </w:r>
        </w:p>
        <w:p w14:paraId="16968D26"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1.3 Research Goal</w:t>
          </w:r>
          <w:r>
            <w:rPr>
              <w:noProof/>
            </w:rPr>
            <w:tab/>
          </w:r>
          <w:r>
            <w:rPr>
              <w:noProof/>
            </w:rPr>
            <w:fldChar w:fldCharType="begin"/>
          </w:r>
          <w:r>
            <w:rPr>
              <w:noProof/>
            </w:rPr>
            <w:instrText xml:space="preserve"> PAGEREF _Toc508114135 \h </w:instrText>
          </w:r>
          <w:r>
            <w:rPr>
              <w:noProof/>
            </w:rPr>
          </w:r>
          <w:r>
            <w:rPr>
              <w:noProof/>
            </w:rPr>
            <w:fldChar w:fldCharType="separate"/>
          </w:r>
          <w:r w:rsidR="00230CB9">
            <w:rPr>
              <w:noProof/>
            </w:rPr>
            <w:t>11</w:t>
          </w:r>
          <w:r>
            <w:rPr>
              <w:noProof/>
            </w:rPr>
            <w:fldChar w:fldCharType="end"/>
          </w:r>
        </w:p>
        <w:p w14:paraId="28B1A985"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 xml:space="preserve">1.4 Scope of </w:t>
          </w:r>
          <w:r>
            <w:rPr>
              <w:noProof/>
              <w:lang w:eastAsia="zh-CN"/>
            </w:rPr>
            <w:t>Dissertation</w:t>
          </w:r>
          <w:r>
            <w:rPr>
              <w:noProof/>
            </w:rPr>
            <w:tab/>
          </w:r>
          <w:r>
            <w:rPr>
              <w:noProof/>
            </w:rPr>
            <w:fldChar w:fldCharType="begin"/>
          </w:r>
          <w:r>
            <w:rPr>
              <w:noProof/>
            </w:rPr>
            <w:instrText xml:space="preserve"> PAGEREF _Toc508114136 \h </w:instrText>
          </w:r>
          <w:r>
            <w:rPr>
              <w:noProof/>
            </w:rPr>
          </w:r>
          <w:r>
            <w:rPr>
              <w:noProof/>
            </w:rPr>
            <w:fldChar w:fldCharType="separate"/>
          </w:r>
          <w:r w:rsidR="00230CB9">
            <w:rPr>
              <w:noProof/>
            </w:rPr>
            <w:t>11</w:t>
          </w:r>
          <w:r>
            <w:rPr>
              <w:noProof/>
            </w:rPr>
            <w:fldChar w:fldCharType="end"/>
          </w:r>
        </w:p>
        <w:p w14:paraId="42C12E6E"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 xml:space="preserve">Chapter 2: Modifying </w:t>
          </w:r>
          <w:r>
            <w:rPr>
              <w:noProof/>
              <w:lang w:eastAsia="zh-CN"/>
            </w:rPr>
            <w:t>Equations of State to Consider Confinement Effects</w:t>
          </w:r>
          <w:r>
            <w:rPr>
              <w:noProof/>
            </w:rPr>
            <w:tab/>
          </w:r>
          <w:r>
            <w:rPr>
              <w:noProof/>
            </w:rPr>
            <w:fldChar w:fldCharType="begin"/>
          </w:r>
          <w:r>
            <w:rPr>
              <w:noProof/>
            </w:rPr>
            <w:instrText xml:space="preserve"> PAGEREF _Toc508114137 \h </w:instrText>
          </w:r>
          <w:r>
            <w:rPr>
              <w:noProof/>
            </w:rPr>
          </w:r>
          <w:r>
            <w:rPr>
              <w:noProof/>
            </w:rPr>
            <w:fldChar w:fldCharType="separate"/>
          </w:r>
          <w:r w:rsidR="00230CB9">
            <w:rPr>
              <w:noProof/>
            </w:rPr>
            <w:t>13</w:t>
          </w:r>
          <w:r>
            <w:rPr>
              <w:noProof/>
            </w:rPr>
            <w:fldChar w:fldCharType="end"/>
          </w:r>
        </w:p>
        <w:p w14:paraId="081F0702"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2.1 Background and Previous Work</w:t>
          </w:r>
          <w:r>
            <w:rPr>
              <w:noProof/>
            </w:rPr>
            <w:tab/>
          </w:r>
          <w:r>
            <w:rPr>
              <w:noProof/>
            </w:rPr>
            <w:fldChar w:fldCharType="begin"/>
          </w:r>
          <w:r>
            <w:rPr>
              <w:noProof/>
            </w:rPr>
            <w:instrText xml:space="preserve"> PAGEREF _Toc508114138 \h </w:instrText>
          </w:r>
          <w:r>
            <w:rPr>
              <w:noProof/>
            </w:rPr>
          </w:r>
          <w:r>
            <w:rPr>
              <w:noProof/>
            </w:rPr>
            <w:fldChar w:fldCharType="separate"/>
          </w:r>
          <w:r w:rsidR="00230CB9">
            <w:rPr>
              <w:noProof/>
            </w:rPr>
            <w:t>13</w:t>
          </w:r>
          <w:r>
            <w:rPr>
              <w:noProof/>
            </w:rPr>
            <w:fldChar w:fldCharType="end"/>
          </w:r>
        </w:p>
        <w:p w14:paraId="295C916C"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2.2 Equation of State Modification</w:t>
          </w:r>
          <w:r>
            <w:rPr>
              <w:noProof/>
            </w:rPr>
            <w:tab/>
          </w:r>
          <w:r>
            <w:rPr>
              <w:noProof/>
            </w:rPr>
            <w:fldChar w:fldCharType="begin"/>
          </w:r>
          <w:r>
            <w:rPr>
              <w:noProof/>
            </w:rPr>
            <w:instrText xml:space="preserve"> PAGEREF _Toc508114139 \h </w:instrText>
          </w:r>
          <w:r>
            <w:rPr>
              <w:noProof/>
            </w:rPr>
          </w:r>
          <w:r>
            <w:rPr>
              <w:noProof/>
            </w:rPr>
            <w:fldChar w:fldCharType="separate"/>
          </w:r>
          <w:r w:rsidR="00230CB9">
            <w:rPr>
              <w:noProof/>
            </w:rPr>
            <w:t>16</w:t>
          </w:r>
          <w:r>
            <w:rPr>
              <w:noProof/>
            </w:rPr>
            <w:fldChar w:fldCharType="end"/>
          </w:r>
        </w:p>
        <w:p w14:paraId="5F43B0D4" w14:textId="77777777" w:rsidR="00D02295" w:rsidRDefault="00D02295">
          <w:pPr>
            <w:pStyle w:val="TOC3"/>
            <w:tabs>
              <w:tab w:val="right" w:leader="dot" w:pos="8486"/>
            </w:tabs>
            <w:rPr>
              <w:rFonts w:eastAsiaTheme="minorEastAsia" w:cstheme="minorBidi"/>
              <w:i w:val="0"/>
              <w:noProof/>
              <w:sz w:val="24"/>
              <w:szCs w:val="24"/>
              <w:lang w:bidi="ar-SA"/>
            </w:rPr>
          </w:pPr>
          <w:r>
            <w:rPr>
              <w:noProof/>
            </w:rPr>
            <w:t>2.2.1 Modification of van der Waals Equation of State</w:t>
          </w:r>
          <w:r>
            <w:rPr>
              <w:noProof/>
            </w:rPr>
            <w:tab/>
          </w:r>
          <w:r>
            <w:rPr>
              <w:noProof/>
            </w:rPr>
            <w:fldChar w:fldCharType="begin"/>
          </w:r>
          <w:r>
            <w:rPr>
              <w:noProof/>
            </w:rPr>
            <w:instrText xml:space="preserve"> PAGEREF _Toc508114140 \h </w:instrText>
          </w:r>
          <w:r>
            <w:rPr>
              <w:noProof/>
            </w:rPr>
          </w:r>
          <w:r>
            <w:rPr>
              <w:noProof/>
            </w:rPr>
            <w:fldChar w:fldCharType="separate"/>
          </w:r>
          <w:r w:rsidR="00230CB9">
            <w:rPr>
              <w:noProof/>
            </w:rPr>
            <w:t>16</w:t>
          </w:r>
          <w:r>
            <w:rPr>
              <w:noProof/>
            </w:rPr>
            <w:fldChar w:fldCharType="end"/>
          </w:r>
        </w:p>
        <w:p w14:paraId="42E391A1" w14:textId="77777777" w:rsidR="00D02295" w:rsidRDefault="00D02295">
          <w:pPr>
            <w:pStyle w:val="TOC3"/>
            <w:tabs>
              <w:tab w:val="right" w:leader="dot" w:pos="8486"/>
            </w:tabs>
            <w:rPr>
              <w:rFonts w:eastAsiaTheme="minorEastAsia" w:cstheme="minorBidi"/>
              <w:i w:val="0"/>
              <w:noProof/>
              <w:sz w:val="24"/>
              <w:szCs w:val="24"/>
              <w:lang w:bidi="ar-SA"/>
            </w:rPr>
          </w:pPr>
          <w:r>
            <w:rPr>
              <w:noProof/>
            </w:rPr>
            <w:t>2.2.2 Modification of Peng-Robinson Equation of State</w:t>
          </w:r>
          <w:r>
            <w:rPr>
              <w:noProof/>
            </w:rPr>
            <w:tab/>
          </w:r>
          <w:r>
            <w:rPr>
              <w:noProof/>
            </w:rPr>
            <w:fldChar w:fldCharType="begin"/>
          </w:r>
          <w:r>
            <w:rPr>
              <w:noProof/>
            </w:rPr>
            <w:instrText xml:space="preserve"> PAGEREF _Toc508114141 \h </w:instrText>
          </w:r>
          <w:r>
            <w:rPr>
              <w:noProof/>
            </w:rPr>
          </w:r>
          <w:r>
            <w:rPr>
              <w:noProof/>
            </w:rPr>
            <w:fldChar w:fldCharType="separate"/>
          </w:r>
          <w:r w:rsidR="00230CB9">
            <w:rPr>
              <w:noProof/>
            </w:rPr>
            <w:t>21</w:t>
          </w:r>
          <w:r>
            <w:rPr>
              <w:noProof/>
            </w:rPr>
            <w:fldChar w:fldCharType="end"/>
          </w:r>
        </w:p>
        <w:p w14:paraId="2F569472"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2.3 Correlations to Determine the Pore Size Dependent EOS Parameter c</w:t>
          </w:r>
          <w:r>
            <w:rPr>
              <w:noProof/>
            </w:rPr>
            <w:tab/>
          </w:r>
          <w:r>
            <w:rPr>
              <w:noProof/>
            </w:rPr>
            <w:fldChar w:fldCharType="begin"/>
          </w:r>
          <w:r>
            <w:rPr>
              <w:noProof/>
            </w:rPr>
            <w:instrText xml:space="preserve"> PAGEREF _Toc508114142 \h </w:instrText>
          </w:r>
          <w:r>
            <w:rPr>
              <w:noProof/>
            </w:rPr>
          </w:r>
          <w:r>
            <w:rPr>
              <w:noProof/>
            </w:rPr>
            <w:fldChar w:fldCharType="separate"/>
          </w:r>
          <w:r w:rsidR="00230CB9">
            <w:rPr>
              <w:noProof/>
            </w:rPr>
            <w:t>23</w:t>
          </w:r>
          <w:r>
            <w:rPr>
              <w:noProof/>
            </w:rPr>
            <w:fldChar w:fldCharType="end"/>
          </w:r>
        </w:p>
        <w:p w14:paraId="2789B3C8"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 xml:space="preserve">Chapter 3: Predicting Fluid Density in Nanopores Using </w:t>
          </w:r>
          <w:r>
            <w:rPr>
              <w:noProof/>
              <w:lang w:eastAsia="zh-CN"/>
            </w:rPr>
            <w:t>Simplified Local Density/ Peng-Robinson Equation of State Model</w:t>
          </w:r>
          <w:r>
            <w:rPr>
              <w:noProof/>
            </w:rPr>
            <w:tab/>
          </w:r>
          <w:r>
            <w:rPr>
              <w:noProof/>
            </w:rPr>
            <w:fldChar w:fldCharType="begin"/>
          </w:r>
          <w:r>
            <w:rPr>
              <w:noProof/>
            </w:rPr>
            <w:instrText xml:space="preserve"> PAGEREF _Toc508114143 \h </w:instrText>
          </w:r>
          <w:r>
            <w:rPr>
              <w:noProof/>
            </w:rPr>
          </w:r>
          <w:r>
            <w:rPr>
              <w:noProof/>
            </w:rPr>
            <w:fldChar w:fldCharType="separate"/>
          </w:r>
          <w:r w:rsidR="00230CB9">
            <w:rPr>
              <w:noProof/>
            </w:rPr>
            <w:t>27</w:t>
          </w:r>
          <w:r>
            <w:rPr>
              <w:noProof/>
            </w:rPr>
            <w:fldChar w:fldCharType="end"/>
          </w:r>
        </w:p>
        <w:p w14:paraId="68C2B561"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3.1 Background and Previous Work</w:t>
          </w:r>
          <w:r>
            <w:rPr>
              <w:noProof/>
            </w:rPr>
            <w:tab/>
          </w:r>
          <w:r>
            <w:rPr>
              <w:noProof/>
            </w:rPr>
            <w:fldChar w:fldCharType="begin"/>
          </w:r>
          <w:r>
            <w:rPr>
              <w:noProof/>
            </w:rPr>
            <w:instrText xml:space="preserve"> PAGEREF _Toc508114144 \h </w:instrText>
          </w:r>
          <w:r>
            <w:rPr>
              <w:noProof/>
            </w:rPr>
          </w:r>
          <w:r>
            <w:rPr>
              <w:noProof/>
            </w:rPr>
            <w:fldChar w:fldCharType="separate"/>
          </w:r>
          <w:r w:rsidR="00230CB9">
            <w:rPr>
              <w:noProof/>
            </w:rPr>
            <w:t>27</w:t>
          </w:r>
          <w:r>
            <w:rPr>
              <w:noProof/>
            </w:rPr>
            <w:fldChar w:fldCharType="end"/>
          </w:r>
        </w:p>
        <w:p w14:paraId="10B52D26"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3.2 Model Description</w:t>
          </w:r>
          <w:r>
            <w:rPr>
              <w:noProof/>
            </w:rPr>
            <w:tab/>
          </w:r>
          <w:r>
            <w:rPr>
              <w:noProof/>
            </w:rPr>
            <w:fldChar w:fldCharType="begin"/>
          </w:r>
          <w:r>
            <w:rPr>
              <w:noProof/>
            </w:rPr>
            <w:instrText xml:space="preserve"> PAGEREF _Toc508114145 \h </w:instrText>
          </w:r>
          <w:r>
            <w:rPr>
              <w:noProof/>
            </w:rPr>
          </w:r>
          <w:r>
            <w:rPr>
              <w:noProof/>
            </w:rPr>
            <w:fldChar w:fldCharType="separate"/>
          </w:r>
          <w:r w:rsidR="00230CB9">
            <w:rPr>
              <w:noProof/>
            </w:rPr>
            <w:t>31</w:t>
          </w:r>
          <w:r>
            <w:rPr>
              <w:noProof/>
            </w:rPr>
            <w:fldChar w:fldCharType="end"/>
          </w:r>
        </w:p>
        <w:p w14:paraId="1191B54B" w14:textId="77777777" w:rsidR="00D02295" w:rsidRDefault="00D02295">
          <w:pPr>
            <w:pStyle w:val="TOC3"/>
            <w:tabs>
              <w:tab w:val="right" w:leader="dot" w:pos="8486"/>
            </w:tabs>
            <w:rPr>
              <w:rFonts w:eastAsiaTheme="minorEastAsia" w:cstheme="minorBidi"/>
              <w:i w:val="0"/>
              <w:noProof/>
              <w:sz w:val="24"/>
              <w:szCs w:val="24"/>
              <w:lang w:bidi="ar-SA"/>
            </w:rPr>
          </w:pPr>
          <w:r>
            <w:rPr>
              <w:noProof/>
            </w:rPr>
            <w:t>3.2.1 Single Component Model</w:t>
          </w:r>
          <w:r>
            <w:rPr>
              <w:noProof/>
            </w:rPr>
            <w:tab/>
          </w:r>
          <w:r>
            <w:rPr>
              <w:noProof/>
            </w:rPr>
            <w:fldChar w:fldCharType="begin"/>
          </w:r>
          <w:r>
            <w:rPr>
              <w:noProof/>
            </w:rPr>
            <w:instrText xml:space="preserve"> PAGEREF _Toc508114146 \h </w:instrText>
          </w:r>
          <w:r>
            <w:rPr>
              <w:noProof/>
            </w:rPr>
          </w:r>
          <w:r>
            <w:rPr>
              <w:noProof/>
            </w:rPr>
            <w:fldChar w:fldCharType="separate"/>
          </w:r>
          <w:r w:rsidR="00230CB9">
            <w:rPr>
              <w:noProof/>
            </w:rPr>
            <w:t>31</w:t>
          </w:r>
          <w:r>
            <w:rPr>
              <w:noProof/>
            </w:rPr>
            <w:fldChar w:fldCharType="end"/>
          </w:r>
        </w:p>
        <w:p w14:paraId="1DE4B159" w14:textId="77777777" w:rsidR="00D02295" w:rsidRDefault="00D02295">
          <w:pPr>
            <w:pStyle w:val="TOC3"/>
            <w:tabs>
              <w:tab w:val="right" w:leader="dot" w:pos="8486"/>
            </w:tabs>
            <w:rPr>
              <w:rFonts w:eastAsiaTheme="minorEastAsia" w:cstheme="minorBidi"/>
              <w:i w:val="0"/>
              <w:noProof/>
              <w:sz w:val="24"/>
              <w:szCs w:val="24"/>
              <w:lang w:bidi="ar-SA"/>
            </w:rPr>
          </w:pPr>
          <w:r>
            <w:rPr>
              <w:noProof/>
            </w:rPr>
            <w:t>3.2.2 Multi-Component Model</w:t>
          </w:r>
          <w:r>
            <w:rPr>
              <w:noProof/>
            </w:rPr>
            <w:tab/>
          </w:r>
          <w:r>
            <w:rPr>
              <w:noProof/>
            </w:rPr>
            <w:fldChar w:fldCharType="begin"/>
          </w:r>
          <w:r>
            <w:rPr>
              <w:noProof/>
            </w:rPr>
            <w:instrText xml:space="preserve"> PAGEREF _Toc508114147 \h </w:instrText>
          </w:r>
          <w:r>
            <w:rPr>
              <w:noProof/>
            </w:rPr>
          </w:r>
          <w:r>
            <w:rPr>
              <w:noProof/>
            </w:rPr>
            <w:fldChar w:fldCharType="separate"/>
          </w:r>
          <w:r w:rsidR="00230CB9">
            <w:rPr>
              <w:noProof/>
            </w:rPr>
            <w:t>37</w:t>
          </w:r>
          <w:r>
            <w:rPr>
              <w:noProof/>
            </w:rPr>
            <w:fldChar w:fldCharType="end"/>
          </w:r>
        </w:p>
        <w:p w14:paraId="69747886"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lastRenderedPageBreak/>
            <w:t xml:space="preserve">Chapter 4: </w:t>
          </w:r>
          <w:r>
            <w:rPr>
              <w:noProof/>
              <w:lang w:eastAsia="zh-CN"/>
            </w:rPr>
            <w:t>Studying Confined Fluid Phase Behavior Using Proposed Models</w:t>
          </w:r>
          <w:r>
            <w:rPr>
              <w:noProof/>
            </w:rPr>
            <w:tab/>
          </w:r>
          <w:r>
            <w:rPr>
              <w:noProof/>
            </w:rPr>
            <w:fldChar w:fldCharType="begin"/>
          </w:r>
          <w:r>
            <w:rPr>
              <w:noProof/>
            </w:rPr>
            <w:instrText xml:space="preserve"> PAGEREF _Toc508114148 \h </w:instrText>
          </w:r>
          <w:r>
            <w:rPr>
              <w:noProof/>
            </w:rPr>
          </w:r>
          <w:r>
            <w:rPr>
              <w:noProof/>
            </w:rPr>
            <w:fldChar w:fldCharType="separate"/>
          </w:r>
          <w:r w:rsidR="00230CB9">
            <w:rPr>
              <w:noProof/>
            </w:rPr>
            <w:t>39</w:t>
          </w:r>
          <w:r>
            <w:rPr>
              <w:noProof/>
            </w:rPr>
            <w:fldChar w:fldCharType="end"/>
          </w:r>
        </w:p>
        <w:p w14:paraId="34409AAD"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4.1 Model Validation</w:t>
          </w:r>
          <w:r>
            <w:rPr>
              <w:noProof/>
            </w:rPr>
            <w:tab/>
          </w:r>
          <w:r>
            <w:rPr>
              <w:noProof/>
            </w:rPr>
            <w:fldChar w:fldCharType="begin"/>
          </w:r>
          <w:r>
            <w:rPr>
              <w:noProof/>
            </w:rPr>
            <w:instrText xml:space="preserve"> PAGEREF _Toc508114149 \h </w:instrText>
          </w:r>
          <w:r>
            <w:rPr>
              <w:noProof/>
            </w:rPr>
          </w:r>
          <w:r>
            <w:rPr>
              <w:noProof/>
            </w:rPr>
            <w:fldChar w:fldCharType="separate"/>
          </w:r>
          <w:r w:rsidR="00230CB9">
            <w:rPr>
              <w:noProof/>
            </w:rPr>
            <w:t>39</w:t>
          </w:r>
          <w:r>
            <w:rPr>
              <w:noProof/>
            </w:rPr>
            <w:fldChar w:fldCharType="end"/>
          </w:r>
        </w:p>
        <w:p w14:paraId="2D7AAB33" w14:textId="77777777" w:rsidR="00D02295" w:rsidRDefault="00D02295">
          <w:pPr>
            <w:pStyle w:val="TOC3"/>
            <w:tabs>
              <w:tab w:val="right" w:leader="dot" w:pos="8486"/>
            </w:tabs>
            <w:rPr>
              <w:rFonts w:eastAsiaTheme="minorEastAsia" w:cstheme="minorBidi"/>
              <w:i w:val="0"/>
              <w:noProof/>
              <w:sz w:val="24"/>
              <w:szCs w:val="24"/>
              <w:lang w:bidi="ar-SA"/>
            </w:rPr>
          </w:pPr>
          <w:r>
            <w:rPr>
              <w:noProof/>
            </w:rPr>
            <w:t>4.1.1 Validation of Modified EOS for Phase Behavior of Confined Fluid</w:t>
          </w:r>
          <w:r>
            <w:rPr>
              <w:noProof/>
            </w:rPr>
            <w:tab/>
          </w:r>
          <w:r>
            <w:rPr>
              <w:noProof/>
            </w:rPr>
            <w:fldChar w:fldCharType="begin"/>
          </w:r>
          <w:r>
            <w:rPr>
              <w:noProof/>
            </w:rPr>
            <w:instrText xml:space="preserve"> PAGEREF _Toc508114150 \h </w:instrText>
          </w:r>
          <w:r>
            <w:rPr>
              <w:noProof/>
            </w:rPr>
          </w:r>
          <w:r>
            <w:rPr>
              <w:noProof/>
            </w:rPr>
            <w:fldChar w:fldCharType="separate"/>
          </w:r>
          <w:r w:rsidR="00230CB9">
            <w:rPr>
              <w:noProof/>
            </w:rPr>
            <w:t>39</w:t>
          </w:r>
          <w:r>
            <w:rPr>
              <w:noProof/>
            </w:rPr>
            <w:fldChar w:fldCharType="end"/>
          </w:r>
        </w:p>
        <w:p w14:paraId="5606A0E3" w14:textId="77777777" w:rsidR="00D02295" w:rsidRDefault="00D02295">
          <w:pPr>
            <w:pStyle w:val="TOC3"/>
            <w:tabs>
              <w:tab w:val="right" w:leader="dot" w:pos="8486"/>
            </w:tabs>
            <w:rPr>
              <w:rFonts w:eastAsiaTheme="minorEastAsia" w:cstheme="minorBidi"/>
              <w:i w:val="0"/>
              <w:noProof/>
              <w:sz w:val="24"/>
              <w:szCs w:val="24"/>
              <w:lang w:bidi="ar-SA"/>
            </w:rPr>
          </w:pPr>
          <w:r>
            <w:rPr>
              <w:noProof/>
            </w:rPr>
            <w:t>4.1.2 Validation of SLD-PR model for Density Profiles of Confined Fluid</w:t>
          </w:r>
          <w:r>
            <w:rPr>
              <w:noProof/>
            </w:rPr>
            <w:tab/>
          </w:r>
          <w:r>
            <w:rPr>
              <w:noProof/>
            </w:rPr>
            <w:fldChar w:fldCharType="begin"/>
          </w:r>
          <w:r>
            <w:rPr>
              <w:noProof/>
            </w:rPr>
            <w:instrText xml:space="preserve"> PAGEREF _Toc508114151 \h </w:instrText>
          </w:r>
          <w:r>
            <w:rPr>
              <w:noProof/>
            </w:rPr>
          </w:r>
          <w:r>
            <w:rPr>
              <w:noProof/>
            </w:rPr>
            <w:fldChar w:fldCharType="separate"/>
          </w:r>
          <w:r w:rsidR="00230CB9">
            <w:rPr>
              <w:noProof/>
            </w:rPr>
            <w:t>44</w:t>
          </w:r>
          <w:r>
            <w:rPr>
              <w:noProof/>
            </w:rPr>
            <w:fldChar w:fldCharType="end"/>
          </w:r>
        </w:p>
        <w:p w14:paraId="57570ABE"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4.2 Vapor-Liquid Equilibrium Calculations for Confined Fluid</w:t>
          </w:r>
          <w:r>
            <w:rPr>
              <w:noProof/>
            </w:rPr>
            <w:tab/>
          </w:r>
          <w:r>
            <w:rPr>
              <w:noProof/>
            </w:rPr>
            <w:fldChar w:fldCharType="begin"/>
          </w:r>
          <w:r>
            <w:rPr>
              <w:noProof/>
            </w:rPr>
            <w:instrText xml:space="preserve"> PAGEREF _Toc508114152 \h </w:instrText>
          </w:r>
          <w:r>
            <w:rPr>
              <w:noProof/>
            </w:rPr>
          </w:r>
          <w:r>
            <w:rPr>
              <w:noProof/>
            </w:rPr>
            <w:fldChar w:fldCharType="separate"/>
          </w:r>
          <w:r w:rsidR="00230CB9">
            <w:rPr>
              <w:noProof/>
            </w:rPr>
            <w:t>48</w:t>
          </w:r>
          <w:r>
            <w:rPr>
              <w:noProof/>
            </w:rPr>
            <w:fldChar w:fldCharType="end"/>
          </w:r>
        </w:p>
        <w:p w14:paraId="4143F28A" w14:textId="77777777" w:rsidR="00D02295" w:rsidRDefault="00D02295">
          <w:pPr>
            <w:pStyle w:val="TOC3"/>
            <w:tabs>
              <w:tab w:val="right" w:leader="dot" w:pos="8486"/>
            </w:tabs>
            <w:rPr>
              <w:rFonts w:eastAsiaTheme="minorEastAsia" w:cstheme="minorBidi"/>
              <w:i w:val="0"/>
              <w:noProof/>
              <w:sz w:val="24"/>
              <w:szCs w:val="24"/>
              <w:lang w:bidi="ar-SA"/>
            </w:rPr>
          </w:pPr>
          <w:r>
            <w:rPr>
              <w:noProof/>
            </w:rPr>
            <w:t>4.2.1 Flash Calculations</w:t>
          </w:r>
          <w:r>
            <w:rPr>
              <w:noProof/>
            </w:rPr>
            <w:tab/>
          </w:r>
          <w:r>
            <w:rPr>
              <w:noProof/>
            </w:rPr>
            <w:fldChar w:fldCharType="begin"/>
          </w:r>
          <w:r>
            <w:rPr>
              <w:noProof/>
            </w:rPr>
            <w:instrText xml:space="preserve"> PAGEREF _Toc508114153 \h </w:instrText>
          </w:r>
          <w:r>
            <w:rPr>
              <w:noProof/>
            </w:rPr>
          </w:r>
          <w:r>
            <w:rPr>
              <w:noProof/>
            </w:rPr>
            <w:fldChar w:fldCharType="separate"/>
          </w:r>
          <w:r w:rsidR="00230CB9">
            <w:rPr>
              <w:noProof/>
            </w:rPr>
            <w:t>48</w:t>
          </w:r>
          <w:r>
            <w:rPr>
              <w:noProof/>
            </w:rPr>
            <w:fldChar w:fldCharType="end"/>
          </w:r>
        </w:p>
        <w:p w14:paraId="66BC77F7" w14:textId="77777777" w:rsidR="00D02295" w:rsidRDefault="00D02295">
          <w:pPr>
            <w:pStyle w:val="TOC3"/>
            <w:tabs>
              <w:tab w:val="right" w:leader="dot" w:pos="8486"/>
            </w:tabs>
            <w:rPr>
              <w:rFonts w:eastAsiaTheme="minorEastAsia" w:cstheme="minorBidi"/>
              <w:i w:val="0"/>
              <w:noProof/>
              <w:sz w:val="24"/>
              <w:szCs w:val="24"/>
              <w:lang w:bidi="ar-SA"/>
            </w:rPr>
          </w:pPr>
          <w:r>
            <w:rPr>
              <w:noProof/>
            </w:rPr>
            <w:t>4.2.2 Two-Phase Envelope Calculations</w:t>
          </w:r>
          <w:r>
            <w:rPr>
              <w:noProof/>
            </w:rPr>
            <w:tab/>
          </w:r>
          <w:r>
            <w:rPr>
              <w:noProof/>
            </w:rPr>
            <w:fldChar w:fldCharType="begin"/>
          </w:r>
          <w:r>
            <w:rPr>
              <w:noProof/>
            </w:rPr>
            <w:instrText xml:space="preserve"> PAGEREF _Toc508114154 \h </w:instrText>
          </w:r>
          <w:r>
            <w:rPr>
              <w:noProof/>
            </w:rPr>
          </w:r>
          <w:r>
            <w:rPr>
              <w:noProof/>
            </w:rPr>
            <w:fldChar w:fldCharType="separate"/>
          </w:r>
          <w:r w:rsidR="00230CB9">
            <w:rPr>
              <w:noProof/>
            </w:rPr>
            <w:t>58</w:t>
          </w:r>
          <w:r>
            <w:rPr>
              <w:noProof/>
            </w:rPr>
            <w:fldChar w:fldCharType="end"/>
          </w:r>
        </w:p>
        <w:p w14:paraId="675324C8"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4.3 Fluid Distributions in Single Pore System</w:t>
          </w:r>
          <w:r>
            <w:rPr>
              <w:noProof/>
            </w:rPr>
            <w:tab/>
          </w:r>
          <w:r>
            <w:rPr>
              <w:noProof/>
            </w:rPr>
            <w:fldChar w:fldCharType="begin"/>
          </w:r>
          <w:r>
            <w:rPr>
              <w:noProof/>
            </w:rPr>
            <w:instrText xml:space="preserve"> PAGEREF _Toc508114155 \h </w:instrText>
          </w:r>
          <w:r>
            <w:rPr>
              <w:noProof/>
            </w:rPr>
          </w:r>
          <w:r>
            <w:rPr>
              <w:noProof/>
            </w:rPr>
            <w:fldChar w:fldCharType="separate"/>
          </w:r>
          <w:r w:rsidR="00230CB9">
            <w:rPr>
              <w:noProof/>
            </w:rPr>
            <w:t>63</w:t>
          </w:r>
          <w:r>
            <w:rPr>
              <w:noProof/>
            </w:rPr>
            <w:fldChar w:fldCharType="end"/>
          </w:r>
        </w:p>
        <w:p w14:paraId="7BB6F5A1" w14:textId="77777777" w:rsidR="00D02295" w:rsidRDefault="00D02295">
          <w:pPr>
            <w:pStyle w:val="TOC3"/>
            <w:tabs>
              <w:tab w:val="right" w:leader="dot" w:pos="8486"/>
            </w:tabs>
            <w:rPr>
              <w:rFonts w:eastAsiaTheme="minorEastAsia" w:cstheme="minorBidi"/>
              <w:i w:val="0"/>
              <w:noProof/>
              <w:sz w:val="24"/>
              <w:szCs w:val="24"/>
              <w:lang w:bidi="ar-SA"/>
            </w:rPr>
          </w:pPr>
          <w:r>
            <w:rPr>
              <w:noProof/>
            </w:rPr>
            <w:t>4.3.1 Fluid Distributions of Single Component and Mixtures in Single Pore System</w:t>
          </w:r>
          <w:r>
            <w:rPr>
              <w:noProof/>
            </w:rPr>
            <w:tab/>
          </w:r>
          <w:r>
            <w:rPr>
              <w:noProof/>
            </w:rPr>
            <w:fldChar w:fldCharType="begin"/>
          </w:r>
          <w:r>
            <w:rPr>
              <w:noProof/>
            </w:rPr>
            <w:instrText xml:space="preserve"> PAGEREF _Toc508114156 \h </w:instrText>
          </w:r>
          <w:r>
            <w:rPr>
              <w:noProof/>
            </w:rPr>
          </w:r>
          <w:r>
            <w:rPr>
              <w:noProof/>
            </w:rPr>
            <w:fldChar w:fldCharType="separate"/>
          </w:r>
          <w:r w:rsidR="00230CB9">
            <w:rPr>
              <w:noProof/>
            </w:rPr>
            <w:t>63</w:t>
          </w:r>
          <w:r>
            <w:rPr>
              <w:noProof/>
            </w:rPr>
            <w:fldChar w:fldCharType="end"/>
          </w:r>
        </w:p>
        <w:p w14:paraId="34FA0DB0" w14:textId="77777777" w:rsidR="00D02295" w:rsidRDefault="00D02295">
          <w:pPr>
            <w:pStyle w:val="TOC3"/>
            <w:tabs>
              <w:tab w:val="right" w:leader="dot" w:pos="8486"/>
            </w:tabs>
            <w:rPr>
              <w:rFonts w:eastAsiaTheme="minorEastAsia" w:cstheme="minorBidi"/>
              <w:i w:val="0"/>
              <w:noProof/>
              <w:sz w:val="24"/>
              <w:szCs w:val="24"/>
              <w:lang w:bidi="ar-SA"/>
            </w:rPr>
          </w:pPr>
          <w:r>
            <w:rPr>
              <w:noProof/>
            </w:rPr>
            <w:t>4.3.2 Sensitivity Analysis</w:t>
          </w:r>
          <w:r>
            <w:rPr>
              <w:noProof/>
            </w:rPr>
            <w:tab/>
          </w:r>
          <w:r>
            <w:rPr>
              <w:noProof/>
            </w:rPr>
            <w:fldChar w:fldCharType="begin"/>
          </w:r>
          <w:r>
            <w:rPr>
              <w:noProof/>
            </w:rPr>
            <w:instrText xml:space="preserve"> PAGEREF _Toc508114157 \h </w:instrText>
          </w:r>
          <w:r>
            <w:rPr>
              <w:noProof/>
            </w:rPr>
          </w:r>
          <w:r>
            <w:rPr>
              <w:noProof/>
            </w:rPr>
            <w:fldChar w:fldCharType="separate"/>
          </w:r>
          <w:r w:rsidR="00230CB9">
            <w:rPr>
              <w:noProof/>
            </w:rPr>
            <w:t>69</w:t>
          </w:r>
          <w:r>
            <w:rPr>
              <w:noProof/>
            </w:rPr>
            <w:fldChar w:fldCharType="end"/>
          </w:r>
        </w:p>
        <w:p w14:paraId="77EBD780" w14:textId="77777777" w:rsidR="00D02295" w:rsidRDefault="00D02295">
          <w:pPr>
            <w:pStyle w:val="TOC2"/>
            <w:tabs>
              <w:tab w:val="right" w:leader="dot" w:pos="8486"/>
            </w:tabs>
            <w:rPr>
              <w:rFonts w:eastAsiaTheme="minorEastAsia" w:cstheme="minorBidi"/>
              <w:smallCaps w:val="0"/>
              <w:noProof/>
              <w:sz w:val="24"/>
              <w:szCs w:val="24"/>
              <w:lang w:bidi="ar-SA"/>
            </w:rPr>
          </w:pPr>
          <w:r>
            <w:rPr>
              <w:noProof/>
            </w:rPr>
            <w:t>4.4 Adsorption Isotherms of Pure and Mixture Hydrocarbons in Nanopores</w:t>
          </w:r>
          <w:r>
            <w:rPr>
              <w:noProof/>
            </w:rPr>
            <w:tab/>
          </w:r>
          <w:r>
            <w:rPr>
              <w:noProof/>
            </w:rPr>
            <w:fldChar w:fldCharType="begin"/>
          </w:r>
          <w:r>
            <w:rPr>
              <w:noProof/>
            </w:rPr>
            <w:instrText xml:space="preserve"> PAGEREF _Toc508114158 \h </w:instrText>
          </w:r>
          <w:r>
            <w:rPr>
              <w:noProof/>
            </w:rPr>
          </w:r>
          <w:r>
            <w:rPr>
              <w:noProof/>
            </w:rPr>
            <w:fldChar w:fldCharType="separate"/>
          </w:r>
          <w:r w:rsidR="00230CB9">
            <w:rPr>
              <w:noProof/>
            </w:rPr>
            <w:t>76</w:t>
          </w:r>
          <w:r>
            <w:rPr>
              <w:noProof/>
            </w:rPr>
            <w:fldChar w:fldCharType="end"/>
          </w:r>
        </w:p>
        <w:p w14:paraId="2DB73D0A"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 xml:space="preserve">Chapter </w:t>
          </w:r>
          <w:r>
            <w:rPr>
              <w:noProof/>
              <w:lang w:eastAsia="zh-CN"/>
            </w:rPr>
            <w:t>5</w:t>
          </w:r>
          <w:r>
            <w:rPr>
              <w:noProof/>
            </w:rPr>
            <w:t xml:space="preserve">: </w:t>
          </w:r>
          <w:r>
            <w:rPr>
              <w:noProof/>
              <w:lang w:eastAsia="zh-CN"/>
            </w:rPr>
            <w:t>New Gas-In-Place Model for Shale Gas Condensate plays</w:t>
          </w:r>
          <w:r>
            <w:rPr>
              <w:noProof/>
            </w:rPr>
            <w:tab/>
          </w:r>
          <w:r>
            <w:rPr>
              <w:noProof/>
            </w:rPr>
            <w:fldChar w:fldCharType="begin"/>
          </w:r>
          <w:r>
            <w:rPr>
              <w:noProof/>
            </w:rPr>
            <w:instrText xml:space="preserve"> PAGEREF _Toc508114159 \h </w:instrText>
          </w:r>
          <w:r>
            <w:rPr>
              <w:noProof/>
            </w:rPr>
          </w:r>
          <w:r>
            <w:rPr>
              <w:noProof/>
            </w:rPr>
            <w:fldChar w:fldCharType="separate"/>
          </w:r>
          <w:r w:rsidR="00230CB9">
            <w:rPr>
              <w:noProof/>
            </w:rPr>
            <w:t>82</w:t>
          </w:r>
          <w:r>
            <w:rPr>
              <w:noProof/>
            </w:rPr>
            <w:fldChar w:fldCharType="end"/>
          </w:r>
        </w:p>
        <w:p w14:paraId="69AD8611"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5.1 Background and Previous Work</w:t>
          </w:r>
          <w:r>
            <w:rPr>
              <w:noProof/>
            </w:rPr>
            <w:tab/>
          </w:r>
          <w:r>
            <w:rPr>
              <w:noProof/>
            </w:rPr>
            <w:fldChar w:fldCharType="begin"/>
          </w:r>
          <w:r>
            <w:rPr>
              <w:noProof/>
            </w:rPr>
            <w:instrText xml:space="preserve"> PAGEREF _Toc508114160 \h </w:instrText>
          </w:r>
          <w:r>
            <w:rPr>
              <w:noProof/>
            </w:rPr>
          </w:r>
          <w:r>
            <w:rPr>
              <w:noProof/>
            </w:rPr>
            <w:fldChar w:fldCharType="separate"/>
          </w:r>
          <w:r w:rsidR="00230CB9">
            <w:rPr>
              <w:noProof/>
            </w:rPr>
            <w:t>82</w:t>
          </w:r>
          <w:r>
            <w:rPr>
              <w:noProof/>
            </w:rPr>
            <w:fldChar w:fldCharType="end"/>
          </w:r>
        </w:p>
        <w:p w14:paraId="40FD276C"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5.2 The New Volumetric Method for Shale Gas Content Calculations</w:t>
          </w:r>
          <w:r>
            <w:rPr>
              <w:noProof/>
            </w:rPr>
            <w:tab/>
          </w:r>
          <w:r>
            <w:rPr>
              <w:noProof/>
            </w:rPr>
            <w:fldChar w:fldCharType="begin"/>
          </w:r>
          <w:r>
            <w:rPr>
              <w:noProof/>
            </w:rPr>
            <w:instrText xml:space="preserve"> PAGEREF _Toc508114161 \h </w:instrText>
          </w:r>
          <w:r>
            <w:rPr>
              <w:noProof/>
            </w:rPr>
          </w:r>
          <w:r>
            <w:rPr>
              <w:noProof/>
            </w:rPr>
            <w:fldChar w:fldCharType="separate"/>
          </w:r>
          <w:r w:rsidR="00230CB9">
            <w:rPr>
              <w:noProof/>
            </w:rPr>
            <w:t>86</w:t>
          </w:r>
          <w:r>
            <w:rPr>
              <w:noProof/>
            </w:rPr>
            <w:fldChar w:fldCharType="end"/>
          </w:r>
        </w:p>
        <w:p w14:paraId="4ADE2DA1"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5.4 Pore Size Distribution and Pore Geometry Consideration in Kerogen</w:t>
          </w:r>
          <w:r>
            <w:rPr>
              <w:noProof/>
            </w:rPr>
            <w:tab/>
          </w:r>
          <w:r>
            <w:rPr>
              <w:noProof/>
            </w:rPr>
            <w:fldChar w:fldCharType="begin"/>
          </w:r>
          <w:r>
            <w:rPr>
              <w:noProof/>
            </w:rPr>
            <w:instrText xml:space="preserve"> PAGEREF _Toc508114162 \h </w:instrText>
          </w:r>
          <w:r>
            <w:rPr>
              <w:noProof/>
            </w:rPr>
          </w:r>
          <w:r>
            <w:rPr>
              <w:noProof/>
            </w:rPr>
            <w:fldChar w:fldCharType="separate"/>
          </w:r>
          <w:r w:rsidR="00230CB9">
            <w:rPr>
              <w:noProof/>
            </w:rPr>
            <w:t>94</w:t>
          </w:r>
          <w:r>
            <w:rPr>
              <w:noProof/>
            </w:rPr>
            <w:fldChar w:fldCharType="end"/>
          </w:r>
        </w:p>
        <w:p w14:paraId="488959B2"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5.5 Eagle Ford Shale Play</w:t>
          </w:r>
          <w:r>
            <w:rPr>
              <w:noProof/>
            </w:rPr>
            <w:tab/>
          </w:r>
          <w:r>
            <w:rPr>
              <w:noProof/>
            </w:rPr>
            <w:fldChar w:fldCharType="begin"/>
          </w:r>
          <w:r>
            <w:rPr>
              <w:noProof/>
            </w:rPr>
            <w:instrText xml:space="preserve"> PAGEREF _Toc508114163 \h </w:instrText>
          </w:r>
          <w:r>
            <w:rPr>
              <w:noProof/>
            </w:rPr>
          </w:r>
          <w:r>
            <w:rPr>
              <w:noProof/>
            </w:rPr>
            <w:fldChar w:fldCharType="separate"/>
          </w:r>
          <w:r w:rsidR="00230CB9">
            <w:rPr>
              <w:noProof/>
            </w:rPr>
            <w:t>97</w:t>
          </w:r>
          <w:r>
            <w:rPr>
              <w:noProof/>
            </w:rPr>
            <w:fldChar w:fldCharType="end"/>
          </w:r>
        </w:p>
        <w:p w14:paraId="5842E432"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 xml:space="preserve">Chapter </w:t>
          </w:r>
          <w:r>
            <w:rPr>
              <w:noProof/>
              <w:lang w:eastAsia="zh-CN"/>
            </w:rPr>
            <w:t>6</w:t>
          </w:r>
          <w:r>
            <w:rPr>
              <w:noProof/>
            </w:rPr>
            <w:t xml:space="preserve">: </w:t>
          </w:r>
          <w:r>
            <w:rPr>
              <w:noProof/>
              <w:lang w:eastAsia="zh-CN"/>
            </w:rPr>
            <w:t>Adsorption and Capillary Condensation of Hydrocarbon Mixtures in Heterogeneous Nanoporous Shales</w:t>
          </w:r>
          <w:r>
            <w:rPr>
              <w:noProof/>
            </w:rPr>
            <w:tab/>
          </w:r>
          <w:r>
            <w:rPr>
              <w:noProof/>
            </w:rPr>
            <w:fldChar w:fldCharType="begin"/>
          </w:r>
          <w:r>
            <w:rPr>
              <w:noProof/>
            </w:rPr>
            <w:instrText xml:space="preserve"> PAGEREF _Toc508114164 \h </w:instrText>
          </w:r>
          <w:r>
            <w:rPr>
              <w:noProof/>
            </w:rPr>
          </w:r>
          <w:r>
            <w:rPr>
              <w:noProof/>
            </w:rPr>
            <w:fldChar w:fldCharType="separate"/>
          </w:r>
          <w:r w:rsidR="00230CB9">
            <w:rPr>
              <w:noProof/>
            </w:rPr>
            <w:t>102</w:t>
          </w:r>
          <w:r>
            <w:rPr>
              <w:noProof/>
            </w:rPr>
            <w:fldChar w:fldCharType="end"/>
          </w:r>
        </w:p>
        <w:p w14:paraId="19392689"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6.1 Background and Previous Work</w:t>
          </w:r>
          <w:r>
            <w:rPr>
              <w:noProof/>
            </w:rPr>
            <w:tab/>
          </w:r>
          <w:r>
            <w:rPr>
              <w:noProof/>
            </w:rPr>
            <w:fldChar w:fldCharType="begin"/>
          </w:r>
          <w:r>
            <w:rPr>
              <w:noProof/>
            </w:rPr>
            <w:instrText xml:space="preserve"> PAGEREF _Toc508114165 \h </w:instrText>
          </w:r>
          <w:r>
            <w:rPr>
              <w:noProof/>
            </w:rPr>
          </w:r>
          <w:r>
            <w:rPr>
              <w:noProof/>
            </w:rPr>
            <w:fldChar w:fldCharType="separate"/>
          </w:r>
          <w:r w:rsidR="00230CB9">
            <w:rPr>
              <w:noProof/>
            </w:rPr>
            <w:t>102</w:t>
          </w:r>
          <w:r>
            <w:rPr>
              <w:noProof/>
            </w:rPr>
            <w:fldChar w:fldCharType="end"/>
          </w:r>
        </w:p>
        <w:p w14:paraId="40881D7A"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6.2 Modified Young-Laplace Equation</w:t>
          </w:r>
          <w:r>
            <w:rPr>
              <w:noProof/>
            </w:rPr>
            <w:tab/>
          </w:r>
          <w:r>
            <w:rPr>
              <w:noProof/>
            </w:rPr>
            <w:fldChar w:fldCharType="begin"/>
          </w:r>
          <w:r>
            <w:rPr>
              <w:noProof/>
            </w:rPr>
            <w:instrText xml:space="preserve"> PAGEREF _Toc508114166 \h </w:instrText>
          </w:r>
          <w:r>
            <w:rPr>
              <w:noProof/>
            </w:rPr>
          </w:r>
          <w:r>
            <w:rPr>
              <w:noProof/>
            </w:rPr>
            <w:fldChar w:fldCharType="separate"/>
          </w:r>
          <w:r w:rsidR="00230CB9">
            <w:rPr>
              <w:noProof/>
            </w:rPr>
            <w:t>105</w:t>
          </w:r>
          <w:r>
            <w:rPr>
              <w:noProof/>
            </w:rPr>
            <w:fldChar w:fldCharType="end"/>
          </w:r>
        </w:p>
        <w:p w14:paraId="40DFA4A4"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6.3 Adsorption Thickness Determination with the Presence of Capillary Condensation</w:t>
          </w:r>
          <w:r>
            <w:rPr>
              <w:noProof/>
            </w:rPr>
            <w:tab/>
          </w:r>
          <w:r>
            <w:rPr>
              <w:noProof/>
            </w:rPr>
            <w:fldChar w:fldCharType="begin"/>
          </w:r>
          <w:r>
            <w:rPr>
              <w:noProof/>
            </w:rPr>
            <w:instrText xml:space="preserve"> PAGEREF _Toc508114167 \h </w:instrText>
          </w:r>
          <w:r>
            <w:rPr>
              <w:noProof/>
            </w:rPr>
          </w:r>
          <w:r>
            <w:rPr>
              <w:noProof/>
            </w:rPr>
            <w:fldChar w:fldCharType="separate"/>
          </w:r>
          <w:r w:rsidR="00230CB9">
            <w:rPr>
              <w:noProof/>
            </w:rPr>
            <w:t>108</w:t>
          </w:r>
          <w:r>
            <w:rPr>
              <w:noProof/>
            </w:rPr>
            <w:fldChar w:fldCharType="end"/>
          </w:r>
        </w:p>
        <w:p w14:paraId="5EBC00D1"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lastRenderedPageBreak/>
            <w:t>6.4 Adsorption Isotherms in Heterogeneous Nanopore Systems Above Cricondentherm Temperature</w:t>
          </w:r>
          <w:r>
            <w:rPr>
              <w:noProof/>
            </w:rPr>
            <w:tab/>
          </w:r>
          <w:r>
            <w:rPr>
              <w:noProof/>
            </w:rPr>
            <w:fldChar w:fldCharType="begin"/>
          </w:r>
          <w:r>
            <w:rPr>
              <w:noProof/>
            </w:rPr>
            <w:instrText xml:space="preserve"> PAGEREF _Toc508114168 \h </w:instrText>
          </w:r>
          <w:r>
            <w:rPr>
              <w:noProof/>
            </w:rPr>
          </w:r>
          <w:r>
            <w:rPr>
              <w:noProof/>
            </w:rPr>
            <w:fldChar w:fldCharType="separate"/>
          </w:r>
          <w:r w:rsidR="00230CB9">
            <w:rPr>
              <w:noProof/>
            </w:rPr>
            <w:t>113</w:t>
          </w:r>
          <w:r>
            <w:rPr>
              <w:noProof/>
            </w:rPr>
            <w:fldChar w:fldCharType="end"/>
          </w:r>
        </w:p>
        <w:p w14:paraId="6D783893"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 xml:space="preserve">Chapter </w:t>
          </w:r>
          <w:r>
            <w:rPr>
              <w:noProof/>
              <w:lang w:eastAsia="zh-CN"/>
            </w:rPr>
            <w:t>7</w:t>
          </w:r>
          <w:r>
            <w:rPr>
              <w:noProof/>
            </w:rPr>
            <w:t xml:space="preserve">: </w:t>
          </w:r>
          <w:r>
            <w:rPr>
              <w:noProof/>
              <w:lang w:eastAsia="zh-CN"/>
            </w:rPr>
            <w:t>Molecular Dynamics Simulations of Hydrocarbons in Nanopores</w:t>
          </w:r>
          <w:r>
            <w:rPr>
              <w:noProof/>
            </w:rPr>
            <w:tab/>
          </w:r>
          <w:r>
            <w:rPr>
              <w:noProof/>
            </w:rPr>
            <w:fldChar w:fldCharType="begin"/>
          </w:r>
          <w:r>
            <w:rPr>
              <w:noProof/>
            </w:rPr>
            <w:instrText xml:space="preserve"> PAGEREF _Toc508114169 \h </w:instrText>
          </w:r>
          <w:r>
            <w:rPr>
              <w:noProof/>
            </w:rPr>
          </w:r>
          <w:r>
            <w:rPr>
              <w:noProof/>
            </w:rPr>
            <w:fldChar w:fldCharType="separate"/>
          </w:r>
          <w:r w:rsidR="00230CB9">
            <w:rPr>
              <w:noProof/>
            </w:rPr>
            <w:t>121</w:t>
          </w:r>
          <w:r>
            <w:rPr>
              <w:noProof/>
            </w:rPr>
            <w:fldChar w:fldCharType="end"/>
          </w:r>
        </w:p>
        <w:p w14:paraId="381F59C3"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7.1 Background and Previous Work</w:t>
          </w:r>
          <w:r>
            <w:rPr>
              <w:noProof/>
            </w:rPr>
            <w:tab/>
          </w:r>
          <w:r>
            <w:rPr>
              <w:noProof/>
            </w:rPr>
            <w:fldChar w:fldCharType="begin"/>
          </w:r>
          <w:r>
            <w:rPr>
              <w:noProof/>
            </w:rPr>
            <w:instrText xml:space="preserve"> PAGEREF _Toc508114170 \h </w:instrText>
          </w:r>
          <w:r>
            <w:rPr>
              <w:noProof/>
            </w:rPr>
          </w:r>
          <w:r>
            <w:rPr>
              <w:noProof/>
            </w:rPr>
            <w:fldChar w:fldCharType="separate"/>
          </w:r>
          <w:r w:rsidR="00230CB9">
            <w:rPr>
              <w:noProof/>
            </w:rPr>
            <w:t>121</w:t>
          </w:r>
          <w:r>
            <w:rPr>
              <w:noProof/>
            </w:rPr>
            <w:fldChar w:fldCharType="end"/>
          </w:r>
        </w:p>
        <w:p w14:paraId="25C35925"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7.2 Investigate Bulk Phase Transition of Binary Hydrocarbon Mixture Using Molecular Dynamics Simulations</w:t>
          </w:r>
          <w:r>
            <w:rPr>
              <w:noProof/>
            </w:rPr>
            <w:tab/>
          </w:r>
          <w:r>
            <w:rPr>
              <w:noProof/>
            </w:rPr>
            <w:fldChar w:fldCharType="begin"/>
          </w:r>
          <w:r>
            <w:rPr>
              <w:noProof/>
            </w:rPr>
            <w:instrText xml:space="preserve"> PAGEREF _Toc508114171 \h </w:instrText>
          </w:r>
          <w:r>
            <w:rPr>
              <w:noProof/>
            </w:rPr>
          </w:r>
          <w:r>
            <w:rPr>
              <w:noProof/>
            </w:rPr>
            <w:fldChar w:fldCharType="separate"/>
          </w:r>
          <w:r w:rsidR="00230CB9">
            <w:rPr>
              <w:noProof/>
            </w:rPr>
            <w:t>123</w:t>
          </w:r>
          <w:r>
            <w:rPr>
              <w:noProof/>
            </w:rPr>
            <w:fldChar w:fldCharType="end"/>
          </w:r>
        </w:p>
        <w:p w14:paraId="523FA8F9" w14:textId="77777777" w:rsidR="00D02295" w:rsidRDefault="00D02295">
          <w:pPr>
            <w:pStyle w:val="TOC2"/>
            <w:tabs>
              <w:tab w:val="right" w:leader="dot" w:pos="8486"/>
            </w:tabs>
            <w:rPr>
              <w:rFonts w:eastAsiaTheme="minorEastAsia" w:cstheme="minorBidi"/>
              <w:smallCaps w:val="0"/>
              <w:noProof/>
              <w:sz w:val="24"/>
              <w:szCs w:val="24"/>
              <w:lang w:bidi="ar-SA"/>
            </w:rPr>
          </w:pPr>
          <w:r w:rsidRPr="00AB6694">
            <w:rPr>
              <w:rFonts w:asciiTheme="majorHAnsi" w:hAnsiTheme="majorHAnsi"/>
              <w:bCs/>
              <w:iCs/>
              <w:noProof/>
              <w:lang w:eastAsia="zh-CN"/>
            </w:rPr>
            <w:t>7.3 Investigate Confined Hydrocarbon Mixture Fluid Behavior in Organic Nanopores Using Molecular Dynamics Simulations</w:t>
          </w:r>
          <w:r>
            <w:rPr>
              <w:noProof/>
            </w:rPr>
            <w:tab/>
          </w:r>
          <w:r>
            <w:rPr>
              <w:noProof/>
            </w:rPr>
            <w:fldChar w:fldCharType="begin"/>
          </w:r>
          <w:r>
            <w:rPr>
              <w:noProof/>
            </w:rPr>
            <w:instrText xml:space="preserve"> PAGEREF _Toc508114172 \h </w:instrText>
          </w:r>
          <w:r>
            <w:rPr>
              <w:noProof/>
            </w:rPr>
          </w:r>
          <w:r>
            <w:rPr>
              <w:noProof/>
            </w:rPr>
            <w:fldChar w:fldCharType="separate"/>
          </w:r>
          <w:r w:rsidR="00230CB9">
            <w:rPr>
              <w:noProof/>
            </w:rPr>
            <w:t>127</w:t>
          </w:r>
          <w:r>
            <w:rPr>
              <w:noProof/>
            </w:rPr>
            <w:fldChar w:fldCharType="end"/>
          </w:r>
        </w:p>
        <w:p w14:paraId="6F422BB3"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 xml:space="preserve">Chapter </w:t>
          </w:r>
          <w:r>
            <w:rPr>
              <w:noProof/>
              <w:lang w:eastAsia="zh-CN"/>
            </w:rPr>
            <w:t>8</w:t>
          </w:r>
          <w:r>
            <w:rPr>
              <w:noProof/>
            </w:rPr>
            <w:t>: Conclusions and Recommendations</w:t>
          </w:r>
          <w:r>
            <w:rPr>
              <w:noProof/>
            </w:rPr>
            <w:tab/>
          </w:r>
          <w:r>
            <w:rPr>
              <w:noProof/>
            </w:rPr>
            <w:fldChar w:fldCharType="begin"/>
          </w:r>
          <w:r>
            <w:rPr>
              <w:noProof/>
            </w:rPr>
            <w:instrText xml:space="preserve"> PAGEREF _Toc508114173 \h </w:instrText>
          </w:r>
          <w:r>
            <w:rPr>
              <w:noProof/>
            </w:rPr>
          </w:r>
          <w:r>
            <w:rPr>
              <w:noProof/>
            </w:rPr>
            <w:fldChar w:fldCharType="separate"/>
          </w:r>
          <w:r w:rsidR="00230CB9">
            <w:rPr>
              <w:noProof/>
            </w:rPr>
            <w:t>134</w:t>
          </w:r>
          <w:r>
            <w:rPr>
              <w:noProof/>
            </w:rPr>
            <w:fldChar w:fldCharType="end"/>
          </w:r>
        </w:p>
        <w:p w14:paraId="58936AA9" w14:textId="77777777" w:rsidR="00D02295" w:rsidRDefault="00D02295">
          <w:pPr>
            <w:pStyle w:val="TOC2"/>
            <w:tabs>
              <w:tab w:val="right" w:leader="dot" w:pos="8486"/>
            </w:tabs>
            <w:rPr>
              <w:rFonts w:eastAsiaTheme="minorEastAsia" w:cstheme="minorBidi"/>
              <w:smallCaps w:val="0"/>
              <w:noProof/>
              <w:sz w:val="24"/>
              <w:szCs w:val="24"/>
              <w:lang w:bidi="ar-SA"/>
            </w:rPr>
          </w:pPr>
          <w:r>
            <w:rPr>
              <w:noProof/>
              <w:lang w:eastAsia="zh-CN"/>
            </w:rPr>
            <w:t>8</w:t>
          </w:r>
          <w:r>
            <w:rPr>
              <w:noProof/>
            </w:rPr>
            <w:t>.1 Conclusions</w:t>
          </w:r>
          <w:r>
            <w:rPr>
              <w:noProof/>
            </w:rPr>
            <w:tab/>
          </w:r>
          <w:r>
            <w:rPr>
              <w:noProof/>
            </w:rPr>
            <w:fldChar w:fldCharType="begin"/>
          </w:r>
          <w:r>
            <w:rPr>
              <w:noProof/>
            </w:rPr>
            <w:instrText xml:space="preserve"> PAGEREF _Toc508114174 \h </w:instrText>
          </w:r>
          <w:r>
            <w:rPr>
              <w:noProof/>
            </w:rPr>
          </w:r>
          <w:r>
            <w:rPr>
              <w:noProof/>
            </w:rPr>
            <w:fldChar w:fldCharType="separate"/>
          </w:r>
          <w:r w:rsidR="00230CB9">
            <w:rPr>
              <w:noProof/>
            </w:rPr>
            <w:t>134</w:t>
          </w:r>
          <w:r>
            <w:rPr>
              <w:noProof/>
            </w:rPr>
            <w:fldChar w:fldCharType="end"/>
          </w:r>
        </w:p>
        <w:p w14:paraId="2A6FC052" w14:textId="77777777" w:rsidR="00D02295" w:rsidRDefault="00D02295">
          <w:pPr>
            <w:pStyle w:val="TOC2"/>
            <w:tabs>
              <w:tab w:val="right" w:leader="dot" w:pos="8486"/>
            </w:tabs>
            <w:rPr>
              <w:rFonts w:eastAsiaTheme="minorEastAsia" w:cstheme="minorBidi"/>
              <w:smallCaps w:val="0"/>
              <w:noProof/>
              <w:sz w:val="24"/>
              <w:szCs w:val="24"/>
              <w:lang w:bidi="ar-SA"/>
            </w:rPr>
          </w:pPr>
          <w:r>
            <w:rPr>
              <w:noProof/>
              <w:lang w:eastAsia="zh-CN"/>
            </w:rPr>
            <w:t>8</w:t>
          </w:r>
          <w:r>
            <w:rPr>
              <w:noProof/>
            </w:rPr>
            <w:t>.2 Future Work Recommendations</w:t>
          </w:r>
          <w:r>
            <w:rPr>
              <w:noProof/>
            </w:rPr>
            <w:tab/>
          </w:r>
          <w:r>
            <w:rPr>
              <w:noProof/>
            </w:rPr>
            <w:fldChar w:fldCharType="begin"/>
          </w:r>
          <w:r>
            <w:rPr>
              <w:noProof/>
            </w:rPr>
            <w:instrText xml:space="preserve"> PAGEREF _Toc508114175 \h </w:instrText>
          </w:r>
          <w:r>
            <w:rPr>
              <w:noProof/>
            </w:rPr>
          </w:r>
          <w:r>
            <w:rPr>
              <w:noProof/>
            </w:rPr>
            <w:fldChar w:fldCharType="separate"/>
          </w:r>
          <w:r w:rsidR="00230CB9">
            <w:rPr>
              <w:noProof/>
            </w:rPr>
            <w:t>138</w:t>
          </w:r>
          <w:r>
            <w:rPr>
              <w:noProof/>
            </w:rPr>
            <w:fldChar w:fldCharType="end"/>
          </w:r>
        </w:p>
        <w:p w14:paraId="1C31C4FC"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References</w:t>
          </w:r>
          <w:r>
            <w:rPr>
              <w:noProof/>
            </w:rPr>
            <w:tab/>
          </w:r>
          <w:r>
            <w:rPr>
              <w:noProof/>
            </w:rPr>
            <w:fldChar w:fldCharType="begin"/>
          </w:r>
          <w:r>
            <w:rPr>
              <w:noProof/>
            </w:rPr>
            <w:instrText xml:space="preserve"> PAGEREF _Toc508114176 \h </w:instrText>
          </w:r>
          <w:r>
            <w:rPr>
              <w:noProof/>
            </w:rPr>
          </w:r>
          <w:r>
            <w:rPr>
              <w:noProof/>
            </w:rPr>
            <w:fldChar w:fldCharType="separate"/>
          </w:r>
          <w:r w:rsidR="00230CB9">
            <w:rPr>
              <w:noProof/>
            </w:rPr>
            <w:t>139</w:t>
          </w:r>
          <w:r>
            <w:rPr>
              <w:noProof/>
            </w:rPr>
            <w:fldChar w:fldCharType="end"/>
          </w:r>
        </w:p>
        <w:p w14:paraId="3C5EBE0E"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Appendix A: Expressions of position dependent equation of state parameter</w:t>
          </w:r>
          <w:r>
            <w:rPr>
              <w:noProof/>
            </w:rPr>
            <w:tab/>
          </w:r>
          <w:r>
            <w:rPr>
              <w:noProof/>
            </w:rPr>
            <w:fldChar w:fldCharType="begin"/>
          </w:r>
          <w:r>
            <w:rPr>
              <w:noProof/>
            </w:rPr>
            <w:instrText xml:space="preserve"> PAGEREF _Toc508114177 \h </w:instrText>
          </w:r>
          <w:r>
            <w:rPr>
              <w:noProof/>
            </w:rPr>
          </w:r>
          <w:r>
            <w:rPr>
              <w:noProof/>
            </w:rPr>
            <w:fldChar w:fldCharType="separate"/>
          </w:r>
          <w:r w:rsidR="00230CB9">
            <w:rPr>
              <w:noProof/>
            </w:rPr>
            <w:t>160</w:t>
          </w:r>
          <w:r>
            <w:rPr>
              <w:noProof/>
            </w:rPr>
            <w:fldChar w:fldCharType="end"/>
          </w:r>
        </w:p>
        <w:p w14:paraId="19ADF601" w14:textId="77777777" w:rsidR="00D02295" w:rsidRDefault="00D02295">
          <w:pPr>
            <w:pStyle w:val="TOC1"/>
            <w:tabs>
              <w:tab w:val="right" w:leader="dot" w:pos="8486"/>
            </w:tabs>
            <w:rPr>
              <w:rFonts w:eastAsiaTheme="minorEastAsia" w:cstheme="minorBidi"/>
              <w:b w:val="0"/>
              <w:caps w:val="0"/>
              <w:noProof/>
              <w:sz w:val="24"/>
              <w:szCs w:val="24"/>
              <w:lang w:bidi="ar-SA"/>
            </w:rPr>
          </w:pPr>
          <w:r>
            <w:rPr>
              <w:noProof/>
            </w:rPr>
            <w:t>Appendix B: Volumetric Method for Shale Gas Content Calculations</w:t>
          </w:r>
          <w:r>
            <w:rPr>
              <w:noProof/>
            </w:rPr>
            <w:tab/>
          </w:r>
          <w:r>
            <w:rPr>
              <w:noProof/>
            </w:rPr>
            <w:fldChar w:fldCharType="begin"/>
          </w:r>
          <w:r>
            <w:rPr>
              <w:noProof/>
            </w:rPr>
            <w:instrText xml:space="preserve"> PAGEREF _Toc508114178 \h </w:instrText>
          </w:r>
          <w:r>
            <w:rPr>
              <w:noProof/>
            </w:rPr>
          </w:r>
          <w:r>
            <w:rPr>
              <w:noProof/>
            </w:rPr>
            <w:fldChar w:fldCharType="separate"/>
          </w:r>
          <w:r w:rsidR="00230CB9">
            <w:rPr>
              <w:noProof/>
            </w:rPr>
            <w:t>162</w:t>
          </w:r>
          <w:r>
            <w:rPr>
              <w:noProof/>
            </w:rPr>
            <w:fldChar w:fldCharType="end"/>
          </w:r>
        </w:p>
        <w:p w14:paraId="5F8575D3" w14:textId="77777777" w:rsidR="0085272D" w:rsidRDefault="000759E2">
          <w:r>
            <w:rPr>
              <w:rFonts w:cstheme="minorHAnsi"/>
              <w:b/>
            </w:rPr>
            <w:fldChar w:fldCharType="end"/>
          </w:r>
        </w:p>
      </w:sdtContent>
    </w:sdt>
    <w:p w14:paraId="1E060508" w14:textId="77777777" w:rsidR="0085272D" w:rsidRDefault="0096367E">
      <w:r>
        <w:t xml:space="preserve"> </w:t>
      </w:r>
    </w:p>
    <w:p w14:paraId="67FBD487" w14:textId="77777777" w:rsidR="0085272D" w:rsidRDefault="0096367E">
      <w:pPr>
        <w:pStyle w:val="Heading1"/>
        <w:ind w:left="240" w:right="240"/>
      </w:pPr>
      <w:r>
        <w:br w:type="page"/>
      </w:r>
      <w:bookmarkStart w:id="4" w:name="_Toc256083294"/>
      <w:bookmarkStart w:id="5" w:name="_Toc310579465"/>
      <w:bookmarkStart w:id="6" w:name="_Toc508114129"/>
      <w:r>
        <w:lastRenderedPageBreak/>
        <w:t>List of Tables</w:t>
      </w:r>
      <w:bookmarkEnd w:id="4"/>
      <w:bookmarkEnd w:id="5"/>
      <w:bookmarkEnd w:id="6"/>
    </w:p>
    <w:p w14:paraId="431529F7" w14:textId="77777777" w:rsidR="0085272D" w:rsidRDefault="0096367E">
      <w:pPr>
        <w:tabs>
          <w:tab w:val="right" w:leader="dot" w:pos="8460"/>
        </w:tabs>
        <w:spacing w:after="240"/>
        <w:ind w:left="810" w:hanging="810"/>
        <w:rPr>
          <w:lang w:eastAsia="zh-CN"/>
        </w:rPr>
      </w:pPr>
      <w:r>
        <w:rPr>
          <w:lang w:eastAsia="zh-CN"/>
        </w:rPr>
        <w:t xml:space="preserve">1.1         </w:t>
      </w:r>
      <w:r>
        <w:rPr>
          <w:rFonts w:cstheme="minorHAnsi"/>
        </w:rPr>
        <w:t>Properties of different packings (Trebin and Zadora, 1968)</w:t>
      </w:r>
      <w:r>
        <w:rPr>
          <w:lang w:eastAsia="zh-CN"/>
        </w:rPr>
        <w:tab/>
        <w:t>(7)</w:t>
      </w:r>
    </w:p>
    <w:p w14:paraId="1DF7CA4A" w14:textId="7AF393D1" w:rsidR="0085272D" w:rsidRDefault="0096367E">
      <w:pPr>
        <w:tabs>
          <w:tab w:val="right" w:leader="dot" w:pos="8460"/>
        </w:tabs>
        <w:spacing w:after="240"/>
        <w:ind w:left="810" w:hanging="810"/>
        <w:rPr>
          <w:lang w:eastAsia="zh-CN"/>
        </w:rPr>
      </w:pPr>
      <w:r>
        <w:rPr>
          <w:lang w:eastAsia="zh-CN"/>
        </w:rPr>
        <w:t xml:space="preserve">4.1         </w:t>
      </w:r>
      <w:r>
        <w:rPr>
          <w:rFonts w:cstheme="minorHAnsi"/>
        </w:rPr>
        <w:t>Comparison of Simulation Results from Modified PR-EOS Model and Experimental Data from Sigmund et al. (1973) --- Fixed BIPs</w:t>
      </w:r>
      <w:r w:rsidR="00BB4E25">
        <w:rPr>
          <w:lang w:eastAsia="zh-CN"/>
        </w:rPr>
        <w:tab/>
        <w:t>(42</w:t>
      </w:r>
      <w:r>
        <w:rPr>
          <w:lang w:eastAsia="zh-CN"/>
        </w:rPr>
        <w:t>)</w:t>
      </w:r>
    </w:p>
    <w:p w14:paraId="46183F64" w14:textId="1556F89B" w:rsidR="0085272D" w:rsidRDefault="0096367E">
      <w:pPr>
        <w:tabs>
          <w:tab w:val="right" w:leader="dot" w:pos="8460"/>
        </w:tabs>
        <w:spacing w:after="240"/>
        <w:ind w:left="810" w:hanging="810"/>
        <w:rPr>
          <w:lang w:eastAsia="zh-CN"/>
        </w:rPr>
      </w:pPr>
      <w:r>
        <w:rPr>
          <w:lang w:eastAsia="zh-CN"/>
        </w:rPr>
        <w:t xml:space="preserve">4.2         </w:t>
      </w:r>
      <w:r>
        <w:rPr>
          <w:rFonts w:cstheme="minorHAnsi"/>
        </w:rPr>
        <w:t>Comparison of Simulation Results from Modified PR-EOS Model and Experimental Data from Sigmund et al. (1973) --- Corrected BIPs</w:t>
      </w:r>
      <w:r w:rsidR="00BB4E25">
        <w:rPr>
          <w:lang w:eastAsia="zh-CN"/>
        </w:rPr>
        <w:tab/>
        <w:t>(43</w:t>
      </w:r>
      <w:r>
        <w:rPr>
          <w:lang w:eastAsia="zh-CN"/>
        </w:rPr>
        <w:t>)</w:t>
      </w:r>
    </w:p>
    <w:p w14:paraId="2B44B63F" w14:textId="4DC91F08" w:rsidR="0085272D" w:rsidRDefault="0096367E">
      <w:pPr>
        <w:tabs>
          <w:tab w:val="right" w:leader="dot" w:pos="8460"/>
        </w:tabs>
        <w:spacing w:after="240"/>
        <w:ind w:left="810" w:hanging="810"/>
        <w:rPr>
          <w:lang w:eastAsia="zh-CN"/>
        </w:rPr>
      </w:pPr>
      <w:r>
        <w:rPr>
          <w:lang w:eastAsia="zh-CN"/>
        </w:rPr>
        <w:t xml:space="preserve">4.3         </w:t>
      </w:r>
      <w:r>
        <w:rPr>
          <w:rFonts w:ascii="Times New Roman" w:hAnsi="Times New Roman"/>
        </w:rPr>
        <w:t xml:space="preserve">Relative Errors of Methane Densities Calculated </w:t>
      </w:r>
      <w:r w:rsidR="00F9449F">
        <w:rPr>
          <w:rFonts w:ascii="Times New Roman" w:hAnsi="Times New Roman"/>
        </w:rPr>
        <w:t>from</w:t>
      </w:r>
      <w:r>
        <w:rPr>
          <w:rFonts w:ascii="Times New Roman" w:hAnsi="Times New Roman"/>
        </w:rPr>
        <w:t xml:space="preserve"> SLD Model Compare to Ambrose (2011)</w:t>
      </w:r>
      <w:r>
        <w:t xml:space="preserve">    </w:t>
      </w:r>
      <w:r w:rsidR="00BB4E25">
        <w:rPr>
          <w:lang w:eastAsia="zh-CN"/>
        </w:rPr>
        <w:tab/>
        <w:t>(47</w:t>
      </w:r>
      <w:r>
        <w:rPr>
          <w:lang w:eastAsia="zh-CN"/>
        </w:rPr>
        <w:t>)</w:t>
      </w:r>
    </w:p>
    <w:p w14:paraId="06105D57" w14:textId="35FD56DE" w:rsidR="0085272D" w:rsidRDefault="0096367E">
      <w:pPr>
        <w:tabs>
          <w:tab w:val="right" w:leader="dot" w:pos="8460"/>
        </w:tabs>
        <w:spacing w:after="240"/>
        <w:ind w:left="810" w:hanging="810"/>
        <w:rPr>
          <w:lang w:eastAsia="zh-CN"/>
        </w:rPr>
      </w:pPr>
      <w:r>
        <w:rPr>
          <w:lang w:eastAsia="zh-CN"/>
        </w:rPr>
        <w:t xml:space="preserve">4.4         </w:t>
      </w:r>
      <w:r>
        <w:rPr>
          <w:rFonts w:ascii="Times New Roman" w:hAnsi="Times New Roman"/>
        </w:rPr>
        <w:t>Compositions and Physical Properties of C1-nC4-C10 (McCain, 1990)</w:t>
      </w:r>
      <w:r>
        <w:t xml:space="preserve">    </w:t>
      </w:r>
      <w:r w:rsidR="00BB4E25">
        <w:rPr>
          <w:lang w:eastAsia="zh-CN"/>
        </w:rPr>
        <w:tab/>
        <w:t>(51</w:t>
      </w:r>
      <w:r>
        <w:rPr>
          <w:lang w:eastAsia="zh-CN"/>
        </w:rPr>
        <w:t>)</w:t>
      </w:r>
    </w:p>
    <w:p w14:paraId="3CD98CE6" w14:textId="69E8F703" w:rsidR="0085272D" w:rsidRDefault="0096367E">
      <w:pPr>
        <w:tabs>
          <w:tab w:val="right" w:leader="dot" w:pos="8460"/>
        </w:tabs>
        <w:spacing w:after="240"/>
        <w:ind w:left="810" w:hanging="810"/>
        <w:rPr>
          <w:lang w:eastAsia="zh-CN"/>
        </w:rPr>
      </w:pPr>
      <w:r>
        <w:rPr>
          <w:lang w:eastAsia="zh-CN"/>
        </w:rPr>
        <w:t xml:space="preserve">4.5         </w:t>
      </w:r>
      <w:r>
        <w:t xml:space="preserve">Binary Interaction Coefficients of C1-nC4-C10 (McCain, 1990)    </w:t>
      </w:r>
      <w:r w:rsidR="00BB4E25">
        <w:rPr>
          <w:lang w:eastAsia="zh-CN"/>
        </w:rPr>
        <w:tab/>
        <w:t>(51</w:t>
      </w:r>
      <w:r>
        <w:rPr>
          <w:lang w:eastAsia="zh-CN"/>
        </w:rPr>
        <w:t>)</w:t>
      </w:r>
    </w:p>
    <w:p w14:paraId="00FF3989" w14:textId="591EB549" w:rsidR="0085272D" w:rsidRDefault="0096367E">
      <w:pPr>
        <w:tabs>
          <w:tab w:val="right" w:leader="dot" w:pos="8460"/>
        </w:tabs>
        <w:spacing w:after="240"/>
        <w:ind w:left="810" w:hanging="810"/>
        <w:rPr>
          <w:lang w:eastAsia="zh-CN"/>
        </w:rPr>
      </w:pPr>
      <w:r>
        <w:rPr>
          <w:lang w:eastAsia="zh-CN"/>
        </w:rPr>
        <w:t xml:space="preserve">4.6         </w:t>
      </w:r>
      <w:r>
        <w:rPr>
          <w:rFonts w:ascii="Times New Roman" w:hAnsi="Times New Roman"/>
        </w:rPr>
        <w:t>Comparison of Fluid Properties from This Work and McCain (1990)</w:t>
      </w:r>
      <w:r w:rsidR="00BB4E25">
        <w:rPr>
          <w:lang w:eastAsia="zh-CN"/>
        </w:rPr>
        <w:tab/>
        <w:t>(52</w:t>
      </w:r>
      <w:r>
        <w:rPr>
          <w:lang w:eastAsia="zh-CN"/>
        </w:rPr>
        <w:t>)</w:t>
      </w:r>
    </w:p>
    <w:p w14:paraId="5A4EF869" w14:textId="2B698F3B" w:rsidR="0085272D" w:rsidRDefault="0096367E">
      <w:pPr>
        <w:tabs>
          <w:tab w:val="right" w:leader="dot" w:pos="8460"/>
        </w:tabs>
        <w:spacing w:after="240"/>
        <w:ind w:left="810" w:hanging="810"/>
        <w:rPr>
          <w:lang w:eastAsia="zh-CN"/>
        </w:rPr>
      </w:pPr>
      <w:r>
        <w:rPr>
          <w:lang w:eastAsia="zh-CN"/>
        </w:rPr>
        <w:t xml:space="preserve">4.7         </w:t>
      </w:r>
      <w:r>
        <w:t xml:space="preserve">Compositions of Oil and Gas </w:t>
      </w:r>
      <w:r w:rsidR="00F9449F">
        <w:t>from</w:t>
      </w:r>
      <w:r>
        <w:t xml:space="preserve"> This Work and Sage et al. (1950)    </w:t>
      </w:r>
      <w:r w:rsidR="00BB4E25">
        <w:rPr>
          <w:lang w:eastAsia="zh-CN"/>
        </w:rPr>
        <w:tab/>
        <w:t>(52</w:t>
      </w:r>
      <w:r>
        <w:rPr>
          <w:lang w:eastAsia="zh-CN"/>
        </w:rPr>
        <w:t>)</w:t>
      </w:r>
    </w:p>
    <w:p w14:paraId="229CC477" w14:textId="5F7F256E" w:rsidR="0085272D" w:rsidRDefault="0096367E">
      <w:pPr>
        <w:tabs>
          <w:tab w:val="right" w:leader="dot" w:pos="8460"/>
        </w:tabs>
        <w:spacing w:after="240"/>
        <w:ind w:left="810" w:hanging="810"/>
        <w:rPr>
          <w:lang w:eastAsia="zh-CN"/>
        </w:rPr>
      </w:pPr>
      <w:r>
        <w:rPr>
          <w:lang w:eastAsia="zh-CN"/>
        </w:rPr>
        <w:t xml:space="preserve">4.8         </w:t>
      </w:r>
      <w:r>
        <w:rPr>
          <w:rFonts w:ascii="Times New Roman" w:hAnsi="Times New Roman"/>
        </w:rPr>
        <w:t>Gas Composition of Each Component in the Mixture in Different Pore Sizes</w:t>
      </w:r>
      <w:r>
        <w:t xml:space="preserve">    </w:t>
      </w:r>
      <w:r w:rsidR="00BB4E25">
        <w:rPr>
          <w:lang w:eastAsia="zh-CN"/>
        </w:rPr>
        <w:tab/>
        <w:t>(54</w:t>
      </w:r>
      <w:r>
        <w:rPr>
          <w:lang w:eastAsia="zh-CN"/>
        </w:rPr>
        <w:t>)</w:t>
      </w:r>
    </w:p>
    <w:p w14:paraId="7329D2E2" w14:textId="43237D51" w:rsidR="0085272D" w:rsidRDefault="0096367E">
      <w:pPr>
        <w:tabs>
          <w:tab w:val="right" w:leader="dot" w:pos="8460"/>
        </w:tabs>
        <w:spacing w:after="240"/>
        <w:ind w:left="810" w:hanging="810"/>
        <w:rPr>
          <w:lang w:eastAsia="zh-CN"/>
        </w:rPr>
      </w:pPr>
      <w:r>
        <w:rPr>
          <w:lang w:eastAsia="zh-CN"/>
        </w:rPr>
        <w:t xml:space="preserve">4.9         </w:t>
      </w:r>
      <w:r>
        <w:rPr>
          <w:rFonts w:ascii="Times New Roman" w:hAnsi="Times New Roman"/>
        </w:rPr>
        <w:t>Oil Composition of Each Component in the Mixture in Different Pore Sizes</w:t>
      </w:r>
      <w:r w:rsidR="00BB4E25">
        <w:rPr>
          <w:lang w:eastAsia="zh-CN"/>
        </w:rPr>
        <w:tab/>
        <w:t>(55</w:t>
      </w:r>
      <w:r>
        <w:rPr>
          <w:lang w:eastAsia="zh-CN"/>
        </w:rPr>
        <w:t>)</w:t>
      </w:r>
    </w:p>
    <w:p w14:paraId="268C1726" w14:textId="5782BD7E" w:rsidR="0085272D" w:rsidRDefault="0096367E">
      <w:pPr>
        <w:tabs>
          <w:tab w:val="right" w:leader="dot" w:pos="8460"/>
        </w:tabs>
        <w:spacing w:after="240"/>
        <w:ind w:left="810" w:hanging="810"/>
        <w:rPr>
          <w:lang w:eastAsia="zh-CN"/>
        </w:rPr>
      </w:pPr>
      <w:r>
        <w:rPr>
          <w:lang w:eastAsia="zh-CN"/>
        </w:rPr>
        <w:t xml:space="preserve">4.10      </w:t>
      </w:r>
      <w:r>
        <w:rPr>
          <w:rFonts w:ascii="Times New Roman" w:hAnsi="Times New Roman"/>
        </w:rPr>
        <w:t>Gas Mole Fraction, Gas and Oil Compressibility Factors Against Pore Sizes</w:t>
      </w:r>
      <w:r>
        <w:t xml:space="preserve">    </w:t>
      </w:r>
      <w:r w:rsidR="00BB4E25">
        <w:rPr>
          <w:lang w:eastAsia="zh-CN"/>
        </w:rPr>
        <w:tab/>
        <w:t>(56</w:t>
      </w:r>
      <w:r>
        <w:rPr>
          <w:lang w:eastAsia="zh-CN"/>
        </w:rPr>
        <w:t>)</w:t>
      </w:r>
    </w:p>
    <w:p w14:paraId="58D7678C" w14:textId="6B5D1888" w:rsidR="00E303B8" w:rsidRDefault="0096367E">
      <w:pPr>
        <w:tabs>
          <w:tab w:val="left" w:pos="90"/>
          <w:tab w:val="right" w:leader="dot" w:pos="8460"/>
        </w:tabs>
        <w:spacing w:after="240"/>
        <w:rPr>
          <w:lang w:eastAsia="zh-CN"/>
        </w:rPr>
      </w:pPr>
      <w:r>
        <w:rPr>
          <w:lang w:eastAsia="zh-CN"/>
        </w:rPr>
        <w:lastRenderedPageBreak/>
        <w:t xml:space="preserve">4.11       </w:t>
      </w:r>
      <w:r>
        <w:rPr>
          <w:rFonts w:ascii="Times New Roman" w:hAnsi="Times New Roman"/>
        </w:rPr>
        <w:t>Physical</w:t>
      </w:r>
      <w:r>
        <w:rPr>
          <w:rFonts w:ascii="Times New Roman" w:hAnsi="Times New Roman" w:hint="eastAsia"/>
          <w:lang w:eastAsia="zh-CN"/>
        </w:rPr>
        <w:t xml:space="preserve"> P</w:t>
      </w:r>
      <w:r>
        <w:rPr>
          <w:rFonts w:ascii="Times New Roman" w:hAnsi="Times New Roman"/>
          <w:lang w:eastAsia="zh-CN"/>
        </w:rPr>
        <w:t>roperties</w:t>
      </w:r>
      <w:r>
        <w:rPr>
          <w:rFonts w:ascii="Times New Roman" w:hAnsi="Times New Roman" w:hint="eastAsia"/>
          <w:lang w:eastAsia="zh-CN"/>
        </w:rPr>
        <w:t xml:space="preserve"> of </w:t>
      </w:r>
      <w:r>
        <w:rPr>
          <w:rFonts w:ascii="Times New Roman" w:hAnsi="Times New Roman"/>
          <w:lang w:eastAsia="zh-CN"/>
        </w:rPr>
        <w:t>Different Hydrocarbons</w:t>
      </w:r>
      <w:r>
        <w:t xml:space="preserve">    </w:t>
      </w:r>
      <w:r w:rsidR="00BB4E25">
        <w:rPr>
          <w:lang w:eastAsia="zh-CN"/>
        </w:rPr>
        <w:tab/>
        <w:t>(65</w:t>
      </w:r>
      <w:r>
        <w:rPr>
          <w:lang w:eastAsia="zh-CN"/>
        </w:rPr>
        <w:t>)</w:t>
      </w:r>
    </w:p>
    <w:p w14:paraId="1C3CF167" w14:textId="550DBA5F" w:rsidR="00E303B8" w:rsidRDefault="00E303B8" w:rsidP="00E303B8">
      <w:pPr>
        <w:tabs>
          <w:tab w:val="right" w:leader="dot" w:pos="8460"/>
        </w:tabs>
        <w:spacing w:after="240"/>
        <w:ind w:left="810" w:hanging="810"/>
        <w:rPr>
          <w:lang w:eastAsia="zh-CN"/>
        </w:rPr>
      </w:pPr>
      <w:r>
        <w:rPr>
          <w:lang w:eastAsia="zh-CN"/>
        </w:rPr>
        <w:t xml:space="preserve">5.1         </w:t>
      </w:r>
      <w:r w:rsidRPr="00A379B6">
        <w:t>Effects of temperature on gas storage</w:t>
      </w:r>
      <w:r w:rsidR="00BB4E25">
        <w:rPr>
          <w:lang w:eastAsia="zh-CN"/>
        </w:rPr>
        <w:tab/>
        <w:t>(98</w:t>
      </w:r>
      <w:r>
        <w:rPr>
          <w:lang w:eastAsia="zh-CN"/>
        </w:rPr>
        <w:t>)</w:t>
      </w:r>
    </w:p>
    <w:p w14:paraId="6905B19D" w14:textId="2C287585" w:rsidR="00E303B8" w:rsidRDefault="00E303B8" w:rsidP="00E303B8">
      <w:pPr>
        <w:tabs>
          <w:tab w:val="right" w:leader="dot" w:pos="8460"/>
        </w:tabs>
        <w:spacing w:after="240"/>
        <w:ind w:left="810" w:hanging="810"/>
        <w:rPr>
          <w:lang w:eastAsia="zh-CN"/>
        </w:rPr>
      </w:pPr>
      <w:r>
        <w:rPr>
          <w:lang w:eastAsia="zh-CN"/>
        </w:rPr>
        <w:t xml:space="preserve">5.2         </w:t>
      </w:r>
      <w:r w:rsidRPr="00A379B6">
        <w:rPr>
          <w:rFonts w:hint="eastAsia"/>
        </w:rPr>
        <w:t>E</w:t>
      </w:r>
      <w:r w:rsidRPr="00A379B6">
        <w:t>ffects mean pore size on gas storage</w:t>
      </w:r>
      <w:r w:rsidR="00BB4E25">
        <w:rPr>
          <w:lang w:eastAsia="zh-CN"/>
        </w:rPr>
        <w:tab/>
        <w:t>(100</w:t>
      </w:r>
      <w:r>
        <w:rPr>
          <w:lang w:eastAsia="zh-CN"/>
        </w:rPr>
        <w:t>)</w:t>
      </w:r>
    </w:p>
    <w:p w14:paraId="1A7BD2E4" w14:textId="271B68DD" w:rsidR="00E303B8" w:rsidRDefault="00E303B8" w:rsidP="00E303B8">
      <w:pPr>
        <w:tabs>
          <w:tab w:val="right" w:leader="dot" w:pos="8460"/>
        </w:tabs>
        <w:spacing w:after="240"/>
        <w:ind w:left="810" w:hanging="810"/>
        <w:rPr>
          <w:lang w:eastAsia="zh-CN"/>
        </w:rPr>
      </w:pPr>
      <w:r>
        <w:rPr>
          <w:lang w:eastAsia="zh-CN"/>
        </w:rPr>
        <w:t xml:space="preserve">5.3         </w:t>
      </w:r>
      <w:r w:rsidRPr="00A379B6">
        <w:t>Effects pore size standard deviation on gas storage</w:t>
      </w:r>
      <w:r w:rsidR="00BB4E25">
        <w:rPr>
          <w:lang w:eastAsia="zh-CN"/>
        </w:rPr>
        <w:tab/>
        <w:t>(100</w:t>
      </w:r>
      <w:r>
        <w:rPr>
          <w:lang w:eastAsia="zh-CN"/>
        </w:rPr>
        <w:t>)</w:t>
      </w:r>
    </w:p>
    <w:p w14:paraId="1B563C2A" w14:textId="51F34A8F" w:rsidR="00E303B8" w:rsidRDefault="00E303B8" w:rsidP="00E303B8">
      <w:pPr>
        <w:tabs>
          <w:tab w:val="right" w:leader="dot" w:pos="8460"/>
        </w:tabs>
        <w:spacing w:after="240"/>
        <w:ind w:left="810" w:hanging="810"/>
        <w:rPr>
          <w:lang w:eastAsia="zh-CN"/>
        </w:rPr>
      </w:pPr>
      <w:r>
        <w:rPr>
          <w:lang w:eastAsia="zh-CN"/>
        </w:rPr>
        <w:t xml:space="preserve">5.4         </w:t>
      </w:r>
      <w:r w:rsidRPr="00A379B6">
        <w:t>Effects of fluid composition on gas storage</w:t>
      </w:r>
      <w:r>
        <w:t xml:space="preserve">    </w:t>
      </w:r>
      <w:r w:rsidR="00BB4E25">
        <w:rPr>
          <w:lang w:eastAsia="zh-CN"/>
        </w:rPr>
        <w:tab/>
        <w:t>(100</w:t>
      </w:r>
      <w:r>
        <w:rPr>
          <w:lang w:eastAsia="zh-CN"/>
        </w:rPr>
        <w:t>)</w:t>
      </w:r>
    </w:p>
    <w:p w14:paraId="5F9F1169" w14:textId="3C2E5542" w:rsidR="007C571D" w:rsidRDefault="007C571D" w:rsidP="007C571D">
      <w:pPr>
        <w:tabs>
          <w:tab w:val="right" w:leader="dot" w:pos="8460"/>
        </w:tabs>
        <w:spacing w:after="240"/>
        <w:ind w:left="810" w:hanging="810"/>
        <w:rPr>
          <w:lang w:eastAsia="zh-CN"/>
        </w:rPr>
      </w:pPr>
      <w:r>
        <w:rPr>
          <w:lang w:eastAsia="zh-CN"/>
        </w:rPr>
        <w:t xml:space="preserve">7.1         </w:t>
      </w:r>
      <w:r w:rsidRPr="00597D49">
        <w:rPr>
          <w:rFonts w:cstheme="minorBidi" w:hint="eastAsia"/>
        </w:rPr>
        <w:t>C1/n-C4</w:t>
      </w:r>
      <w:r w:rsidRPr="00597D49">
        <w:rPr>
          <w:rFonts w:cstheme="minorBidi"/>
        </w:rPr>
        <w:t xml:space="preserve"> mixture force field parameters from </w:t>
      </w:r>
      <w:r w:rsidRPr="00597D49">
        <w:rPr>
          <w:rFonts w:cstheme="minorBidi" w:hint="eastAsia"/>
        </w:rPr>
        <w:t>TraPPE-UA</w:t>
      </w:r>
      <w:r>
        <w:t xml:space="preserve">    </w:t>
      </w:r>
      <w:r w:rsidR="00BB4E25">
        <w:rPr>
          <w:lang w:eastAsia="zh-CN"/>
        </w:rPr>
        <w:tab/>
        <w:t>(125</w:t>
      </w:r>
      <w:r>
        <w:rPr>
          <w:lang w:eastAsia="zh-CN"/>
        </w:rPr>
        <w:t>)</w:t>
      </w:r>
    </w:p>
    <w:p w14:paraId="746BD63D" w14:textId="3145991E" w:rsidR="007C571D" w:rsidRDefault="007C571D" w:rsidP="007C571D">
      <w:pPr>
        <w:tabs>
          <w:tab w:val="right" w:leader="dot" w:pos="8460"/>
        </w:tabs>
        <w:spacing w:after="240"/>
        <w:ind w:left="810" w:hanging="810"/>
        <w:rPr>
          <w:lang w:eastAsia="zh-CN"/>
        </w:rPr>
      </w:pPr>
      <w:r>
        <w:rPr>
          <w:lang w:eastAsia="zh-CN"/>
        </w:rPr>
        <w:t xml:space="preserve">7.2         </w:t>
      </w:r>
      <w:r w:rsidRPr="00597D49">
        <w:rPr>
          <w:rFonts w:cstheme="minorBidi"/>
        </w:rPr>
        <w:t>Phase property results from both MD simulation and PR-EOS at 200 K and 3.49 MPa</w:t>
      </w:r>
      <w:r>
        <w:t xml:space="preserve">    </w:t>
      </w:r>
      <w:r w:rsidR="00BB4E25">
        <w:rPr>
          <w:lang w:eastAsia="zh-CN"/>
        </w:rPr>
        <w:tab/>
        <w:t>(127</w:t>
      </w:r>
      <w:r>
        <w:rPr>
          <w:lang w:eastAsia="zh-CN"/>
        </w:rPr>
        <w:t>)</w:t>
      </w:r>
    </w:p>
    <w:p w14:paraId="6806CDFB" w14:textId="3B6E055A" w:rsidR="007C571D" w:rsidRDefault="007C571D" w:rsidP="007C571D">
      <w:pPr>
        <w:tabs>
          <w:tab w:val="right" w:leader="dot" w:pos="8460"/>
        </w:tabs>
        <w:spacing w:after="240"/>
        <w:ind w:left="810" w:hanging="810"/>
        <w:rPr>
          <w:lang w:eastAsia="zh-CN"/>
        </w:rPr>
      </w:pPr>
      <w:r>
        <w:rPr>
          <w:lang w:eastAsia="zh-CN"/>
        </w:rPr>
        <w:t xml:space="preserve">7.3         </w:t>
      </w:r>
      <w:r w:rsidRPr="00597D49">
        <w:rPr>
          <w:rFonts w:cstheme="minorBidi" w:hint="eastAsia"/>
        </w:rPr>
        <w:t xml:space="preserve">Molecule count of methane and n-butane in each pore at </w:t>
      </w:r>
      <w:r w:rsidRPr="00597D49">
        <w:rPr>
          <w:rFonts w:cstheme="minorBidi"/>
        </w:rPr>
        <w:t>equilibrium</w:t>
      </w:r>
      <w:r>
        <w:t xml:space="preserve">    </w:t>
      </w:r>
      <w:r w:rsidR="00BB4E25">
        <w:rPr>
          <w:lang w:eastAsia="zh-CN"/>
        </w:rPr>
        <w:tab/>
        <w:t>(133</w:t>
      </w:r>
      <w:r>
        <w:rPr>
          <w:lang w:eastAsia="zh-CN"/>
        </w:rPr>
        <w:t>)</w:t>
      </w:r>
    </w:p>
    <w:p w14:paraId="6760C7C5" w14:textId="5AAC3A14" w:rsidR="00F9449F" w:rsidRDefault="0096367E">
      <w:pPr>
        <w:tabs>
          <w:tab w:val="left" w:pos="90"/>
          <w:tab w:val="right" w:leader="dot" w:pos="8460"/>
        </w:tabs>
        <w:spacing w:after="240"/>
      </w:pPr>
      <w:r>
        <w:br w:type="page"/>
      </w:r>
    </w:p>
    <w:bookmarkStart w:id="7" w:name="_Toc508114130"/>
    <w:p w14:paraId="06DCCEE6" w14:textId="77777777" w:rsidR="0085272D" w:rsidRDefault="00C677F5" w:rsidP="00F9449F">
      <w:pPr>
        <w:tabs>
          <w:tab w:val="left" w:pos="90"/>
          <w:tab w:val="right" w:leader="dot" w:pos="8460"/>
        </w:tabs>
        <w:spacing w:after="240"/>
        <w:jc w:val="center"/>
        <w:outlineLvl w:val="0"/>
        <w:rPr>
          <w:rFonts w:asciiTheme="majorHAnsi" w:hAnsiTheme="majorHAnsi"/>
          <w:b/>
          <w:bCs/>
          <w:sz w:val="32"/>
          <w:szCs w:val="32"/>
        </w:rPr>
      </w:pPr>
      <w:sdt>
        <w:sdtPr>
          <w:rPr>
            <w:rFonts w:asciiTheme="majorHAnsi" w:hAnsiTheme="majorHAnsi"/>
            <w:b/>
            <w:bCs/>
            <w:sz w:val="32"/>
            <w:szCs w:val="32"/>
          </w:rPr>
          <w:alias w:val="List of Figures/Illustrations"/>
          <w:tag w:val="List of Figures/Illustrations"/>
          <w:id w:val="30091882"/>
          <w:dropDownList>
            <w:listItem w:displayText="List of Figures" w:value="List of Figures"/>
            <w:listItem w:displayText="List of Illustrations" w:value="List of Illustrations"/>
          </w:dropDownList>
        </w:sdtPr>
        <w:sdtEndPr/>
        <w:sdtContent>
          <w:bookmarkStart w:id="8" w:name="_Toc256083295"/>
          <w:bookmarkStart w:id="9" w:name="_Toc310579466"/>
          <w:r w:rsidR="0096367E">
            <w:rPr>
              <w:rFonts w:asciiTheme="majorHAnsi" w:hAnsiTheme="majorHAnsi"/>
              <w:b/>
              <w:bCs/>
              <w:sz w:val="32"/>
              <w:szCs w:val="32"/>
            </w:rPr>
            <w:t>List of Figures</w:t>
          </w:r>
          <w:bookmarkEnd w:id="8"/>
          <w:bookmarkEnd w:id="9"/>
        </w:sdtContent>
      </w:sdt>
      <w:bookmarkEnd w:id="7"/>
    </w:p>
    <w:p w14:paraId="5FFA0A78" w14:textId="77777777" w:rsidR="0085272D" w:rsidRDefault="0096367E">
      <w:pPr>
        <w:tabs>
          <w:tab w:val="right" w:leader="dot" w:pos="8460"/>
        </w:tabs>
        <w:spacing w:after="240"/>
        <w:ind w:left="810" w:hanging="810"/>
        <w:rPr>
          <w:lang w:eastAsia="zh-CN"/>
        </w:rPr>
      </w:pPr>
      <w:r>
        <w:rPr>
          <w:lang w:eastAsia="zh-CN"/>
        </w:rPr>
        <w:t xml:space="preserve">1.1         </w:t>
      </w:r>
      <w:r>
        <w:t xml:space="preserve">Natural gas production in the US by source from 1990 to 2040 (EIA, 2013)    </w:t>
      </w:r>
      <w:r>
        <w:rPr>
          <w:lang w:eastAsia="zh-CN"/>
        </w:rPr>
        <w:tab/>
        <w:t>(1)</w:t>
      </w:r>
    </w:p>
    <w:p w14:paraId="16709149" w14:textId="77777777" w:rsidR="0085272D" w:rsidRDefault="0096367E">
      <w:pPr>
        <w:tabs>
          <w:tab w:val="right" w:leader="dot" w:pos="8460"/>
        </w:tabs>
        <w:spacing w:after="240"/>
        <w:ind w:left="810" w:hanging="810"/>
        <w:rPr>
          <w:lang w:eastAsia="zh-CN"/>
        </w:rPr>
      </w:pPr>
      <w:r>
        <w:rPr>
          <w:lang w:eastAsia="zh-CN"/>
        </w:rPr>
        <w:t xml:space="preserve">1.2         </w:t>
      </w:r>
      <w:r>
        <w:t>Location of major shale gas and oil plays in the lower 48 states in the US as of May 2011, including current plays and prospective plays (EIA, 2011)</w:t>
      </w:r>
      <w:r>
        <w:rPr>
          <w:lang w:eastAsia="zh-CN"/>
        </w:rPr>
        <w:tab/>
        <w:t>(2)</w:t>
      </w:r>
    </w:p>
    <w:p w14:paraId="77826260" w14:textId="77777777" w:rsidR="0085272D" w:rsidRDefault="0096367E">
      <w:pPr>
        <w:tabs>
          <w:tab w:val="right" w:leader="dot" w:pos="8460"/>
        </w:tabs>
        <w:spacing w:after="240"/>
        <w:ind w:left="810" w:hanging="810"/>
        <w:rPr>
          <w:lang w:eastAsia="zh-CN"/>
        </w:rPr>
      </w:pPr>
      <w:r>
        <w:rPr>
          <w:lang w:eastAsia="zh-CN"/>
        </w:rPr>
        <w:t xml:space="preserve">1.3         </w:t>
      </w:r>
      <w:r>
        <w:t xml:space="preserve">Shale oil production contributors in the US now and the future (EIA, 2013)    </w:t>
      </w:r>
      <w:r>
        <w:rPr>
          <w:lang w:eastAsia="zh-CN"/>
        </w:rPr>
        <w:tab/>
        <w:t>(3)</w:t>
      </w:r>
    </w:p>
    <w:p w14:paraId="6004FA4E" w14:textId="77777777" w:rsidR="0085272D" w:rsidRDefault="0096367E">
      <w:pPr>
        <w:tabs>
          <w:tab w:val="right" w:leader="dot" w:pos="8460"/>
        </w:tabs>
        <w:spacing w:after="240"/>
        <w:ind w:left="810" w:hanging="810"/>
        <w:rPr>
          <w:lang w:eastAsia="zh-CN"/>
        </w:rPr>
      </w:pPr>
      <w:r>
        <w:rPr>
          <w:lang w:eastAsia="zh-CN"/>
        </w:rPr>
        <w:t xml:space="preserve">1.4         </w:t>
      </w:r>
      <w:r>
        <w:t xml:space="preserve">2-D FIB-SEM images from different shale reservoirs (Curtis et al., 2010) </w:t>
      </w:r>
      <w:r>
        <w:rPr>
          <w:lang w:eastAsia="zh-CN"/>
        </w:rPr>
        <w:tab/>
        <w:t>(4)</w:t>
      </w:r>
    </w:p>
    <w:p w14:paraId="3A035EE0" w14:textId="77777777" w:rsidR="0085272D" w:rsidRDefault="0096367E">
      <w:pPr>
        <w:tabs>
          <w:tab w:val="right" w:leader="dot" w:pos="8460"/>
        </w:tabs>
        <w:spacing w:after="240"/>
        <w:ind w:left="810" w:hanging="810"/>
        <w:rPr>
          <w:lang w:eastAsia="zh-CN"/>
        </w:rPr>
      </w:pPr>
      <w:r>
        <w:rPr>
          <w:lang w:eastAsia="zh-CN"/>
        </w:rPr>
        <w:t xml:space="preserve">1.5         </w:t>
      </w:r>
      <w:r>
        <w:t>SEM image of organic contents from a shale sample (Curtis et al., 2010)</w:t>
      </w:r>
      <w:r>
        <w:rPr>
          <w:lang w:eastAsia="zh-CN"/>
        </w:rPr>
        <w:tab/>
        <w:t>(5)</w:t>
      </w:r>
    </w:p>
    <w:p w14:paraId="2E5B775D" w14:textId="77777777" w:rsidR="0085272D" w:rsidRDefault="0096367E">
      <w:pPr>
        <w:tabs>
          <w:tab w:val="right" w:leader="dot" w:pos="8460"/>
        </w:tabs>
        <w:spacing w:after="240"/>
        <w:ind w:left="810" w:hanging="810"/>
        <w:rPr>
          <w:lang w:eastAsia="zh-CN"/>
        </w:rPr>
      </w:pPr>
      <w:r>
        <w:rPr>
          <w:lang w:eastAsia="zh-CN"/>
        </w:rPr>
        <w:t xml:space="preserve">1.6         </w:t>
      </w:r>
      <w:r>
        <w:t>Self-diffusivity of n-pentane again temperature for bulk fluid and fluid confined in ERM glass and Vycor glass (Zeigermann et al., 2009)</w:t>
      </w:r>
      <w:r>
        <w:rPr>
          <w:lang w:eastAsia="zh-CN"/>
        </w:rPr>
        <w:tab/>
        <w:t>(9)</w:t>
      </w:r>
    </w:p>
    <w:p w14:paraId="05FF0946" w14:textId="75BE5BBE" w:rsidR="0085272D" w:rsidRDefault="0096367E">
      <w:pPr>
        <w:tabs>
          <w:tab w:val="right" w:leader="dot" w:pos="8460"/>
        </w:tabs>
        <w:spacing w:after="240"/>
        <w:ind w:left="810" w:hanging="810"/>
        <w:rPr>
          <w:lang w:eastAsia="zh-CN"/>
        </w:rPr>
      </w:pPr>
      <w:r>
        <w:rPr>
          <w:lang w:eastAsia="zh-CN"/>
        </w:rPr>
        <w:t xml:space="preserve">2.1         </w:t>
      </w:r>
      <w:r>
        <w:t>Correlation of critical temperature shift versus pore diameter</w:t>
      </w:r>
      <w:r w:rsidR="003E7DC3">
        <w:rPr>
          <w:lang w:eastAsia="zh-CN"/>
        </w:rPr>
        <w:tab/>
        <w:t>(25</w:t>
      </w:r>
      <w:r>
        <w:rPr>
          <w:lang w:eastAsia="zh-CN"/>
        </w:rPr>
        <w:t>)</w:t>
      </w:r>
    </w:p>
    <w:p w14:paraId="241377C8" w14:textId="33A75C8E" w:rsidR="0085272D" w:rsidRDefault="0096367E">
      <w:pPr>
        <w:tabs>
          <w:tab w:val="right" w:leader="dot" w:pos="8460"/>
        </w:tabs>
        <w:spacing w:after="240"/>
        <w:ind w:left="810" w:hanging="810"/>
        <w:rPr>
          <w:lang w:eastAsia="zh-CN"/>
        </w:rPr>
      </w:pPr>
      <w:r>
        <w:rPr>
          <w:lang w:eastAsia="zh-CN"/>
        </w:rPr>
        <w:t xml:space="preserve">2.2         </w:t>
      </w:r>
      <w:r>
        <w:t>Correlation of critical temperature shift versus the ratio of pore diameter and effective molecular diameter</w:t>
      </w:r>
      <w:r w:rsidR="003E7DC3">
        <w:rPr>
          <w:lang w:eastAsia="zh-CN"/>
        </w:rPr>
        <w:tab/>
        <w:t>(2</w:t>
      </w:r>
      <w:r w:rsidR="003E7DC3">
        <w:rPr>
          <w:rFonts w:hint="eastAsia"/>
          <w:lang w:eastAsia="zh-CN"/>
        </w:rPr>
        <w:t>5</w:t>
      </w:r>
      <w:r>
        <w:rPr>
          <w:lang w:eastAsia="zh-CN"/>
        </w:rPr>
        <w:t>)</w:t>
      </w:r>
    </w:p>
    <w:p w14:paraId="19E6F3B9" w14:textId="59F79468" w:rsidR="0085272D" w:rsidRDefault="0096367E">
      <w:pPr>
        <w:tabs>
          <w:tab w:val="right" w:leader="dot" w:pos="8460"/>
        </w:tabs>
        <w:spacing w:after="240"/>
        <w:ind w:left="810" w:hanging="810"/>
        <w:rPr>
          <w:lang w:eastAsia="zh-CN"/>
        </w:rPr>
      </w:pPr>
      <w:r>
        <w:rPr>
          <w:lang w:eastAsia="zh-CN"/>
        </w:rPr>
        <w:t xml:space="preserve">3.1         Density profile from </w:t>
      </w:r>
      <w:r>
        <w:t>molecular simulation results and the results from Langmuir adsorption model (</w:t>
      </w:r>
      <w:r w:rsidR="003E7DC3">
        <w:rPr>
          <w:lang w:eastAsia="zh-CN"/>
        </w:rPr>
        <w:t>Ambrose, 2011)</w:t>
      </w:r>
      <w:r w:rsidR="003E7DC3">
        <w:rPr>
          <w:lang w:eastAsia="zh-CN"/>
        </w:rPr>
        <w:tab/>
        <w:t>(2</w:t>
      </w:r>
      <w:r w:rsidR="003E7DC3">
        <w:rPr>
          <w:rFonts w:hint="eastAsia"/>
          <w:lang w:eastAsia="zh-CN"/>
        </w:rPr>
        <w:t>9</w:t>
      </w:r>
      <w:r>
        <w:rPr>
          <w:lang w:eastAsia="zh-CN"/>
        </w:rPr>
        <w:t>)</w:t>
      </w:r>
    </w:p>
    <w:p w14:paraId="4C20BF4C" w14:textId="6A9AE9BE" w:rsidR="0085272D" w:rsidRDefault="0096367E">
      <w:pPr>
        <w:tabs>
          <w:tab w:val="right" w:leader="dot" w:pos="8460"/>
        </w:tabs>
        <w:spacing w:after="240"/>
        <w:ind w:left="810" w:hanging="810"/>
        <w:rPr>
          <w:lang w:eastAsia="zh-CN"/>
        </w:rPr>
      </w:pPr>
      <w:r>
        <w:rPr>
          <w:lang w:eastAsia="zh-CN"/>
        </w:rPr>
        <w:t xml:space="preserve">3.2         </w:t>
      </w:r>
      <w:r>
        <w:rPr>
          <w:rFonts w:hint="eastAsia"/>
        </w:rPr>
        <w:t>Schematic of a slit-shaped pore model</w:t>
      </w:r>
      <w:r w:rsidR="003E7DC3">
        <w:rPr>
          <w:lang w:eastAsia="zh-CN"/>
        </w:rPr>
        <w:tab/>
        <w:t>(3</w:t>
      </w:r>
      <w:r w:rsidR="003E7DC3">
        <w:rPr>
          <w:rFonts w:hint="eastAsia"/>
          <w:lang w:eastAsia="zh-CN"/>
        </w:rPr>
        <w:t>3</w:t>
      </w:r>
      <w:r>
        <w:rPr>
          <w:lang w:eastAsia="zh-CN"/>
        </w:rPr>
        <w:t>)</w:t>
      </w:r>
    </w:p>
    <w:p w14:paraId="1F579E34" w14:textId="02583786" w:rsidR="0085272D" w:rsidRDefault="0096367E">
      <w:pPr>
        <w:tabs>
          <w:tab w:val="right" w:leader="dot" w:pos="8460"/>
        </w:tabs>
        <w:spacing w:after="240"/>
        <w:ind w:left="810" w:hanging="810"/>
        <w:rPr>
          <w:lang w:eastAsia="zh-CN"/>
        </w:rPr>
      </w:pPr>
      <w:r>
        <w:rPr>
          <w:lang w:eastAsia="zh-CN"/>
        </w:rPr>
        <w:t xml:space="preserve">3.3         </w:t>
      </w:r>
      <w:r>
        <w:t>Flow chart for SLD-PR</w:t>
      </w:r>
      <w:r>
        <w:rPr>
          <w:rFonts w:hint="eastAsia"/>
        </w:rPr>
        <w:t xml:space="preserve"> </w:t>
      </w:r>
      <w:r>
        <w:t xml:space="preserve">single component </w:t>
      </w:r>
      <w:r>
        <w:rPr>
          <w:rFonts w:hint="eastAsia"/>
        </w:rPr>
        <w:t>model</w:t>
      </w:r>
      <w:r>
        <w:t xml:space="preserve"> algorithm </w:t>
      </w:r>
      <w:r w:rsidR="003E7DC3">
        <w:rPr>
          <w:lang w:eastAsia="zh-CN"/>
        </w:rPr>
        <w:tab/>
        <w:t>(3</w:t>
      </w:r>
      <w:r w:rsidR="003E7DC3">
        <w:rPr>
          <w:rFonts w:hint="eastAsia"/>
          <w:lang w:eastAsia="zh-CN"/>
        </w:rPr>
        <w:t>6</w:t>
      </w:r>
      <w:r>
        <w:rPr>
          <w:lang w:eastAsia="zh-CN"/>
        </w:rPr>
        <w:t>)</w:t>
      </w:r>
    </w:p>
    <w:p w14:paraId="7F5CF153" w14:textId="08ADA2C7" w:rsidR="0085272D" w:rsidRDefault="0096367E">
      <w:pPr>
        <w:tabs>
          <w:tab w:val="right" w:leader="dot" w:pos="8460"/>
        </w:tabs>
        <w:spacing w:after="240"/>
        <w:ind w:left="810" w:hanging="810"/>
        <w:rPr>
          <w:lang w:eastAsia="zh-CN"/>
        </w:rPr>
      </w:pPr>
      <w:r>
        <w:rPr>
          <w:lang w:eastAsia="zh-CN"/>
        </w:rPr>
        <w:lastRenderedPageBreak/>
        <w:t xml:space="preserve">4.1         Number-density profile (left) and discrete mass density profile (right) of methane under </w:t>
      </w:r>
      <w:r>
        <w:t xml:space="preserve">176 °F and 3043 psi obtained by </w:t>
      </w:r>
      <w:r w:rsidR="003E7DC3">
        <w:rPr>
          <w:lang w:eastAsia="zh-CN"/>
        </w:rPr>
        <w:t>Ambrose (2011)</w:t>
      </w:r>
      <w:r w:rsidR="003E7DC3">
        <w:rPr>
          <w:lang w:eastAsia="zh-CN"/>
        </w:rPr>
        <w:tab/>
        <w:t>(4</w:t>
      </w:r>
      <w:r w:rsidR="003E7DC3">
        <w:rPr>
          <w:rFonts w:hint="eastAsia"/>
          <w:lang w:eastAsia="zh-CN"/>
        </w:rPr>
        <w:t>5</w:t>
      </w:r>
      <w:r>
        <w:rPr>
          <w:lang w:eastAsia="zh-CN"/>
        </w:rPr>
        <w:t>)</w:t>
      </w:r>
    </w:p>
    <w:p w14:paraId="2BA30573" w14:textId="42B89A8F" w:rsidR="0085272D" w:rsidRDefault="0096367E">
      <w:pPr>
        <w:tabs>
          <w:tab w:val="right" w:leader="dot" w:pos="8460"/>
        </w:tabs>
        <w:spacing w:after="240"/>
        <w:ind w:left="810" w:hanging="810"/>
        <w:rPr>
          <w:lang w:eastAsia="zh-CN"/>
        </w:rPr>
      </w:pPr>
      <w:r>
        <w:rPr>
          <w:lang w:eastAsia="zh-CN"/>
        </w:rPr>
        <w:t xml:space="preserve">4.2         Continuous methane mass density profile calculated from SLD model (left) and the equivalent discrete mass density profile (right) in a 2.31 nm pore under </w:t>
      </w:r>
      <w:r>
        <w:t>176 °F and 3043 psi</w:t>
      </w:r>
      <w:r w:rsidR="003E7DC3">
        <w:rPr>
          <w:lang w:eastAsia="zh-CN"/>
        </w:rPr>
        <w:tab/>
        <w:t>(4</w:t>
      </w:r>
      <w:r w:rsidR="003E7DC3">
        <w:rPr>
          <w:rFonts w:hint="eastAsia"/>
          <w:lang w:eastAsia="zh-CN"/>
        </w:rPr>
        <w:t>5</w:t>
      </w:r>
      <w:r>
        <w:rPr>
          <w:lang w:eastAsia="zh-CN"/>
        </w:rPr>
        <w:t>)</w:t>
      </w:r>
    </w:p>
    <w:p w14:paraId="2814CFD7" w14:textId="1223786C" w:rsidR="0085272D" w:rsidRDefault="0096367E">
      <w:pPr>
        <w:tabs>
          <w:tab w:val="right" w:leader="dot" w:pos="8460"/>
        </w:tabs>
        <w:spacing w:after="240"/>
        <w:ind w:left="810" w:hanging="810"/>
        <w:rPr>
          <w:lang w:eastAsia="zh-CN"/>
        </w:rPr>
      </w:pPr>
      <w:r>
        <w:rPr>
          <w:lang w:eastAsia="zh-CN"/>
        </w:rPr>
        <w:t xml:space="preserve">4.3         </w:t>
      </w:r>
      <w:r>
        <w:t>Comparison of d</w:t>
      </w:r>
      <w:r>
        <w:rPr>
          <w:rFonts w:hint="eastAsia"/>
        </w:rPr>
        <w:t xml:space="preserve">ensity profiles of methane in a 3.73 nm-width slit pore at </w:t>
      </w:r>
      <w:r>
        <w:t>1</w:t>
      </w:r>
      <w:r>
        <w:rPr>
          <w:rFonts w:hint="eastAsia"/>
        </w:rPr>
        <w:t>76</w:t>
      </w:r>
      <w:r>
        <w:t xml:space="preserve"> °F and </w:t>
      </w:r>
      <w:r>
        <w:rPr>
          <w:rFonts w:hint="eastAsia"/>
        </w:rPr>
        <w:t xml:space="preserve">3043 </w:t>
      </w:r>
      <w:r>
        <w:t>psi</w:t>
      </w:r>
      <w:r>
        <w:rPr>
          <w:rFonts w:hint="eastAsia"/>
        </w:rPr>
        <w:t xml:space="preserve"> </w:t>
      </w:r>
      <w:r>
        <w:t>obtained from both SLD model and molecular dynamics performed by Ambrose (2011)</w:t>
      </w:r>
      <w:r w:rsidR="003E7DC3">
        <w:rPr>
          <w:lang w:eastAsia="zh-CN"/>
        </w:rPr>
        <w:tab/>
        <w:t>(4</w:t>
      </w:r>
      <w:r w:rsidR="003E7DC3">
        <w:rPr>
          <w:rFonts w:hint="eastAsia"/>
          <w:lang w:eastAsia="zh-CN"/>
        </w:rPr>
        <w:t>6</w:t>
      </w:r>
      <w:r>
        <w:rPr>
          <w:lang w:eastAsia="zh-CN"/>
        </w:rPr>
        <w:t>)</w:t>
      </w:r>
    </w:p>
    <w:p w14:paraId="41763463" w14:textId="51C89080" w:rsidR="0085272D" w:rsidRDefault="0096367E">
      <w:pPr>
        <w:tabs>
          <w:tab w:val="right" w:leader="dot" w:pos="8460"/>
        </w:tabs>
        <w:spacing w:after="240"/>
        <w:ind w:left="810" w:hanging="810"/>
        <w:rPr>
          <w:lang w:eastAsia="zh-CN"/>
        </w:rPr>
      </w:pPr>
      <w:r>
        <w:rPr>
          <w:lang w:eastAsia="zh-CN"/>
        </w:rPr>
        <w:t xml:space="preserve">4.4         </w:t>
      </w:r>
      <w:r>
        <w:t>Comparison of d</w:t>
      </w:r>
      <w:r>
        <w:rPr>
          <w:rFonts w:hint="eastAsia"/>
        </w:rPr>
        <w:t xml:space="preserve">ensity profiles of methane in a 2.31 nm-width slit pore at </w:t>
      </w:r>
      <w:r>
        <w:t>1</w:t>
      </w:r>
      <w:r>
        <w:rPr>
          <w:rFonts w:hint="eastAsia"/>
        </w:rPr>
        <w:t>76</w:t>
      </w:r>
      <w:r>
        <w:t xml:space="preserve"> °F and </w:t>
      </w:r>
      <w:r>
        <w:rPr>
          <w:rFonts w:hint="eastAsia"/>
        </w:rPr>
        <w:t xml:space="preserve">3043 </w:t>
      </w:r>
      <w:r>
        <w:t>psi</w:t>
      </w:r>
      <w:r>
        <w:rPr>
          <w:rFonts w:hint="eastAsia"/>
        </w:rPr>
        <w:t xml:space="preserve"> </w:t>
      </w:r>
      <w:r>
        <w:t>obtained from both SLD model and molecular dynamics performed by Ambrose (2011)</w:t>
      </w:r>
      <w:r w:rsidR="003E7DC3">
        <w:rPr>
          <w:lang w:eastAsia="zh-CN"/>
        </w:rPr>
        <w:tab/>
        <w:t>(4</w:t>
      </w:r>
      <w:r w:rsidR="003E7DC3">
        <w:rPr>
          <w:rFonts w:hint="eastAsia"/>
          <w:lang w:eastAsia="zh-CN"/>
        </w:rPr>
        <w:t>7</w:t>
      </w:r>
      <w:r>
        <w:rPr>
          <w:lang w:eastAsia="zh-CN"/>
        </w:rPr>
        <w:t>)</w:t>
      </w:r>
    </w:p>
    <w:p w14:paraId="6EC4862A" w14:textId="001F3B12" w:rsidR="0085272D" w:rsidRDefault="0096367E">
      <w:pPr>
        <w:tabs>
          <w:tab w:val="right" w:leader="dot" w:pos="8460"/>
        </w:tabs>
        <w:spacing w:after="240"/>
        <w:ind w:left="810" w:hanging="810"/>
        <w:rPr>
          <w:lang w:eastAsia="zh-CN"/>
        </w:rPr>
      </w:pPr>
      <w:r>
        <w:rPr>
          <w:lang w:eastAsia="zh-CN"/>
        </w:rPr>
        <w:t xml:space="preserve">4.5         </w:t>
      </w:r>
      <w:r>
        <w:t>Flow chart of the flash calculation</w:t>
      </w:r>
      <w:r w:rsidR="003E7DC3">
        <w:rPr>
          <w:lang w:eastAsia="zh-CN"/>
        </w:rPr>
        <w:tab/>
        <w:t>(</w:t>
      </w:r>
      <w:r w:rsidR="003E7DC3">
        <w:rPr>
          <w:rFonts w:hint="eastAsia"/>
          <w:lang w:eastAsia="zh-CN"/>
        </w:rPr>
        <w:t>50</w:t>
      </w:r>
      <w:r>
        <w:rPr>
          <w:lang w:eastAsia="zh-CN"/>
        </w:rPr>
        <w:t>)</w:t>
      </w:r>
    </w:p>
    <w:p w14:paraId="045BEF0D" w14:textId="0AFC18C9" w:rsidR="0085272D" w:rsidRDefault="0096367E">
      <w:pPr>
        <w:tabs>
          <w:tab w:val="right" w:leader="dot" w:pos="8460"/>
        </w:tabs>
        <w:spacing w:after="240"/>
        <w:ind w:left="810" w:hanging="810"/>
        <w:rPr>
          <w:lang w:eastAsia="zh-CN"/>
        </w:rPr>
      </w:pPr>
      <w:r>
        <w:rPr>
          <w:lang w:eastAsia="zh-CN"/>
        </w:rPr>
        <w:t xml:space="preserve">4.6         </w:t>
      </w:r>
      <w:r>
        <w:t>Gas composition of the mixture (53.01% C1/ 10.55% nC4/ 36.44% C10) against pore sizes under 1000 psi and 160 °F</w:t>
      </w:r>
      <w:r w:rsidR="003E7DC3">
        <w:rPr>
          <w:lang w:eastAsia="zh-CN"/>
        </w:rPr>
        <w:tab/>
        <w:t>(5</w:t>
      </w:r>
      <w:r w:rsidR="003E7DC3">
        <w:rPr>
          <w:rFonts w:hint="eastAsia"/>
          <w:lang w:eastAsia="zh-CN"/>
        </w:rPr>
        <w:t>7</w:t>
      </w:r>
      <w:r>
        <w:rPr>
          <w:lang w:eastAsia="zh-CN"/>
        </w:rPr>
        <w:t>)</w:t>
      </w:r>
    </w:p>
    <w:p w14:paraId="55EE6784" w14:textId="792DCB11" w:rsidR="0085272D" w:rsidRDefault="0096367E">
      <w:pPr>
        <w:tabs>
          <w:tab w:val="right" w:leader="dot" w:pos="8460"/>
        </w:tabs>
        <w:spacing w:after="240"/>
        <w:ind w:left="810" w:hanging="810"/>
        <w:rPr>
          <w:lang w:eastAsia="zh-CN"/>
        </w:rPr>
      </w:pPr>
      <w:r>
        <w:rPr>
          <w:lang w:eastAsia="zh-CN"/>
        </w:rPr>
        <w:t xml:space="preserve">4.7         </w:t>
      </w:r>
      <w:r>
        <w:t>K-values of each component in the mixture (53.01% C1/ 10.55% nC4/ 36.44% C10) versus pore sizes under 1000 psi and 160 °F</w:t>
      </w:r>
      <w:r w:rsidR="003E7DC3">
        <w:rPr>
          <w:lang w:eastAsia="zh-CN"/>
        </w:rPr>
        <w:tab/>
        <w:t>(57</w:t>
      </w:r>
      <w:r>
        <w:rPr>
          <w:lang w:eastAsia="zh-CN"/>
        </w:rPr>
        <w:t>)</w:t>
      </w:r>
    </w:p>
    <w:p w14:paraId="360609B9" w14:textId="352CE362" w:rsidR="0085272D" w:rsidRDefault="0096367E">
      <w:pPr>
        <w:tabs>
          <w:tab w:val="right" w:leader="dot" w:pos="8460"/>
        </w:tabs>
        <w:spacing w:after="240"/>
        <w:ind w:left="810" w:hanging="810"/>
        <w:rPr>
          <w:lang w:eastAsia="zh-CN"/>
        </w:rPr>
      </w:pPr>
      <w:r>
        <w:rPr>
          <w:lang w:eastAsia="zh-CN"/>
        </w:rPr>
        <w:t xml:space="preserve">4.8         </w:t>
      </w:r>
      <w:r>
        <w:t>Illustrations of five main types of reservoir fluids (modified from IHS, 2014)</w:t>
      </w:r>
      <w:r w:rsidR="003E7DC3">
        <w:rPr>
          <w:lang w:eastAsia="zh-CN"/>
        </w:rPr>
        <w:tab/>
        <w:t>(60-62</w:t>
      </w:r>
      <w:r>
        <w:rPr>
          <w:lang w:eastAsia="zh-CN"/>
        </w:rPr>
        <w:t>)</w:t>
      </w:r>
    </w:p>
    <w:p w14:paraId="20AFBEB9" w14:textId="47672D78" w:rsidR="0085272D" w:rsidRDefault="0096367E">
      <w:pPr>
        <w:tabs>
          <w:tab w:val="right" w:leader="dot" w:pos="8460"/>
        </w:tabs>
        <w:spacing w:after="240"/>
        <w:ind w:left="810" w:hanging="810"/>
        <w:rPr>
          <w:lang w:eastAsia="zh-CN"/>
        </w:rPr>
      </w:pPr>
      <w:r>
        <w:rPr>
          <w:lang w:eastAsia="zh-CN"/>
        </w:rPr>
        <w:t xml:space="preserve">4.9         </w:t>
      </w:r>
      <w:r>
        <w:t>Two-phase envelopes of a C1/nC4/C10 mixture in different pore sizes</w:t>
      </w:r>
      <w:r w:rsidR="003E7DC3">
        <w:rPr>
          <w:lang w:eastAsia="zh-CN"/>
        </w:rPr>
        <w:tab/>
        <w:t>(62</w:t>
      </w:r>
      <w:r>
        <w:rPr>
          <w:lang w:eastAsia="zh-CN"/>
        </w:rPr>
        <w:t>)</w:t>
      </w:r>
    </w:p>
    <w:p w14:paraId="113481BF" w14:textId="59101FA6" w:rsidR="0085272D" w:rsidRDefault="0096367E">
      <w:pPr>
        <w:tabs>
          <w:tab w:val="right" w:leader="dot" w:pos="8460"/>
        </w:tabs>
        <w:spacing w:after="240"/>
        <w:ind w:left="810" w:hanging="810"/>
        <w:rPr>
          <w:lang w:eastAsia="zh-CN"/>
        </w:rPr>
      </w:pPr>
      <w:r>
        <w:rPr>
          <w:lang w:eastAsia="zh-CN"/>
        </w:rPr>
        <w:lastRenderedPageBreak/>
        <w:t xml:space="preserve">4.10       </w:t>
      </w:r>
      <w:r>
        <w:t>Methane local density profile along a 2.4-nm pore as well as the bulk density under 185 °F and 2600 psi calculated from the SLD-PR model</w:t>
      </w:r>
      <w:r w:rsidR="003E7DC3">
        <w:rPr>
          <w:lang w:eastAsia="zh-CN"/>
        </w:rPr>
        <w:tab/>
        <w:t>(65</w:t>
      </w:r>
      <w:r>
        <w:rPr>
          <w:lang w:eastAsia="zh-CN"/>
        </w:rPr>
        <w:t>)</w:t>
      </w:r>
    </w:p>
    <w:p w14:paraId="26623B41" w14:textId="0932EBFE" w:rsidR="0085272D" w:rsidRDefault="0096367E">
      <w:pPr>
        <w:tabs>
          <w:tab w:val="right" w:leader="dot" w:pos="8460"/>
        </w:tabs>
        <w:spacing w:after="240"/>
        <w:ind w:left="810" w:hanging="810"/>
        <w:rPr>
          <w:lang w:eastAsia="zh-CN"/>
        </w:rPr>
      </w:pPr>
      <w:r>
        <w:rPr>
          <w:lang w:eastAsia="zh-CN"/>
        </w:rPr>
        <w:t xml:space="preserve">4.11       </w:t>
      </w:r>
      <w:r>
        <w:t>Density profiles for methane, ethane, propane and n-butane under 176 °F and 3043 psi</w:t>
      </w:r>
      <w:r>
        <w:rPr>
          <w:rFonts w:hint="eastAsia"/>
        </w:rPr>
        <w:t xml:space="preserve"> in</w:t>
      </w:r>
      <w:r>
        <w:t xml:space="preserve"> a 5-nm wide slit pore calculated from SLD model </w:t>
      </w:r>
      <w:r w:rsidR="003E7DC3">
        <w:rPr>
          <w:lang w:eastAsia="zh-CN"/>
        </w:rPr>
        <w:tab/>
        <w:t>(66</w:t>
      </w:r>
      <w:r>
        <w:rPr>
          <w:lang w:eastAsia="zh-CN"/>
        </w:rPr>
        <w:t>)</w:t>
      </w:r>
    </w:p>
    <w:p w14:paraId="2187EF4D" w14:textId="2CAF5E48" w:rsidR="0085272D" w:rsidRDefault="0096367E">
      <w:pPr>
        <w:tabs>
          <w:tab w:val="right" w:leader="dot" w:pos="8460"/>
        </w:tabs>
        <w:spacing w:after="240"/>
        <w:ind w:left="810" w:hanging="810"/>
        <w:rPr>
          <w:lang w:eastAsia="zh-CN"/>
        </w:rPr>
      </w:pPr>
      <w:r>
        <w:rPr>
          <w:lang w:eastAsia="zh-CN"/>
        </w:rPr>
        <w:t xml:space="preserve">4.12       </w:t>
      </w:r>
      <w:r>
        <w:t>Density profile of an 80% C1/ 20% C4 mixture at 170 °F and 3500 psi in 20 nm pore calculated from SLD-PR model</w:t>
      </w:r>
      <w:r w:rsidR="003E7DC3">
        <w:rPr>
          <w:lang w:eastAsia="zh-CN"/>
        </w:rPr>
        <w:tab/>
        <w:t>(68</w:t>
      </w:r>
      <w:r>
        <w:rPr>
          <w:lang w:eastAsia="zh-CN"/>
        </w:rPr>
        <w:t>)</w:t>
      </w:r>
    </w:p>
    <w:p w14:paraId="76F429C5" w14:textId="259652DD" w:rsidR="0085272D" w:rsidRDefault="0096367E">
      <w:pPr>
        <w:tabs>
          <w:tab w:val="right" w:leader="dot" w:pos="8460"/>
        </w:tabs>
        <w:spacing w:after="240"/>
        <w:ind w:left="810" w:hanging="810"/>
        <w:rPr>
          <w:lang w:eastAsia="zh-CN"/>
        </w:rPr>
      </w:pPr>
      <w:r>
        <w:rPr>
          <w:lang w:eastAsia="zh-CN"/>
        </w:rPr>
        <w:t xml:space="preserve">4.13       </w:t>
      </w:r>
      <w:r>
        <w:t>C1 and C4 composition distribution in the 20-nm pore at 170 °F and 3500 psi calculated from SLD-PR model</w:t>
      </w:r>
      <w:r w:rsidR="003E7DC3">
        <w:rPr>
          <w:lang w:eastAsia="zh-CN"/>
        </w:rPr>
        <w:tab/>
        <w:t>(68</w:t>
      </w:r>
      <w:r>
        <w:rPr>
          <w:lang w:eastAsia="zh-CN"/>
        </w:rPr>
        <w:t>)</w:t>
      </w:r>
    </w:p>
    <w:p w14:paraId="0FF371BE" w14:textId="68646608" w:rsidR="0085272D" w:rsidRDefault="0096367E">
      <w:pPr>
        <w:tabs>
          <w:tab w:val="right" w:leader="dot" w:pos="8460"/>
        </w:tabs>
        <w:spacing w:after="240"/>
        <w:ind w:left="810" w:hanging="810"/>
        <w:rPr>
          <w:lang w:eastAsia="zh-CN"/>
        </w:rPr>
      </w:pPr>
      <w:r>
        <w:rPr>
          <w:lang w:eastAsia="zh-CN"/>
        </w:rPr>
        <w:t>4.</w:t>
      </w:r>
      <w:r>
        <w:t>14       Density profiles of pure C1, pure C4 and 80% C1/ 20% C4 mixture in the 20-nm pore at 170 °F and 3500 psi calculated from SLD-PR model</w:t>
      </w:r>
      <w:r w:rsidR="003E7DC3">
        <w:rPr>
          <w:lang w:eastAsia="zh-CN"/>
        </w:rPr>
        <w:tab/>
        <w:t>(6</w:t>
      </w:r>
      <w:r w:rsidR="003E7DC3">
        <w:rPr>
          <w:rFonts w:hint="eastAsia"/>
          <w:lang w:eastAsia="zh-CN"/>
        </w:rPr>
        <w:t>9</w:t>
      </w:r>
      <w:r>
        <w:rPr>
          <w:lang w:eastAsia="zh-CN"/>
        </w:rPr>
        <w:t>)</w:t>
      </w:r>
    </w:p>
    <w:p w14:paraId="095F2D37" w14:textId="39FC2BB5" w:rsidR="0085272D" w:rsidRDefault="0096367E">
      <w:pPr>
        <w:tabs>
          <w:tab w:val="right" w:leader="dot" w:pos="8460"/>
        </w:tabs>
        <w:spacing w:after="240"/>
        <w:ind w:left="810" w:hanging="810"/>
        <w:rPr>
          <w:lang w:eastAsia="zh-CN"/>
        </w:rPr>
      </w:pPr>
      <w:r>
        <w:rPr>
          <w:lang w:eastAsia="zh-CN"/>
        </w:rPr>
        <w:t>4.</w:t>
      </w:r>
      <w:r>
        <w:t>15       Density profiles of methane confined in pores with variety widths under 185 °F and 2600 psi. Pore sizes of 2, 4, 6, 8 and 10 nm were selected to show in the figure</w:t>
      </w:r>
      <w:r w:rsidR="003E7DC3">
        <w:rPr>
          <w:lang w:eastAsia="zh-CN"/>
        </w:rPr>
        <w:tab/>
        <w:t>(70</w:t>
      </w:r>
      <w:r>
        <w:rPr>
          <w:lang w:eastAsia="zh-CN"/>
        </w:rPr>
        <w:t>)</w:t>
      </w:r>
    </w:p>
    <w:p w14:paraId="23564A62" w14:textId="2F72CFDB" w:rsidR="0085272D" w:rsidRDefault="0096367E">
      <w:pPr>
        <w:tabs>
          <w:tab w:val="right" w:leader="dot" w:pos="8460"/>
        </w:tabs>
        <w:spacing w:after="240"/>
        <w:ind w:left="810" w:hanging="810"/>
        <w:rPr>
          <w:lang w:eastAsia="zh-CN"/>
        </w:rPr>
      </w:pPr>
      <w:r>
        <w:rPr>
          <w:lang w:eastAsia="zh-CN"/>
        </w:rPr>
        <w:t>4.</w:t>
      </w:r>
      <w:r>
        <w:t>16       Methane density profiles confined in pores under variety pressures. The temperature and pore size are fixed to be 200 °F and 10 nm, respectively</w:t>
      </w:r>
      <w:r w:rsidR="003E7DC3">
        <w:rPr>
          <w:lang w:eastAsia="zh-CN"/>
        </w:rPr>
        <w:tab/>
        <w:t>(72</w:t>
      </w:r>
      <w:r>
        <w:rPr>
          <w:lang w:eastAsia="zh-CN"/>
        </w:rPr>
        <w:t>)</w:t>
      </w:r>
    </w:p>
    <w:p w14:paraId="40705C4E" w14:textId="37CA7831" w:rsidR="0085272D" w:rsidRDefault="0096367E">
      <w:pPr>
        <w:tabs>
          <w:tab w:val="right" w:leader="dot" w:pos="8460"/>
        </w:tabs>
        <w:spacing w:after="240"/>
        <w:ind w:left="810" w:hanging="810"/>
        <w:rPr>
          <w:lang w:eastAsia="zh-CN"/>
        </w:rPr>
      </w:pPr>
      <w:r>
        <w:rPr>
          <w:lang w:eastAsia="zh-CN"/>
        </w:rPr>
        <w:t>4.</w:t>
      </w:r>
      <w:r>
        <w:t>17       Methane density profiles confined in pores under variety temperatures. The pressure and pore size are fixed to be 4000 psi and 10 nm, respectively</w:t>
      </w:r>
      <w:r w:rsidR="003E7DC3">
        <w:rPr>
          <w:lang w:eastAsia="zh-CN"/>
        </w:rPr>
        <w:tab/>
        <w:t>(73</w:t>
      </w:r>
      <w:r>
        <w:rPr>
          <w:lang w:eastAsia="zh-CN"/>
        </w:rPr>
        <w:t>)</w:t>
      </w:r>
    </w:p>
    <w:p w14:paraId="3191F9D9" w14:textId="40BBF0FA" w:rsidR="0085272D" w:rsidRDefault="0096367E">
      <w:pPr>
        <w:tabs>
          <w:tab w:val="right" w:leader="dot" w:pos="8460"/>
        </w:tabs>
        <w:spacing w:after="240"/>
        <w:ind w:left="810" w:hanging="810"/>
        <w:rPr>
          <w:lang w:eastAsia="zh-CN"/>
        </w:rPr>
      </w:pPr>
      <w:r>
        <w:rPr>
          <w:lang w:eastAsia="zh-CN"/>
        </w:rPr>
        <w:t>4.</w:t>
      </w:r>
      <w:r>
        <w:t>18       Density profiles of binary mixtures containing methane and n-butane with variety composition combinations in a 20-nm pore at 3500 psi and 170 °F</w:t>
      </w:r>
      <w:r w:rsidR="003E7DC3">
        <w:rPr>
          <w:lang w:eastAsia="zh-CN"/>
        </w:rPr>
        <w:tab/>
        <w:t>(74</w:t>
      </w:r>
      <w:r>
        <w:rPr>
          <w:lang w:eastAsia="zh-CN"/>
        </w:rPr>
        <w:t>)</w:t>
      </w:r>
    </w:p>
    <w:p w14:paraId="482AC7AF" w14:textId="159FC101" w:rsidR="0085272D" w:rsidRDefault="0096367E">
      <w:pPr>
        <w:tabs>
          <w:tab w:val="right" w:leader="dot" w:pos="8460"/>
        </w:tabs>
        <w:spacing w:after="240"/>
        <w:ind w:left="810" w:hanging="810"/>
        <w:rPr>
          <w:lang w:eastAsia="zh-CN"/>
        </w:rPr>
      </w:pPr>
      <w:r>
        <w:rPr>
          <w:lang w:eastAsia="zh-CN"/>
        </w:rPr>
        <w:lastRenderedPageBreak/>
        <w:t>4.</w:t>
      </w:r>
      <w:r>
        <w:t>19       Methane composition distributions of four different fluid mixtures in a 20-nm pore at 3500 psi and 170 °F</w:t>
      </w:r>
      <w:r w:rsidR="003E7DC3">
        <w:rPr>
          <w:lang w:eastAsia="zh-CN"/>
        </w:rPr>
        <w:tab/>
        <w:t>(75</w:t>
      </w:r>
      <w:r>
        <w:rPr>
          <w:lang w:eastAsia="zh-CN"/>
        </w:rPr>
        <w:t>)</w:t>
      </w:r>
    </w:p>
    <w:p w14:paraId="605FE797" w14:textId="43131B1A" w:rsidR="00483E80" w:rsidRDefault="00483E80" w:rsidP="00483E80">
      <w:pPr>
        <w:tabs>
          <w:tab w:val="right" w:leader="dot" w:pos="8460"/>
        </w:tabs>
        <w:spacing w:after="240"/>
        <w:ind w:left="810" w:hanging="810"/>
        <w:rPr>
          <w:lang w:eastAsia="zh-CN"/>
        </w:rPr>
      </w:pPr>
      <w:r>
        <w:rPr>
          <w:lang w:eastAsia="zh-CN"/>
        </w:rPr>
        <w:t>4.</w:t>
      </w:r>
      <w:r>
        <w:t xml:space="preserve">20       </w:t>
      </w:r>
      <w:r w:rsidR="0037292B" w:rsidRPr="000359CA">
        <w:t xml:space="preserve">Adsorption isotherms of pure methane and ethane at 373.15 K </w:t>
      </w:r>
      <w:r w:rsidR="0037292B" w:rsidRPr="000359CA">
        <w:rPr>
          <w:rFonts w:hint="eastAsia"/>
        </w:rPr>
        <w:t>on MCM-41 materials</w:t>
      </w:r>
      <w:r w:rsidR="003E7DC3">
        <w:rPr>
          <w:lang w:eastAsia="zh-CN"/>
        </w:rPr>
        <w:tab/>
        <w:t>(77</w:t>
      </w:r>
      <w:r>
        <w:rPr>
          <w:lang w:eastAsia="zh-CN"/>
        </w:rPr>
        <w:t>)</w:t>
      </w:r>
    </w:p>
    <w:p w14:paraId="5A4465B1" w14:textId="591CB9AB" w:rsidR="00483E80" w:rsidRDefault="00483E80" w:rsidP="00483E80">
      <w:pPr>
        <w:tabs>
          <w:tab w:val="right" w:leader="dot" w:pos="8460"/>
        </w:tabs>
        <w:spacing w:after="240"/>
        <w:ind w:left="810" w:hanging="810"/>
        <w:rPr>
          <w:lang w:eastAsia="zh-CN"/>
        </w:rPr>
      </w:pPr>
      <w:r>
        <w:rPr>
          <w:lang w:eastAsia="zh-CN"/>
        </w:rPr>
        <w:t>4.</w:t>
      </w:r>
      <w:r>
        <w:t xml:space="preserve">21       </w:t>
      </w:r>
      <w:r w:rsidR="0037292B" w:rsidRPr="000359CA">
        <w:t xml:space="preserve">Adsorption isotherms of each component in the binary mixture containing 28.7% methane and 71.3% ethane at 264.75 K </w:t>
      </w:r>
      <w:r w:rsidR="0037292B" w:rsidRPr="000359CA">
        <w:rPr>
          <w:rFonts w:hint="eastAsia"/>
        </w:rPr>
        <w:t>on MCM-41 materials</w:t>
      </w:r>
      <w:r w:rsidR="003E7DC3">
        <w:rPr>
          <w:lang w:eastAsia="zh-CN"/>
        </w:rPr>
        <w:tab/>
        <w:t>(78</w:t>
      </w:r>
      <w:r>
        <w:rPr>
          <w:lang w:eastAsia="zh-CN"/>
        </w:rPr>
        <w:t>)</w:t>
      </w:r>
    </w:p>
    <w:p w14:paraId="0CFE2F57" w14:textId="64ECFAE0" w:rsidR="00483E80" w:rsidRDefault="00483E80" w:rsidP="00483E80">
      <w:pPr>
        <w:tabs>
          <w:tab w:val="right" w:leader="dot" w:pos="8460"/>
        </w:tabs>
        <w:spacing w:after="240"/>
        <w:ind w:left="810" w:hanging="810"/>
        <w:rPr>
          <w:lang w:eastAsia="zh-CN"/>
        </w:rPr>
      </w:pPr>
      <w:r>
        <w:rPr>
          <w:lang w:eastAsia="zh-CN"/>
        </w:rPr>
        <w:t>4.</w:t>
      </w:r>
      <w:r>
        <w:t xml:space="preserve">22       </w:t>
      </w:r>
      <w:r w:rsidR="0037292B" w:rsidRPr="000359CA">
        <w:t>Methane composition diagram of a methane/ethane mixture at pressure of 345 and 655 kPa</w:t>
      </w:r>
      <w:r w:rsidR="003E7DC3">
        <w:rPr>
          <w:lang w:eastAsia="zh-CN"/>
        </w:rPr>
        <w:tab/>
        <w:t>(80</w:t>
      </w:r>
      <w:r>
        <w:rPr>
          <w:lang w:eastAsia="zh-CN"/>
        </w:rPr>
        <w:t>)</w:t>
      </w:r>
    </w:p>
    <w:p w14:paraId="2F5B3B16" w14:textId="55D561FA" w:rsidR="00483E80" w:rsidRDefault="00483E80" w:rsidP="0037292B">
      <w:pPr>
        <w:tabs>
          <w:tab w:val="right" w:leader="dot" w:pos="8460"/>
        </w:tabs>
        <w:spacing w:after="240"/>
        <w:ind w:left="810" w:hanging="810"/>
        <w:rPr>
          <w:lang w:eastAsia="zh-CN"/>
        </w:rPr>
      </w:pPr>
      <w:r>
        <w:rPr>
          <w:lang w:eastAsia="zh-CN"/>
        </w:rPr>
        <w:t>4.</w:t>
      </w:r>
      <w:r>
        <w:t xml:space="preserve">23       </w:t>
      </w:r>
      <w:r w:rsidR="0037292B" w:rsidRPr="000359CA">
        <w:t>Methane adsorption in Green River shale and Woodford shale at 323.15 K</w:t>
      </w:r>
      <w:r w:rsidR="003E7DC3">
        <w:rPr>
          <w:lang w:eastAsia="zh-CN"/>
        </w:rPr>
        <w:tab/>
        <w:t>(8</w:t>
      </w:r>
      <w:r w:rsidR="003E7DC3">
        <w:rPr>
          <w:rFonts w:hint="eastAsia"/>
          <w:lang w:eastAsia="zh-CN"/>
        </w:rPr>
        <w:t>1</w:t>
      </w:r>
      <w:r>
        <w:rPr>
          <w:lang w:eastAsia="zh-CN"/>
        </w:rPr>
        <w:t>)</w:t>
      </w:r>
    </w:p>
    <w:p w14:paraId="6717F943" w14:textId="3FE68467" w:rsidR="00BD7CBD" w:rsidRDefault="00BD7CBD" w:rsidP="00BD7CBD">
      <w:pPr>
        <w:tabs>
          <w:tab w:val="right" w:leader="dot" w:pos="8460"/>
        </w:tabs>
        <w:spacing w:after="240"/>
        <w:ind w:left="810" w:hanging="810"/>
        <w:rPr>
          <w:lang w:eastAsia="zh-CN"/>
        </w:rPr>
      </w:pPr>
      <w:r>
        <w:rPr>
          <w:lang w:eastAsia="zh-CN"/>
        </w:rPr>
        <w:t>5.</w:t>
      </w:r>
      <w:r>
        <w:t xml:space="preserve">1         </w:t>
      </w:r>
      <w:r w:rsidRPr="00A379B6">
        <w:t>Volumetric petrophysical model</w:t>
      </w:r>
      <w:r w:rsidR="003E7DC3">
        <w:rPr>
          <w:lang w:eastAsia="zh-CN"/>
        </w:rPr>
        <w:tab/>
        <w:t>(83</w:t>
      </w:r>
      <w:r>
        <w:rPr>
          <w:lang w:eastAsia="zh-CN"/>
        </w:rPr>
        <w:t>)</w:t>
      </w:r>
    </w:p>
    <w:p w14:paraId="1DC27667" w14:textId="001A8DD7" w:rsidR="00BD7CBD" w:rsidRDefault="00BD7CBD" w:rsidP="00BD7CBD">
      <w:pPr>
        <w:tabs>
          <w:tab w:val="right" w:leader="dot" w:pos="8460"/>
        </w:tabs>
        <w:spacing w:after="240"/>
        <w:ind w:left="810" w:hanging="810"/>
        <w:rPr>
          <w:lang w:eastAsia="zh-CN"/>
        </w:rPr>
      </w:pPr>
      <w:r>
        <w:rPr>
          <w:lang w:eastAsia="zh-CN"/>
        </w:rPr>
        <w:t>5.</w:t>
      </w:r>
      <w:r>
        <w:t xml:space="preserve">2         </w:t>
      </w:r>
      <w:r w:rsidRPr="00A379B6">
        <w:t>Fluid storage model</w:t>
      </w:r>
      <w:r w:rsidR="00BC4EAF">
        <w:rPr>
          <w:lang w:eastAsia="zh-CN"/>
        </w:rPr>
        <w:tab/>
        <w:t>(8</w:t>
      </w:r>
      <w:r w:rsidR="003E7DC3">
        <w:rPr>
          <w:lang w:eastAsia="zh-CN"/>
        </w:rPr>
        <w:t>4</w:t>
      </w:r>
      <w:r>
        <w:rPr>
          <w:lang w:eastAsia="zh-CN"/>
        </w:rPr>
        <w:t>)</w:t>
      </w:r>
    </w:p>
    <w:p w14:paraId="4949A7DB" w14:textId="076AB841" w:rsidR="00BD7CBD" w:rsidRDefault="00BD7CBD" w:rsidP="00BD7CBD">
      <w:pPr>
        <w:tabs>
          <w:tab w:val="right" w:leader="dot" w:pos="8460"/>
        </w:tabs>
        <w:spacing w:after="240"/>
        <w:ind w:left="810" w:hanging="810"/>
        <w:rPr>
          <w:lang w:eastAsia="zh-CN"/>
        </w:rPr>
      </w:pPr>
      <w:r>
        <w:rPr>
          <w:lang w:eastAsia="zh-CN"/>
        </w:rPr>
        <w:t>5.</w:t>
      </w:r>
      <w:r>
        <w:t xml:space="preserve">3         </w:t>
      </w:r>
      <w:r w:rsidRPr="00A379B6">
        <w:t>Density profile of a 80% C1/ 20% C4 mixture at 170 °F and 3500 psi in 20 nm pore calculated from multicomponent SLD-PR model. The red dots are the cutoff points which distinguish the free phase and the adsorbed phase</w:t>
      </w:r>
      <w:r w:rsidR="003E7DC3">
        <w:rPr>
          <w:lang w:eastAsia="zh-CN"/>
        </w:rPr>
        <w:tab/>
        <w:t>(90</w:t>
      </w:r>
      <w:r>
        <w:rPr>
          <w:lang w:eastAsia="zh-CN"/>
        </w:rPr>
        <w:t>)</w:t>
      </w:r>
    </w:p>
    <w:p w14:paraId="29B95234" w14:textId="6ED20852" w:rsidR="00BD7CBD" w:rsidRDefault="00BD7CBD" w:rsidP="00BD7CBD">
      <w:pPr>
        <w:tabs>
          <w:tab w:val="right" w:leader="dot" w:pos="8460"/>
        </w:tabs>
        <w:spacing w:after="240"/>
        <w:ind w:left="810" w:hanging="810"/>
        <w:rPr>
          <w:lang w:eastAsia="zh-CN"/>
        </w:rPr>
      </w:pPr>
      <w:r>
        <w:rPr>
          <w:lang w:eastAsia="zh-CN"/>
        </w:rPr>
        <w:t>5.</w:t>
      </w:r>
      <w:r>
        <w:t xml:space="preserve">4         </w:t>
      </w:r>
      <w:r w:rsidRPr="00A379B6">
        <w:t>C1 and C4 composition distribution in the 20-nm pore at 170 °F and 3500 psi calculated from multicomponent SLD-PR model</w:t>
      </w:r>
      <w:r w:rsidR="003E7DC3">
        <w:rPr>
          <w:lang w:eastAsia="zh-CN"/>
        </w:rPr>
        <w:tab/>
        <w:t>(</w:t>
      </w:r>
      <w:r w:rsidR="0037292B">
        <w:rPr>
          <w:lang w:eastAsia="zh-CN"/>
        </w:rPr>
        <w:t>9</w:t>
      </w:r>
      <w:r w:rsidR="003E7DC3">
        <w:rPr>
          <w:rFonts w:hint="eastAsia"/>
          <w:lang w:eastAsia="zh-CN"/>
        </w:rPr>
        <w:t>0</w:t>
      </w:r>
      <w:r>
        <w:rPr>
          <w:lang w:eastAsia="zh-CN"/>
        </w:rPr>
        <w:t>)</w:t>
      </w:r>
    </w:p>
    <w:p w14:paraId="45935FF8" w14:textId="3E3C9821" w:rsidR="00BD7CBD" w:rsidRDefault="00BD7CBD" w:rsidP="00BD7CBD">
      <w:pPr>
        <w:tabs>
          <w:tab w:val="right" w:leader="dot" w:pos="8460"/>
        </w:tabs>
        <w:spacing w:after="240"/>
        <w:ind w:left="810" w:hanging="810"/>
        <w:rPr>
          <w:lang w:eastAsia="zh-CN"/>
        </w:rPr>
      </w:pPr>
      <w:r>
        <w:rPr>
          <w:lang w:eastAsia="zh-CN"/>
        </w:rPr>
        <w:t>5.</w:t>
      </w:r>
      <w:r>
        <w:t xml:space="preserve">5         </w:t>
      </w:r>
      <w:r w:rsidR="00E303B8" w:rsidRPr="00A379B6">
        <w:t>Density profiles for pure C1, pure C4 and 80% C1/ 20% C4 mixture in the 20-nm pore at 170 °F and 3500 psi calculated from multicomponent SLD-PR model</w:t>
      </w:r>
      <w:r w:rsidR="003E7DC3">
        <w:rPr>
          <w:lang w:eastAsia="zh-CN"/>
        </w:rPr>
        <w:tab/>
        <w:t>(91</w:t>
      </w:r>
      <w:r>
        <w:rPr>
          <w:lang w:eastAsia="zh-CN"/>
        </w:rPr>
        <w:t>)</w:t>
      </w:r>
    </w:p>
    <w:p w14:paraId="26EF7BB3" w14:textId="145A672B" w:rsidR="00BD7CBD" w:rsidRDefault="00BD7CBD" w:rsidP="00BD7CBD">
      <w:pPr>
        <w:tabs>
          <w:tab w:val="right" w:leader="dot" w:pos="8460"/>
        </w:tabs>
        <w:spacing w:after="240"/>
        <w:ind w:left="810" w:hanging="810"/>
        <w:rPr>
          <w:lang w:eastAsia="zh-CN"/>
        </w:rPr>
      </w:pPr>
      <w:r>
        <w:rPr>
          <w:lang w:eastAsia="zh-CN"/>
        </w:rPr>
        <w:lastRenderedPageBreak/>
        <w:t>5.</w:t>
      </w:r>
      <w:r>
        <w:t xml:space="preserve">6         </w:t>
      </w:r>
      <w:r w:rsidR="00E303B8" w:rsidRPr="00A379B6">
        <w:t>Continuous density profile (left) and averaged density profile (right) of the 80% C1/ 20% C4 mixture in the 20-nm pore at 170 °F and 3500 psi</w:t>
      </w:r>
      <w:r w:rsidR="003E7DC3">
        <w:rPr>
          <w:lang w:eastAsia="zh-CN"/>
        </w:rPr>
        <w:tab/>
        <w:t>(92</w:t>
      </w:r>
      <w:r>
        <w:rPr>
          <w:lang w:eastAsia="zh-CN"/>
        </w:rPr>
        <w:t>)</w:t>
      </w:r>
    </w:p>
    <w:p w14:paraId="7EE25D3E" w14:textId="470C9586" w:rsidR="00BD7CBD" w:rsidRDefault="00BD7CBD" w:rsidP="00BD7CBD">
      <w:pPr>
        <w:tabs>
          <w:tab w:val="right" w:leader="dot" w:pos="8460"/>
        </w:tabs>
        <w:spacing w:after="240"/>
        <w:ind w:left="810" w:hanging="810"/>
        <w:rPr>
          <w:lang w:eastAsia="zh-CN"/>
        </w:rPr>
      </w:pPr>
      <w:r>
        <w:rPr>
          <w:lang w:eastAsia="zh-CN"/>
        </w:rPr>
        <w:t>5.</w:t>
      </w:r>
      <w:r>
        <w:t xml:space="preserve">7         </w:t>
      </w:r>
      <w:r w:rsidR="00E303B8" w:rsidRPr="00A379B6">
        <w:t xml:space="preserve">Averaged density profile of the 80% C1/ 20% C4 mixture at 170 °F and 3500 psi with different pore sizes (20 </w:t>
      </w:r>
      <w:r w:rsidR="00E303B8">
        <w:t>nm, 10 nm, 8 nm, 5 nm and 3 nm)</w:t>
      </w:r>
      <w:r w:rsidR="00BB4E25">
        <w:rPr>
          <w:lang w:eastAsia="zh-CN"/>
        </w:rPr>
        <w:tab/>
        <w:t>(93</w:t>
      </w:r>
      <w:r>
        <w:rPr>
          <w:lang w:eastAsia="zh-CN"/>
        </w:rPr>
        <w:t>)</w:t>
      </w:r>
    </w:p>
    <w:p w14:paraId="4D200E68" w14:textId="7B50FF28" w:rsidR="00BD7CBD" w:rsidRDefault="00BD7CBD" w:rsidP="00BD7CBD">
      <w:pPr>
        <w:tabs>
          <w:tab w:val="right" w:leader="dot" w:pos="8460"/>
        </w:tabs>
        <w:spacing w:after="240"/>
        <w:ind w:left="810" w:hanging="810"/>
        <w:rPr>
          <w:lang w:eastAsia="zh-CN"/>
        </w:rPr>
      </w:pPr>
      <w:r>
        <w:rPr>
          <w:lang w:eastAsia="zh-CN"/>
        </w:rPr>
        <w:t>5.</w:t>
      </w:r>
      <w:r>
        <w:t xml:space="preserve">8         </w:t>
      </w:r>
      <w:r w:rsidR="00E303B8" w:rsidRPr="00A379B6">
        <w:t>Pore network established by cylindrical pores with different pore sizes</w:t>
      </w:r>
      <w:r w:rsidR="003E7DC3">
        <w:rPr>
          <w:lang w:eastAsia="zh-CN"/>
        </w:rPr>
        <w:tab/>
        <w:t>(9</w:t>
      </w:r>
      <w:r w:rsidR="003E7DC3">
        <w:rPr>
          <w:rFonts w:hint="eastAsia"/>
          <w:lang w:eastAsia="zh-CN"/>
        </w:rPr>
        <w:t>5</w:t>
      </w:r>
      <w:r>
        <w:rPr>
          <w:lang w:eastAsia="zh-CN"/>
        </w:rPr>
        <w:t>)</w:t>
      </w:r>
    </w:p>
    <w:p w14:paraId="61D5816C" w14:textId="16F13721" w:rsidR="00BD7CBD" w:rsidRDefault="00BD7CBD" w:rsidP="00BD7CBD">
      <w:pPr>
        <w:tabs>
          <w:tab w:val="right" w:leader="dot" w:pos="8460"/>
        </w:tabs>
        <w:spacing w:after="240"/>
        <w:ind w:left="810" w:hanging="810"/>
        <w:rPr>
          <w:lang w:eastAsia="zh-CN"/>
        </w:rPr>
      </w:pPr>
      <w:r>
        <w:rPr>
          <w:lang w:eastAsia="zh-CN"/>
        </w:rPr>
        <w:t>5.</w:t>
      </w:r>
      <w:r>
        <w:t xml:space="preserve">9         </w:t>
      </w:r>
      <w:r w:rsidR="00E303B8" w:rsidRPr="00A379B6">
        <w:t>Eagle Ford hydrocarbon windows, source from EIA</w:t>
      </w:r>
      <w:r w:rsidR="00BB4E25">
        <w:rPr>
          <w:lang w:eastAsia="zh-CN"/>
        </w:rPr>
        <w:tab/>
        <w:t>(98</w:t>
      </w:r>
      <w:r>
        <w:rPr>
          <w:lang w:eastAsia="zh-CN"/>
        </w:rPr>
        <w:t>)</w:t>
      </w:r>
    </w:p>
    <w:p w14:paraId="56D2FDAD" w14:textId="33776AB6" w:rsidR="00BD7CBD" w:rsidRDefault="00BD7CBD" w:rsidP="00BD7CBD">
      <w:pPr>
        <w:tabs>
          <w:tab w:val="right" w:leader="dot" w:pos="8460"/>
        </w:tabs>
        <w:spacing w:after="240"/>
        <w:ind w:left="810" w:hanging="810"/>
        <w:rPr>
          <w:lang w:eastAsia="zh-CN"/>
        </w:rPr>
      </w:pPr>
      <w:r>
        <w:rPr>
          <w:lang w:eastAsia="zh-CN"/>
        </w:rPr>
        <w:t>5.</w:t>
      </w:r>
      <w:r>
        <w:t xml:space="preserve">10       </w:t>
      </w:r>
      <w:r w:rsidR="00E303B8" w:rsidRPr="00A379B6">
        <w:t>Total gas, free gas and adsorbed gas storage capacity over the pressure range from 1 MPa to 50 MPa</w:t>
      </w:r>
      <w:r w:rsidR="00BB4E25">
        <w:rPr>
          <w:lang w:eastAsia="zh-CN"/>
        </w:rPr>
        <w:tab/>
        <w:t>(101</w:t>
      </w:r>
      <w:r>
        <w:rPr>
          <w:lang w:eastAsia="zh-CN"/>
        </w:rPr>
        <w:t>)</w:t>
      </w:r>
    </w:p>
    <w:p w14:paraId="775AAFD5" w14:textId="4E5A974A" w:rsidR="00BD7CBD" w:rsidRDefault="00BD7CBD" w:rsidP="00BD7CBD">
      <w:pPr>
        <w:tabs>
          <w:tab w:val="right" w:leader="dot" w:pos="8460"/>
        </w:tabs>
        <w:spacing w:after="240"/>
        <w:ind w:left="810" w:hanging="810"/>
        <w:rPr>
          <w:lang w:eastAsia="zh-CN"/>
        </w:rPr>
      </w:pPr>
      <w:r>
        <w:rPr>
          <w:lang w:eastAsia="zh-CN"/>
        </w:rPr>
        <w:t>6.</w:t>
      </w:r>
      <w:r>
        <w:t xml:space="preserve">1         </w:t>
      </w:r>
      <w:r w:rsidR="00E303B8" w:rsidRPr="00A379B6">
        <w:rPr>
          <w:rFonts w:hint="eastAsia"/>
        </w:rPr>
        <w:t>Density distribution of equal molar C1/C2 binary mixture an 8-nm pore at 350 K and 10 MPa. Only half of the symmetric pore is shown</w:t>
      </w:r>
      <w:r w:rsidR="00BB4E25">
        <w:rPr>
          <w:lang w:eastAsia="zh-CN"/>
        </w:rPr>
        <w:tab/>
        <w:t>(10</w:t>
      </w:r>
      <w:r w:rsidR="00BB4E25">
        <w:rPr>
          <w:rFonts w:hint="eastAsia"/>
          <w:lang w:eastAsia="zh-CN"/>
        </w:rPr>
        <w:t>9</w:t>
      </w:r>
      <w:r>
        <w:rPr>
          <w:lang w:eastAsia="zh-CN"/>
        </w:rPr>
        <w:t>)</w:t>
      </w:r>
    </w:p>
    <w:p w14:paraId="6D188459" w14:textId="133E058B" w:rsidR="00BD7CBD" w:rsidRDefault="00BD7CBD" w:rsidP="00BD7CBD">
      <w:pPr>
        <w:tabs>
          <w:tab w:val="right" w:leader="dot" w:pos="8460"/>
        </w:tabs>
        <w:spacing w:after="240"/>
        <w:ind w:left="810" w:hanging="810"/>
        <w:rPr>
          <w:lang w:eastAsia="zh-CN"/>
        </w:rPr>
      </w:pPr>
      <w:r>
        <w:rPr>
          <w:lang w:eastAsia="zh-CN"/>
        </w:rPr>
        <w:t>6.</w:t>
      </w:r>
      <w:r>
        <w:t xml:space="preserve">2         </w:t>
      </w:r>
      <w:r w:rsidR="00E303B8" w:rsidRPr="00A379B6">
        <w:t>Ethane discrete density profiles in left half of the pore with bulk pressure ranges from 0.5 to 50 MPa</w:t>
      </w:r>
      <w:r w:rsidR="00BB4E25">
        <w:rPr>
          <w:lang w:eastAsia="zh-CN"/>
        </w:rPr>
        <w:tab/>
        <w:t>(112</w:t>
      </w:r>
      <w:r>
        <w:rPr>
          <w:lang w:eastAsia="zh-CN"/>
        </w:rPr>
        <w:t>)</w:t>
      </w:r>
    </w:p>
    <w:p w14:paraId="609A41D7" w14:textId="0FAAC732" w:rsidR="00BD7CBD" w:rsidRDefault="00BD7CBD" w:rsidP="00BD7CBD">
      <w:pPr>
        <w:tabs>
          <w:tab w:val="right" w:leader="dot" w:pos="8460"/>
        </w:tabs>
        <w:spacing w:after="240"/>
        <w:ind w:left="810" w:hanging="810"/>
        <w:rPr>
          <w:lang w:eastAsia="zh-CN"/>
        </w:rPr>
      </w:pPr>
      <w:r>
        <w:rPr>
          <w:lang w:eastAsia="zh-CN"/>
        </w:rPr>
        <w:t>6.3</w:t>
      </w:r>
      <w:r>
        <w:t xml:space="preserve">         </w:t>
      </w:r>
      <w:r w:rsidR="00E303B8" w:rsidRPr="00A379B6">
        <w:t>Ethane density change with respect to pressure for each of the six ethane</w:t>
      </w:r>
      <w:r w:rsidR="00E303B8" w:rsidRPr="00A379B6">
        <w:rPr>
          <w:rFonts w:hint="eastAsia"/>
        </w:rPr>
        <w:t>-</w:t>
      </w:r>
      <w:r w:rsidR="00E303B8" w:rsidRPr="00A379B6">
        <w:t>layers from 0.5 to 50 MPa</w:t>
      </w:r>
      <w:r w:rsidR="00E303B8" w:rsidRPr="00A379B6">
        <w:rPr>
          <w:rFonts w:hint="eastAsia"/>
        </w:rPr>
        <w:t xml:space="preserve"> at 300 K</w:t>
      </w:r>
      <w:r w:rsidR="00E303B8" w:rsidRPr="00A379B6">
        <w:t>.</w:t>
      </w:r>
      <w:r w:rsidR="00E303B8" w:rsidRPr="00A379B6">
        <w:rPr>
          <w:rFonts w:hint="eastAsia"/>
        </w:rPr>
        <w:t xml:space="preserve"> The red dashed line is the bulk ethane saturation pressure and the blue dashed line is the confined saturation pressure calculated by the </w:t>
      </w:r>
      <w:r w:rsidR="00E303B8">
        <w:rPr>
          <w:rFonts w:hint="eastAsia"/>
        </w:rPr>
        <w:t>modified Young-Laplace Equation</w:t>
      </w:r>
      <w:r w:rsidR="00BB4E25">
        <w:rPr>
          <w:lang w:eastAsia="zh-CN"/>
        </w:rPr>
        <w:tab/>
        <w:t>(112</w:t>
      </w:r>
      <w:r>
        <w:rPr>
          <w:lang w:eastAsia="zh-CN"/>
        </w:rPr>
        <w:t>)</w:t>
      </w:r>
    </w:p>
    <w:p w14:paraId="18DCCA85" w14:textId="4AD3DBFC" w:rsidR="00BD7CBD" w:rsidRDefault="00BD7CBD" w:rsidP="00BD7CBD">
      <w:pPr>
        <w:tabs>
          <w:tab w:val="right" w:leader="dot" w:pos="8460"/>
        </w:tabs>
        <w:spacing w:after="240"/>
        <w:ind w:left="810" w:hanging="810"/>
        <w:rPr>
          <w:lang w:eastAsia="zh-CN"/>
        </w:rPr>
      </w:pPr>
      <w:r>
        <w:rPr>
          <w:lang w:eastAsia="zh-CN"/>
        </w:rPr>
        <w:t>6.4</w:t>
      </w:r>
      <w:r>
        <w:t xml:space="preserve">         </w:t>
      </w:r>
      <w:r w:rsidR="00E303B8" w:rsidRPr="00A379B6">
        <w:t>The bulk two phase envelope of equal molar C1/C3 mixture and the isothermal pressure path at 360 K from 0.01 to 50 MPa</w:t>
      </w:r>
      <w:r w:rsidR="00BB4E25">
        <w:rPr>
          <w:lang w:eastAsia="zh-CN"/>
        </w:rPr>
        <w:tab/>
        <w:t>(114</w:t>
      </w:r>
      <w:r>
        <w:rPr>
          <w:lang w:eastAsia="zh-CN"/>
        </w:rPr>
        <w:t>)</w:t>
      </w:r>
    </w:p>
    <w:p w14:paraId="69521BFE" w14:textId="496238F6" w:rsidR="00BD7CBD" w:rsidRDefault="00BD7CBD" w:rsidP="00BD7CBD">
      <w:pPr>
        <w:tabs>
          <w:tab w:val="right" w:leader="dot" w:pos="8460"/>
        </w:tabs>
        <w:spacing w:after="240"/>
        <w:ind w:left="810" w:hanging="810"/>
        <w:rPr>
          <w:lang w:eastAsia="zh-CN"/>
        </w:rPr>
      </w:pPr>
      <w:r>
        <w:rPr>
          <w:lang w:eastAsia="zh-CN"/>
        </w:rPr>
        <w:lastRenderedPageBreak/>
        <w:t>6.5</w:t>
      </w:r>
      <w:r>
        <w:t xml:space="preserve">         </w:t>
      </w:r>
      <w:r w:rsidR="00E303B8" w:rsidRPr="00A379B6">
        <w:t>Adsorption isotherms of C1/C3 mixture in a two-pore system. (a) Total, bulk and adsorbed fluid content of C1/C3 mixture. (b) The C1 and C3 fluid content in 8 and 20 nm pores</w:t>
      </w:r>
      <w:r w:rsidR="00BB4E25">
        <w:rPr>
          <w:lang w:eastAsia="zh-CN"/>
        </w:rPr>
        <w:tab/>
        <w:t>(115-116</w:t>
      </w:r>
      <w:r>
        <w:rPr>
          <w:lang w:eastAsia="zh-CN"/>
        </w:rPr>
        <w:t>)</w:t>
      </w:r>
    </w:p>
    <w:p w14:paraId="0E78026D" w14:textId="552D454B" w:rsidR="00BD7CBD" w:rsidRDefault="00BD7CBD" w:rsidP="00BD7CBD">
      <w:pPr>
        <w:tabs>
          <w:tab w:val="right" w:leader="dot" w:pos="8460"/>
        </w:tabs>
        <w:spacing w:after="240"/>
        <w:ind w:left="810" w:hanging="810"/>
        <w:rPr>
          <w:lang w:eastAsia="zh-CN"/>
        </w:rPr>
      </w:pPr>
      <w:r>
        <w:rPr>
          <w:lang w:eastAsia="zh-CN"/>
        </w:rPr>
        <w:t>6.6</w:t>
      </w:r>
      <w:r>
        <w:t xml:space="preserve">         </w:t>
      </w:r>
      <w:r w:rsidR="00E303B8" w:rsidRPr="00A379B6">
        <w:t>Selectivity of C3 over C1 in 8 and 20 nm pores over the pressure range of 0.01 to 50 MPa</w:t>
      </w:r>
      <w:r w:rsidR="0037292B">
        <w:rPr>
          <w:lang w:eastAsia="zh-CN"/>
        </w:rPr>
        <w:tab/>
        <w:t>(</w:t>
      </w:r>
      <w:r w:rsidR="00BB4E25">
        <w:rPr>
          <w:lang w:eastAsia="zh-CN"/>
        </w:rPr>
        <w:t>117</w:t>
      </w:r>
      <w:r>
        <w:rPr>
          <w:lang w:eastAsia="zh-CN"/>
        </w:rPr>
        <w:t>)</w:t>
      </w:r>
    </w:p>
    <w:p w14:paraId="2D01C1A7" w14:textId="507CA5B8" w:rsidR="00BD7CBD" w:rsidRDefault="00BD7CBD" w:rsidP="00BD7CBD">
      <w:pPr>
        <w:tabs>
          <w:tab w:val="right" w:leader="dot" w:pos="8460"/>
        </w:tabs>
        <w:spacing w:after="240"/>
        <w:ind w:left="810" w:hanging="810"/>
        <w:rPr>
          <w:lang w:eastAsia="zh-CN"/>
        </w:rPr>
      </w:pPr>
      <w:r>
        <w:rPr>
          <w:lang w:eastAsia="zh-CN"/>
        </w:rPr>
        <w:t>6.7</w:t>
      </w:r>
      <w:r>
        <w:t xml:space="preserve">         </w:t>
      </w:r>
      <w:r w:rsidR="00E303B8" w:rsidRPr="00A379B6">
        <w:t>The bulk two phase envelop of a binary mixture with composition of 80% C1 and 20% nC5 and the isothermal pressure path at 360 K from 0.01 to 20 MPa</w:t>
      </w:r>
      <w:r w:rsidR="00BB4E25">
        <w:rPr>
          <w:lang w:eastAsia="zh-CN"/>
        </w:rPr>
        <w:tab/>
        <w:t>(120</w:t>
      </w:r>
      <w:r>
        <w:rPr>
          <w:lang w:eastAsia="zh-CN"/>
        </w:rPr>
        <w:t>)</w:t>
      </w:r>
    </w:p>
    <w:p w14:paraId="376EE408" w14:textId="4E2A961D" w:rsidR="00BD7CBD" w:rsidRDefault="00BD7CBD" w:rsidP="00BD7CBD">
      <w:pPr>
        <w:tabs>
          <w:tab w:val="right" w:leader="dot" w:pos="8460"/>
        </w:tabs>
        <w:spacing w:after="240"/>
        <w:ind w:left="810" w:hanging="810"/>
        <w:rPr>
          <w:lang w:eastAsia="zh-CN"/>
        </w:rPr>
      </w:pPr>
      <w:r>
        <w:rPr>
          <w:lang w:eastAsia="zh-CN"/>
        </w:rPr>
        <w:t>6.8</w:t>
      </w:r>
      <w:r>
        <w:t xml:space="preserve">         </w:t>
      </w:r>
      <w:r w:rsidR="00E303B8" w:rsidRPr="00A379B6">
        <w:t>Adsorption isotherms of each component in each pore and their total of a binary mixture with composition of 80% C1 and 20% nC5 at 360 K from 0.01 to 20 MPa</w:t>
      </w:r>
      <w:r w:rsidR="00BB4E25">
        <w:rPr>
          <w:lang w:eastAsia="zh-CN"/>
        </w:rPr>
        <w:tab/>
        <w:t>(120</w:t>
      </w:r>
      <w:r>
        <w:rPr>
          <w:lang w:eastAsia="zh-CN"/>
        </w:rPr>
        <w:t>)</w:t>
      </w:r>
    </w:p>
    <w:p w14:paraId="4B0EC00A" w14:textId="2064388C" w:rsidR="007C571D" w:rsidRDefault="007C571D" w:rsidP="007C571D">
      <w:pPr>
        <w:tabs>
          <w:tab w:val="right" w:leader="dot" w:pos="8460"/>
        </w:tabs>
        <w:spacing w:after="240"/>
        <w:ind w:left="810" w:hanging="810"/>
        <w:rPr>
          <w:lang w:eastAsia="zh-CN"/>
        </w:rPr>
      </w:pPr>
      <w:r>
        <w:rPr>
          <w:lang w:eastAsia="zh-CN"/>
        </w:rPr>
        <w:t>7.1</w:t>
      </w:r>
      <w:r>
        <w:t xml:space="preserve">         </w:t>
      </w:r>
      <w:r w:rsidRPr="00597D49">
        <w:rPr>
          <w:rFonts w:cstheme="minorBidi"/>
          <w:lang w:bidi="ar-SA"/>
        </w:rPr>
        <w:t xml:space="preserve">The initial configuration of </w:t>
      </w:r>
      <w:r w:rsidRPr="00597D49">
        <w:rPr>
          <w:rFonts w:cstheme="minorBidi" w:hint="eastAsia"/>
          <w:lang w:bidi="ar-SA"/>
        </w:rPr>
        <w:t>C1/n-C4 binary fluid</w:t>
      </w:r>
      <w:r w:rsidRPr="00597D49">
        <w:rPr>
          <w:rFonts w:cstheme="minorBidi"/>
          <w:lang w:bidi="ar-SA"/>
        </w:rPr>
        <w:t xml:space="preserve"> that contains 25,000 methane molecules and 1,000 n-butane molecules, built from Packmol</w:t>
      </w:r>
      <w:r w:rsidR="00BB4E25">
        <w:rPr>
          <w:lang w:eastAsia="zh-CN"/>
        </w:rPr>
        <w:tab/>
        <w:t>(12</w:t>
      </w:r>
      <w:r w:rsidR="00BB4E25">
        <w:rPr>
          <w:rFonts w:hint="eastAsia"/>
          <w:lang w:eastAsia="zh-CN"/>
        </w:rPr>
        <w:t>4</w:t>
      </w:r>
      <w:r>
        <w:rPr>
          <w:lang w:eastAsia="zh-CN"/>
        </w:rPr>
        <w:t>)</w:t>
      </w:r>
    </w:p>
    <w:p w14:paraId="0FEA2085" w14:textId="2D064253" w:rsidR="007C571D" w:rsidRDefault="007C571D" w:rsidP="007C571D">
      <w:pPr>
        <w:tabs>
          <w:tab w:val="right" w:leader="dot" w:pos="8460"/>
        </w:tabs>
        <w:spacing w:after="240"/>
        <w:ind w:left="810" w:hanging="810"/>
        <w:rPr>
          <w:lang w:eastAsia="zh-CN"/>
        </w:rPr>
      </w:pPr>
      <w:r>
        <w:rPr>
          <w:lang w:eastAsia="zh-CN"/>
        </w:rPr>
        <w:t>7.2</w:t>
      </w:r>
      <w:r>
        <w:t xml:space="preserve">         </w:t>
      </w:r>
      <w:r w:rsidRPr="00597D49">
        <w:rPr>
          <w:rFonts w:cstheme="minorBidi"/>
          <w:lang w:bidi="ar-SA"/>
        </w:rPr>
        <w:t>The snapshots of the MD simulation where t = 0 ns, 0.16 ns, 0.5 ns, 4 ns, 15 ns and 20 ns</w:t>
      </w:r>
      <w:r w:rsidR="00BB4E25">
        <w:rPr>
          <w:lang w:eastAsia="zh-CN"/>
        </w:rPr>
        <w:tab/>
        <w:t>(126</w:t>
      </w:r>
      <w:r>
        <w:rPr>
          <w:lang w:eastAsia="zh-CN"/>
        </w:rPr>
        <w:t>)</w:t>
      </w:r>
    </w:p>
    <w:p w14:paraId="23EE3C79" w14:textId="6A637E60" w:rsidR="007C571D" w:rsidRDefault="007C571D" w:rsidP="007C571D">
      <w:pPr>
        <w:tabs>
          <w:tab w:val="right" w:leader="dot" w:pos="8460"/>
        </w:tabs>
        <w:spacing w:after="240"/>
        <w:ind w:left="810" w:hanging="810"/>
        <w:rPr>
          <w:lang w:eastAsia="zh-CN"/>
        </w:rPr>
      </w:pPr>
      <w:r>
        <w:rPr>
          <w:lang w:eastAsia="zh-CN"/>
        </w:rPr>
        <w:t>7.3</w:t>
      </w:r>
      <w:r>
        <w:t xml:space="preserve">         </w:t>
      </w:r>
      <w:r w:rsidRPr="00597D49">
        <w:rPr>
          <w:rFonts w:cstheme="minorBidi" w:hint="eastAsia"/>
          <w:lang w:bidi="ar-SA"/>
        </w:rPr>
        <w:t xml:space="preserve">The initial configuration of the first simulation. Two graphite sheets represent an organic pore with uniform </w:t>
      </w:r>
      <w:r w:rsidRPr="00597D49">
        <w:rPr>
          <w:rFonts w:cstheme="minorBidi"/>
          <w:lang w:bidi="ar-SA"/>
        </w:rPr>
        <w:t>width</w:t>
      </w:r>
      <w:r w:rsidRPr="00597D49">
        <w:rPr>
          <w:rFonts w:cstheme="minorBidi" w:hint="eastAsia"/>
          <w:lang w:bidi="ar-SA"/>
        </w:rPr>
        <w:t xml:space="preserve"> of 5 nm. A total 2,500 methane molecules (color in blue) and 300 n-butane (color in red) molecules were placed randomly inside the pore</w:t>
      </w:r>
      <w:r w:rsidR="00BB4E25">
        <w:rPr>
          <w:lang w:eastAsia="zh-CN"/>
        </w:rPr>
        <w:tab/>
        <w:t>(128</w:t>
      </w:r>
      <w:r>
        <w:rPr>
          <w:lang w:eastAsia="zh-CN"/>
        </w:rPr>
        <w:t>)</w:t>
      </w:r>
    </w:p>
    <w:p w14:paraId="0592C39B" w14:textId="7FF8D70B" w:rsidR="007C571D" w:rsidRDefault="007C571D" w:rsidP="007C571D">
      <w:pPr>
        <w:tabs>
          <w:tab w:val="right" w:leader="dot" w:pos="8460"/>
        </w:tabs>
        <w:spacing w:after="240"/>
        <w:ind w:left="810" w:hanging="810"/>
        <w:rPr>
          <w:lang w:eastAsia="zh-CN"/>
        </w:rPr>
      </w:pPr>
      <w:r>
        <w:rPr>
          <w:lang w:eastAsia="zh-CN"/>
        </w:rPr>
        <w:lastRenderedPageBreak/>
        <w:t>7.4</w:t>
      </w:r>
      <w:r>
        <w:t xml:space="preserve">         </w:t>
      </w:r>
      <w:r w:rsidRPr="00597D49">
        <w:rPr>
          <w:rFonts w:cstheme="minorBidi" w:hint="eastAsia"/>
          <w:lang w:bidi="ar-SA"/>
        </w:rPr>
        <w:t xml:space="preserve">The snapshots </w:t>
      </w:r>
      <w:r w:rsidRPr="00597D49">
        <w:rPr>
          <w:rFonts w:cstheme="minorBidi"/>
          <w:lang w:bidi="ar-SA"/>
        </w:rPr>
        <w:t>of the simulation where t = 0 ns, 0.02 ns</w:t>
      </w:r>
      <w:r w:rsidRPr="00597D49">
        <w:rPr>
          <w:rFonts w:cstheme="minorBidi" w:hint="eastAsia"/>
          <w:lang w:bidi="ar-SA"/>
        </w:rPr>
        <w:t xml:space="preserve"> (upper right)</w:t>
      </w:r>
      <w:r w:rsidRPr="00597D49">
        <w:rPr>
          <w:rFonts w:cstheme="minorBidi"/>
          <w:lang w:bidi="ar-SA"/>
        </w:rPr>
        <w:t xml:space="preserve">, 0.074 ns </w:t>
      </w:r>
      <w:r w:rsidRPr="00597D49">
        <w:rPr>
          <w:rFonts w:cstheme="minorBidi" w:hint="eastAsia"/>
          <w:lang w:bidi="ar-SA"/>
        </w:rPr>
        <w:t xml:space="preserve">(bottom left) </w:t>
      </w:r>
      <w:r w:rsidRPr="00597D49">
        <w:rPr>
          <w:rFonts w:cstheme="minorBidi"/>
          <w:lang w:bidi="ar-SA"/>
        </w:rPr>
        <w:t>and 0.</w:t>
      </w:r>
      <w:r w:rsidRPr="00597D49">
        <w:rPr>
          <w:rFonts w:cstheme="minorBidi" w:hint="eastAsia"/>
          <w:lang w:bidi="ar-SA"/>
        </w:rPr>
        <w:t>53</w:t>
      </w:r>
      <w:r w:rsidRPr="00597D49">
        <w:rPr>
          <w:rFonts w:cstheme="minorBidi"/>
          <w:lang w:bidi="ar-SA"/>
        </w:rPr>
        <w:t xml:space="preserve"> ns</w:t>
      </w:r>
      <w:r w:rsidR="00BB4E25">
        <w:rPr>
          <w:lang w:eastAsia="zh-CN"/>
        </w:rPr>
        <w:tab/>
        <w:t>(129</w:t>
      </w:r>
      <w:r>
        <w:rPr>
          <w:lang w:eastAsia="zh-CN"/>
        </w:rPr>
        <w:t>)</w:t>
      </w:r>
    </w:p>
    <w:p w14:paraId="6A66B605" w14:textId="362C2E5D" w:rsidR="007C571D" w:rsidRDefault="007C571D" w:rsidP="007C571D">
      <w:pPr>
        <w:tabs>
          <w:tab w:val="right" w:leader="dot" w:pos="8460"/>
        </w:tabs>
        <w:spacing w:after="240"/>
        <w:ind w:left="810" w:hanging="810"/>
        <w:rPr>
          <w:lang w:eastAsia="zh-CN"/>
        </w:rPr>
      </w:pPr>
      <w:r>
        <w:rPr>
          <w:lang w:eastAsia="zh-CN"/>
        </w:rPr>
        <w:t>7.5</w:t>
      </w:r>
      <w:r>
        <w:t xml:space="preserve">         </w:t>
      </w:r>
      <w:r w:rsidRPr="00597D49">
        <w:rPr>
          <w:rFonts w:cstheme="minorBidi" w:hint="eastAsia"/>
          <w:lang w:bidi="ar-SA"/>
        </w:rPr>
        <w:t xml:space="preserve">The averaged layer density distributions for </w:t>
      </w:r>
      <w:r w:rsidRPr="00597D49">
        <w:rPr>
          <w:rFonts w:cstheme="minorBidi"/>
          <w:lang w:bidi="ar-SA"/>
        </w:rPr>
        <w:t>methane</w:t>
      </w:r>
      <w:r w:rsidRPr="00597D49">
        <w:rPr>
          <w:rFonts w:cstheme="minorBidi" w:hint="eastAsia"/>
          <w:lang w:bidi="ar-SA"/>
        </w:rPr>
        <w:t xml:space="preserve"> (blue), n-butane(red) and the mixture total (black). The x-axes Z is the dimensionless pore width</w:t>
      </w:r>
      <w:r w:rsidR="00BB4E25">
        <w:rPr>
          <w:lang w:eastAsia="zh-CN"/>
        </w:rPr>
        <w:tab/>
        <w:t>(130</w:t>
      </w:r>
      <w:r>
        <w:rPr>
          <w:lang w:eastAsia="zh-CN"/>
        </w:rPr>
        <w:t>)</w:t>
      </w:r>
    </w:p>
    <w:p w14:paraId="0161DE2C" w14:textId="6498A319" w:rsidR="007C571D" w:rsidRDefault="007C571D" w:rsidP="007C571D">
      <w:pPr>
        <w:tabs>
          <w:tab w:val="right" w:leader="dot" w:pos="8460"/>
        </w:tabs>
        <w:spacing w:after="240"/>
        <w:ind w:left="810" w:hanging="810"/>
        <w:rPr>
          <w:lang w:eastAsia="zh-CN"/>
        </w:rPr>
      </w:pPr>
      <w:r>
        <w:rPr>
          <w:lang w:eastAsia="zh-CN"/>
        </w:rPr>
        <w:t>7.6</w:t>
      </w:r>
      <w:r>
        <w:t xml:space="preserve">         </w:t>
      </w:r>
      <w:r w:rsidRPr="00597D49">
        <w:rPr>
          <w:rFonts w:cstheme="minorBidi" w:hint="eastAsia"/>
          <w:lang w:bidi="ar-SA"/>
        </w:rPr>
        <w:t>The initial configuration of C1/n-C4 mixtures in a two-pore system</w:t>
      </w:r>
      <w:r w:rsidR="00BB4E25">
        <w:rPr>
          <w:lang w:eastAsia="zh-CN"/>
        </w:rPr>
        <w:tab/>
        <w:t>(131</w:t>
      </w:r>
      <w:r>
        <w:rPr>
          <w:lang w:eastAsia="zh-CN"/>
        </w:rPr>
        <w:t>)</w:t>
      </w:r>
    </w:p>
    <w:p w14:paraId="2294F73B" w14:textId="34DE89E4" w:rsidR="007C571D" w:rsidRDefault="007C571D" w:rsidP="007C571D">
      <w:pPr>
        <w:tabs>
          <w:tab w:val="right" w:leader="dot" w:pos="8460"/>
        </w:tabs>
        <w:spacing w:after="240"/>
        <w:ind w:left="810" w:hanging="810"/>
        <w:rPr>
          <w:lang w:eastAsia="zh-CN"/>
        </w:rPr>
      </w:pPr>
      <w:r>
        <w:rPr>
          <w:lang w:eastAsia="zh-CN"/>
        </w:rPr>
        <w:t>7.7</w:t>
      </w:r>
      <w:r>
        <w:t xml:space="preserve">         </w:t>
      </w:r>
      <w:r w:rsidRPr="00597D49">
        <w:rPr>
          <w:rFonts w:cstheme="minorBidi" w:hint="eastAsia"/>
          <w:lang w:bidi="ar-SA"/>
        </w:rPr>
        <w:t xml:space="preserve">Snapshots </w:t>
      </w:r>
      <w:r w:rsidRPr="00597D49">
        <w:rPr>
          <w:rFonts w:cstheme="minorBidi"/>
          <w:lang w:bidi="ar-SA"/>
        </w:rPr>
        <w:t>of the simulation where t = 0 ns, 0.05 ns, 0.15 ns and 1.25 ns</w:t>
      </w:r>
      <w:r w:rsidR="00BB4E25">
        <w:rPr>
          <w:lang w:eastAsia="zh-CN"/>
        </w:rPr>
        <w:tab/>
        <w:t>(132</w:t>
      </w:r>
      <w:r>
        <w:rPr>
          <w:lang w:eastAsia="zh-CN"/>
        </w:rPr>
        <w:t>)</w:t>
      </w:r>
    </w:p>
    <w:p w14:paraId="4C694E01" w14:textId="77777777" w:rsidR="00BD7CBD" w:rsidRDefault="00BD7CBD" w:rsidP="00BD7CBD">
      <w:pPr>
        <w:tabs>
          <w:tab w:val="right" w:leader="dot" w:pos="8460"/>
        </w:tabs>
        <w:spacing w:after="240"/>
        <w:ind w:left="810" w:hanging="810"/>
        <w:rPr>
          <w:lang w:eastAsia="zh-CN"/>
        </w:rPr>
      </w:pPr>
    </w:p>
    <w:p w14:paraId="2C3B53DA" w14:textId="77777777" w:rsidR="0085272D" w:rsidRDefault="0096367E">
      <w:pPr>
        <w:pStyle w:val="Heading1"/>
        <w:ind w:left="240" w:right="240"/>
      </w:pPr>
      <w:r>
        <w:br w:type="page"/>
      </w:r>
      <w:bookmarkStart w:id="10" w:name="_Toc310579467"/>
      <w:bookmarkStart w:id="11" w:name="_Toc508114131"/>
      <w:r>
        <w:lastRenderedPageBreak/>
        <w:t>A</w:t>
      </w:r>
      <w:bookmarkEnd w:id="10"/>
      <w:r>
        <w:rPr>
          <w:rFonts w:hint="eastAsia"/>
          <w:lang w:eastAsia="zh-CN"/>
        </w:rPr>
        <w:t>BSTRACT</w:t>
      </w:r>
      <w:bookmarkEnd w:id="11"/>
    </w:p>
    <w:p w14:paraId="7B0C8C69" w14:textId="33722306" w:rsidR="0085272D" w:rsidRDefault="0096367E" w:rsidP="006F4352">
      <w:pPr>
        <w:spacing w:afterLines="100" w:after="240"/>
        <w:jc w:val="both"/>
        <w:rPr>
          <w:lang w:eastAsia="zh-CN"/>
        </w:rPr>
      </w:pPr>
      <w:r>
        <w:rPr>
          <w:lang w:eastAsia="zh-CN"/>
        </w:rPr>
        <w:t xml:space="preserve">Fluid phase behavior in porous media is governed by not only fluid-fluid interactions but also fluid-wall interactions. In shale formations, a large amount of hydrocarbon fluid is stored within the organic matters where the pore sizes are in the order of nanometer scales. Inside these nanopores, the interactions between the fluid molecules and porous walls play such an important role that can change the fluid </w:t>
      </w:r>
      <w:r w:rsidR="006E2A23">
        <w:rPr>
          <w:lang w:eastAsia="zh-CN"/>
        </w:rPr>
        <w:t xml:space="preserve">physical </w:t>
      </w:r>
      <w:r>
        <w:rPr>
          <w:lang w:eastAsia="zh-CN"/>
        </w:rPr>
        <w:t>properties of the stored hydrocarbons.</w:t>
      </w:r>
    </w:p>
    <w:p w14:paraId="2B739D85" w14:textId="4F4D7C15" w:rsidR="0085272D" w:rsidRDefault="00A907A4" w:rsidP="006F4352">
      <w:pPr>
        <w:spacing w:afterLines="100" w:after="240"/>
        <w:jc w:val="both"/>
        <w:rPr>
          <w:lang w:eastAsia="zh-CN"/>
        </w:rPr>
      </w:pPr>
      <w:r>
        <w:rPr>
          <w:rFonts w:hint="eastAsia"/>
        </w:rPr>
        <w:t>The first</w:t>
      </w:r>
      <w:r>
        <w:t xml:space="preserve"> </w:t>
      </w:r>
      <w:r w:rsidR="0096367E">
        <w:t xml:space="preserve">part of this work </w:t>
      </w:r>
      <w:r w:rsidR="0096367E">
        <w:rPr>
          <w:rFonts w:hint="eastAsia"/>
          <w:lang w:eastAsia="zh-CN"/>
        </w:rPr>
        <w:t>is</w:t>
      </w:r>
      <w:r w:rsidR="0096367E">
        <w:t xml:space="preserve"> </w:t>
      </w:r>
      <w:r>
        <w:rPr>
          <w:rFonts w:hint="eastAsia"/>
        </w:rPr>
        <w:t xml:space="preserve">to </w:t>
      </w:r>
      <w:r w:rsidR="0096367E">
        <w:t xml:space="preserve">focus on investigating the effects of pore proximity in shale formations on phase behavior of the reservoir fluids by modifying the </w:t>
      </w:r>
      <w:r w:rsidR="009857CD">
        <w:t xml:space="preserve">cubic </w:t>
      </w:r>
      <w:r w:rsidR="0096367E">
        <w:t xml:space="preserve">equations of state (EOS), e.g. van der Waals EOS and Peng-Robinson EOS. Effects of both fluid-fluid and fluid-wall interactions are included in the modified EOS. Such effects were averaged for any particular pore sizes. Correlations based upon the available molecular simulation results were developed to include the effects of fluid-wall interactions into the modified EOS. </w:t>
      </w:r>
      <w:r w:rsidR="0096367E">
        <w:rPr>
          <w:rFonts w:hint="eastAsia"/>
          <w:lang w:eastAsia="zh-CN"/>
        </w:rPr>
        <w:t xml:space="preserve">The </w:t>
      </w:r>
      <w:r w:rsidR="0096367E">
        <w:rPr>
          <w:lang w:eastAsia="zh-CN"/>
        </w:rPr>
        <w:t xml:space="preserve">relationships between the </w:t>
      </w:r>
      <w:r w:rsidR="0096367E">
        <w:rPr>
          <w:rFonts w:hint="eastAsia"/>
          <w:lang w:eastAsia="zh-CN"/>
        </w:rPr>
        <w:t xml:space="preserve">binary interaction </w:t>
      </w:r>
      <w:r w:rsidR="0096367E">
        <w:rPr>
          <w:lang w:eastAsia="zh-CN"/>
        </w:rPr>
        <w:t>coefficients</w:t>
      </w:r>
      <w:r w:rsidR="0096367E">
        <w:rPr>
          <w:rFonts w:hint="eastAsia"/>
          <w:lang w:eastAsia="zh-CN"/>
        </w:rPr>
        <w:t xml:space="preserve"> </w:t>
      </w:r>
      <w:r w:rsidR="0096367E">
        <w:rPr>
          <w:lang w:eastAsia="zh-CN"/>
        </w:rPr>
        <w:t xml:space="preserve">and pore sizes of a C1/nC5 binary mixture were obtained based on experimental data using </w:t>
      </w:r>
      <w:r w:rsidR="0096367E">
        <w:t xml:space="preserve">modified Peng-Robinson EOS. The vapor-liquid equilibrium (VLE) calculations were performed on a C1/nC4/C10 ternary mixture using the modified Peng-Robinson EOS. The results showed that </w:t>
      </w:r>
      <w:r w:rsidR="0096367E">
        <w:rPr>
          <w:lang w:eastAsia="zh-CN"/>
        </w:rPr>
        <w:t xml:space="preserve">smaller pores </w:t>
      </w:r>
      <w:r w:rsidR="0096367E">
        <w:t>cause</w:t>
      </w:r>
      <w:r w:rsidR="009857CD">
        <w:t>d</w:t>
      </w:r>
      <w:r w:rsidR="0096367E">
        <w:t xml:space="preserve"> the fluid mixture to behave similar to dry gas, which results in reduction in condensate banking and delay in condensate dropout during production in comparison to conventional reservoirs. </w:t>
      </w:r>
    </w:p>
    <w:p w14:paraId="0D6EB715" w14:textId="51F5B4E7" w:rsidR="0085272D" w:rsidRDefault="0096367E" w:rsidP="006F4352">
      <w:pPr>
        <w:spacing w:afterLines="150" w:after="360"/>
        <w:jc w:val="both"/>
      </w:pPr>
      <w:r>
        <w:t xml:space="preserve">Although the </w:t>
      </w:r>
      <w:r>
        <w:rPr>
          <w:rFonts w:hint="eastAsia"/>
          <w:lang w:eastAsia="zh-CN"/>
        </w:rPr>
        <w:t>f</w:t>
      </w:r>
      <w:r>
        <w:rPr>
          <w:lang w:eastAsia="zh-CN"/>
        </w:rPr>
        <w:t>luid phase behavior was calculated based on an average point of view for different pore sizes</w:t>
      </w:r>
      <w:r>
        <w:t xml:space="preserve">. It is believed that the fluids inside the nanoscale pores are not </w:t>
      </w:r>
      <w:r>
        <w:lastRenderedPageBreak/>
        <w:t>uniformly distributed due to the fluid-wall interactions. The fluid density is higher near the wall than the center region of the pore. The second part of th</w:t>
      </w:r>
      <w:r>
        <w:rPr>
          <w:rFonts w:hint="eastAsia"/>
          <w:lang w:eastAsia="zh-CN"/>
        </w:rPr>
        <w:t>is work is</w:t>
      </w:r>
      <w:r>
        <w:t xml:space="preserve"> </w:t>
      </w:r>
      <w:r>
        <w:rPr>
          <w:rFonts w:hint="eastAsia"/>
          <w:lang w:eastAsia="zh-CN"/>
        </w:rPr>
        <w:t>concentrated on obtaining</w:t>
      </w:r>
      <w:r>
        <w:t xml:space="preserve"> the fluid density profiles across the pore. The fluids in nanoscale pores were considered to form bulk phase, transition phase and adsorbed phase depended on the distances to the pore walls. Simplified Local Density (SLD) theory coupled with the modified Peng-Robinson EOS was used to calculate the density profiles for both single-component fluids and mixtures in different pore sizes. Both the fluid </w:t>
      </w:r>
      <w:r w:rsidR="009857CD">
        <w:t xml:space="preserve">density </w:t>
      </w:r>
      <w:r>
        <w:t>profiles of single component fluids (e.g. methane, ether, propane and n-butane) and binary mixtures were investigated using the SLD-PR model. The results showed that the fluid density near the wall is much higher than that in the center of the pore.  On the other hand, pressure, temperature, pore size, fluid type and fluid composition all have impacts on the fluid distributions. Higher pressure can shift the fluid density profile to a higher value while increase in temperature can shift down the density profile. For heavy components, such as n-butane, the adsorbed region is larger than that for light components, such as methane. For fluid mixtures, the composition of the fluid changes across the pore and the composition of the heavier component is much higher close to the pore compare to the bulk fluid.</w:t>
      </w:r>
    </w:p>
    <w:p w14:paraId="6B726A35" w14:textId="5A29DB75" w:rsidR="0085272D" w:rsidRDefault="00483E80" w:rsidP="006F4352">
      <w:pPr>
        <w:pStyle w:val="Style12ptJustifiedLinespacingDouble"/>
        <w:spacing w:afterLines="150" w:after="360" w:line="480" w:lineRule="auto"/>
        <w:rPr>
          <w:rFonts w:asciiTheme="minorHAnsi" w:eastAsiaTheme="minorEastAsia" w:hAnsiTheme="minorHAnsi"/>
          <w:szCs w:val="24"/>
          <w:lang w:eastAsia="zh-CN" w:bidi="en-US"/>
        </w:rPr>
      </w:pPr>
      <w:r>
        <w:rPr>
          <w:rFonts w:asciiTheme="minorHAnsi" w:eastAsiaTheme="minorEastAsia" w:hAnsiTheme="minorHAnsi" w:hint="eastAsia"/>
          <w:szCs w:val="24"/>
          <w:lang w:bidi="en-US"/>
        </w:rPr>
        <w:t xml:space="preserve">The third part of </w:t>
      </w:r>
      <w:r w:rsidR="0096367E">
        <w:rPr>
          <w:rFonts w:asciiTheme="minorHAnsi" w:eastAsiaTheme="minorEastAsia" w:hAnsiTheme="minorHAnsi" w:hint="eastAsia"/>
          <w:szCs w:val="24"/>
          <w:lang w:bidi="en-US"/>
        </w:rPr>
        <w:t xml:space="preserve">this work </w:t>
      </w:r>
      <w:r w:rsidR="0096367E">
        <w:rPr>
          <w:rFonts w:asciiTheme="minorHAnsi" w:eastAsiaTheme="minorEastAsia" w:hAnsiTheme="minorHAnsi" w:hint="eastAsia"/>
          <w:szCs w:val="24"/>
          <w:lang w:eastAsia="zh-CN" w:bidi="en-US"/>
        </w:rPr>
        <w:t>is</w:t>
      </w:r>
      <w:r w:rsidR="0096367E">
        <w:rPr>
          <w:rFonts w:asciiTheme="minorHAnsi" w:eastAsiaTheme="minorEastAsia" w:hAnsiTheme="minorHAnsi" w:hint="eastAsia"/>
          <w:szCs w:val="24"/>
          <w:lang w:bidi="en-US"/>
        </w:rPr>
        <w:t xml:space="preserve"> the application of the SLD theory</w:t>
      </w:r>
      <w:r w:rsidR="0096367E">
        <w:rPr>
          <w:rFonts w:asciiTheme="minorHAnsi" w:eastAsiaTheme="minorEastAsia" w:hAnsiTheme="minorHAnsi" w:hint="eastAsia"/>
          <w:szCs w:val="24"/>
          <w:lang w:eastAsia="zh-CN" w:bidi="en-US"/>
        </w:rPr>
        <w:t xml:space="preserve"> to couple with a new </w:t>
      </w:r>
      <w:r w:rsidR="0096367E">
        <w:rPr>
          <w:rFonts w:asciiTheme="minorHAnsi" w:eastAsiaTheme="minorEastAsia" w:hAnsiTheme="minorHAnsi" w:hint="eastAsia"/>
          <w:szCs w:val="24"/>
          <w:lang w:bidi="en-US"/>
        </w:rPr>
        <w:t>Gas-In-Place (</w:t>
      </w:r>
      <w:r w:rsidR="0096367E">
        <w:rPr>
          <w:rFonts w:asciiTheme="minorHAnsi" w:eastAsiaTheme="minorEastAsia" w:hAnsiTheme="minorHAnsi"/>
          <w:szCs w:val="24"/>
          <w:lang w:bidi="en-US"/>
        </w:rPr>
        <w:t>GIP</w:t>
      </w:r>
      <w:r w:rsidR="0096367E">
        <w:rPr>
          <w:rFonts w:asciiTheme="minorHAnsi" w:eastAsiaTheme="minorEastAsia" w:hAnsiTheme="minorHAnsi" w:hint="eastAsia"/>
          <w:szCs w:val="24"/>
          <w:lang w:bidi="en-US"/>
        </w:rPr>
        <w:t>)</w:t>
      </w:r>
      <w:r w:rsidR="0096367E">
        <w:rPr>
          <w:rFonts w:asciiTheme="minorHAnsi" w:eastAsiaTheme="minorEastAsia" w:hAnsiTheme="minorHAnsi" w:hint="eastAsia"/>
          <w:szCs w:val="24"/>
          <w:lang w:eastAsia="zh-CN" w:bidi="en-US"/>
        </w:rPr>
        <w:t xml:space="preserve"> model </w:t>
      </w:r>
      <w:r w:rsidR="0096367E">
        <w:rPr>
          <w:rFonts w:asciiTheme="minorHAnsi" w:eastAsiaTheme="minorEastAsia" w:hAnsiTheme="minorHAnsi" w:hint="eastAsia"/>
          <w:szCs w:val="24"/>
          <w:lang w:bidi="en-US"/>
        </w:rPr>
        <w:t xml:space="preserve">on </w:t>
      </w:r>
      <w:r w:rsidR="0096367E">
        <w:rPr>
          <w:rFonts w:asciiTheme="minorHAnsi" w:eastAsiaTheme="minorEastAsia" w:hAnsiTheme="minorHAnsi"/>
          <w:szCs w:val="24"/>
          <w:lang w:bidi="en-US"/>
        </w:rPr>
        <w:t xml:space="preserve">a case study of </w:t>
      </w:r>
      <w:r w:rsidR="0096367E">
        <w:rPr>
          <w:rFonts w:asciiTheme="minorHAnsi" w:eastAsiaTheme="minorEastAsia" w:hAnsiTheme="minorHAnsi" w:hint="eastAsia"/>
          <w:szCs w:val="24"/>
          <w:lang w:eastAsia="zh-CN" w:bidi="en-US"/>
        </w:rPr>
        <w:t xml:space="preserve">predicting the phase behavior of </w:t>
      </w:r>
      <w:r w:rsidR="0096367E">
        <w:rPr>
          <w:rFonts w:asciiTheme="minorHAnsi" w:eastAsiaTheme="minorEastAsia" w:hAnsiTheme="minorHAnsi"/>
          <w:szCs w:val="24"/>
          <w:lang w:bidi="en-US"/>
        </w:rPr>
        <w:t xml:space="preserve">real reservoir fluids in condensate window of Eagle Ford shale and </w:t>
      </w:r>
      <w:r w:rsidR="0096367E">
        <w:rPr>
          <w:rFonts w:asciiTheme="minorHAnsi" w:eastAsiaTheme="minorEastAsia" w:hAnsiTheme="minorHAnsi" w:hint="eastAsia"/>
          <w:szCs w:val="24"/>
          <w:lang w:eastAsia="zh-CN" w:bidi="en-US"/>
        </w:rPr>
        <w:t>estimating</w:t>
      </w:r>
      <w:r w:rsidR="0096367E">
        <w:rPr>
          <w:rFonts w:asciiTheme="minorHAnsi" w:eastAsiaTheme="minorEastAsia" w:hAnsiTheme="minorHAnsi"/>
          <w:szCs w:val="24"/>
          <w:lang w:bidi="en-US"/>
        </w:rPr>
        <w:t xml:space="preserve"> the adsorbed gas content and the total </w:t>
      </w:r>
      <w:r w:rsidR="0096367E">
        <w:rPr>
          <w:rFonts w:asciiTheme="minorHAnsi" w:eastAsiaTheme="minorEastAsia" w:hAnsiTheme="minorHAnsi" w:hint="eastAsia"/>
          <w:szCs w:val="24"/>
          <w:lang w:eastAsia="zh-CN" w:bidi="en-US"/>
        </w:rPr>
        <w:t xml:space="preserve">GIP </w:t>
      </w:r>
      <w:r w:rsidR="0096367E">
        <w:rPr>
          <w:rFonts w:asciiTheme="minorHAnsi" w:eastAsiaTheme="minorEastAsia" w:hAnsiTheme="minorHAnsi" w:hint="eastAsia"/>
          <w:szCs w:val="24"/>
          <w:lang w:bidi="en-US"/>
        </w:rPr>
        <w:t>of the reservoir</w:t>
      </w:r>
      <w:r w:rsidR="0096367E">
        <w:rPr>
          <w:rFonts w:asciiTheme="minorHAnsi" w:eastAsiaTheme="minorEastAsia" w:hAnsiTheme="minorHAnsi" w:hint="eastAsia"/>
          <w:szCs w:val="24"/>
          <w:lang w:eastAsia="zh-CN" w:bidi="en-US"/>
        </w:rPr>
        <w:t xml:space="preserve"> at high temperature and pressure</w:t>
      </w:r>
      <w:r w:rsidR="0096367E">
        <w:rPr>
          <w:rFonts w:asciiTheme="minorHAnsi" w:eastAsiaTheme="minorEastAsia" w:hAnsiTheme="minorHAnsi" w:hint="eastAsia"/>
          <w:szCs w:val="24"/>
          <w:lang w:bidi="en-US"/>
        </w:rPr>
        <w:t xml:space="preserve">. </w:t>
      </w:r>
      <w:r w:rsidR="0096367E">
        <w:rPr>
          <w:rFonts w:asciiTheme="minorHAnsi" w:eastAsiaTheme="minorEastAsia" w:hAnsiTheme="minorHAnsi"/>
          <w:szCs w:val="24"/>
          <w:lang w:bidi="en-US"/>
        </w:rPr>
        <w:t xml:space="preserve">The preliminary computation results showed that the adsorbed gas could take more than 30% of gas in place in Eagle Ford shale. By using the introduced method, the adsorbed gas content and </w:t>
      </w:r>
      <w:r w:rsidR="0096367E">
        <w:rPr>
          <w:rFonts w:asciiTheme="minorHAnsi" w:eastAsiaTheme="minorEastAsia" w:hAnsiTheme="minorHAnsi"/>
          <w:szCs w:val="24"/>
          <w:lang w:bidi="en-US"/>
        </w:rPr>
        <w:lastRenderedPageBreak/>
        <w:t xml:space="preserve">the total GIP in unconventional reservoirs </w:t>
      </w:r>
      <w:r w:rsidR="002E2C22">
        <w:rPr>
          <w:rFonts w:asciiTheme="minorHAnsi" w:eastAsiaTheme="minorEastAsia" w:hAnsiTheme="minorHAnsi"/>
          <w:szCs w:val="24"/>
          <w:lang w:bidi="en-US"/>
        </w:rPr>
        <w:t>were</w:t>
      </w:r>
      <w:r w:rsidR="0096367E">
        <w:rPr>
          <w:rFonts w:asciiTheme="minorHAnsi" w:eastAsiaTheme="minorEastAsia" w:hAnsiTheme="minorHAnsi"/>
          <w:szCs w:val="24"/>
          <w:lang w:bidi="en-US"/>
        </w:rPr>
        <w:t xml:space="preserve"> calculated with good accuracy under short computational time. This makes the model useful when implemented into reservoir simulators.</w:t>
      </w:r>
    </w:p>
    <w:p w14:paraId="1F615B55" w14:textId="12D4F3AB" w:rsidR="0085272D" w:rsidRDefault="0096367E" w:rsidP="006F4352">
      <w:pPr>
        <w:spacing w:afterLines="150" w:after="360"/>
        <w:jc w:val="both"/>
        <w:rPr>
          <w:lang w:eastAsia="zh-CN"/>
        </w:rPr>
      </w:pPr>
      <w:r>
        <w:rPr>
          <w:rFonts w:hint="eastAsia"/>
          <w:lang w:eastAsia="zh-CN"/>
        </w:rPr>
        <w:t xml:space="preserve">The fourth part of this work investigates the </w:t>
      </w:r>
      <w:r>
        <w:rPr>
          <w:lang w:eastAsia="zh-CN"/>
        </w:rPr>
        <w:t>occurrence</w:t>
      </w:r>
      <w:r>
        <w:rPr>
          <w:rFonts w:hint="eastAsia"/>
          <w:lang w:eastAsia="zh-CN"/>
        </w:rPr>
        <w:t xml:space="preserve"> of capillary condensation inside nanoporous shales and the way to quantify the condensed fluid contents and the </w:t>
      </w:r>
      <w:r>
        <w:rPr>
          <w:lang w:eastAsia="zh-CN"/>
        </w:rPr>
        <w:t>behaviors</w:t>
      </w:r>
      <w:r>
        <w:rPr>
          <w:rFonts w:hint="eastAsia"/>
          <w:lang w:eastAsia="zh-CN"/>
        </w:rPr>
        <w:t xml:space="preserve"> using the SLD model combined with modified Young-Laplace equation. I</w:t>
      </w:r>
      <w:r>
        <w:rPr>
          <w:lang w:eastAsia="zh-CN"/>
        </w:rPr>
        <w:t>t is the first attempt to quantitatively consider both adsorption and capillary condensation for hydrocarbon mixtures in shale media</w:t>
      </w:r>
      <w:r>
        <w:rPr>
          <w:rFonts w:hint="eastAsia"/>
          <w:lang w:eastAsia="zh-CN"/>
        </w:rPr>
        <w:t xml:space="preserve">. </w:t>
      </w:r>
      <w:r>
        <w:rPr>
          <w:lang w:eastAsia="zh-CN"/>
        </w:rPr>
        <w:t>For a retrograde mixture, the effects of capillary condensation reduce the lower dew point pressure and increase the upper dew point pressure. The shift is larger for the lower dew point pressure.</w:t>
      </w:r>
      <w:r>
        <w:rPr>
          <w:rFonts w:hint="eastAsia"/>
          <w:lang w:eastAsia="zh-CN"/>
        </w:rPr>
        <w:t xml:space="preserve"> This finding is consistent with the results calculated using the modified EOS to consider the pore size effects in the first part of this dissertation, which gives a cross-validation to both models.</w:t>
      </w:r>
    </w:p>
    <w:p w14:paraId="3C8B23FF" w14:textId="32D70A99" w:rsidR="005F5384" w:rsidRDefault="0096367E" w:rsidP="00B2181C">
      <w:pPr>
        <w:spacing w:afterLines="150" w:after="360"/>
        <w:jc w:val="both"/>
        <w:rPr>
          <w:lang w:eastAsia="zh-CN"/>
        </w:rPr>
      </w:pPr>
      <w:r>
        <w:rPr>
          <w:rFonts w:hint="eastAsia"/>
          <w:lang w:eastAsia="zh-CN"/>
        </w:rPr>
        <w:t xml:space="preserve">The last part of this </w:t>
      </w:r>
      <w:r w:rsidR="00C01C28">
        <w:rPr>
          <w:rFonts w:hint="eastAsia"/>
          <w:lang w:eastAsia="zh-CN"/>
        </w:rPr>
        <w:t xml:space="preserve">dissertation </w:t>
      </w:r>
      <w:r>
        <w:rPr>
          <w:rFonts w:hint="eastAsia"/>
          <w:lang w:eastAsia="zh-CN"/>
        </w:rPr>
        <w:t xml:space="preserve">work focuses on molecular dynamic (MD) simulations of hydrocarbons in nanopores. </w:t>
      </w:r>
      <w:r w:rsidR="00B15E86">
        <w:rPr>
          <w:rFonts w:hint="eastAsia"/>
          <w:lang w:eastAsia="zh-CN"/>
        </w:rPr>
        <w:t xml:space="preserve">A universal molecular simulator </w:t>
      </w:r>
      <w:r w:rsidR="00A907A4">
        <w:rPr>
          <w:rFonts w:hint="eastAsia"/>
          <w:lang w:eastAsia="zh-CN"/>
        </w:rPr>
        <w:t xml:space="preserve">called </w:t>
      </w:r>
      <w:r w:rsidR="00B15E86">
        <w:rPr>
          <w:rFonts w:hint="eastAsia"/>
          <w:lang w:eastAsia="zh-CN"/>
        </w:rPr>
        <w:t xml:space="preserve">LAMMPS is used to perform MD simulations of </w:t>
      </w:r>
      <w:r w:rsidR="00E94445">
        <w:rPr>
          <w:rFonts w:hint="eastAsia"/>
          <w:lang w:eastAsia="zh-CN"/>
        </w:rPr>
        <w:t>hydrocarbon mixtures</w:t>
      </w:r>
      <w:r w:rsidR="00A907A4">
        <w:rPr>
          <w:rFonts w:hint="eastAsia"/>
          <w:lang w:eastAsia="zh-CN"/>
        </w:rPr>
        <w:t xml:space="preserve">. </w:t>
      </w:r>
      <w:r w:rsidR="002D6740">
        <w:rPr>
          <w:rFonts w:hint="eastAsia"/>
          <w:lang w:eastAsia="zh-CN"/>
        </w:rPr>
        <w:t xml:space="preserve">From these MD simulations, we are able </w:t>
      </w:r>
      <w:r w:rsidR="00F10854">
        <w:rPr>
          <w:rFonts w:hint="eastAsia"/>
          <w:lang w:eastAsia="zh-CN"/>
        </w:rPr>
        <w:t xml:space="preserve">to investigate how hydrocarbon fluids are arranged under the effects of the pore wall. The results show </w:t>
      </w:r>
      <w:r w:rsidR="00AD3544">
        <w:rPr>
          <w:lang w:eastAsia="zh-CN"/>
        </w:rPr>
        <w:t>that</w:t>
      </w:r>
      <w:r w:rsidR="00AD3544">
        <w:rPr>
          <w:rFonts w:hint="eastAsia"/>
          <w:lang w:eastAsia="zh-CN"/>
        </w:rPr>
        <w:t xml:space="preserve"> the pore wall attracts hydrocarbon molecu</w:t>
      </w:r>
      <w:r w:rsidR="00BB4908">
        <w:rPr>
          <w:rFonts w:hint="eastAsia"/>
          <w:lang w:eastAsia="zh-CN"/>
        </w:rPr>
        <w:t>les to form a</w:t>
      </w:r>
      <w:r w:rsidR="00AD3544">
        <w:rPr>
          <w:rFonts w:hint="eastAsia"/>
          <w:lang w:eastAsia="zh-CN"/>
        </w:rPr>
        <w:t xml:space="preserve"> </w:t>
      </w:r>
      <w:r w:rsidR="00A93698">
        <w:rPr>
          <w:rFonts w:hint="eastAsia"/>
          <w:lang w:eastAsia="zh-CN"/>
        </w:rPr>
        <w:t xml:space="preserve">high-density </w:t>
      </w:r>
      <w:r w:rsidR="00AD3544">
        <w:rPr>
          <w:rFonts w:hint="eastAsia"/>
          <w:lang w:eastAsia="zh-CN"/>
        </w:rPr>
        <w:t>adsorbed region</w:t>
      </w:r>
      <w:r w:rsidR="00A93698">
        <w:rPr>
          <w:rFonts w:hint="eastAsia"/>
          <w:lang w:eastAsia="zh-CN"/>
        </w:rPr>
        <w:t>.</w:t>
      </w:r>
      <w:r w:rsidR="00BB4908">
        <w:rPr>
          <w:rFonts w:hint="eastAsia"/>
          <w:lang w:eastAsia="zh-CN"/>
        </w:rPr>
        <w:t xml:space="preserve"> This agrees with the findings from SLD model described in previous chapters.</w:t>
      </w:r>
    </w:p>
    <w:p w14:paraId="245243D1" w14:textId="5E5EEB3A" w:rsidR="0085272D" w:rsidRDefault="0085272D" w:rsidP="00B2181C">
      <w:pPr>
        <w:spacing w:afterLines="150" w:after="360"/>
        <w:jc w:val="both"/>
        <w:sectPr w:rsidR="0085272D">
          <w:footerReference w:type="default" r:id="rId9"/>
          <w:pgSz w:w="12240" w:h="15840"/>
          <w:pgMar w:top="1440" w:right="1440" w:bottom="1440" w:left="2304" w:header="720" w:footer="720" w:gutter="0"/>
          <w:pgNumType w:fmt="lowerRoman" w:start="4"/>
          <w:cols w:space="720"/>
          <w:docGrid w:linePitch="360"/>
        </w:sectPr>
      </w:pPr>
    </w:p>
    <w:p w14:paraId="03006D7D" w14:textId="77777777" w:rsidR="0085272D" w:rsidRDefault="0096367E">
      <w:pPr>
        <w:pStyle w:val="Heading1"/>
        <w:ind w:left="240" w:right="240"/>
      </w:pPr>
      <w:bookmarkStart w:id="12" w:name="_Toc256083297"/>
      <w:bookmarkStart w:id="13" w:name="_Toc310579468"/>
      <w:bookmarkStart w:id="14" w:name="_Toc508114132"/>
      <w:r>
        <w:lastRenderedPageBreak/>
        <w:t>Chapter 1: Introduction</w:t>
      </w:r>
      <w:bookmarkEnd w:id="12"/>
      <w:bookmarkEnd w:id="13"/>
      <w:bookmarkEnd w:id="14"/>
    </w:p>
    <w:p w14:paraId="42750F9B" w14:textId="77777777" w:rsidR="0085272D" w:rsidRDefault="0096367E">
      <w:pPr>
        <w:pStyle w:val="Heading2"/>
      </w:pPr>
      <w:bookmarkStart w:id="15" w:name="_Toc508114133"/>
      <w:r>
        <w:t>1.1 Introduction to Shale Resources</w:t>
      </w:r>
      <w:bookmarkEnd w:id="15"/>
    </w:p>
    <w:p w14:paraId="1FE473D2" w14:textId="77777777" w:rsidR="0085272D" w:rsidRDefault="0096367E">
      <w:pPr>
        <w:jc w:val="both"/>
      </w:pPr>
      <w:r>
        <w:t xml:space="preserve">The boom of oil and gas production from unconventional resources in the US has significantly shifted attentions in the oil industry from conventional type of reservoirs to these unconventional resources such as liquid-rich shale, gas shale, tight gas and coalbed methane. </w:t>
      </w:r>
      <w:r>
        <w:rPr>
          <w:b/>
        </w:rPr>
        <w:t>Figure 1.1</w:t>
      </w:r>
      <w:r>
        <w:t xml:space="preserve"> shows the natural gas production </w:t>
      </w:r>
      <w:r>
        <w:rPr>
          <w:rFonts w:hint="eastAsia"/>
          <w:lang w:eastAsia="zh-CN"/>
        </w:rPr>
        <w:t xml:space="preserve">by type </w:t>
      </w:r>
      <w:r>
        <w:t>in the US from 199</w:t>
      </w:r>
      <w:r>
        <w:rPr>
          <w:rFonts w:hint="eastAsia"/>
          <w:lang w:eastAsia="zh-CN"/>
        </w:rPr>
        <w:t>5</w:t>
      </w:r>
      <w:r>
        <w:t xml:space="preserve"> to 2040. As the year of 201</w:t>
      </w:r>
      <w:r>
        <w:rPr>
          <w:rFonts w:hint="eastAsia"/>
          <w:lang w:eastAsia="zh-CN"/>
        </w:rPr>
        <w:t>6</w:t>
      </w:r>
      <w:r>
        <w:t>, more than half of the natural gas production in the US is from unconventional resources. The most important contributor, shale gas</w:t>
      </w:r>
      <w:r>
        <w:rPr>
          <w:rFonts w:hint="eastAsia"/>
          <w:lang w:eastAsia="zh-CN"/>
        </w:rPr>
        <w:t xml:space="preserve"> and tight oil plays</w:t>
      </w:r>
      <w:r>
        <w:t xml:space="preserve">, takes up to </w:t>
      </w:r>
      <w:r>
        <w:rPr>
          <w:rFonts w:hint="eastAsia"/>
          <w:lang w:eastAsia="zh-CN"/>
        </w:rPr>
        <w:t>45</w:t>
      </w:r>
      <w:r>
        <w:t>% of the total natural gas production in 201</w:t>
      </w:r>
      <w:r>
        <w:rPr>
          <w:rFonts w:hint="eastAsia"/>
          <w:lang w:eastAsia="zh-CN"/>
        </w:rPr>
        <w:t>6</w:t>
      </w:r>
      <w:r>
        <w:t xml:space="preserve"> and is expected to grow to over </w:t>
      </w:r>
      <w:r>
        <w:rPr>
          <w:rFonts w:hint="eastAsia"/>
          <w:lang w:eastAsia="zh-CN"/>
        </w:rPr>
        <w:t>6</w:t>
      </w:r>
      <w:r>
        <w:t xml:space="preserve">0% in the year of 2040, according to US Energy Information Administration </w:t>
      </w:r>
      <w:r>
        <w:rPr>
          <w:rFonts w:hint="eastAsia"/>
          <w:lang w:eastAsia="zh-CN"/>
        </w:rPr>
        <w:t>Annual Energy Outlook</w:t>
      </w:r>
      <w:r>
        <w:t xml:space="preserve"> (EIA, 201</w:t>
      </w:r>
      <w:r>
        <w:rPr>
          <w:rFonts w:hint="eastAsia"/>
          <w:lang w:eastAsia="zh-CN"/>
        </w:rPr>
        <w:t>7</w:t>
      </w:r>
      <w:r w:rsidR="004237DE">
        <w:t>).</w:t>
      </w:r>
    </w:p>
    <w:p w14:paraId="1A3C06D9" w14:textId="77777777" w:rsidR="00203BC4" w:rsidRPr="00203BC4" w:rsidRDefault="00203BC4" w:rsidP="00203BC4">
      <w:pPr>
        <w:ind w:leftChars="400" w:left="960"/>
        <w:jc w:val="both"/>
        <w:rPr>
          <w:b/>
          <w:bCs/>
        </w:rPr>
      </w:pPr>
      <w:r w:rsidRPr="00203BC4">
        <w:rPr>
          <w:b/>
          <w:bCs/>
          <w:noProof/>
          <w:lang w:eastAsia="zh-CN" w:bidi="ar-SA"/>
        </w:rPr>
        <w:drawing>
          <wp:inline distT="0" distB="0" distL="0" distR="0" wp14:anchorId="7F0D62E6" wp14:editId="3F9814E8">
            <wp:extent cx="3841750" cy="3420745"/>
            <wp:effectExtent l="19050" t="0" r="6045" b="0"/>
            <wp:docPr id="140" name="图片 140" descr="F:\dissertation\Thesis\Dissertation\figures\EIA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F:\dissertation\Thesis\Dissertation\figures\EIA_2016.png"/>
                    <pic:cNvPicPr>
                      <a:picLocks noChangeAspect="1" noChangeArrowheads="1"/>
                    </pic:cNvPicPr>
                  </pic:nvPicPr>
                  <pic:blipFill>
                    <a:blip r:embed="rId10"/>
                    <a:srcRect r="4711" b="2020"/>
                    <a:stretch>
                      <a:fillRect/>
                    </a:stretch>
                  </pic:blipFill>
                  <pic:spPr>
                    <a:xfrm>
                      <a:off x="0" y="0"/>
                      <a:ext cx="3844771" cy="3423713"/>
                    </a:xfrm>
                    <a:prstGeom prst="rect">
                      <a:avLst/>
                    </a:prstGeom>
                    <a:noFill/>
                    <a:ln w="9525">
                      <a:noFill/>
                      <a:miter lim="800000"/>
                      <a:headEnd/>
                      <a:tailEnd/>
                    </a:ln>
                  </pic:spPr>
                </pic:pic>
              </a:graphicData>
            </a:graphic>
          </wp:inline>
        </w:drawing>
      </w:r>
    </w:p>
    <w:p w14:paraId="0BDF7838" w14:textId="77777777" w:rsidR="00203BC4" w:rsidRPr="00203BC4" w:rsidRDefault="00203BC4" w:rsidP="00203BC4">
      <w:pPr>
        <w:jc w:val="center"/>
      </w:pPr>
      <w:r w:rsidRPr="00203BC4">
        <w:rPr>
          <w:b/>
        </w:rPr>
        <w:t>Figure 1.1—Natural gas production in the US by source from 1990 to 2040 (EIA, 2013)</w:t>
      </w:r>
    </w:p>
    <w:p w14:paraId="1713B777" w14:textId="77777777" w:rsidR="00203BC4" w:rsidRPr="00203BC4" w:rsidRDefault="00203BC4" w:rsidP="00203BC4">
      <w:pPr>
        <w:jc w:val="both"/>
      </w:pPr>
      <w:r w:rsidRPr="00203BC4">
        <w:lastRenderedPageBreak/>
        <w:t xml:space="preserve">Besides the natural gas production boom, the oil production from shale oil resources has also been growing rapidly recently and is expected to continuously increase in a tremendous speed. </w:t>
      </w:r>
      <w:r w:rsidRPr="00203BC4">
        <w:rPr>
          <w:b/>
        </w:rPr>
        <w:t xml:space="preserve">Figure 1.2 </w:t>
      </w:r>
      <w:r w:rsidRPr="00203BC4">
        <w:t xml:space="preserve">shows the location of major shale gas and shale oil plays in the lower 48 states in the US as of </w:t>
      </w:r>
      <w:r w:rsidRPr="00203BC4">
        <w:rPr>
          <w:rFonts w:hint="eastAsia"/>
        </w:rPr>
        <w:t>June 2016</w:t>
      </w:r>
      <w:r w:rsidRPr="00203BC4">
        <w:t xml:space="preserve">, including current plays and prospective plays. Shale </w:t>
      </w:r>
      <w:r w:rsidRPr="00203BC4">
        <w:rPr>
          <w:rFonts w:hint="eastAsia"/>
        </w:rPr>
        <w:t xml:space="preserve">oil </w:t>
      </w:r>
      <w:r w:rsidRPr="00203BC4">
        <w:t xml:space="preserve">plays like </w:t>
      </w:r>
      <w:r w:rsidRPr="00203BC4">
        <w:rPr>
          <w:rFonts w:hint="eastAsia"/>
        </w:rPr>
        <w:t xml:space="preserve">Permian, </w:t>
      </w:r>
      <w:r w:rsidRPr="00203BC4">
        <w:t>Eagle Ford</w:t>
      </w:r>
      <w:r w:rsidRPr="00203BC4">
        <w:rPr>
          <w:rFonts w:hint="eastAsia"/>
        </w:rPr>
        <w:t xml:space="preserve"> and</w:t>
      </w:r>
      <w:r w:rsidRPr="00203BC4">
        <w:t xml:space="preserve"> Bakken are the major shale oil production contributors in the US as of now and in the future (shown in </w:t>
      </w:r>
      <w:r w:rsidRPr="00203BC4">
        <w:rPr>
          <w:b/>
        </w:rPr>
        <w:t>Figure 1.3</w:t>
      </w:r>
      <w:r w:rsidRPr="00203BC4">
        <w:t xml:space="preserve">). </w:t>
      </w:r>
      <w:r w:rsidRPr="00203BC4">
        <w:rPr>
          <w:rFonts w:hint="eastAsia"/>
        </w:rPr>
        <w:t>As we can see, the tight oil production takes roughly half of the total US oil production in 2016.</w:t>
      </w:r>
    </w:p>
    <w:p w14:paraId="6A720FC4" w14:textId="77777777" w:rsidR="00203BC4" w:rsidRPr="00203BC4" w:rsidRDefault="00203BC4" w:rsidP="00203BC4">
      <w:pPr>
        <w:jc w:val="both"/>
      </w:pPr>
    </w:p>
    <w:p w14:paraId="34D3D39B" w14:textId="77777777" w:rsidR="00203BC4" w:rsidRPr="00203BC4" w:rsidRDefault="00203BC4" w:rsidP="00203BC4">
      <w:pPr>
        <w:jc w:val="both"/>
        <w:rPr>
          <w:b/>
          <w:bCs/>
        </w:rPr>
      </w:pPr>
      <w:r w:rsidRPr="00203BC4">
        <w:rPr>
          <w:b/>
          <w:bCs/>
          <w:noProof/>
          <w:lang w:eastAsia="zh-CN" w:bidi="ar-SA"/>
        </w:rPr>
        <w:drawing>
          <wp:inline distT="0" distB="0" distL="0" distR="0" wp14:anchorId="4866CBCB" wp14:editId="2AA4F779">
            <wp:extent cx="5393690" cy="3647440"/>
            <wp:effectExtent l="19050" t="0" r="0" b="0"/>
            <wp:docPr id="204" name="图片 204" descr="F:\dissertation\Thesis\Dissertation\figures\shale_gas_lower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F:\dissertation\Thesis\Dissertation\figures\shale_gas_lower48.jpg"/>
                    <pic:cNvPicPr>
                      <a:picLocks noChangeAspect="1" noChangeArrowheads="1"/>
                    </pic:cNvPicPr>
                  </pic:nvPicPr>
                  <pic:blipFill>
                    <a:blip r:embed="rId11"/>
                    <a:srcRect/>
                    <a:stretch>
                      <a:fillRect/>
                    </a:stretch>
                  </pic:blipFill>
                  <pic:spPr>
                    <a:xfrm>
                      <a:off x="0" y="0"/>
                      <a:ext cx="5393690" cy="3647440"/>
                    </a:xfrm>
                    <a:prstGeom prst="rect">
                      <a:avLst/>
                    </a:prstGeom>
                    <a:noFill/>
                    <a:ln w="9525">
                      <a:noFill/>
                      <a:miter lim="800000"/>
                      <a:headEnd/>
                      <a:tailEnd/>
                    </a:ln>
                  </pic:spPr>
                </pic:pic>
              </a:graphicData>
            </a:graphic>
          </wp:inline>
        </w:drawing>
      </w:r>
    </w:p>
    <w:p w14:paraId="3D69AF62" w14:textId="77777777" w:rsidR="00203BC4" w:rsidRPr="00203BC4" w:rsidRDefault="00203BC4" w:rsidP="00203BC4">
      <w:pPr>
        <w:jc w:val="center"/>
        <w:rPr>
          <w:b/>
        </w:rPr>
      </w:pPr>
      <w:r w:rsidRPr="00203BC4">
        <w:rPr>
          <w:b/>
        </w:rPr>
        <w:t xml:space="preserve">Figure 1.2— Location of major shale gas and oil plays in the lower 48 states in the US as of </w:t>
      </w:r>
      <w:r w:rsidRPr="00203BC4">
        <w:rPr>
          <w:rFonts w:hint="eastAsia"/>
          <w:b/>
        </w:rPr>
        <w:t>June 2016</w:t>
      </w:r>
      <w:r w:rsidRPr="00203BC4">
        <w:rPr>
          <w:b/>
        </w:rPr>
        <w:t>, including current plays and prospective plays (EIA, 201</w:t>
      </w:r>
      <w:r w:rsidRPr="00203BC4">
        <w:rPr>
          <w:rFonts w:hint="eastAsia"/>
          <w:b/>
        </w:rPr>
        <w:t>7</w:t>
      </w:r>
      <w:r w:rsidRPr="00203BC4">
        <w:rPr>
          <w:b/>
        </w:rPr>
        <w:t>)</w:t>
      </w:r>
      <w:r w:rsidRPr="00203BC4">
        <w:br w:type="page"/>
      </w:r>
      <w:r w:rsidRPr="00203BC4">
        <w:rPr>
          <w:rFonts w:hint="eastAsia"/>
          <w:b/>
          <w:noProof/>
          <w:lang w:eastAsia="zh-CN" w:bidi="ar-SA"/>
        </w:rPr>
        <w:lastRenderedPageBreak/>
        <w:drawing>
          <wp:inline distT="0" distB="0" distL="0" distR="0" wp14:anchorId="15B6B6CD" wp14:editId="1D8F81C9">
            <wp:extent cx="5393690" cy="2691765"/>
            <wp:effectExtent l="19050" t="0" r="0" b="0"/>
            <wp:docPr id="32" name="图片 205" descr="F:\dissertation\Thesis\Dissertation\figures\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05" descr="F:\dissertation\Thesis\Dissertation\figures\main.png"/>
                    <pic:cNvPicPr>
                      <a:picLocks noChangeAspect="1" noChangeArrowheads="1"/>
                    </pic:cNvPicPr>
                  </pic:nvPicPr>
                  <pic:blipFill>
                    <a:blip r:embed="rId12"/>
                    <a:srcRect/>
                    <a:stretch>
                      <a:fillRect/>
                    </a:stretch>
                  </pic:blipFill>
                  <pic:spPr>
                    <a:xfrm>
                      <a:off x="0" y="0"/>
                      <a:ext cx="5393690" cy="2691765"/>
                    </a:xfrm>
                    <a:prstGeom prst="rect">
                      <a:avLst/>
                    </a:prstGeom>
                    <a:noFill/>
                    <a:ln w="9525">
                      <a:noFill/>
                      <a:miter lim="800000"/>
                      <a:headEnd/>
                      <a:tailEnd/>
                    </a:ln>
                  </pic:spPr>
                </pic:pic>
              </a:graphicData>
            </a:graphic>
          </wp:inline>
        </w:drawing>
      </w:r>
    </w:p>
    <w:p w14:paraId="1A7A26C9" w14:textId="77777777" w:rsidR="00203BC4" w:rsidRPr="00203BC4" w:rsidRDefault="00203BC4" w:rsidP="00203BC4">
      <w:pPr>
        <w:jc w:val="center"/>
        <w:rPr>
          <w:b/>
        </w:rPr>
      </w:pPr>
      <w:r w:rsidRPr="00203BC4">
        <w:rPr>
          <w:b/>
        </w:rPr>
        <w:t>Figure 1.3—</w:t>
      </w:r>
      <w:r w:rsidRPr="00203BC4">
        <w:rPr>
          <w:rFonts w:hint="eastAsia"/>
          <w:b/>
        </w:rPr>
        <w:t>US oil production</w:t>
      </w:r>
      <w:r w:rsidRPr="00203BC4">
        <w:rPr>
          <w:b/>
        </w:rPr>
        <w:t xml:space="preserve"> now and the future (EIA, 201</w:t>
      </w:r>
      <w:r w:rsidRPr="00203BC4">
        <w:rPr>
          <w:rFonts w:hint="eastAsia"/>
          <w:b/>
        </w:rPr>
        <w:t>7</w:t>
      </w:r>
      <w:r w:rsidRPr="00203BC4">
        <w:rPr>
          <w:b/>
        </w:rPr>
        <w:t>)</w:t>
      </w:r>
    </w:p>
    <w:p w14:paraId="5B2E9AE0" w14:textId="77777777" w:rsidR="00203BC4" w:rsidRPr="00203BC4" w:rsidRDefault="00203BC4" w:rsidP="00203BC4">
      <w:pPr>
        <w:jc w:val="both"/>
      </w:pPr>
    </w:p>
    <w:p w14:paraId="25F86383" w14:textId="77777777" w:rsidR="00203BC4" w:rsidRPr="00203BC4" w:rsidRDefault="00203BC4" w:rsidP="00E94F47">
      <w:pPr>
        <w:spacing w:after="100" w:afterAutospacing="1"/>
        <w:jc w:val="both"/>
      </w:pPr>
      <w:r w:rsidRPr="00203BC4">
        <w:t>Shale formations are formed by fine-grained, clastic sedimentary rock composed of muds that consist of two different components, organic matters and inorganic matters. Organic matters are a mixture of organic materials that are composed of the remains of once-living organisms such as plants and animals and their wasted products while inorganic matters contain is a mix of flakes of clay minerals and small fragments of quartz, pyrite and other minerals (EIA, 2013). Many of the hydrocarbon fluids are stored inside organic matters, although some can be found in the natural fractures and inorganic porosities.</w:t>
      </w:r>
    </w:p>
    <w:p w14:paraId="450E4DCA" w14:textId="53F0FD72" w:rsidR="00203BC4" w:rsidRPr="00203BC4" w:rsidRDefault="00203BC4" w:rsidP="00203BC4">
      <w:pPr>
        <w:jc w:val="both"/>
      </w:pPr>
      <w:r w:rsidRPr="00203BC4">
        <w:t xml:space="preserve">The investigation of microstructure of shale formations is achieved recently by using instruments that can create high-resolution images. For example, a combination of focused ion beam (FIB) and scanning electron microscopy (SEM) can show nanometer-scale resolution imaging of shale samples in both two and three dimensions (Curtis et al., 2011). </w:t>
      </w:r>
      <w:r w:rsidRPr="00203BC4">
        <w:rPr>
          <w:b/>
        </w:rPr>
        <w:t xml:space="preserve">Figure 1.4 </w:t>
      </w:r>
      <w:r w:rsidRPr="00203BC4">
        <w:t xml:space="preserve">shows typical 2-D FIB-SEM images from different shale </w:t>
      </w:r>
      <w:r w:rsidR="00E60723">
        <w:t>rocks</w:t>
      </w:r>
      <w:r w:rsidR="00E60723" w:rsidRPr="00203BC4">
        <w:t xml:space="preserve"> </w:t>
      </w:r>
      <w:r w:rsidRPr="00203BC4">
        <w:t xml:space="preserve">(Curtis </w:t>
      </w:r>
      <w:r w:rsidRPr="00203BC4">
        <w:lastRenderedPageBreak/>
        <w:t xml:space="preserve">et al., 2010). From the </w:t>
      </w:r>
      <w:r w:rsidR="00B2181C" w:rsidRPr="00203BC4">
        <w:t>images,</w:t>
      </w:r>
      <w:r w:rsidRPr="00203BC4">
        <w:t xml:space="preserve"> it is clear to distinguish organic matters (dark grey), clay (light grey), minerals like pyrite (white) and fractures and pores (black regions). </w:t>
      </w:r>
    </w:p>
    <w:p w14:paraId="50CB16DF" w14:textId="77777777" w:rsidR="00203BC4" w:rsidRPr="00203BC4" w:rsidRDefault="00203BC4" w:rsidP="00203BC4">
      <w:pPr>
        <w:ind w:leftChars="100" w:left="240"/>
        <w:jc w:val="both"/>
      </w:pPr>
      <w:r w:rsidRPr="00203BC4">
        <w:rPr>
          <w:noProof/>
          <w:lang w:eastAsia="zh-CN" w:bidi="ar-SA"/>
        </w:rPr>
        <w:drawing>
          <wp:inline distT="0" distB="0" distL="0" distR="0" wp14:anchorId="2572AF0C" wp14:editId="3BB22D96">
            <wp:extent cx="4902200" cy="4208145"/>
            <wp:effectExtent l="0" t="0" r="0" b="0"/>
            <wp:docPr id="4" name="Picture 4" descr="Macintosh HD:Users:erln:Documents:Thesis:MS Thesis:Figures:FIB-SEM 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intosh HD:Users:erln:Documents:Thesis:MS Thesis:Figures:FIB-SEM imag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905120" cy="4210408"/>
                    </a:xfrm>
                    <a:prstGeom prst="rect">
                      <a:avLst/>
                    </a:prstGeom>
                    <a:noFill/>
                    <a:ln>
                      <a:noFill/>
                    </a:ln>
                  </pic:spPr>
                </pic:pic>
              </a:graphicData>
            </a:graphic>
          </wp:inline>
        </w:drawing>
      </w:r>
    </w:p>
    <w:p w14:paraId="1A3956B6" w14:textId="77777777" w:rsidR="00203BC4" w:rsidRPr="00203BC4" w:rsidRDefault="00203BC4" w:rsidP="00203BC4">
      <w:pPr>
        <w:jc w:val="center"/>
      </w:pPr>
      <w:r w:rsidRPr="00203BC4">
        <w:rPr>
          <w:b/>
        </w:rPr>
        <w:t>Figure 1.4—2-D FIB-SEM images from different shale reservoirs (Curtis et al., 2010)</w:t>
      </w:r>
    </w:p>
    <w:p w14:paraId="24C03499" w14:textId="77777777" w:rsidR="00203BC4" w:rsidRPr="00203BC4" w:rsidRDefault="00203BC4" w:rsidP="00E94F47">
      <w:pPr>
        <w:ind w:leftChars="200" w:left="480"/>
        <w:jc w:val="both"/>
      </w:pPr>
      <w:r w:rsidRPr="00203BC4">
        <w:rPr>
          <w:noProof/>
          <w:lang w:eastAsia="zh-CN" w:bidi="ar-SA"/>
        </w:rPr>
        <w:lastRenderedPageBreak/>
        <w:drawing>
          <wp:inline distT="0" distB="0" distL="0" distR="0" wp14:anchorId="3D8B9F3F" wp14:editId="3068FFDE">
            <wp:extent cx="4912404" cy="4543425"/>
            <wp:effectExtent l="0" t="0" r="0" b="0"/>
            <wp:docPr id="5" name="Picture 5" descr="Macintosh HD:Users:erln:Documents:Thesis:MS Thesis:Figures:FIB-SEM Kero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cintosh HD:Users:erln:Documents:Thesis:MS Thesis:Figures:FIB-SEM Keroge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14983" cy="4545810"/>
                    </a:xfrm>
                    <a:prstGeom prst="rect">
                      <a:avLst/>
                    </a:prstGeom>
                    <a:noFill/>
                    <a:ln>
                      <a:noFill/>
                    </a:ln>
                  </pic:spPr>
                </pic:pic>
              </a:graphicData>
            </a:graphic>
          </wp:inline>
        </w:drawing>
      </w:r>
    </w:p>
    <w:p w14:paraId="7CAE990F" w14:textId="77777777" w:rsidR="00203BC4" w:rsidRPr="00203BC4" w:rsidRDefault="00203BC4" w:rsidP="00203BC4">
      <w:pPr>
        <w:jc w:val="center"/>
        <w:rPr>
          <w:b/>
        </w:rPr>
      </w:pPr>
      <w:r w:rsidRPr="00203BC4">
        <w:rPr>
          <w:b/>
        </w:rPr>
        <w:t>Figure 1.5—SEM image of organic contents from a shale sample (Curtis et al., 2010)</w:t>
      </w:r>
    </w:p>
    <w:p w14:paraId="5132DF97" w14:textId="77777777" w:rsidR="00203BC4" w:rsidRPr="00203BC4" w:rsidRDefault="00203BC4" w:rsidP="00203BC4">
      <w:pPr>
        <w:jc w:val="both"/>
      </w:pPr>
    </w:p>
    <w:p w14:paraId="27B88989" w14:textId="77777777" w:rsidR="00203BC4" w:rsidRPr="00203BC4" w:rsidRDefault="00203BC4" w:rsidP="00203BC4">
      <w:pPr>
        <w:jc w:val="both"/>
      </w:pPr>
      <w:r w:rsidRPr="00203BC4">
        <w:rPr>
          <w:b/>
        </w:rPr>
        <w:t xml:space="preserve">Figure 1.5 </w:t>
      </w:r>
      <w:r w:rsidRPr="00203BC4">
        <w:t xml:space="preserve">gives the image of organic contents, or kerogen contents from a shale sample using FIB-SEM technique. It shows that the size of pores inside kerogen contents is in the order of nanometers. In such small pores, the influence of the kerogen wall on the stored fluids becomes important due to the fluid-wall interactions. The fluids inside the kerogen pores are stored in two forms: adsorbed form near kerogen wall and bulk form in the center of the pore. The adsorbed fluids are under strong influence of the kerogen wall interactions and their properties become deviate from the bulk fluid properties. There </w:t>
      </w:r>
      <w:r w:rsidRPr="00203BC4">
        <w:lastRenderedPageBreak/>
        <w:t>may have a transition zone between the adsorbed fluids and bulk fluids in relatively larger pores where exists weaker fluid-wall interactions compare to that in the adsorbed zone (Didar and Akkutlu, 2013). The properties of the fluids inside the transition zone may deviate from bulk values. In order to investigate the fluid properties and transport properties of the hydrocarbons stored inside the kerogen contents, one need to start from phase behaviors considering the effects of the interactions between the fluids and kerogen walls.</w:t>
      </w:r>
    </w:p>
    <w:p w14:paraId="6D8112E6" w14:textId="77777777" w:rsidR="00203BC4" w:rsidRDefault="00203BC4">
      <w:pPr>
        <w:jc w:val="both"/>
      </w:pPr>
    </w:p>
    <w:p w14:paraId="0BBF025C" w14:textId="77777777" w:rsidR="00203BC4" w:rsidRDefault="00203BC4" w:rsidP="00203BC4">
      <w:pPr>
        <w:pStyle w:val="Heading2"/>
      </w:pPr>
      <w:bookmarkStart w:id="16" w:name="_Toc508114134"/>
      <w:r>
        <w:t>1.2 Phase Behavior in Shale Resources</w:t>
      </w:r>
      <w:bookmarkEnd w:id="16"/>
    </w:p>
    <w:p w14:paraId="39CA4030" w14:textId="77777777" w:rsidR="00203BC4" w:rsidRDefault="00203BC4" w:rsidP="00203BC4">
      <w:pPr>
        <w:widowControl w:val="0"/>
        <w:autoSpaceDE w:val="0"/>
        <w:autoSpaceDN w:val="0"/>
        <w:adjustRightInd w:val="0"/>
        <w:spacing w:after="240"/>
        <w:jc w:val="both"/>
        <w:rPr>
          <w:lang w:eastAsia="zh-CN"/>
        </w:rPr>
      </w:pPr>
      <w:r>
        <w:rPr>
          <w:lang w:eastAsia="zh-CN"/>
        </w:rPr>
        <w:t xml:space="preserve">Although the </w:t>
      </w:r>
      <w:r>
        <w:rPr>
          <w:rFonts w:hint="eastAsia"/>
          <w:lang w:eastAsia="zh-CN"/>
        </w:rPr>
        <w:t>pro</w:t>
      </w:r>
      <w:r>
        <w:rPr>
          <w:lang w:eastAsia="zh-CN"/>
        </w:rPr>
        <w:t xml:space="preserve">duction in shale plays is growing vigorously, the phase behavior in shale resources has not been fully understood. In general, fluids under confinement within pores of nanometer-scale size exhibit significant deviation from their bulk values due to the molecular interactions between the fluid and the pore wall. The changes include fluid properties, such as critical properties, fluid densities, viscosities, compressibility factor, vapor/liquid interfacial tension as well as other fluid properties. In shale formations, molecular sizes approach typical values for the pore sizes. </w:t>
      </w:r>
      <w:r w:rsidR="00E94F47">
        <w:rPr>
          <w:lang w:eastAsia="zh-CN"/>
        </w:rPr>
        <w:t>Therefore,</w:t>
      </w:r>
      <w:r>
        <w:rPr>
          <w:lang w:eastAsia="zh-CN"/>
        </w:rPr>
        <w:t xml:space="preserve"> the influence of both fluid-wall interactions and fluid-fluid interactions on phase behavior and fluid properties among others becomes important. </w:t>
      </w:r>
    </w:p>
    <w:p w14:paraId="1F0D5731" w14:textId="5CB4A0B0" w:rsidR="00203BC4" w:rsidRDefault="00203BC4" w:rsidP="00203BC4">
      <w:pPr>
        <w:widowControl w:val="0"/>
        <w:autoSpaceDE w:val="0"/>
        <w:autoSpaceDN w:val="0"/>
        <w:adjustRightInd w:val="0"/>
        <w:spacing w:after="240"/>
        <w:jc w:val="both"/>
        <w:rPr>
          <w:lang w:eastAsia="zh-CN"/>
        </w:rPr>
      </w:pPr>
      <w:r>
        <w:rPr>
          <w:lang w:eastAsia="zh-CN"/>
        </w:rPr>
        <w:t>It has</w:t>
      </w:r>
      <w:r>
        <w:rPr>
          <w:rFonts w:hint="eastAsia"/>
          <w:lang w:eastAsia="zh-CN"/>
        </w:rPr>
        <w:t xml:space="preserve"> long</w:t>
      </w:r>
      <w:r>
        <w:rPr>
          <w:lang w:eastAsia="zh-CN"/>
        </w:rPr>
        <w:t xml:space="preserve"> been known that the </w:t>
      </w:r>
      <w:r w:rsidR="00626017">
        <w:rPr>
          <w:lang w:eastAsia="zh-CN"/>
        </w:rPr>
        <w:t>pore size</w:t>
      </w:r>
      <w:r>
        <w:rPr>
          <w:lang w:eastAsia="zh-CN"/>
        </w:rPr>
        <w:t xml:space="preserve"> can have effects on fluid properties. Physical experiments have been conducted to investigate the effects of </w:t>
      </w:r>
      <w:r w:rsidR="00F840BF">
        <w:rPr>
          <w:lang w:eastAsia="zh-CN"/>
        </w:rPr>
        <w:t>pore size</w:t>
      </w:r>
      <w:r>
        <w:rPr>
          <w:lang w:eastAsia="zh-CN"/>
        </w:rPr>
        <w:t xml:space="preserve"> on fluid phase behavior in porous media back in 1960s. Tindy and Raynal (1966) documented the bubble point pressure variations of two crude oils measured in both PVT cells and porous media. Grain sizes in the porous media were in the range of 160 to 200 microns. Bubble point </w:t>
      </w:r>
      <w:r>
        <w:rPr>
          <w:lang w:eastAsia="zh-CN"/>
        </w:rPr>
        <w:lastRenderedPageBreak/>
        <w:t>pressure was reported higher in the porous medium than PVT cell by 7 and 4 kg/cm</w:t>
      </w:r>
      <w:r>
        <w:rPr>
          <w:vertAlign w:val="superscript"/>
          <w:lang w:eastAsia="zh-CN"/>
        </w:rPr>
        <w:t>2</w:t>
      </w:r>
      <w:r>
        <w:rPr>
          <w:lang w:eastAsia="zh-CN"/>
        </w:rPr>
        <w:t xml:space="preserve">. The bubble point pressures of one of the crude oils at 80 </w:t>
      </w:r>
      <w:r>
        <w:rPr>
          <w:rFonts w:ascii="Times New Roman" w:hAnsi="Times New Roman"/>
          <w:sz w:val="22"/>
          <w:szCs w:val="22"/>
          <w:lang w:eastAsia="zh-CN"/>
        </w:rPr>
        <w:t>°</w:t>
      </w:r>
      <w:r>
        <w:rPr>
          <w:lang w:eastAsia="zh-CN"/>
        </w:rPr>
        <w:t>C in the porous medium and PVT cell were 128 and 121 kg/cm</w:t>
      </w:r>
      <w:r>
        <w:rPr>
          <w:vertAlign w:val="superscript"/>
          <w:lang w:eastAsia="zh-CN"/>
        </w:rPr>
        <w:t>2</w:t>
      </w:r>
      <w:r>
        <w:rPr>
          <w:lang w:eastAsia="zh-CN"/>
        </w:rPr>
        <w:t xml:space="preserve"> respectively. However, there was no difference in the measured bubble point pressures between porous medium and PVT cell for a mixture of methane and n-heptane. Trebin and Zadora (1968) investigated effect of </w:t>
      </w:r>
      <w:r w:rsidR="00894C98">
        <w:rPr>
          <w:lang w:eastAsia="zh-CN"/>
        </w:rPr>
        <w:t>pore size</w:t>
      </w:r>
      <w:r>
        <w:rPr>
          <w:lang w:eastAsia="zh-CN"/>
        </w:rPr>
        <w:t xml:space="preserve"> on phase behavior of gas condensate systems. They used a silica sand mixture (0.3 to 0.215 mm in diameter) as a porous medium. Table 1.1 shows permeability, porosity, and calculated surface area of three different packings used as porous medium. </w:t>
      </w:r>
      <w:r w:rsidR="003E5DB3">
        <w:rPr>
          <w:lang w:eastAsia="zh-CN"/>
        </w:rPr>
        <w:t>pore size</w:t>
      </w:r>
      <w:r>
        <w:rPr>
          <w:lang w:eastAsia="zh-CN"/>
        </w:rPr>
        <w:t xml:space="preserve"> was reported to have a strong influence on the vapor-liquid equilibrium and dew point pressure. They found that dew point pressure increases by increasing the surface area resulting in less liquid production. The dew point pressure was reported to increase 10% to 15%. Increasing the temperature decreased the effect of porous media on vapor-liquid equilibria.</w:t>
      </w:r>
    </w:p>
    <w:tbl>
      <w:tblPr>
        <w:tblStyle w:val="TableGrid"/>
        <w:tblW w:w="7214" w:type="dxa"/>
        <w:tblInd w:w="720" w:type="dxa"/>
        <w:tblLayout w:type="fixed"/>
        <w:tblLook w:val="04A0" w:firstRow="1" w:lastRow="0" w:firstColumn="1" w:lastColumn="0" w:noHBand="0" w:noVBand="1"/>
      </w:tblPr>
      <w:tblGrid>
        <w:gridCol w:w="1530"/>
        <w:gridCol w:w="2340"/>
        <w:gridCol w:w="1508"/>
        <w:gridCol w:w="1836"/>
      </w:tblGrid>
      <w:tr w:rsidR="00203BC4" w14:paraId="128CD73D" w14:textId="77777777" w:rsidTr="00BE7B61">
        <w:tc>
          <w:tcPr>
            <w:tcW w:w="7214" w:type="dxa"/>
            <w:gridSpan w:val="4"/>
            <w:tcBorders>
              <w:bottom w:val="single" w:sz="4" w:space="0" w:color="auto"/>
            </w:tcBorders>
            <w:vAlign w:val="center"/>
          </w:tcPr>
          <w:p w14:paraId="5DD6BFE7" w14:textId="77777777" w:rsidR="00203BC4" w:rsidRDefault="00203BC4" w:rsidP="00BE7B61">
            <w:pPr>
              <w:spacing w:line="360" w:lineRule="auto"/>
              <w:jc w:val="center"/>
              <w:rPr>
                <w:rFonts w:cstheme="minorHAnsi"/>
                <w:b/>
                <w:sz w:val="22"/>
                <w:szCs w:val="22"/>
              </w:rPr>
            </w:pPr>
            <w:r>
              <w:rPr>
                <w:rFonts w:cstheme="minorHAnsi"/>
                <w:b/>
                <w:sz w:val="22"/>
                <w:szCs w:val="22"/>
              </w:rPr>
              <w:t>Table 1.1: Properties of different packings (Trebin and Zadora, 1968)</w:t>
            </w:r>
          </w:p>
        </w:tc>
      </w:tr>
      <w:tr w:rsidR="00203BC4" w14:paraId="217EAA01" w14:textId="77777777" w:rsidTr="00BE7B61">
        <w:tc>
          <w:tcPr>
            <w:tcW w:w="1530" w:type="dxa"/>
            <w:tcBorders>
              <w:bottom w:val="nil"/>
              <w:right w:val="nil"/>
            </w:tcBorders>
            <w:vAlign w:val="center"/>
          </w:tcPr>
          <w:p w14:paraId="4029FC3A" w14:textId="77777777" w:rsidR="00203BC4" w:rsidRDefault="00203BC4" w:rsidP="00BE7B61">
            <w:pPr>
              <w:spacing w:line="360" w:lineRule="auto"/>
              <w:jc w:val="center"/>
              <w:rPr>
                <w:rFonts w:cstheme="minorHAnsi"/>
                <w:sz w:val="22"/>
                <w:szCs w:val="22"/>
              </w:rPr>
            </w:pPr>
            <w:r>
              <w:rPr>
                <w:rFonts w:cstheme="minorHAnsi"/>
                <w:sz w:val="22"/>
                <w:szCs w:val="22"/>
              </w:rPr>
              <w:t>Packing No.</w:t>
            </w:r>
          </w:p>
        </w:tc>
        <w:tc>
          <w:tcPr>
            <w:tcW w:w="2340" w:type="dxa"/>
            <w:tcBorders>
              <w:left w:val="nil"/>
              <w:bottom w:val="nil"/>
              <w:right w:val="nil"/>
            </w:tcBorders>
            <w:vAlign w:val="center"/>
          </w:tcPr>
          <w:p w14:paraId="25BE1856" w14:textId="77777777" w:rsidR="00203BC4" w:rsidRDefault="00203BC4" w:rsidP="00BE7B61">
            <w:pPr>
              <w:spacing w:line="360" w:lineRule="auto"/>
              <w:jc w:val="center"/>
              <w:rPr>
                <w:rFonts w:cstheme="minorHAnsi"/>
                <w:sz w:val="22"/>
                <w:szCs w:val="22"/>
              </w:rPr>
            </w:pPr>
            <w:r>
              <w:rPr>
                <w:rFonts w:cstheme="minorHAnsi"/>
                <w:sz w:val="22"/>
                <w:szCs w:val="22"/>
              </w:rPr>
              <w:t>Permeability (Darcy)</w:t>
            </w:r>
          </w:p>
        </w:tc>
        <w:tc>
          <w:tcPr>
            <w:tcW w:w="1508" w:type="dxa"/>
            <w:tcBorders>
              <w:left w:val="nil"/>
              <w:bottom w:val="nil"/>
              <w:right w:val="nil"/>
            </w:tcBorders>
            <w:vAlign w:val="center"/>
          </w:tcPr>
          <w:p w14:paraId="08B857DD" w14:textId="77777777" w:rsidR="00203BC4" w:rsidRDefault="00203BC4" w:rsidP="00BE7B61">
            <w:pPr>
              <w:spacing w:line="360" w:lineRule="auto"/>
              <w:jc w:val="center"/>
              <w:rPr>
                <w:rFonts w:cstheme="minorHAnsi"/>
                <w:sz w:val="22"/>
                <w:szCs w:val="22"/>
              </w:rPr>
            </w:pPr>
            <w:r>
              <w:rPr>
                <w:rFonts w:cstheme="minorHAnsi"/>
                <w:sz w:val="22"/>
                <w:szCs w:val="22"/>
              </w:rPr>
              <w:t>Porosity (%)</w:t>
            </w:r>
          </w:p>
        </w:tc>
        <w:tc>
          <w:tcPr>
            <w:tcW w:w="1836" w:type="dxa"/>
            <w:tcBorders>
              <w:left w:val="nil"/>
              <w:bottom w:val="nil"/>
            </w:tcBorders>
            <w:vAlign w:val="center"/>
          </w:tcPr>
          <w:p w14:paraId="230F6ABD" w14:textId="77777777" w:rsidR="00203BC4" w:rsidRDefault="00203BC4" w:rsidP="00BE7B61">
            <w:pPr>
              <w:spacing w:line="360" w:lineRule="auto"/>
              <w:jc w:val="center"/>
              <w:rPr>
                <w:rFonts w:cstheme="minorHAnsi"/>
                <w:sz w:val="22"/>
                <w:szCs w:val="22"/>
              </w:rPr>
            </w:pPr>
            <w:r>
              <w:rPr>
                <w:rFonts w:cstheme="minorHAnsi"/>
                <w:sz w:val="22"/>
                <w:szCs w:val="22"/>
              </w:rPr>
              <w:t>Surface area (cm</w:t>
            </w:r>
            <w:r>
              <w:rPr>
                <w:rFonts w:cstheme="minorHAnsi"/>
                <w:sz w:val="22"/>
                <w:szCs w:val="22"/>
                <w:vertAlign w:val="superscript"/>
              </w:rPr>
              <w:t>2</w:t>
            </w:r>
            <w:r>
              <w:rPr>
                <w:rFonts w:cstheme="minorHAnsi"/>
                <w:sz w:val="22"/>
                <w:szCs w:val="22"/>
              </w:rPr>
              <w:t>/cm</w:t>
            </w:r>
            <w:r>
              <w:rPr>
                <w:rFonts w:cstheme="minorHAnsi"/>
                <w:sz w:val="22"/>
                <w:szCs w:val="22"/>
                <w:vertAlign w:val="superscript"/>
              </w:rPr>
              <w:t>3</w:t>
            </w:r>
            <w:r>
              <w:rPr>
                <w:rFonts w:cstheme="minorHAnsi"/>
                <w:sz w:val="22"/>
                <w:szCs w:val="22"/>
              </w:rPr>
              <w:t>)</w:t>
            </w:r>
          </w:p>
        </w:tc>
      </w:tr>
      <w:tr w:rsidR="00203BC4" w14:paraId="0AD1EA1E" w14:textId="77777777" w:rsidTr="00BE7B61">
        <w:tc>
          <w:tcPr>
            <w:tcW w:w="1530" w:type="dxa"/>
            <w:tcBorders>
              <w:top w:val="nil"/>
              <w:bottom w:val="nil"/>
              <w:right w:val="nil"/>
            </w:tcBorders>
            <w:vAlign w:val="center"/>
          </w:tcPr>
          <w:p w14:paraId="134CBDEF" w14:textId="77777777" w:rsidR="00203BC4" w:rsidRDefault="00203BC4" w:rsidP="00BE7B61">
            <w:pPr>
              <w:spacing w:line="360" w:lineRule="auto"/>
              <w:jc w:val="center"/>
              <w:rPr>
                <w:rFonts w:cstheme="minorHAnsi"/>
                <w:sz w:val="22"/>
                <w:szCs w:val="22"/>
              </w:rPr>
            </w:pPr>
            <w:r>
              <w:rPr>
                <w:rFonts w:cstheme="minorHAnsi"/>
                <w:sz w:val="22"/>
                <w:szCs w:val="22"/>
              </w:rPr>
              <w:t>1</w:t>
            </w:r>
          </w:p>
        </w:tc>
        <w:tc>
          <w:tcPr>
            <w:tcW w:w="2340" w:type="dxa"/>
            <w:tcBorders>
              <w:top w:val="nil"/>
              <w:left w:val="nil"/>
              <w:bottom w:val="nil"/>
              <w:right w:val="nil"/>
            </w:tcBorders>
            <w:vAlign w:val="center"/>
          </w:tcPr>
          <w:p w14:paraId="021F3DF0" w14:textId="77777777" w:rsidR="00203BC4" w:rsidRDefault="00203BC4" w:rsidP="00BE7B61">
            <w:pPr>
              <w:spacing w:line="360" w:lineRule="auto"/>
              <w:jc w:val="center"/>
              <w:rPr>
                <w:rFonts w:cstheme="minorHAnsi"/>
                <w:sz w:val="22"/>
                <w:szCs w:val="22"/>
              </w:rPr>
            </w:pPr>
            <w:r>
              <w:rPr>
                <w:rFonts w:cstheme="minorHAnsi"/>
                <w:sz w:val="22"/>
                <w:szCs w:val="22"/>
              </w:rPr>
              <w:t>5.6</w:t>
            </w:r>
          </w:p>
        </w:tc>
        <w:tc>
          <w:tcPr>
            <w:tcW w:w="1508" w:type="dxa"/>
            <w:tcBorders>
              <w:top w:val="nil"/>
              <w:left w:val="nil"/>
              <w:bottom w:val="nil"/>
              <w:right w:val="nil"/>
            </w:tcBorders>
            <w:vAlign w:val="center"/>
          </w:tcPr>
          <w:p w14:paraId="0397D7F0" w14:textId="77777777" w:rsidR="00203BC4" w:rsidRDefault="00203BC4" w:rsidP="00BE7B61">
            <w:pPr>
              <w:spacing w:line="360" w:lineRule="auto"/>
              <w:jc w:val="center"/>
              <w:rPr>
                <w:rFonts w:cstheme="minorHAnsi"/>
                <w:sz w:val="22"/>
                <w:szCs w:val="22"/>
              </w:rPr>
            </w:pPr>
            <w:r>
              <w:rPr>
                <w:rFonts w:cstheme="minorHAnsi"/>
                <w:sz w:val="22"/>
                <w:szCs w:val="22"/>
              </w:rPr>
              <w:t>34</w:t>
            </w:r>
          </w:p>
        </w:tc>
        <w:tc>
          <w:tcPr>
            <w:tcW w:w="1836" w:type="dxa"/>
            <w:tcBorders>
              <w:top w:val="nil"/>
              <w:left w:val="nil"/>
              <w:bottom w:val="nil"/>
            </w:tcBorders>
            <w:vAlign w:val="center"/>
          </w:tcPr>
          <w:p w14:paraId="7343CB0F" w14:textId="77777777" w:rsidR="00203BC4" w:rsidRDefault="00203BC4" w:rsidP="00BE7B61">
            <w:pPr>
              <w:spacing w:line="360" w:lineRule="auto"/>
              <w:jc w:val="center"/>
              <w:rPr>
                <w:rFonts w:cstheme="minorHAnsi"/>
                <w:sz w:val="22"/>
                <w:szCs w:val="22"/>
              </w:rPr>
            </w:pPr>
            <w:r>
              <w:rPr>
                <w:rFonts w:cstheme="minorHAnsi"/>
                <w:sz w:val="22"/>
                <w:szCs w:val="22"/>
              </w:rPr>
              <w:t>563</w:t>
            </w:r>
          </w:p>
        </w:tc>
      </w:tr>
      <w:tr w:rsidR="00203BC4" w14:paraId="52ED7B7D" w14:textId="77777777" w:rsidTr="00BE7B61">
        <w:tc>
          <w:tcPr>
            <w:tcW w:w="1530" w:type="dxa"/>
            <w:tcBorders>
              <w:top w:val="nil"/>
              <w:bottom w:val="nil"/>
              <w:right w:val="nil"/>
            </w:tcBorders>
            <w:vAlign w:val="center"/>
          </w:tcPr>
          <w:p w14:paraId="320F25D7" w14:textId="77777777" w:rsidR="00203BC4" w:rsidRDefault="00203BC4" w:rsidP="00BE7B61">
            <w:pPr>
              <w:spacing w:line="360" w:lineRule="auto"/>
              <w:jc w:val="center"/>
              <w:rPr>
                <w:rFonts w:cstheme="minorHAnsi"/>
                <w:sz w:val="22"/>
                <w:szCs w:val="22"/>
              </w:rPr>
            </w:pPr>
            <w:r>
              <w:rPr>
                <w:rFonts w:cstheme="minorHAnsi"/>
                <w:sz w:val="22"/>
                <w:szCs w:val="22"/>
              </w:rPr>
              <w:t>2</w:t>
            </w:r>
          </w:p>
        </w:tc>
        <w:tc>
          <w:tcPr>
            <w:tcW w:w="2340" w:type="dxa"/>
            <w:tcBorders>
              <w:top w:val="nil"/>
              <w:left w:val="nil"/>
              <w:bottom w:val="nil"/>
              <w:right w:val="nil"/>
            </w:tcBorders>
            <w:vAlign w:val="center"/>
          </w:tcPr>
          <w:p w14:paraId="0A2B71A4" w14:textId="77777777" w:rsidR="00203BC4" w:rsidRDefault="00203BC4" w:rsidP="00BE7B61">
            <w:pPr>
              <w:spacing w:line="360" w:lineRule="auto"/>
              <w:jc w:val="center"/>
              <w:rPr>
                <w:rFonts w:cstheme="minorHAnsi"/>
                <w:sz w:val="22"/>
                <w:szCs w:val="22"/>
              </w:rPr>
            </w:pPr>
            <w:r>
              <w:rPr>
                <w:rFonts w:cstheme="minorHAnsi"/>
                <w:sz w:val="22"/>
                <w:szCs w:val="22"/>
              </w:rPr>
              <w:t>0.612</w:t>
            </w:r>
          </w:p>
        </w:tc>
        <w:tc>
          <w:tcPr>
            <w:tcW w:w="1508" w:type="dxa"/>
            <w:tcBorders>
              <w:top w:val="nil"/>
              <w:left w:val="nil"/>
              <w:bottom w:val="nil"/>
              <w:right w:val="nil"/>
            </w:tcBorders>
            <w:vAlign w:val="center"/>
          </w:tcPr>
          <w:p w14:paraId="3FB34D76" w14:textId="77777777" w:rsidR="00203BC4" w:rsidRDefault="00203BC4" w:rsidP="00BE7B61">
            <w:pPr>
              <w:spacing w:line="360" w:lineRule="auto"/>
              <w:jc w:val="center"/>
              <w:rPr>
                <w:rFonts w:cstheme="minorHAnsi"/>
                <w:sz w:val="22"/>
                <w:szCs w:val="22"/>
              </w:rPr>
            </w:pPr>
            <w:r>
              <w:rPr>
                <w:rFonts w:cstheme="minorHAnsi"/>
                <w:sz w:val="22"/>
                <w:szCs w:val="22"/>
              </w:rPr>
              <w:t>31.4</w:t>
            </w:r>
          </w:p>
        </w:tc>
        <w:tc>
          <w:tcPr>
            <w:tcW w:w="1836" w:type="dxa"/>
            <w:tcBorders>
              <w:top w:val="nil"/>
              <w:left w:val="nil"/>
              <w:bottom w:val="nil"/>
            </w:tcBorders>
            <w:vAlign w:val="center"/>
          </w:tcPr>
          <w:p w14:paraId="5CAF7A23" w14:textId="77777777" w:rsidR="00203BC4" w:rsidRDefault="00203BC4" w:rsidP="00BE7B61">
            <w:pPr>
              <w:spacing w:line="360" w:lineRule="auto"/>
              <w:jc w:val="center"/>
              <w:rPr>
                <w:rFonts w:cstheme="minorHAnsi"/>
                <w:sz w:val="22"/>
                <w:szCs w:val="22"/>
              </w:rPr>
            </w:pPr>
            <w:r>
              <w:rPr>
                <w:rFonts w:cstheme="minorHAnsi"/>
                <w:sz w:val="22"/>
                <w:szCs w:val="22"/>
              </w:rPr>
              <w:t>1,307</w:t>
            </w:r>
          </w:p>
        </w:tc>
      </w:tr>
      <w:tr w:rsidR="00203BC4" w14:paraId="50795D36" w14:textId="77777777" w:rsidTr="00BE7B61">
        <w:tc>
          <w:tcPr>
            <w:tcW w:w="1530" w:type="dxa"/>
            <w:tcBorders>
              <w:top w:val="nil"/>
              <w:right w:val="nil"/>
            </w:tcBorders>
            <w:vAlign w:val="center"/>
          </w:tcPr>
          <w:p w14:paraId="7BA73E07" w14:textId="77777777" w:rsidR="00203BC4" w:rsidRDefault="00203BC4" w:rsidP="00BE7B61">
            <w:pPr>
              <w:spacing w:line="360" w:lineRule="auto"/>
              <w:jc w:val="center"/>
              <w:rPr>
                <w:rFonts w:cstheme="minorHAnsi"/>
                <w:sz w:val="22"/>
                <w:szCs w:val="22"/>
              </w:rPr>
            </w:pPr>
            <w:r>
              <w:rPr>
                <w:rFonts w:cstheme="minorHAnsi"/>
                <w:sz w:val="22"/>
                <w:szCs w:val="22"/>
              </w:rPr>
              <w:t>3</w:t>
            </w:r>
          </w:p>
        </w:tc>
        <w:tc>
          <w:tcPr>
            <w:tcW w:w="2340" w:type="dxa"/>
            <w:tcBorders>
              <w:top w:val="nil"/>
              <w:left w:val="nil"/>
              <w:right w:val="nil"/>
            </w:tcBorders>
            <w:vAlign w:val="center"/>
          </w:tcPr>
          <w:p w14:paraId="5A0387A8" w14:textId="77777777" w:rsidR="00203BC4" w:rsidRDefault="00203BC4" w:rsidP="00BE7B61">
            <w:pPr>
              <w:spacing w:line="360" w:lineRule="auto"/>
              <w:jc w:val="center"/>
              <w:rPr>
                <w:rFonts w:cstheme="minorHAnsi"/>
                <w:sz w:val="22"/>
                <w:szCs w:val="22"/>
              </w:rPr>
            </w:pPr>
            <w:r>
              <w:rPr>
                <w:rFonts w:cstheme="minorHAnsi"/>
                <w:sz w:val="22"/>
                <w:szCs w:val="22"/>
              </w:rPr>
              <w:t>0.111</w:t>
            </w:r>
          </w:p>
        </w:tc>
        <w:tc>
          <w:tcPr>
            <w:tcW w:w="1508" w:type="dxa"/>
            <w:tcBorders>
              <w:top w:val="nil"/>
              <w:left w:val="nil"/>
              <w:right w:val="nil"/>
            </w:tcBorders>
            <w:vAlign w:val="center"/>
          </w:tcPr>
          <w:p w14:paraId="54780E46" w14:textId="77777777" w:rsidR="00203BC4" w:rsidRDefault="00203BC4" w:rsidP="00BE7B61">
            <w:pPr>
              <w:spacing w:line="360" w:lineRule="auto"/>
              <w:jc w:val="center"/>
              <w:rPr>
                <w:rFonts w:cstheme="minorHAnsi"/>
                <w:sz w:val="22"/>
                <w:szCs w:val="22"/>
              </w:rPr>
            </w:pPr>
            <w:r>
              <w:rPr>
                <w:rFonts w:cstheme="minorHAnsi"/>
                <w:sz w:val="22"/>
                <w:szCs w:val="22"/>
              </w:rPr>
              <w:t>29.8</w:t>
            </w:r>
          </w:p>
        </w:tc>
        <w:tc>
          <w:tcPr>
            <w:tcW w:w="1836" w:type="dxa"/>
            <w:tcBorders>
              <w:top w:val="nil"/>
              <w:left w:val="nil"/>
            </w:tcBorders>
            <w:vAlign w:val="center"/>
          </w:tcPr>
          <w:p w14:paraId="1CC86FE5" w14:textId="77777777" w:rsidR="00203BC4" w:rsidRDefault="00203BC4" w:rsidP="00BE7B61">
            <w:pPr>
              <w:spacing w:line="360" w:lineRule="auto"/>
              <w:jc w:val="center"/>
              <w:rPr>
                <w:rFonts w:cstheme="minorHAnsi"/>
                <w:sz w:val="22"/>
                <w:szCs w:val="22"/>
              </w:rPr>
            </w:pPr>
            <w:r>
              <w:rPr>
                <w:rFonts w:cstheme="minorHAnsi"/>
                <w:sz w:val="22"/>
                <w:szCs w:val="22"/>
              </w:rPr>
              <w:t>3,415</w:t>
            </w:r>
          </w:p>
        </w:tc>
      </w:tr>
    </w:tbl>
    <w:p w14:paraId="5AF9C339" w14:textId="77777777" w:rsidR="00203BC4" w:rsidRDefault="00203BC4" w:rsidP="00203BC4">
      <w:pPr>
        <w:jc w:val="both"/>
        <w:rPr>
          <w:lang w:eastAsia="zh-CN"/>
        </w:rPr>
      </w:pPr>
    </w:p>
    <w:p w14:paraId="3AC33D0C" w14:textId="6CF32E04" w:rsidR="00203BC4" w:rsidRDefault="00203BC4" w:rsidP="00203BC4">
      <w:pPr>
        <w:widowControl w:val="0"/>
        <w:autoSpaceDE w:val="0"/>
        <w:autoSpaceDN w:val="0"/>
        <w:adjustRightInd w:val="0"/>
        <w:spacing w:after="240"/>
        <w:jc w:val="both"/>
        <w:rPr>
          <w:lang w:eastAsia="zh-CN"/>
        </w:rPr>
      </w:pPr>
      <w:r>
        <w:rPr>
          <w:lang w:eastAsia="zh-CN"/>
        </w:rPr>
        <w:t xml:space="preserve">Sigmund et al. (1973) studied the effect of </w:t>
      </w:r>
      <w:r w:rsidR="003E5DB3">
        <w:rPr>
          <w:lang w:eastAsia="zh-CN"/>
        </w:rPr>
        <w:t>pore size</w:t>
      </w:r>
      <w:r>
        <w:rPr>
          <w:lang w:eastAsia="zh-CN"/>
        </w:rPr>
        <w:t xml:space="preserve"> on phase behavior by conducting experiments and calculations. They used C1-nC4 and C1-nC5 with different compositions as fluid mixtures at 100 </w:t>
      </w:r>
      <w:r>
        <w:rPr>
          <w:rFonts w:ascii="Times New Roman" w:hAnsi="Times New Roman"/>
          <w:sz w:val="22"/>
          <w:szCs w:val="22"/>
          <w:lang w:eastAsia="zh-CN"/>
        </w:rPr>
        <w:t>°</w:t>
      </w:r>
      <w:r>
        <w:rPr>
          <w:lang w:eastAsia="zh-CN"/>
        </w:rPr>
        <w:t xml:space="preserve">F and different pressure conditions. Capillary pressure was used to represent the effect of porous medium. It was reported that porous media with smallest packings of 30-40 U.S. meshes showed no effect on phase behavior </w:t>
      </w:r>
      <w:r>
        <w:rPr>
          <w:lang w:eastAsia="zh-CN"/>
        </w:rPr>
        <w:lastRenderedPageBreak/>
        <w:t>except at very high surface curvatures, where the bubble point pressures decrease under higher surface curvatures (mean curvature value less than -2.0</w:t>
      </w:r>
      <w:r w:rsidR="003E5DB3">
        <w:rPr>
          <w:lang w:eastAsia="zh-CN"/>
        </w:rPr>
        <w:t>x</w:t>
      </w:r>
      <w:r>
        <w:rPr>
          <w:lang w:eastAsia="zh-CN"/>
        </w:rPr>
        <w:t>10</w:t>
      </w:r>
      <w:r>
        <w:rPr>
          <w:vertAlign w:val="superscript"/>
          <w:lang w:eastAsia="zh-CN"/>
        </w:rPr>
        <w:t>5</w:t>
      </w:r>
      <w:r>
        <w:rPr>
          <w:lang w:eastAsia="zh-CN"/>
        </w:rPr>
        <w:t xml:space="preserve"> cm</w:t>
      </w:r>
      <w:r>
        <w:rPr>
          <w:vertAlign w:val="superscript"/>
          <w:lang w:eastAsia="zh-CN"/>
        </w:rPr>
        <w:t>-1</w:t>
      </w:r>
      <w:r>
        <w:rPr>
          <w:lang w:eastAsia="zh-CN"/>
        </w:rPr>
        <w:t>). Thommes and Findenegg (1994) observed critical-point shift for pure SF</w:t>
      </w:r>
      <w:r>
        <w:rPr>
          <w:vertAlign w:val="subscript"/>
          <w:lang w:eastAsia="zh-CN"/>
        </w:rPr>
        <w:t>6</w:t>
      </w:r>
      <w:r>
        <w:rPr>
          <w:lang w:eastAsia="zh-CN"/>
        </w:rPr>
        <w:t xml:space="preserve"> in controlled-pore glass (CPG) with mean pore diameters of 24 and 31 nm. They found in the experiments and lab measurements that the critical temperature shift was 0.92 K ± 0.24 K for CPG with 24-nm mean pore size and 0.48 K ± 0.23 K for CPG with 31-nm mean pore size. They also performed theoretical predictions of the confined geometry effects and found that the critical temperature shift ∆T</w:t>
      </w:r>
      <w:r>
        <w:rPr>
          <w:vertAlign w:val="subscript"/>
          <w:lang w:eastAsia="zh-CN"/>
        </w:rPr>
        <w:t>c</w:t>
      </w:r>
      <w:r>
        <w:rPr>
          <w:lang w:eastAsia="zh-CN"/>
        </w:rPr>
        <w:t xml:space="preserve"> is related to the pore size D as a power law ∆T</w:t>
      </w:r>
      <w:r>
        <w:rPr>
          <w:vertAlign w:val="subscript"/>
          <w:lang w:eastAsia="zh-CN"/>
        </w:rPr>
        <w:t xml:space="preserve">c </w:t>
      </w:r>
      <w:r>
        <w:rPr>
          <w:rFonts w:hint="eastAsia"/>
          <w:lang w:eastAsia="zh-CN"/>
        </w:rPr>
        <w:t>∝</w:t>
      </w:r>
      <w:r>
        <w:rPr>
          <w:lang w:eastAsia="zh-CN"/>
        </w:rPr>
        <w:t>D</w:t>
      </w:r>
      <w:r>
        <w:rPr>
          <w:vertAlign w:val="superscript"/>
          <w:lang w:eastAsia="zh-CN"/>
        </w:rPr>
        <w:t>-y</w:t>
      </w:r>
      <w:r>
        <w:rPr>
          <w:lang w:eastAsia="zh-CN"/>
        </w:rPr>
        <w:t xml:space="preserve">, where the parameter y is about 1.6 for slit pores and has a value that is greater than 2 for CPG materials. Similar measurements were performed by Findenegg et al. (1994) using different fluids in CPG with mean pore sizes of 7.7 and 24 nm. The fluids were extended to cycolpentane, iso-pentane and perfluoropentane and the decreases in critical temperatures of these fluids were observed. Danesh (1998) claimed that the effect of </w:t>
      </w:r>
      <w:r w:rsidR="003E5DB3">
        <w:rPr>
          <w:lang w:eastAsia="zh-CN"/>
        </w:rPr>
        <w:t>pore size</w:t>
      </w:r>
      <w:r>
        <w:rPr>
          <w:lang w:eastAsia="zh-CN"/>
        </w:rPr>
        <w:t xml:space="preserve"> is significant when the pore size is less than 10 nm. Voronov et al. (2003) investigated the effects of </w:t>
      </w:r>
      <w:r w:rsidR="003E5DB3">
        <w:rPr>
          <w:lang w:eastAsia="zh-CN"/>
        </w:rPr>
        <w:t>pore size</w:t>
      </w:r>
      <w:r>
        <w:rPr>
          <w:lang w:eastAsia="zh-CN"/>
        </w:rPr>
        <w:t xml:space="preserve"> on phase behavior of C1/nC5 mixtures with different compositions of n-pentane near critical regions. The porous material used in this study was quartz powder with the characteristic </w:t>
      </w:r>
      <w:r w:rsidR="005F6EB2">
        <w:rPr>
          <w:lang w:eastAsia="zh-CN"/>
        </w:rPr>
        <w:t xml:space="preserve">pore </w:t>
      </w:r>
      <w:r>
        <w:rPr>
          <w:lang w:eastAsia="zh-CN"/>
        </w:rPr>
        <w:t xml:space="preserve">size of 2.3 μm. The results showed that the dew point and bubble point pressures in porous media are more than that in bulk near the critical point. They believed that the dew-bubble curve shift was caused by the formation of wetting film on the surface of the porous media. Zeigermann et al. (2009) used NMR technique to measure diffusivity of n-pentane in both Vycor porous glass (pore size of 6 nm) and ERM glass (pore size of 15 nm) and found that the self-diffusivity jumped when the temperature was increased to 438 K and 458 K, respectively (shown in </w:t>
      </w:r>
      <w:r>
        <w:rPr>
          <w:b/>
          <w:lang w:eastAsia="zh-CN"/>
        </w:rPr>
        <w:t>Figure 1.6</w:t>
      </w:r>
      <w:r>
        <w:rPr>
          <w:lang w:eastAsia="zh-CN"/>
        </w:rPr>
        <w:t xml:space="preserve">). </w:t>
      </w:r>
      <w:r>
        <w:rPr>
          <w:lang w:eastAsia="zh-CN"/>
        </w:rPr>
        <w:lastRenderedPageBreak/>
        <w:t>This jump in diffusivity indicated the fluid changed from liquid to supercritical phase. While the critical temperature for bulk n-pentane was measured to be 470 K. Therefore, the results showed that the critical temperature of n-pentane decreased by 32 K and 12 K when confined in Vycor porous glass and ERM glass, respectively. As we can see, all these experimental evidences suggesting the existence of the changes in fluid phase behavior when confined in small pores. However, no clear conclusions can be drawn from these studies</w:t>
      </w:r>
      <w:r w:rsidR="00483E80">
        <w:rPr>
          <w:lang w:eastAsia="zh-CN"/>
        </w:rPr>
        <w:t>,</w:t>
      </w:r>
      <w:r>
        <w:rPr>
          <w:lang w:eastAsia="zh-CN"/>
        </w:rPr>
        <w:t xml:space="preserve"> due to the disagreement among the results and lack of data. </w:t>
      </w:r>
    </w:p>
    <w:p w14:paraId="6F09B8F1" w14:textId="77777777" w:rsidR="00203BC4" w:rsidRDefault="00203BC4" w:rsidP="00203BC4">
      <w:pPr>
        <w:widowControl w:val="0"/>
        <w:autoSpaceDE w:val="0"/>
        <w:autoSpaceDN w:val="0"/>
        <w:adjustRightInd w:val="0"/>
        <w:spacing w:after="240"/>
        <w:ind w:firstLine="810"/>
        <w:jc w:val="both"/>
        <w:rPr>
          <w:lang w:eastAsia="zh-CN"/>
        </w:rPr>
      </w:pPr>
      <w:r>
        <w:rPr>
          <w:noProof/>
          <w:lang w:eastAsia="zh-CN" w:bidi="ar-SA"/>
        </w:rPr>
        <w:drawing>
          <wp:inline distT="0" distB="0" distL="0" distR="0" wp14:anchorId="472CA22B" wp14:editId="16562025">
            <wp:extent cx="4476750" cy="3357245"/>
            <wp:effectExtent l="0" t="0" r="0" b="0"/>
            <wp:docPr id="31" name="Picture 31" descr="Macintosh HD:Users:erln:Desktop:09B9E19C-A3B4-4F67-BB86-E1AF6D3C0F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cintosh HD:Users:erln:Desktop:09B9E19C-A3B4-4F67-BB86-E1AF6D3C0FA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476750" cy="3357245"/>
                    </a:xfrm>
                    <a:prstGeom prst="rect">
                      <a:avLst/>
                    </a:prstGeom>
                    <a:noFill/>
                    <a:ln>
                      <a:noFill/>
                    </a:ln>
                  </pic:spPr>
                </pic:pic>
              </a:graphicData>
            </a:graphic>
          </wp:inline>
        </w:drawing>
      </w:r>
    </w:p>
    <w:p w14:paraId="6308EF9B" w14:textId="77777777" w:rsidR="00203BC4" w:rsidRDefault="00203BC4" w:rsidP="00203BC4">
      <w:pPr>
        <w:widowControl w:val="0"/>
        <w:autoSpaceDE w:val="0"/>
        <w:autoSpaceDN w:val="0"/>
        <w:adjustRightInd w:val="0"/>
        <w:spacing w:after="240"/>
        <w:jc w:val="center"/>
        <w:rPr>
          <w:lang w:eastAsia="zh-CN"/>
        </w:rPr>
      </w:pPr>
      <w:r>
        <w:rPr>
          <w:b/>
        </w:rPr>
        <w:t>Figure 1.6— Self-diffusivity of n-pentane again temperature for bulk fluid and fluid confined in ERM glass and Vycor glass (Zeigermann et al., 2009)</w:t>
      </w:r>
    </w:p>
    <w:p w14:paraId="68DD0976" w14:textId="55C67EFD" w:rsidR="00203BC4" w:rsidRDefault="00203BC4" w:rsidP="00203BC4">
      <w:pPr>
        <w:spacing w:after="240"/>
        <w:jc w:val="both"/>
        <w:rPr>
          <w:lang w:eastAsia="zh-CN"/>
        </w:rPr>
      </w:pPr>
      <w:r>
        <w:rPr>
          <w:lang w:eastAsia="zh-CN"/>
        </w:rPr>
        <w:t xml:space="preserve">On the other hand, simulations are taken place from different point of views to study the effects of </w:t>
      </w:r>
      <w:r w:rsidR="00EF7542">
        <w:rPr>
          <w:lang w:eastAsia="zh-CN"/>
        </w:rPr>
        <w:t>pore size</w:t>
      </w:r>
      <w:r>
        <w:rPr>
          <w:lang w:eastAsia="zh-CN"/>
        </w:rPr>
        <w:t xml:space="preserve">. Some of the better-known modeling approaches are molecular dynamics, equation of state modification and density functional theory. </w:t>
      </w:r>
      <w:r>
        <w:t xml:space="preserve">For example, </w:t>
      </w:r>
      <w:r>
        <w:lastRenderedPageBreak/>
        <w:t>Ambrose et al. (2012) performed a molecular simulation study to investigate the adsorption of methane in a graphite slit.</w:t>
      </w:r>
      <w:r>
        <w:rPr>
          <w:rFonts w:hint="eastAsia"/>
        </w:rPr>
        <w:t xml:space="preserve"> </w:t>
      </w:r>
      <w:r>
        <w:t xml:space="preserve">Density profiles of methane across the pore were obtained from molecular dynamic studies. From the methane density profiles, they found that the density values of the adsorbed layers were usually 2 to 2.5 times higher than the methane bulk density. Derouane (2007) proposed a simple modification of the van der Waals equation of state by introducing a new term that takes into account the attractions between the fluid molecules and </w:t>
      </w:r>
      <w:r>
        <w:rPr>
          <w:rFonts w:hint="eastAsia"/>
          <w:lang w:eastAsia="zh-CN"/>
        </w:rPr>
        <w:t xml:space="preserve">the </w:t>
      </w:r>
      <w:r>
        <w:t>pore wall. The model quantitatively predicts the critical temperature decreases and critical pressure increases by decreasing the pore size</w:t>
      </w:r>
      <w:r>
        <w:rPr>
          <w:lang w:eastAsia="zh-CN"/>
        </w:rPr>
        <w:t>.</w:t>
      </w:r>
      <w:r>
        <w:t xml:space="preserve"> More details of the</w:t>
      </w:r>
      <w:r>
        <w:rPr>
          <w:lang w:eastAsia="zh-CN"/>
        </w:rPr>
        <w:t xml:space="preserve"> models on confined fluid phase behavior will be discussed in the later chapters.</w:t>
      </w:r>
    </w:p>
    <w:p w14:paraId="02C0F340" w14:textId="77777777" w:rsidR="00203BC4" w:rsidRDefault="00203BC4" w:rsidP="00203BC4">
      <w:pPr>
        <w:tabs>
          <w:tab w:val="left" w:pos="220"/>
          <w:tab w:val="left" w:pos="720"/>
        </w:tabs>
        <w:spacing w:after="240"/>
        <w:jc w:val="both"/>
      </w:pPr>
      <w:r>
        <w:t xml:space="preserve">In conclusion, due to the nature of the nanopores, it is difficult to perform persuasive conventional fluid phase behavior study experiments inside these small pores. Results from laboratory measurements may not be consistent and can sometimes have the opposite trends from one to another. On the other hand, simulations are powerful tools for investigating the fluid behaviors inside nanopores. Many of the recent simulation approaches, such as </w:t>
      </w:r>
      <w:r>
        <w:rPr>
          <w:lang w:eastAsia="zh-CN"/>
        </w:rPr>
        <w:t xml:space="preserve">molecular simulations and density functional theory, are able to </w:t>
      </w:r>
      <w:r>
        <w:t>show more detailed adsorption phenomena of the confined fluids than some of the traditional models such as the Langmuir single-layer adsorption model</w:t>
      </w:r>
      <w:r>
        <w:rPr>
          <w:rFonts w:ascii="Times" w:hAnsi="Times" w:cs="Times"/>
        </w:rPr>
        <w:t xml:space="preserve"> (Ambrose et al., 2012)</w:t>
      </w:r>
      <w:r>
        <w:t xml:space="preserve">. </w:t>
      </w:r>
    </w:p>
    <w:p w14:paraId="3F4089A2" w14:textId="77777777" w:rsidR="00203BC4" w:rsidRDefault="00203BC4" w:rsidP="00203BC4">
      <w:pPr>
        <w:tabs>
          <w:tab w:val="left" w:pos="220"/>
          <w:tab w:val="left" w:pos="720"/>
        </w:tabs>
        <w:spacing w:after="240"/>
        <w:jc w:val="both"/>
        <w:rPr>
          <w:lang w:eastAsia="zh-CN"/>
        </w:rPr>
      </w:pPr>
    </w:p>
    <w:p w14:paraId="3E342C17" w14:textId="77777777" w:rsidR="00143562" w:rsidRDefault="00143562" w:rsidP="00203BC4">
      <w:pPr>
        <w:tabs>
          <w:tab w:val="left" w:pos="220"/>
          <w:tab w:val="left" w:pos="720"/>
        </w:tabs>
        <w:spacing w:after="240"/>
        <w:jc w:val="both"/>
        <w:rPr>
          <w:lang w:eastAsia="zh-CN"/>
        </w:rPr>
      </w:pPr>
    </w:p>
    <w:p w14:paraId="29ECEC37" w14:textId="77777777" w:rsidR="00203BC4" w:rsidRDefault="00203BC4" w:rsidP="00203BC4">
      <w:pPr>
        <w:pStyle w:val="Heading2"/>
      </w:pPr>
      <w:bookmarkStart w:id="17" w:name="_Toc508114135"/>
      <w:r>
        <w:lastRenderedPageBreak/>
        <w:t>1.3 Research Goal</w:t>
      </w:r>
      <w:bookmarkEnd w:id="17"/>
    </w:p>
    <w:p w14:paraId="012EB4BA" w14:textId="1E336F3A" w:rsidR="00203BC4" w:rsidRDefault="00203BC4" w:rsidP="00203BC4">
      <w:pPr>
        <w:tabs>
          <w:tab w:val="left" w:pos="220"/>
          <w:tab w:val="left" w:pos="720"/>
        </w:tabs>
        <w:spacing w:after="240"/>
        <w:contextualSpacing/>
        <w:jc w:val="both"/>
        <w:rPr>
          <w:lang w:eastAsia="zh-CN"/>
        </w:rPr>
      </w:pPr>
      <w:r>
        <w:rPr>
          <w:lang w:eastAsia="zh-CN"/>
        </w:rPr>
        <w:t xml:space="preserve">The research goal is to investigate </w:t>
      </w:r>
      <w:r>
        <w:rPr>
          <w:rFonts w:hint="eastAsia"/>
          <w:lang w:eastAsia="zh-CN"/>
        </w:rPr>
        <w:t xml:space="preserve">and better understand </w:t>
      </w:r>
      <w:r>
        <w:rPr>
          <w:lang w:eastAsia="zh-CN"/>
        </w:rPr>
        <w:t xml:space="preserve">the </w:t>
      </w:r>
      <w:r>
        <w:t xml:space="preserve">fluid phase behavior under </w:t>
      </w:r>
      <w:r w:rsidR="00B2181C">
        <w:t>n</w:t>
      </w:r>
      <w:r w:rsidR="00EF7542">
        <w:t>ano</w:t>
      </w:r>
      <w:r w:rsidR="00B2181C">
        <w:rPr>
          <w:rFonts w:hint="eastAsia"/>
        </w:rPr>
        <w:t>scale</w:t>
      </w:r>
      <w:r w:rsidR="00B2181C">
        <w:t xml:space="preserve"> </w:t>
      </w:r>
      <w:r>
        <w:t xml:space="preserve">confinement in shale formations by considering both molecule-molecule and molecule-pore wall interactions. We modified the equations of state to study the effects of pore size on critical properties, as well as the vapor-liquid equilibriums of the hydrocarbon mixture. Furthermore, we used the </w:t>
      </w:r>
      <w:r>
        <w:rPr>
          <w:rFonts w:hint="eastAsia"/>
          <w:lang w:eastAsia="zh-CN"/>
        </w:rPr>
        <w:t>S</w:t>
      </w:r>
      <w:r>
        <w:t xml:space="preserve">implified </w:t>
      </w:r>
      <w:r>
        <w:rPr>
          <w:rFonts w:hint="eastAsia"/>
          <w:lang w:eastAsia="zh-CN"/>
        </w:rPr>
        <w:t>L</w:t>
      </w:r>
      <w:r>
        <w:t xml:space="preserve">ocal </w:t>
      </w:r>
      <w:r>
        <w:rPr>
          <w:rFonts w:hint="eastAsia"/>
          <w:lang w:eastAsia="zh-CN"/>
        </w:rPr>
        <w:t>D</w:t>
      </w:r>
      <w:r>
        <w:t xml:space="preserve">ensity </w:t>
      </w:r>
      <w:r>
        <w:rPr>
          <w:rFonts w:hint="eastAsia"/>
          <w:lang w:eastAsia="zh-CN"/>
        </w:rPr>
        <w:t xml:space="preserve">(SLD) </w:t>
      </w:r>
      <w:r>
        <w:t xml:space="preserve">model that combines fluid-wall potentials with Peng-Robinson equation of state to predict the fluid density at different locations inside the pore. </w:t>
      </w:r>
      <w:r>
        <w:rPr>
          <w:rFonts w:hint="eastAsia"/>
          <w:lang w:eastAsia="zh-CN"/>
        </w:rPr>
        <w:t xml:space="preserve">The SLD model was </w:t>
      </w:r>
      <w:r>
        <w:rPr>
          <w:lang w:eastAsia="zh-CN"/>
        </w:rPr>
        <w:t>extended</w:t>
      </w:r>
      <w:r>
        <w:rPr>
          <w:rFonts w:hint="eastAsia"/>
          <w:lang w:eastAsia="zh-CN"/>
        </w:rPr>
        <w:t xml:space="preserve"> to help build a new Gas-In-Place (GIP) model for unconventional condensate reservoir as well as investigate capillary condensation in shale nanoporous media. </w:t>
      </w:r>
    </w:p>
    <w:p w14:paraId="77D806A1" w14:textId="77777777" w:rsidR="00203BC4" w:rsidRDefault="00203BC4" w:rsidP="00203BC4">
      <w:pPr>
        <w:tabs>
          <w:tab w:val="left" w:pos="220"/>
          <w:tab w:val="left" w:pos="720"/>
        </w:tabs>
        <w:spacing w:after="240"/>
        <w:contextualSpacing/>
        <w:jc w:val="both"/>
        <w:rPr>
          <w:rFonts w:ascii="Times" w:hAnsi="Times" w:cs="Times"/>
        </w:rPr>
      </w:pPr>
    </w:p>
    <w:p w14:paraId="35833E22" w14:textId="77777777" w:rsidR="00203BC4" w:rsidRDefault="00203BC4" w:rsidP="00203BC4">
      <w:pPr>
        <w:pStyle w:val="Heading2"/>
        <w:rPr>
          <w:lang w:eastAsia="zh-CN"/>
        </w:rPr>
      </w:pPr>
      <w:bookmarkStart w:id="18" w:name="_Toc508114136"/>
      <w:r>
        <w:t xml:space="preserve">1.4 Scope of </w:t>
      </w:r>
      <w:r>
        <w:rPr>
          <w:rFonts w:hint="eastAsia"/>
          <w:lang w:eastAsia="zh-CN"/>
        </w:rPr>
        <w:t>Dissertation</w:t>
      </w:r>
      <w:bookmarkEnd w:id="18"/>
    </w:p>
    <w:p w14:paraId="45064518" w14:textId="04103A38" w:rsidR="00203BC4" w:rsidRDefault="00203BC4" w:rsidP="00203BC4">
      <w:pPr>
        <w:jc w:val="both"/>
      </w:pPr>
      <w:r>
        <w:t xml:space="preserve">This </w:t>
      </w:r>
      <w:r>
        <w:rPr>
          <w:rFonts w:hint="eastAsia"/>
          <w:lang w:eastAsia="zh-CN"/>
        </w:rPr>
        <w:t>dissertation</w:t>
      </w:r>
      <w:r>
        <w:t xml:space="preserve"> </w:t>
      </w:r>
      <w:r>
        <w:rPr>
          <w:rFonts w:hint="eastAsia"/>
          <w:lang w:eastAsia="zh-CN"/>
        </w:rPr>
        <w:t>contains</w:t>
      </w:r>
      <w:r>
        <w:t xml:space="preserve"> </w:t>
      </w:r>
      <w:r>
        <w:rPr>
          <w:rFonts w:hint="eastAsia"/>
          <w:lang w:eastAsia="zh-CN"/>
        </w:rPr>
        <w:t>eight</w:t>
      </w:r>
      <w:r>
        <w:t xml:space="preserve"> chapters. Chapter 1 gives the background of the study, literature review and research goal and motivation. Chapter 2 discusses the methodology of how to modify the equations of state to capture the phase behavior change of hydrocarbon fluids inside nanopores in shale formations. Chapter 3 describes the mathematical model developed upon Simplified Local Density theory and Modified Peng-Robinson equation of state. The model is able to predict the density profiles and pure fluids and fluid mixture under certain pore size, temperature and pressure. Chapter 4 shows the results of the study including model validations, case studies and sensitivity analysis. </w:t>
      </w:r>
      <w:r>
        <w:rPr>
          <w:rFonts w:hint="eastAsia"/>
          <w:lang w:eastAsia="zh-CN"/>
        </w:rPr>
        <w:t xml:space="preserve">Chapter </w:t>
      </w:r>
      <w:r w:rsidR="00BB4908">
        <w:rPr>
          <w:rFonts w:hint="eastAsia"/>
          <w:lang w:eastAsia="zh-CN"/>
        </w:rPr>
        <w:t xml:space="preserve">5 gives the development of a new gas-in-place model typically for shale gas condensate plays. The model is applied to a </w:t>
      </w:r>
      <w:r w:rsidR="00BB4908">
        <w:rPr>
          <w:lang w:eastAsia="zh-CN"/>
        </w:rPr>
        <w:t>real-world</w:t>
      </w:r>
      <w:r w:rsidR="00BB4908">
        <w:rPr>
          <w:rFonts w:hint="eastAsia"/>
          <w:lang w:eastAsia="zh-CN"/>
        </w:rPr>
        <w:t xml:space="preserve"> case in Eagle Ford shale play. Chapter 6 </w:t>
      </w:r>
      <w:r w:rsidR="00471F76">
        <w:rPr>
          <w:rFonts w:hint="eastAsia"/>
          <w:lang w:eastAsia="zh-CN"/>
        </w:rPr>
        <w:t xml:space="preserve">investigates the hydrocarbon mixture fluid </w:t>
      </w:r>
      <w:r w:rsidR="00471F76">
        <w:rPr>
          <w:lang w:eastAsia="zh-CN"/>
        </w:rPr>
        <w:t>behaviors</w:t>
      </w:r>
      <w:r w:rsidR="00471F76">
        <w:rPr>
          <w:rFonts w:hint="eastAsia"/>
          <w:lang w:eastAsia="zh-CN"/>
        </w:rPr>
        <w:t xml:space="preserve"> with the presents of both </w:t>
      </w:r>
      <w:r w:rsidR="00471F76">
        <w:rPr>
          <w:rFonts w:hint="eastAsia"/>
          <w:lang w:eastAsia="zh-CN"/>
        </w:rPr>
        <w:lastRenderedPageBreak/>
        <w:t>adsorption and capillary condensation.</w:t>
      </w:r>
      <w:r w:rsidR="00936FDB">
        <w:rPr>
          <w:rFonts w:hint="eastAsia"/>
          <w:lang w:eastAsia="zh-CN"/>
        </w:rPr>
        <w:t xml:space="preserve"> It helps determine the adsorption thickness as well as the adsorption isotherms in the two-phase region. Chapter 7</w:t>
      </w:r>
      <w:r w:rsidR="00BB62DE">
        <w:rPr>
          <w:rFonts w:hint="eastAsia"/>
          <w:lang w:eastAsia="zh-CN"/>
        </w:rPr>
        <w:t xml:space="preserve"> talks about molecular dynamics (MD) simulation and its application to study the fluid behaviors in nanoscale organic pores</w:t>
      </w:r>
      <w:r w:rsidR="00BB62DE">
        <w:rPr>
          <w:rFonts w:hint="eastAsia"/>
        </w:rPr>
        <w:t xml:space="preserve">. </w:t>
      </w:r>
      <w:r>
        <w:t xml:space="preserve">Chapter </w:t>
      </w:r>
      <w:r>
        <w:rPr>
          <w:rFonts w:hint="eastAsia"/>
          <w:lang w:eastAsia="zh-CN"/>
        </w:rPr>
        <w:t>8</w:t>
      </w:r>
      <w:r>
        <w:t xml:space="preserve"> gives the conclusion</w:t>
      </w:r>
      <w:r w:rsidR="00BB62DE">
        <w:rPr>
          <w:rFonts w:hint="eastAsia"/>
        </w:rPr>
        <w:t>s</w:t>
      </w:r>
      <w:r>
        <w:t xml:space="preserve"> of the </w:t>
      </w:r>
      <w:r>
        <w:rPr>
          <w:rFonts w:hint="eastAsia"/>
          <w:lang w:eastAsia="zh-CN"/>
        </w:rPr>
        <w:t>dissertation</w:t>
      </w:r>
      <w:r w:rsidR="00BB62DE">
        <w:rPr>
          <w:rFonts w:hint="eastAsia"/>
        </w:rPr>
        <w:t xml:space="preserve"> as well as the future work recommendations.</w:t>
      </w:r>
    </w:p>
    <w:p w14:paraId="1C958369" w14:textId="77777777" w:rsidR="00203BC4" w:rsidRDefault="00203BC4">
      <w:pPr>
        <w:spacing w:after="240"/>
        <w:jc w:val="both"/>
      </w:pPr>
    </w:p>
    <w:p w14:paraId="1DFB7358" w14:textId="77777777" w:rsidR="00BB62DE" w:rsidRDefault="00BB62DE">
      <w:pPr>
        <w:spacing w:after="240"/>
        <w:jc w:val="both"/>
      </w:pPr>
    </w:p>
    <w:p w14:paraId="5284B95B" w14:textId="77777777" w:rsidR="00BB62DE" w:rsidRDefault="00BB62DE">
      <w:pPr>
        <w:spacing w:after="240"/>
        <w:jc w:val="both"/>
      </w:pPr>
    </w:p>
    <w:p w14:paraId="48C7BADA" w14:textId="77777777" w:rsidR="00BB62DE" w:rsidRDefault="00BB62DE">
      <w:pPr>
        <w:spacing w:after="240"/>
        <w:jc w:val="both"/>
      </w:pPr>
    </w:p>
    <w:p w14:paraId="315816D0" w14:textId="77777777" w:rsidR="00BB62DE" w:rsidRDefault="00BB62DE">
      <w:pPr>
        <w:spacing w:after="240"/>
        <w:jc w:val="both"/>
      </w:pPr>
    </w:p>
    <w:p w14:paraId="1B6FE655" w14:textId="77777777" w:rsidR="00BB62DE" w:rsidRDefault="00BB62DE">
      <w:pPr>
        <w:spacing w:after="240"/>
        <w:jc w:val="both"/>
      </w:pPr>
    </w:p>
    <w:p w14:paraId="2EE40A45" w14:textId="77777777" w:rsidR="00BB62DE" w:rsidRDefault="00BB62DE">
      <w:pPr>
        <w:spacing w:after="240"/>
        <w:jc w:val="both"/>
      </w:pPr>
    </w:p>
    <w:p w14:paraId="7D6AC62A" w14:textId="77777777" w:rsidR="00BB62DE" w:rsidRDefault="00BB62DE">
      <w:pPr>
        <w:spacing w:after="240"/>
        <w:jc w:val="both"/>
      </w:pPr>
    </w:p>
    <w:p w14:paraId="044135F1" w14:textId="77777777" w:rsidR="00BB62DE" w:rsidRDefault="00BB62DE">
      <w:pPr>
        <w:spacing w:after="240"/>
        <w:jc w:val="both"/>
      </w:pPr>
    </w:p>
    <w:p w14:paraId="2996D160" w14:textId="77777777" w:rsidR="00BB62DE" w:rsidRDefault="00BB62DE">
      <w:pPr>
        <w:spacing w:after="240"/>
        <w:jc w:val="both"/>
      </w:pPr>
    </w:p>
    <w:p w14:paraId="00217722" w14:textId="77777777" w:rsidR="00BB62DE" w:rsidRDefault="00BB62DE">
      <w:pPr>
        <w:spacing w:after="240"/>
        <w:jc w:val="both"/>
      </w:pPr>
    </w:p>
    <w:p w14:paraId="1EE3F286" w14:textId="77777777" w:rsidR="00BB62DE" w:rsidRDefault="00BB62DE">
      <w:pPr>
        <w:spacing w:after="240"/>
        <w:jc w:val="both"/>
      </w:pPr>
    </w:p>
    <w:p w14:paraId="1A804AD1" w14:textId="77777777" w:rsidR="00143562" w:rsidRDefault="00143562">
      <w:pPr>
        <w:spacing w:after="240"/>
        <w:jc w:val="both"/>
      </w:pPr>
    </w:p>
    <w:p w14:paraId="2EDF16E2" w14:textId="77777777" w:rsidR="0085272D" w:rsidRDefault="0096367E">
      <w:pPr>
        <w:pStyle w:val="Heading1"/>
        <w:ind w:left="240" w:right="240"/>
        <w:rPr>
          <w:lang w:eastAsia="zh-CN"/>
        </w:rPr>
      </w:pPr>
      <w:bookmarkStart w:id="19" w:name="_Toc508114137"/>
      <w:r>
        <w:lastRenderedPageBreak/>
        <w:t xml:space="preserve">Chapter 2: Modifying </w:t>
      </w:r>
      <w:r>
        <w:rPr>
          <w:rFonts w:hint="eastAsia"/>
          <w:lang w:eastAsia="zh-CN"/>
        </w:rPr>
        <w:t>Equation</w:t>
      </w:r>
      <w:r>
        <w:rPr>
          <w:lang w:eastAsia="zh-CN"/>
        </w:rPr>
        <w:t>s</w:t>
      </w:r>
      <w:r>
        <w:rPr>
          <w:rFonts w:hint="eastAsia"/>
          <w:lang w:eastAsia="zh-CN"/>
        </w:rPr>
        <w:t xml:space="preserve"> of State to Consider Confinement Effects</w:t>
      </w:r>
      <w:bookmarkEnd w:id="19"/>
    </w:p>
    <w:p w14:paraId="3F7D975F" w14:textId="77777777" w:rsidR="0085272D" w:rsidRDefault="0096367E">
      <w:pPr>
        <w:pStyle w:val="Heading2"/>
      </w:pPr>
      <w:bookmarkStart w:id="20" w:name="_Toc508114138"/>
      <w:r>
        <w:t>2.1 Background and Previous Work</w:t>
      </w:r>
      <w:bookmarkEnd w:id="20"/>
    </w:p>
    <w:p w14:paraId="5024E4FD" w14:textId="68AA3D45" w:rsidR="0085272D" w:rsidRDefault="0096367E">
      <w:pPr>
        <w:spacing w:after="240"/>
        <w:jc w:val="both"/>
        <w:rPr>
          <w:rFonts w:ascii="Times" w:eastAsia="Times New Roman" w:hAnsi="Times"/>
          <w:sz w:val="20"/>
          <w:szCs w:val="20"/>
          <w:lang w:bidi="ar-SA"/>
        </w:rPr>
      </w:pPr>
      <w:r>
        <w:rPr>
          <w:rFonts w:ascii="Times New Roman" w:hAnsi="Times New Roman"/>
        </w:rPr>
        <w:t>In thermodynamic, an equation of state (EOS) is an equation that provides the relations between different state variables, such as temperature, pressure and volume. EOS is most commonly used to describe the state of matter and the properties of any fluids, e.g., liquids, gases and solids. There are many different forms of cubic EOS in the literature. The van der Waals back in 1873 introduced the first cubic EOS that was derived by the assumption of a finite volume occupied by the constituent molecules (</w:t>
      </w:r>
      <w:r w:rsidR="00644BDC">
        <w:rPr>
          <w:rFonts w:ascii="Times New Roman" w:hAnsi="Times New Roman" w:hint="eastAsia"/>
        </w:rPr>
        <w:t xml:space="preserve">JD </w:t>
      </w:r>
      <w:r>
        <w:rPr>
          <w:rFonts w:ascii="Times New Roman" w:hAnsi="Times New Roman"/>
        </w:rPr>
        <w:t xml:space="preserve">van der Waals, 1873). </w:t>
      </w:r>
      <w:r>
        <w:rPr>
          <w:rFonts w:ascii="Times New Roman" w:hAnsi="Times New Roman" w:hint="eastAsia"/>
          <w:lang w:eastAsia="zh-CN"/>
        </w:rPr>
        <w:t>Aft</w:t>
      </w:r>
      <w:r>
        <w:rPr>
          <w:rFonts w:ascii="Times New Roman" w:hAnsi="Times New Roman"/>
          <w:lang w:eastAsia="zh-CN"/>
        </w:rPr>
        <w:t xml:space="preserve">er his invention of this revolutionized formula, many cubic EOS were derived based on the </w:t>
      </w:r>
      <w:r>
        <w:rPr>
          <w:rFonts w:ascii="Times New Roman" w:hAnsi="Times New Roman"/>
        </w:rPr>
        <w:t>van der Waals EOS (Redlich and Kwong, 1949; Zudkevitch and Joffe, 1970; Soave, 1972; Peng and Robinson, 1976; Schmidt and Wenzel, 1980),</w:t>
      </w:r>
      <w:r>
        <w:rPr>
          <w:rFonts w:ascii="Times New Roman" w:hAnsi="Times New Roman"/>
          <w:lang w:eastAsia="zh-CN"/>
        </w:rPr>
        <w:t xml:space="preserve"> </w:t>
      </w:r>
      <w:r>
        <w:rPr>
          <w:rFonts w:ascii="Times New Roman" w:hAnsi="Times New Roman"/>
        </w:rPr>
        <w:t>among which, the Peng-Robinsion (PR) EOS and the Soave-Redlich-Kwong (SRK) EOS are the most two widely used forms of EOS in the petroleum industry. Although these EOS, especially the PR-EOS and the SRK-EOS are believed to have accurate predictions on hydrocar</w:t>
      </w:r>
      <w:r w:rsidR="00B2181C">
        <w:rPr>
          <w:rFonts w:ascii="Times New Roman" w:hAnsi="Times New Roman"/>
        </w:rPr>
        <w:t>bon phase behavior, all of the</w:t>
      </w:r>
      <w:r>
        <w:rPr>
          <w:rFonts w:ascii="Times New Roman" w:hAnsi="Times New Roman"/>
        </w:rPr>
        <w:t xml:space="preserve"> EOS assume the fluids are in a bulk system, i.e., a system without boundary effects and is allowed to expand or </w:t>
      </w:r>
      <w:r>
        <w:rPr>
          <w:rFonts w:ascii="Times New Roman" w:hAnsi="Times New Roman" w:hint="eastAsia"/>
          <w:lang w:eastAsia="zh-CN"/>
        </w:rPr>
        <w:t>shrink</w:t>
      </w:r>
      <w:r>
        <w:rPr>
          <w:rFonts w:ascii="Times New Roman" w:hAnsi="Times New Roman"/>
          <w:lang w:eastAsia="zh-CN"/>
        </w:rPr>
        <w:t xml:space="preserve"> without restrictions. However, this may not be the case for the fluids inside porous media. When the fluids are confined within narrow pores, the existence of the wall forces, as well as the competition between the fluid-fluid and fluid-wall interactions can lead to phase behavior changes of the confined fluids (Gelb et al., 1999; Trens et al., 2005; Hamada et al., 2007, Sapmanee 2011). Evidences sh</w:t>
      </w:r>
      <w:r w:rsidR="00F70AB6">
        <w:rPr>
          <w:rFonts w:ascii="Times New Roman" w:hAnsi="Times New Roman"/>
          <w:lang w:eastAsia="zh-CN"/>
        </w:rPr>
        <w:t>owing critical property shift (d</w:t>
      </w:r>
      <w:r>
        <w:rPr>
          <w:rFonts w:ascii="Times New Roman" w:hAnsi="Times New Roman"/>
          <w:lang w:eastAsia="zh-CN"/>
        </w:rPr>
        <w:t>e</w:t>
      </w:r>
      <w:r w:rsidR="00F70AB6">
        <w:rPr>
          <w:rFonts w:ascii="Times New Roman" w:hAnsi="Times New Roman" w:hint="eastAsia"/>
          <w:lang w:eastAsia="zh-CN"/>
        </w:rPr>
        <w:t xml:space="preserve"> </w:t>
      </w:r>
      <w:r>
        <w:rPr>
          <w:rFonts w:ascii="Times New Roman" w:hAnsi="Times New Roman"/>
          <w:lang w:eastAsia="zh-CN"/>
        </w:rPr>
        <w:t xml:space="preserve">Keizer et al., 1991; Findenegg et al., 1994, Thommes and Findenegg, 1994; Groß and Findenegg, 1997) and saturation </w:t>
      </w:r>
      <w:r>
        <w:rPr>
          <w:rFonts w:ascii="Times New Roman" w:hAnsi="Times New Roman"/>
          <w:lang w:eastAsia="zh-CN"/>
        </w:rPr>
        <w:lastRenderedPageBreak/>
        <w:t>pressure shift (</w:t>
      </w:r>
      <w:r>
        <w:rPr>
          <w:lang w:eastAsia="zh-CN"/>
        </w:rPr>
        <w:t xml:space="preserve">Tindy and Raynal, 1966; Trebin and Zadora, 1968; </w:t>
      </w:r>
      <w:r>
        <w:rPr>
          <w:rFonts w:ascii="Times New Roman" w:hAnsi="Times New Roman"/>
          <w:lang w:eastAsia="zh-CN"/>
        </w:rPr>
        <w:t xml:space="preserve">Sigmund et al. 1973; </w:t>
      </w:r>
      <w:r>
        <w:rPr>
          <w:lang w:eastAsia="zh-CN"/>
        </w:rPr>
        <w:t>Voronov et al., 2003</w:t>
      </w:r>
      <w:r w:rsidR="00B2181C">
        <w:rPr>
          <w:rFonts w:ascii="Times New Roman" w:hAnsi="Times New Roman"/>
          <w:lang w:eastAsia="zh-CN"/>
        </w:rPr>
        <w:t>) suggest that the</w:t>
      </w:r>
      <w:r>
        <w:rPr>
          <w:rFonts w:ascii="Times New Roman" w:hAnsi="Times New Roman"/>
          <w:lang w:eastAsia="zh-CN"/>
        </w:rPr>
        <w:t xml:space="preserve"> conventional EOS are no longer valid to accurately predict the confined fluid phase behavior due to the ignorance of the confinement effects. </w:t>
      </w:r>
    </w:p>
    <w:p w14:paraId="327190B5" w14:textId="742F5D36" w:rsidR="0085272D" w:rsidRDefault="0096367E">
      <w:pPr>
        <w:widowControl w:val="0"/>
        <w:autoSpaceDE w:val="0"/>
        <w:autoSpaceDN w:val="0"/>
        <w:adjustRightInd w:val="0"/>
        <w:spacing w:after="240"/>
        <w:jc w:val="both"/>
        <w:rPr>
          <w:rFonts w:ascii="Times New Roman" w:hAnsi="Times New Roman"/>
        </w:rPr>
      </w:pPr>
      <w:r>
        <w:rPr>
          <w:rFonts w:ascii="Times New Roman" w:hAnsi="Times New Roman" w:hint="eastAsia"/>
          <w:lang w:eastAsia="zh-CN"/>
        </w:rPr>
        <w:t>S</w:t>
      </w:r>
      <w:r>
        <w:rPr>
          <w:rFonts w:ascii="Times New Roman" w:hAnsi="Times New Roman"/>
        </w:rPr>
        <w:t>tudies implementing confinement effects into EOS are available in the literature. Schoen and Diestler (1998) modified the van der Waals equation of state by using perturbation theory to study confined fluids in slit-pores. The developed equation of state can predict capillary condensation and depression of critical temperature of a fluid in mesopore qualitatively. The predictions of the equation of state were however found to be unsatisfactory in the vicinity of critical region. Zhu et al. (1999) studied confined fluids in cylindrical mesopores and developed an EOS by using the theory of thermodynamical interfaces to describe N</w:t>
      </w:r>
      <w:r>
        <w:rPr>
          <w:rFonts w:ascii="Times New Roman" w:hAnsi="Times New Roman"/>
          <w:position w:val="-3"/>
        </w:rPr>
        <w:t xml:space="preserve">2 </w:t>
      </w:r>
      <w:r>
        <w:rPr>
          <w:rFonts w:ascii="Times New Roman" w:hAnsi="Times New Roman"/>
        </w:rPr>
        <w:t xml:space="preserve">adsorption in different pore sizes. The EOS took into account the facts of the attractive interactions between the adsorbed molecules and the wall, the curvature of the gas/adsorbed phase interface and surface tension. Zarragoicoechea and Kuz (2002 and 2004) studied confined fluids in square cross section pores by extending van der Waals EOS to a microscopic van der Waals mean field model to describe the Lennard-Jones fluids confined in nanopores. They assumed a tensorial character for the pressure of confined fluid and neglected the interaction between the fluid molecules and the wall. However, they did not find good agreement between the predicted capillary condensation and critical temperature and experimental data. Derouane (2007) proposed a simple modification of van der Waals EOS by introducing a new term that takes into account the attractions between the fluid molecules and the pore wall. The short-range repulsion effects are ignored as the first approximation. The model quantitatively predicts the critical temperature decreases and critical pressure increases by decreasing the pore </w:t>
      </w:r>
      <w:r>
        <w:rPr>
          <w:rFonts w:ascii="Times New Roman" w:hAnsi="Times New Roman"/>
        </w:rPr>
        <w:lastRenderedPageBreak/>
        <w:t>size. These results are in general agreement with the findings from molecular simulation studies of Singh et al. (2009) for pore sizes bigger than 2 nm</w:t>
      </w:r>
      <w:r w:rsidR="00143562">
        <w:rPr>
          <w:rFonts w:ascii="Times New Roman" w:hAnsi="Times New Roman"/>
        </w:rPr>
        <w:t>.</w:t>
      </w:r>
      <w:r>
        <w:rPr>
          <w:rFonts w:ascii="Times New Roman" w:hAnsi="Times New Roman"/>
        </w:rPr>
        <w:t xml:space="preserve"> Travalloni et al. (2010a) developed a new version of the van der Waals EOS to study phase behavior of confined pure fluids and mixtures in porous media. A continuous and homogenous cylinder was assumed to be the representative of each pore while fluid molecules were assumed spherical. Fluid molecule-fluid molecule and fluid molecule-solid wall interactions were included in the EOS through square-well potential. The developed EOS has two fitting parameters. It was claimed that the model could be used for estimation of confined and bulk fluid properties because the effect of pore size was included in the EOS. Adsorption experimental data of pure fluids (C</w:t>
      </w:r>
      <w:r>
        <w:rPr>
          <w:rFonts w:ascii="Times New Roman" w:hAnsi="Times New Roman"/>
          <w:position w:val="-3"/>
        </w:rPr>
        <w:t>1</w:t>
      </w:r>
      <w:r>
        <w:rPr>
          <w:rFonts w:ascii="Times New Roman" w:hAnsi="Times New Roman"/>
        </w:rPr>
        <w:t>, C</w:t>
      </w:r>
      <w:r>
        <w:rPr>
          <w:rFonts w:ascii="Times New Roman" w:hAnsi="Times New Roman"/>
          <w:position w:val="-3"/>
        </w:rPr>
        <w:t>2</w:t>
      </w:r>
      <w:r>
        <w:rPr>
          <w:rFonts w:ascii="Times New Roman" w:hAnsi="Times New Roman"/>
        </w:rPr>
        <w:t>, N</w:t>
      </w:r>
      <w:r>
        <w:rPr>
          <w:rFonts w:ascii="Times New Roman" w:hAnsi="Times New Roman"/>
          <w:position w:val="-3"/>
        </w:rPr>
        <w:t>2</w:t>
      </w:r>
      <w:r>
        <w:rPr>
          <w:rFonts w:ascii="Times New Roman" w:hAnsi="Times New Roman"/>
        </w:rPr>
        <w:t>, H</w:t>
      </w:r>
      <w:r>
        <w:rPr>
          <w:rFonts w:ascii="Times New Roman" w:hAnsi="Times New Roman"/>
          <w:position w:val="-3"/>
        </w:rPr>
        <w:t>2</w:t>
      </w:r>
      <w:r>
        <w:rPr>
          <w:rFonts w:ascii="Times New Roman" w:hAnsi="Times New Roman"/>
        </w:rPr>
        <w:t>, toluene, and 1-propanol) at low pressures</w:t>
      </w:r>
      <w:r w:rsidR="005071EF">
        <w:rPr>
          <w:rFonts w:ascii="Times New Roman" w:hAnsi="Times New Roman"/>
        </w:rPr>
        <w:t xml:space="preserve"> </w:t>
      </w:r>
      <w:r w:rsidR="00370AC3">
        <w:rPr>
          <w:rFonts w:ascii="Times New Roman" w:hAnsi="Times New Roman" w:hint="eastAsia"/>
        </w:rPr>
        <w:t xml:space="preserve">(close to atmosphere </w:t>
      </w:r>
      <w:r w:rsidR="00025D27">
        <w:rPr>
          <w:rFonts w:ascii="Times New Roman" w:hAnsi="Times New Roman"/>
        </w:rPr>
        <w:t>pressure</w:t>
      </w:r>
      <w:r w:rsidR="00370AC3">
        <w:rPr>
          <w:rFonts w:ascii="Times New Roman" w:hAnsi="Times New Roman" w:hint="eastAsia"/>
        </w:rPr>
        <w:t>)</w:t>
      </w:r>
      <w:r>
        <w:rPr>
          <w:rFonts w:ascii="Times New Roman" w:hAnsi="Times New Roman"/>
        </w:rPr>
        <w:t xml:space="preserve"> were used to find the fitting parameters of the model. Using the fitted parameters of pure fluids, the validity of the model was tested by satisfactorily predicting the adsorption of binary (C</w:t>
      </w:r>
      <w:r>
        <w:rPr>
          <w:rFonts w:ascii="Times New Roman" w:hAnsi="Times New Roman"/>
          <w:position w:val="-3"/>
        </w:rPr>
        <w:t>1</w:t>
      </w:r>
      <w:r>
        <w:rPr>
          <w:rFonts w:ascii="Times New Roman" w:hAnsi="Times New Roman"/>
        </w:rPr>
        <w:t>-C</w:t>
      </w:r>
      <w:r>
        <w:rPr>
          <w:rFonts w:ascii="Times New Roman" w:hAnsi="Times New Roman"/>
          <w:position w:val="-3"/>
        </w:rPr>
        <w:t xml:space="preserve">2 </w:t>
      </w:r>
      <w:r>
        <w:rPr>
          <w:rFonts w:ascii="Times New Roman" w:hAnsi="Times New Roman"/>
        </w:rPr>
        <w:t>and toluene-1-propoanol) and ternary mixtures (C</w:t>
      </w:r>
      <w:r>
        <w:rPr>
          <w:rFonts w:ascii="Times New Roman" w:hAnsi="Times New Roman"/>
          <w:position w:val="-3"/>
        </w:rPr>
        <w:t>1</w:t>
      </w:r>
      <w:r>
        <w:rPr>
          <w:rFonts w:ascii="Times New Roman" w:hAnsi="Times New Roman"/>
        </w:rPr>
        <w:t>-N</w:t>
      </w:r>
      <w:r>
        <w:rPr>
          <w:rFonts w:ascii="Times New Roman" w:hAnsi="Times New Roman"/>
          <w:position w:val="-3"/>
        </w:rPr>
        <w:t>2</w:t>
      </w:r>
      <w:r>
        <w:rPr>
          <w:rFonts w:ascii="Times New Roman" w:hAnsi="Times New Roman"/>
        </w:rPr>
        <w:t>-H</w:t>
      </w:r>
      <w:r>
        <w:rPr>
          <w:rFonts w:ascii="Times New Roman" w:hAnsi="Times New Roman"/>
          <w:position w:val="-3"/>
        </w:rPr>
        <w:t>2</w:t>
      </w:r>
      <w:r>
        <w:rPr>
          <w:rFonts w:ascii="Times New Roman" w:hAnsi="Times New Roman"/>
        </w:rPr>
        <w:t>). Travalloni et al. (2010b) studied critical behavior of confined pure fluids in porous media using the novel version of van der Waals EOS developed by Travalloni et al. (2010a). They determined that confined pure fluids may exhibit one or two mechanically stable critical points</w:t>
      </w:r>
      <w:r w:rsidR="00483E80">
        <w:rPr>
          <w:rFonts w:ascii="Times New Roman" w:hAnsi="Times New Roman"/>
        </w:rPr>
        <w:t>,</w:t>
      </w:r>
      <w:r>
        <w:rPr>
          <w:rFonts w:ascii="Times New Roman" w:hAnsi="Times New Roman"/>
        </w:rPr>
        <w:t xml:space="preserve"> due to the presence of strong fluid molecule-solid wall interactions. They </w:t>
      </w:r>
      <w:r>
        <w:rPr>
          <w:rFonts w:ascii="Times New Roman" w:hAnsi="Times New Roman" w:hint="eastAsia"/>
          <w:lang w:eastAsia="zh-CN"/>
        </w:rPr>
        <w:t xml:space="preserve">also </w:t>
      </w:r>
      <w:r>
        <w:rPr>
          <w:rFonts w:ascii="Times New Roman" w:hAnsi="Times New Roman"/>
        </w:rPr>
        <w:t>indicated that the prediction of the distinct critical points for these confined fluids is likely to be useful in describing phase transitions in adsorption isotherms.</w:t>
      </w:r>
      <w:r>
        <w:rPr>
          <w:rFonts w:ascii="Times" w:hAnsi="Times" w:cs="Times"/>
        </w:rPr>
        <w:t xml:space="preserve"> </w:t>
      </w:r>
    </w:p>
    <w:p w14:paraId="49C93E94" w14:textId="22F6CB47" w:rsidR="0085272D" w:rsidRDefault="0096367E">
      <w:pPr>
        <w:widowControl w:val="0"/>
        <w:autoSpaceDE w:val="0"/>
        <w:autoSpaceDN w:val="0"/>
        <w:adjustRightInd w:val="0"/>
        <w:spacing w:after="240"/>
        <w:jc w:val="both"/>
        <w:rPr>
          <w:rFonts w:ascii="Times New Roman" w:hAnsi="Times New Roman"/>
        </w:rPr>
      </w:pPr>
      <w:r>
        <w:rPr>
          <w:rFonts w:ascii="Times New Roman" w:hAnsi="Times New Roman" w:hint="eastAsia"/>
          <w:lang w:eastAsia="zh-CN"/>
        </w:rPr>
        <w:t>Most</w:t>
      </w:r>
      <w:r>
        <w:rPr>
          <w:rFonts w:ascii="Times New Roman" w:hAnsi="Times New Roman"/>
          <w:lang w:eastAsia="zh-CN"/>
        </w:rPr>
        <w:t xml:space="preserve"> of</w:t>
      </w:r>
      <w:r>
        <w:rPr>
          <w:rFonts w:ascii="Times New Roman" w:hAnsi="Times New Roman"/>
        </w:rPr>
        <w:t xml:space="preserve"> these studies, although considered the confinement effects using different approaches, only apply to certain </w:t>
      </w:r>
      <w:r>
        <w:rPr>
          <w:rFonts w:ascii="Times New Roman" w:hAnsi="Times New Roman" w:hint="eastAsia"/>
          <w:lang w:eastAsia="zh-CN"/>
        </w:rPr>
        <w:t>co</w:t>
      </w:r>
      <w:r>
        <w:rPr>
          <w:rFonts w:ascii="Times New Roman" w:hAnsi="Times New Roman"/>
          <w:lang w:eastAsia="zh-CN"/>
        </w:rPr>
        <w:t xml:space="preserve">nditions and/or temperature and pressure ranges. For example, </w:t>
      </w:r>
      <w:r>
        <w:rPr>
          <w:rFonts w:ascii="Times New Roman" w:hAnsi="Times New Roman"/>
        </w:rPr>
        <w:t>Travalloni et al. (2010a</w:t>
      </w:r>
      <w:r>
        <w:rPr>
          <w:rFonts w:ascii="Times New Roman" w:hAnsi="Times New Roman" w:hint="eastAsia"/>
          <w:lang w:eastAsia="zh-CN"/>
        </w:rPr>
        <w:t xml:space="preserve"> and 2010b</w:t>
      </w:r>
      <w:r>
        <w:rPr>
          <w:rFonts w:ascii="Times New Roman" w:hAnsi="Times New Roman"/>
        </w:rPr>
        <w:t>)</w:t>
      </w:r>
      <w:r>
        <w:rPr>
          <w:rFonts w:ascii="Times New Roman" w:hAnsi="Times New Roman" w:hint="eastAsia"/>
          <w:lang w:eastAsia="zh-CN"/>
        </w:rPr>
        <w:t xml:space="preserve"> focused on the pressure range up to 6 M</w:t>
      </w:r>
      <w:r w:rsidR="00025D27">
        <w:rPr>
          <w:rFonts w:ascii="Times New Roman" w:hAnsi="Times New Roman" w:hint="eastAsia"/>
          <w:lang w:eastAsia="zh-CN"/>
        </w:rPr>
        <w:t>P</w:t>
      </w:r>
      <w:r>
        <w:rPr>
          <w:rFonts w:ascii="Times New Roman" w:hAnsi="Times New Roman" w:hint="eastAsia"/>
          <w:lang w:eastAsia="zh-CN"/>
        </w:rPr>
        <w:t xml:space="preserve">a </w:t>
      </w:r>
      <w:r>
        <w:rPr>
          <w:rFonts w:ascii="Times New Roman" w:hAnsi="Times New Roman" w:hint="eastAsia"/>
          <w:lang w:eastAsia="zh-CN"/>
        </w:rPr>
        <w:lastRenderedPageBreak/>
        <w:t xml:space="preserve">(870 psi). </w:t>
      </w:r>
      <w:r>
        <w:rPr>
          <w:rFonts w:ascii="Times New Roman" w:hAnsi="Times New Roman"/>
        </w:rPr>
        <w:t>Schoen and Diestler (1998)</w:t>
      </w:r>
      <w:r>
        <w:rPr>
          <w:rFonts w:ascii="Times New Roman" w:hAnsi="Times New Roman" w:hint="eastAsia"/>
          <w:lang w:eastAsia="zh-CN"/>
        </w:rPr>
        <w:t xml:space="preserve"> and </w:t>
      </w:r>
      <w:r>
        <w:rPr>
          <w:rFonts w:ascii="Times New Roman" w:hAnsi="Times New Roman"/>
        </w:rPr>
        <w:t>Zhu et al. (1999)</w:t>
      </w:r>
      <w:r>
        <w:rPr>
          <w:rFonts w:ascii="Times New Roman" w:hAnsi="Times New Roman" w:hint="eastAsia"/>
          <w:lang w:eastAsia="zh-CN"/>
        </w:rPr>
        <w:t xml:space="preserve"> investigated pure inorganic component (SF</w:t>
      </w:r>
      <w:r>
        <w:rPr>
          <w:rFonts w:ascii="Times New Roman" w:hAnsi="Times New Roman" w:hint="eastAsia"/>
          <w:vertAlign w:val="subscript"/>
          <w:lang w:eastAsia="zh-CN"/>
        </w:rPr>
        <w:t>6</w:t>
      </w:r>
      <w:r>
        <w:rPr>
          <w:rFonts w:ascii="Times New Roman" w:hAnsi="Times New Roman" w:hint="eastAsia"/>
          <w:lang w:eastAsia="zh-CN"/>
        </w:rPr>
        <w:t xml:space="preserve"> and N</w:t>
      </w:r>
      <w:r>
        <w:rPr>
          <w:rFonts w:ascii="Times New Roman" w:hAnsi="Times New Roman" w:hint="eastAsia"/>
          <w:vertAlign w:val="subscript"/>
          <w:lang w:eastAsia="zh-CN"/>
        </w:rPr>
        <w:t>2</w:t>
      </w:r>
      <w:r>
        <w:rPr>
          <w:rFonts w:ascii="Times New Roman" w:hAnsi="Times New Roman" w:hint="eastAsia"/>
          <w:lang w:eastAsia="zh-CN"/>
        </w:rPr>
        <w:t xml:space="preserve">, respectively) and mainly within the </w:t>
      </w:r>
      <w:r>
        <w:rPr>
          <w:rFonts w:ascii="Times New Roman" w:hAnsi="Times New Roman"/>
          <w:lang w:eastAsia="zh-CN"/>
        </w:rPr>
        <w:t>temperature and pressure ranges</w:t>
      </w:r>
      <w:r>
        <w:rPr>
          <w:rFonts w:ascii="Times New Roman" w:hAnsi="Times New Roman" w:hint="eastAsia"/>
          <w:lang w:eastAsia="zh-CN"/>
        </w:rPr>
        <w:t xml:space="preserve"> where capillary condensation can occur. </w:t>
      </w:r>
      <w:r>
        <w:rPr>
          <w:rFonts w:ascii="Times New Roman" w:hAnsi="Times New Roman"/>
        </w:rPr>
        <w:t>Zarragoicoechea and Kuz (2002 and 2004)</w:t>
      </w:r>
      <w:r>
        <w:rPr>
          <w:rFonts w:ascii="Times New Roman" w:hAnsi="Times New Roman" w:hint="eastAsia"/>
          <w:lang w:eastAsia="zh-CN"/>
        </w:rPr>
        <w:t xml:space="preserve"> predicted the critical temperature shift using the modified </w:t>
      </w:r>
      <w:r>
        <w:rPr>
          <w:rFonts w:ascii="Times New Roman" w:hAnsi="Times New Roman"/>
        </w:rPr>
        <w:t>van der Waals EOS</w:t>
      </w:r>
      <w:r>
        <w:rPr>
          <w:rFonts w:ascii="Times New Roman" w:hAnsi="Times New Roman" w:hint="eastAsia"/>
          <w:lang w:eastAsia="zh-CN"/>
        </w:rPr>
        <w:t xml:space="preserve"> model and had good match against experimental data. However, it only covers the range of pore size up to only two times the fluid molecular diameter. Derouane (2007) mo</w:t>
      </w:r>
      <w:r>
        <w:rPr>
          <w:rFonts w:ascii="Times New Roman" w:hAnsi="Times New Roman"/>
          <w:lang w:eastAsia="zh-CN"/>
        </w:rPr>
        <w:t xml:space="preserve">dified the </w:t>
      </w:r>
      <w:r>
        <w:rPr>
          <w:rFonts w:ascii="Times New Roman" w:hAnsi="Times New Roman"/>
        </w:rPr>
        <w:t xml:space="preserve">van der Waals EOS by adding a new term to consider the fluid-wall interactions but no additional information about how to solve for the parameters in the new term was documented. However, </w:t>
      </w:r>
      <w:r>
        <w:rPr>
          <w:rFonts w:ascii="Times New Roman" w:hAnsi="Times New Roman" w:hint="eastAsia"/>
          <w:lang w:eastAsia="zh-CN"/>
        </w:rPr>
        <w:t>Derouane (2007)</w:t>
      </w:r>
      <w:r>
        <w:rPr>
          <w:rFonts w:ascii="Times New Roman" w:hAnsi="Times New Roman"/>
          <w:lang w:eastAsia="zh-CN"/>
        </w:rPr>
        <w:t xml:space="preserve"> gives a direction of research of implementing the confinement effects into EOS in a simple way. </w:t>
      </w:r>
      <w:r>
        <w:rPr>
          <w:rFonts w:ascii="Times New Roman" w:hAnsi="Times New Roman"/>
        </w:rPr>
        <w:t xml:space="preserve">In this work, we developed a new EOS that can predict the phase behavior of hydrocarbon fluids for all range of pore sizes from bulk to nanopore scale sizes (in shale formations) based on van der Waals EOS in a way similar to </w:t>
      </w:r>
      <w:r>
        <w:rPr>
          <w:rFonts w:ascii="Times New Roman" w:hAnsi="Times New Roman" w:hint="eastAsia"/>
          <w:lang w:eastAsia="zh-CN"/>
        </w:rPr>
        <w:t>Derouane (2007)</w:t>
      </w:r>
      <w:r>
        <w:rPr>
          <w:rFonts w:ascii="Times New Roman" w:hAnsi="Times New Roman"/>
          <w:lang w:eastAsia="zh-CN"/>
        </w:rPr>
        <w:t xml:space="preserve"> by adding a new term</w:t>
      </w:r>
      <w:r>
        <w:rPr>
          <w:rFonts w:ascii="Times New Roman" w:hAnsi="Times New Roman"/>
        </w:rPr>
        <w:t xml:space="preserve">. The value of the parameter in this new term was derived based on the molecular simulation data from Singh et al. (2009). The proposed methodology was also extended to Peng-Robinson EOS for higher accuracy. </w:t>
      </w:r>
    </w:p>
    <w:p w14:paraId="487290E7" w14:textId="77777777" w:rsidR="00E94F47" w:rsidRDefault="00E94F47">
      <w:pPr>
        <w:widowControl w:val="0"/>
        <w:autoSpaceDE w:val="0"/>
        <w:autoSpaceDN w:val="0"/>
        <w:adjustRightInd w:val="0"/>
        <w:spacing w:after="240"/>
        <w:jc w:val="both"/>
        <w:rPr>
          <w:rFonts w:ascii="Times New Roman" w:hAnsi="Times New Roman"/>
          <w:lang w:eastAsia="zh-CN"/>
        </w:rPr>
      </w:pPr>
    </w:p>
    <w:p w14:paraId="6E2DBF4A" w14:textId="77777777" w:rsidR="0085272D" w:rsidRDefault="0096367E">
      <w:pPr>
        <w:pStyle w:val="Heading2"/>
      </w:pPr>
      <w:bookmarkStart w:id="21" w:name="_Toc508114139"/>
      <w:r>
        <w:t>2.2 Equation of State Modification</w:t>
      </w:r>
      <w:bookmarkEnd w:id="21"/>
    </w:p>
    <w:p w14:paraId="6C105DC3" w14:textId="77777777" w:rsidR="0085272D" w:rsidRDefault="0096367E">
      <w:pPr>
        <w:pStyle w:val="Heading3"/>
      </w:pPr>
      <w:bookmarkStart w:id="22" w:name="_Toc508114140"/>
      <w:r>
        <w:t>2.2.1 Modification of van der Waals Equation of State</w:t>
      </w:r>
      <w:bookmarkEnd w:id="22"/>
    </w:p>
    <w:p w14:paraId="4AE9E0A0" w14:textId="77777777" w:rsidR="0085272D" w:rsidRDefault="0096367E">
      <w:pPr>
        <w:jc w:val="both"/>
      </w:pPr>
      <w:r>
        <w:t>Derouane (2007) stated that the fluid-wall interactions are obviously strong and could reduce the ‘internal pressure’ correction term in the EOS. Thus, van der Waals EOS is modified to include fluid-wall interactions as follows:</w:t>
      </w:r>
    </w:p>
    <w:p w14:paraId="095B2B6D" w14:textId="42CC164A" w:rsidR="0085272D" w:rsidRDefault="00FA6998">
      <w:pPr>
        <w:tabs>
          <w:tab w:val="right" w:leader="dot" w:pos="8460"/>
        </w:tabs>
        <w:rPr>
          <w:lang w:eastAsia="zh-CN"/>
        </w:rPr>
      </w:pPr>
      <w:r>
        <w:rPr>
          <w:noProof/>
          <w:position w:val="-24"/>
          <w:sz w:val="22"/>
          <w:szCs w:val="22"/>
          <w:lang w:eastAsia="zh-CN" w:bidi="ar-SA"/>
        </w:rPr>
        <w:drawing>
          <wp:inline distT="0" distB="0" distL="0" distR="0" wp14:anchorId="011BDABA" wp14:editId="4A8DF3BA">
            <wp:extent cx="1164590" cy="391795"/>
            <wp:effectExtent l="0" t="0" r="3810" b="0"/>
            <wp:docPr id="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4590" cy="391795"/>
                    </a:xfrm>
                    <a:prstGeom prst="rect">
                      <a:avLst/>
                    </a:prstGeom>
                    <a:noFill/>
                    <a:ln>
                      <a:noFill/>
                    </a:ln>
                  </pic:spPr>
                </pic:pic>
              </a:graphicData>
            </a:graphic>
          </wp:inline>
        </w:drawing>
      </w:r>
      <w:r w:rsidR="0096367E">
        <w:rPr>
          <w:lang w:eastAsia="zh-CN"/>
        </w:rPr>
        <w:tab/>
        <w:t>(2.1)</w:t>
      </w:r>
    </w:p>
    <w:p w14:paraId="099DAB26" w14:textId="77777777" w:rsidR="0085272D" w:rsidRDefault="0096367E">
      <w:pPr>
        <w:spacing w:after="240"/>
        <w:jc w:val="both"/>
      </w:pPr>
      <w:r>
        <w:lastRenderedPageBreak/>
        <w:t xml:space="preserve">Where the term </w:t>
      </w:r>
      <m:oMath>
        <m:f>
          <m:fPr>
            <m:ctrlPr>
              <w:rPr>
                <w:rFonts w:ascii="Cambria Math" w:hAnsi="Cambria Math"/>
              </w:rPr>
            </m:ctrlPr>
          </m:fPr>
          <m:num>
            <m:r>
              <m:rPr>
                <m:sty m:val="p"/>
              </m:rPr>
              <w:rPr>
                <w:rFonts w:ascii="Cambria Math" w:hAnsi="Cambria Math"/>
              </w:rPr>
              <m:t>c</m:t>
            </m:r>
          </m:num>
          <m:den>
            <m:sSup>
              <m:sSupPr>
                <m:ctrlPr>
                  <w:rPr>
                    <w:rFonts w:ascii="Cambria Math" w:hAnsi="Cambria Math"/>
                  </w:rPr>
                </m:ctrlPr>
              </m:sSupPr>
              <m:e>
                <m:r>
                  <m:rPr>
                    <m:sty m:val="p"/>
                  </m:rPr>
                  <w:rPr>
                    <w:rFonts w:ascii="Cambria Math" w:hAnsi="Cambria Math"/>
                  </w:rPr>
                  <m:t>V</m:t>
                </m:r>
              </m:e>
              <m:sup>
                <m:r>
                  <m:rPr>
                    <m:sty m:val="p"/>
                  </m:rPr>
                  <w:rPr>
                    <w:rFonts w:ascii="Cambria Math" w:hAnsi="Cambria Math"/>
                  </w:rPr>
                  <m:t>2</m:t>
                </m:r>
              </m:sup>
            </m:sSup>
          </m:den>
        </m:f>
      </m:oMath>
      <w:r>
        <w:t xml:space="preserve"> represents the interactions between the fluid molecule and the pore wall of the porous media. The short-range repulsion effects between the fluid molecule and the pore wall are neglected and only attraction forces are considered as the first approximation. The new parameter c is dependent on the pore size. When the pore size is infinity, the value of c will approach zero and Equation 2.1 will turn to the original van der Waals EOS.</w:t>
      </w:r>
    </w:p>
    <w:p w14:paraId="00BB8D47" w14:textId="77777777" w:rsidR="0085272D" w:rsidRDefault="0096367E">
      <w:pPr>
        <w:jc w:val="both"/>
      </w:pPr>
      <w:r>
        <w:t xml:space="preserve">For any cubic equations of state, the critical isotherm </w:t>
      </w:r>
      <w:r>
        <w:rPr>
          <w:rFonts w:hint="eastAsia"/>
          <w:lang w:eastAsia="zh-CN"/>
        </w:rPr>
        <w:t xml:space="preserve">of the PV curve </w:t>
      </w:r>
      <w:r>
        <w:t xml:space="preserve">exhibits an inflection at the critical point. </w:t>
      </w:r>
      <w:r>
        <w:rPr>
          <w:rFonts w:hint="eastAsia"/>
          <w:lang w:eastAsia="zh-CN"/>
        </w:rPr>
        <w:t>Mathematically speaking</w:t>
      </w:r>
      <w:r>
        <w:t>, the first and second derivatives of pressure with respect to volume at a constant temperature are equal to zero at critical point:</w:t>
      </w:r>
    </w:p>
    <w:p w14:paraId="3627804F" w14:textId="5B62D704" w:rsidR="0085272D" w:rsidRDefault="00FA6998">
      <w:pPr>
        <w:tabs>
          <w:tab w:val="right" w:leader="dot" w:pos="8460"/>
        </w:tabs>
        <w:rPr>
          <w:lang w:eastAsia="zh-CN"/>
        </w:rPr>
      </w:pPr>
      <w:r>
        <w:rPr>
          <w:noProof/>
          <w:position w:val="-30"/>
          <w:lang w:eastAsia="zh-CN" w:bidi="ar-SA"/>
        </w:rPr>
        <w:drawing>
          <wp:inline distT="0" distB="0" distL="0" distR="0" wp14:anchorId="24A2B64A" wp14:editId="321499F3">
            <wp:extent cx="783590" cy="446405"/>
            <wp:effectExtent l="0" t="0" r="3810" b="10795"/>
            <wp:docPr id="1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3590" cy="446405"/>
                    </a:xfrm>
                    <a:prstGeom prst="rect">
                      <a:avLst/>
                    </a:prstGeom>
                    <a:noFill/>
                    <a:ln>
                      <a:noFill/>
                    </a:ln>
                  </pic:spPr>
                </pic:pic>
              </a:graphicData>
            </a:graphic>
          </wp:inline>
        </w:drawing>
      </w:r>
      <w:r w:rsidR="0096367E">
        <w:rPr>
          <w:lang w:eastAsia="zh-CN"/>
        </w:rPr>
        <w:tab/>
        <w:t>(2.2)</w:t>
      </w:r>
    </w:p>
    <w:p w14:paraId="2472344A" w14:textId="6A2D2BA5" w:rsidR="0085272D" w:rsidRDefault="00FA6998">
      <w:pPr>
        <w:tabs>
          <w:tab w:val="right" w:leader="dot" w:pos="8460"/>
        </w:tabs>
        <w:rPr>
          <w:lang w:eastAsia="zh-CN"/>
        </w:rPr>
      </w:pPr>
      <w:r>
        <w:rPr>
          <w:noProof/>
          <w:position w:val="-34"/>
          <w:lang w:eastAsia="zh-CN" w:bidi="ar-SA"/>
        </w:rPr>
        <w:drawing>
          <wp:inline distT="0" distB="0" distL="0" distR="0" wp14:anchorId="1137E883" wp14:editId="43AD4B43">
            <wp:extent cx="827405" cy="478790"/>
            <wp:effectExtent l="0" t="0" r="10795" b="3810"/>
            <wp:docPr id="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7405" cy="478790"/>
                    </a:xfrm>
                    <a:prstGeom prst="rect">
                      <a:avLst/>
                    </a:prstGeom>
                    <a:noFill/>
                    <a:ln>
                      <a:noFill/>
                    </a:ln>
                  </pic:spPr>
                </pic:pic>
              </a:graphicData>
            </a:graphic>
          </wp:inline>
        </w:drawing>
      </w:r>
      <w:r w:rsidR="0096367E">
        <w:rPr>
          <w:lang w:eastAsia="zh-CN"/>
        </w:rPr>
        <w:tab/>
        <w:t>(2.3)</w:t>
      </w:r>
    </w:p>
    <w:p w14:paraId="4C4CB4CD" w14:textId="77777777" w:rsidR="0085272D" w:rsidRDefault="0096367E">
      <w:pPr>
        <w:jc w:val="both"/>
      </w:pPr>
      <w:r>
        <w:t>Where the subscript “T” means constant temperature and “cr” means critical point. For both modified and original van der Waals EOS, the expressions of critical pressure and critical temperature can be derived from Equations 2.2 and 2.3:</w:t>
      </w:r>
    </w:p>
    <w:p w14:paraId="35C105F9" w14:textId="01E81025" w:rsidR="0085272D" w:rsidRDefault="00FA6998">
      <w:pPr>
        <w:tabs>
          <w:tab w:val="right" w:leader="dot" w:pos="8460"/>
        </w:tabs>
        <w:rPr>
          <w:lang w:eastAsia="zh-CN"/>
        </w:rPr>
      </w:pPr>
      <w:r>
        <w:rPr>
          <w:noProof/>
          <w:position w:val="-24"/>
          <w:sz w:val="22"/>
          <w:szCs w:val="22"/>
          <w:lang w:eastAsia="zh-CN" w:bidi="ar-SA"/>
        </w:rPr>
        <w:drawing>
          <wp:inline distT="0" distB="0" distL="0" distR="0" wp14:anchorId="28DFAE57" wp14:editId="33DB5F69">
            <wp:extent cx="631190" cy="391795"/>
            <wp:effectExtent l="0" t="0" r="3810" b="0"/>
            <wp:docPr id="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1190" cy="391795"/>
                    </a:xfrm>
                    <a:prstGeom prst="rect">
                      <a:avLst/>
                    </a:prstGeom>
                    <a:noFill/>
                    <a:ln>
                      <a:noFill/>
                    </a:ln>
                  </pic:spPr>
                </pic:pic>
              </a:graphicData>
            </a:graphic>
          </wp:inline>
        </w:drawing>
      </w:r>
      <w:r w:rsidR="0096367E">
        <w:rPr>
          <w:lang w:eastAsia="zh-CN"/>
        </w:rPr>
        <w:tab/>
        <w:t>(2.4)</w:t>
      </w:r>
    </w:p>
    <w:p w14:paraId="490EF1B4" w14:textId="16209D0A" w:rsidR="0085272D" w:rsidRDefault="00FA6998">
      <w:pPr>
        <w:tabs>
          <w:tab w:val="right" w:leader="dot" w:pos="8460"/>
        </w:tabs>
        <w:rPr>
          <w:lang w:eastAsia="zh-CN"/>
        </w:rPr>
      </w:pPr>
      <w:r>
        <w:rPr>
          <w:noProof/>
          <w:position w:val="-24"/>
          <w:sz w:val="22"/>
          <w:szCs w:val="22"/>
          <w:lang w:eastAsia="zh-CN" w:bidi="ar-SA"/>
        </w:rPr>
        <w:drawing>
          <wp:inline distT="0" distB="0" distL="0" distR="0" wp14:anchorId="282FF90A" wp14:editId="063ABAE5">
            <wp:extent cx="664210" cy="391795"/>
            <wp:effectExtent l="0" t="0" r="0" b="0"/>
            <wp:docPr id="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210" cy="391795"/>
                    </a:xfrm>
                    <a:prstGeom prst="rect">
                      <a:avLst/>
                    </a:prstGeom>
                    <a:noFill/>
                    <a:ln>
                      <a:noFill/>
                    </a:ln>
                  </pic:spPr>
                </pic:pic>
              </a:graphicData>
            </a:graphic>
          </wp:inline>
        </w:drawing>
      </w:r>
      <w:r w:rsidR="0096367E">
        <w:rPr>
          <w:lang w:eastAsia="zh-CN"/>
        </w:rPr>
        <w:tab/>
        <w:t>(2.5)</w:t>
      </w:r>
    </w:p>
    <w:p w14:paraId="5D5B74D5" w14:textId="4E71F631" w:rsidR="0085272D" w:rsidRDefault="00FA6998">
      <w:pPr>
        <w:tabs>
          <w:tab w:val="right" w:leader="dot" w:pos="8460"/>
        </w:tabs>
        <w:rPr>
          <w:lang w:eastAsia="zh-CN"/>
        </w:rPr>
      </w:pPr>
      <w:r>
        <w:rPr>
          <w:noProof/>
          <w:position w:val="-24"/>
          <w:sz w:val="22"/>
          <w:szCs w:val="22"/>
          <w:lang w:eastAsia="zh-CN" w:bidi="ar-SA"/>
        </w:rPr>
        <w:drawing>
          <wp:inline distT="0" distB="0" distL="0" distR="0" wp14:anchorId="5371C405" wp14:editId="22CA858B">
            <wp:extent cx="1132205" cy="391795"/>
            <wp:effectExtent l="0" t="0" r="10795" b="0"/>
            <wp:docPr id="1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2205" cy="391795"/>
                    </a:xfrm>
                    <a:prstGeom prst="rect">
                      <a:avLst/>
                    </a:prstGeom>
                    <a:noFill/>
                    <a:ln>
                      <a:noFill/>
                    </a:ln>
                  </pic:spPr>
                </pic:pic>
              </a:graphicData>
            </a:graphic>
          </wp:inline>
        </w:drawing>
      </w:r>
      <w:r w:rsidR="0096367E">
        <w:rPr>
          <w:lang w:eastAsia="zh-CN"/>
        </w:rPr>
        <w:tab/>
        <w:t>(2.6)</w:t>
      </w:r>
    </w:p>
    <w:p w14:paraId="189E058B" w14:textId="23A23E2D" w:rsidR="0085272D" w:rsidRDefault="00FA6998">
      <w:pPr>
        <w:tabs>
          <w:tab w:val="right" w:leader="dot" w:pos="8460"/>
        </w:tabs>
        <w:rPr>
          <w:lang w:eastAsia="zh-CN"/>
        </w:rPr>
      </w:pPr>
      <w:r>
        <w:rPr>
          <w:noProof/>
          <w:position w:val="-24"/>
          <w:sz w:val="22"/>
          <w:szCs w:val="22"/>
          <w:lang w:eastAsia="zh-CN" w:bidi="ar-SA"/>
        </w:rPr>
        <w:drawing>
          <wp:inline distT="0" distB="0" distL="0" distR="0" wp14:anchorId="4E79CBAB" wp14:editId="149B4491">
            <wp:extent cx="1197610" cy="391795"/>
            <wp:effectExtent l="0" t="0" r="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97610" cy="391795"/>
                    </a:xfrm>
                    <a:prstGeom prst="rect">
                      <a:avLst/>
                    </a:prstGeom>
                    <a:noFill/>
                    <a:ln>
                      <a:noFill/>
                    </a:ln>
                  </pic:spPr>
                </pic:pic>
              </a:graphicData>
            </a:graphic>
          </wp:inline>
        </w:drawing>
      </w:r>
      <w:r w:rsidR="0096367E">
        <w:rPr>
          <w:lang w:eastAsia="zh-CN"/>
        </w:rPr>
        <w:tab/>
        <w:t>(2.7)</w:t>
      </w:r>
    </w:p>
    <w:p w14:paraId="01476A22" w14:textId="74CCD28B" w:rsidR="0085272D" w:rsidRDefault="0096367E">
      <w:pPr>
        <w:jc w:val="both"/>
      </w:pPr>
      <w:r>
        <w:lastRenderedPageBreak/>
        <w:t>Where P</w:t>
      </w:r>
      <w:r>
        <w:rPr>
          <w:vertAlign w:val="subscript"/>
        </w:rPr>
        <w:t>c</w:t>
      </w:r>
      <w:r>
        <w:t xml:space="preserve"> and T</w:t>
      </w:r>
      <w:r>
        <w:rPr>
          <w:vertAlign w:val="subscript"/>
        </w:rPr>
        <w:t>c</w:t>
      </w:r>
      <w:r>
        <w:t xml:space="preserve"> are the critical pressure and critical temperature of the original van der Waals EOS; while P</w:t>
      </w:r>
      <w:r>
        <w:rPr>
          <w:vertAlign w:val="subscript"/>
        </w:rPr>
        <w:t>cz</w:t>
      </w:r>
      <w:r>
        <w:t xml:space="preserve"> and T</w:t>
      </w:r>
      <w:r>
        <w:rPr>
          <w:vertAlign w:val="subscript"/>
        </w:rPr>
        <w:t>cz</w:t>
      </w:r>
      <w:r>
        <w:t xml:space="preserve"> are the critical pressure and critical temperature </w:t>
      </w:r>
      <w:r w:rsidR="008E2BE2">
        <w:t xml:space="preserve">(under confinement) </w:t>
      </w:r>
      <w:r>
        <w:t>calculated from the modified van der Waals EOS. ΔP</w:t>
      </w:r>
      <w:r>
        <w:rPr>
          <w:vertAlign w:val="subscript"/>
        </w:rPr>
        <w:t>C</w:t>
      </w:r>
      <w:r>
        <w:t xml:space="preserve"> and ΔT</w:t>
      </w:r>
      <w:r>
        <w:rPr>
          <w:vertAlign w:val="subscript"/>
        </w:rPr>
        <w:t xml:space="preserve">C </w:t>
      </w:r>
      <w:r>
        <w:t>can</w:t>
      </w:r>
      <w:r>
        <w:rPr>
          <w:vertAlign w:val="subscript"/>
        </w:rPr>
        <w:t xml:space="preserve"> </w:t>
      </w:r>
      <w:r>
        <w:t>be defined as follows:</w:t>
      </w:r>
    </w:p>
    <w:p w14:paraId="2BBF5C84" w14:textId="60921B71" w:rsidR="0085272D" w:rsidRDefault="00FA6998">
      <w:pPr>
        <w:tabs>
          <w:tab w:val="right" w:leader="dot" w:pos="8460"/>
        </w:tabs>
        <w:spacing w:after="240"/>
        <w:rPr>
          <w:lang w:eastAsia="zh-CN"/>
        </w:rPr>
      </w:pPr>
      <w:r>
        <w:rPr>
          <w:noProof/>
          <w:position w:val="-30"/>
          <w:sz w:val="22"/>
          <w:szCs w:val="22"/>
          <w:lang w:eastAsia="zh-CN" w:bidi="ar-SA"/>
        </w:rPr>
        <w:drawing>
          <wp:inline distT="0" distB="0" distL="0" distR="0" wp14:anchorId="31874B2B" wp14:editId="593BA768">
            <wp:extent cx="1458595" cy="446405"/>
            <wp:effectExtent l="0" t="0" r="0" b="10795"/>
            <wp:docPr id="1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58595" cy="446405"/>
                    </a:xfrm>
                    <a:prstGeom prst="rect">
                      <a:avLst/>
                    </a:prstGeom>
                    <a:noFill/>
                    <a:ln>
                      <a:noFill/>
                    </a:ln>
                  </pic:spPr>
                </pic:pic>
              </a:graphicData>
            </a:graphic>
          </wp:inline>
        </w:drawing>
      </w:r>
      <w:r w:rsidR="0096367E">
        <w:rPr>
          <w:lang w:eastAsia="zh-CN"/>
        </w:rPr>
        <w:tab/>
        <w:t>(2.8)</w:t>
      </w:r>
    </w:p>
    <w:p w14:paraId="674CF657" w14:textId="77777777" w:rsidR="0085272D" w:rsidRDefault="0096367E">
      <w:pPr>
        <w:jc w:val="both"/>
      </w:pPr>
      <w:r>
        <w:t>Same for ΔT</w:t>
      </w:r>
      <w:r>
        <w:rPr>
          <w:vertAlign w:val="subscript"/>
        </w:rPr>
        <w:t>C</w:t>
      </w:r>
      <w:r>
        <w:t>:</w:t>
      </w:r>
    </w:p>
    <w:p w14:paraId="0E934A67" w14:textId="68DB84B9" w:rsidR="0085272D" w:rsidRDefault="00FA6998">
      <w:pPr>
        <w:tabs>
          <w:tab w:val="right" w:leader="dot" w:pos="8460"/>
        </w:tabs>
        <w:spacing w:after="240"/>
        <w:rPr>
          <w:lang w:eastAsia="zh-CN"/>
        </w:rPr>
      </w:pPr>
      <w:r>
        <w:rPr>
          <w:noProof/>
          <w:position w:val="-30"/>
          <w:sz w:val="22"/>
          <w:szCs w:val="22"/>
          <w:lang w:eastAsia="zh-CN" w:bidi="ar-SA"/>
        </w:rPr>
        <w:drawing>
          <wp:inline distT="0" distB="0" distL="0" distR="0" wp14:anchorId="2E5B879D" wp14:editId="2281CE7E">
            <wp:extent cx="1469390" cy="446405"/>
            <wp:effectExtent l="0" t="0" r="3810" b="10795"/>
            <wp:docPr id="1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9390" cy="446405"/>
                    </a:xfrm>
                    <a:prstGeom prst="rect">
                      <a:avLst/>
                    </a:prstGeom>
                    <a:noFill/>
                    <a:ln>
                      <a:noFill/>
                    </a:ln>
                  </pic:spPr>
                </pic:pic>
              </a:graphicData>
            </a:graphic>
          </wp:inline>
        </w:drawing>
      </w:r>
      <w:r w:rsidR="0096367E">
        <w:rPr>
          <w:lang w:eastAsia="zh-CN"/>
        </w:rPr>
        <w:tab/>
        <w:t>(2.9)</w:t>
      </w:r>
    </w:p>
    <w:p w14:paraId="439A04AB" w14:textId="77777777" w:rsidR="0085272D" w:rsidRDefault="0096367E">
      <w:pPr>
        <w:jc w:val="both"/>
      </w:pPr>
      <w:r>
        <w:t>The parameters a and b are the constants of cubic equation</w:t>
      </w:r>
      <w:r>
        <w:rPr>
          <w:rFonts w:hint="eastAsia"/>
          <w:lang w:eastAsia="zh-CN"/>
        </w:rPr>
        <w:t>s</w:t>
      </w:r>
      <w:r>
        <w:t xml:space="preserve"> </w:t>
      </w:r>
      <w:r>
        <w:rPr>
          <w:rFonts w:hint="eastAsia"/>
          <w:lang w:eastAsia="zh-CN"/>
        </w:rPr>
        <w:t>of</w:t>
      </w:r>
      <w:r>
        <w:t xml:space="preserve"> sate for bulk fluid and can be derived from Equations 2.2 and 2.3 at critical point:</w:t>
      </w:r>
    </w:p>
    <w:p w14:paraId="06B1F741" w14:textId="34AF82FD" w:rsidR="0085272D" w:rsidRDefault="00FA6998">
      <w:pPr>
        <w:tabs>
          <w:tab w:val="right" w:leader="dot" w:pos="8460"/>
        </w:tabs>
        <w:spacing w:after="240"/>
        <w:rPr>
          <w:lang w:eastAsia="zh-CN"/>
        </w:rPr>
      </w:pPr>
      <w:r>
        <w:rPr>
          <w:noProof/>
          <w:position w:val="-30"/>
          <w:sz w:val="22"/>
          <w:szCs w:val="22"/>
          <w:lang w:eastAsia="zh-CN" w:bidi="ar-SA"/>
        </w:rPr>
        <w:drawing>
          <wp:inline distT="0" distB="0" distL="0" distR="0" wp14:anchorId="086E6775" wp14:editId="64413588">
            <wp:extent cx="794385" cy="446405"/>
            <wp:effectExtent l="0" t="0" r="0" b="10795"/>
            <wp:docPr id="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4385" cy="446405"/>
                    </a:xfrm>
                    <a:prstGeom prst="rect">
                      <a:avLst/>
                    </a:prstGeom>
                    <a:noFill/>
                    <a:ln>
                      <a:noFill/>
                    </a:ln>
                  </pic:spPr>
                </pic:pic>
              </a:graphicData>
            </a:graphic>
          </wp:inline>
        </w:drawing>
      </w:r>
      <w:r w:rsidR="0096367E">
        <w:rPr>
          <w:lang w:eastAsia="zh-CN"/>
        </w:rPr>
        <w:tab/>
        <w:t>(2.10)</w:t>
      </w:r>
    </w:p>
    <w:p w14:paraId="74673800" w14:textId="0CEBDBE1" w:rsidR="0085272D" w:rsidRDefault="00FA6998">
      <w:pPr>
        <w:tabs>
          <w:tab w:val="right" w:leader="dot" w:pos="8460"/>
        </w:tabs>
        <w:spacing w:after="240"/>
        <w:rPr>
          <w:lang w:eastAsia="zh-CN"/>
        </w:rPr>
      </w:pPr>
      <w:r>
        <w:rPr>
          <w:noProof/>
          <w:position w:val="-30"/>
          <w:sz w:val="22"/>
          <w:szCs w:val="22"/>
          <w:lang w:eastAsia="zh-CN" w:bidi="ar-SA"/>
        </w:rPr>
        <w:drawing>
          <wp:inline distT="0" distB="0" distL="0" distR="0" wp14:anchorId="0E83A9AE" wp14:editId="73472F3B">
            <wp:extent cx="631190" cy="435610"/>
            <wp:effectExtent l="0" t="0" r="3810" b="0"/>
            <wp:docPr id="1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1190" cy="435610"/>
                    </a:xfrm>
                    <a:prstGeom prst="rect">
                      <a:avLst/>
                    </a:prstGeom>
                    <a:noFill/>
                    <a:ln>
                      <a:noFill/>
                    </a:ln>
                  </pic:spPr>
                </pic:pic>
              </a:graphicData>
            </a:graphic>
          </wp:inline>
        </w:drawing>
      </w:r>
      <w:r w:rsidR="0096367E">
        <w:rPr>
          <w:lang w:eastAsia="zh-CN"/>
        </w:rPr>
        <w:tab/>
        <w:t>(2.11)</w:t>
      </w:r>
    </w:p>
    <w:p w14:paraId="36DC4B77" w14:textId="77777777" w:rsidR="0085272D" w:rsidRDefault="0096367E">
      <w:pPr>
        <w:spacing w:after="240"/>
        <w:jc w:val="both"/>
      </w:pPr>
      <w:r>
        <w:t xml:space="preserve">However, there is no analytical derivation for the new parameter c. The simulation data from Singh et al. (2009) were used to generate a correlation between pore size and critical temperature shift to solve for the parameter c. Details were discussed in the next section. Once the value of c has been determined for a specific pure component in a particular pore size, the modified van der Waals EOS (Equation 2.1) can be successfully solved to give fluid properties of that single component. </w:t>
      </w:r>
    </w:p>
    <w:p w14:paraId="3C47EAA0" w14:textId="77777777" w:rsidR="0085272D" w:rsidRDefault="0096367E">
      <w:pPr>
        <w:spacing w:after="240"/>
        <w:jc w:val="both"/>
      </w:pPr>
      <w:r>
        <w:lastRenderedPageBreak/>
        <w:t>For a mixture, similar approach can be used if given a reasonable mixing rule. Although in the literature, some believed that the confinement effects would have impact on mixing rules (Travalloni et al., 2010)</w:t>
      </w:r>
      <w:r>
        <w:rPr>
          <w:lang w:eastAsia="zh-CN"/>
        </w:rPr>
        <w:t>,</w:t>
      </w:r>
      <w:r>
        <w:t xml:space="preserve"> we keep it the same as what has been used in the original van der Waals EOS as the first approximation:</w:t>
      </w:r>
    </w:p>
    <w:p w14:paraId="2E00C029" w14:textId="502F1E6F" w:rsidR="0085272D" w:rsidRDefault="00FA6998">
      <w:pPr>
        <w:tabs>
          <w:tab w:val="right" w:leader="dot" w:pos="8460"/>
        </w:tabs>
        <w:spacing w:after="240"/>
        <w:rPr>
          <w:lang w:eastAsia="zh-CN"/>
        </w:rPr>
      </w:pPr>
      <w:r>
        <w:rPr>
          <w:noProof/>
          <w:position w:val="-34"/>
          <w:lang w:eastAsia="zh-CN" w:bidi="ar-SA"/>
        </w:rPr>
        <w:drawing>
          <wp:inline distT="0" distB="0" distL="0" distR="0" wp14:anchorId="6C113833" wp14:editId="3B73451C">
            <wp:extent cx="958215" cy="501015"/>
            <wp:effectExtent l="0" t="0" r="6985" b="6985"/>
            <wp:docPr id="1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8215" cy="501015"/>
                    </a:xfrm>
                    <a:prstGeom prst="rect">
                      <a:avLst/>
                    </a:prstGeom>
                    <a:noFill/>
                    <a:ln>
                      <a:noFill/>
                    </a:ln>
                  </pic:spPr>
                </pic:pic>
              </a:graphicData>
            </a:graphic>
          </wp:inline>
        </w:drawing>
      </w:r>
      <w:r w:rsidR="0096367E">
        <w:rPr>
          <w:lang w:eastAsia="zh-CN"/>
        </w:rPr>
        <w:tab/>
        <w:t>(2.1</w:t>
      </w:r>
      <w:r w:rsidR="0096367E">
        <w:rPr>
          <w:rFonts w:hint="eastAsia"/>
          <w:lang w:eastAsia="zh-CN"/>
        </w:rPr>
        <w:t>2</w:t>
      </w:r>
      <w:r w:rsidR="0096367E">
        <w:rPr>
          <w:lang w:eastAsia="zh-CN"/>
        </w:rPr>
        <w:t>)</w:t>
      </w:r>
    </w:p>
    <w:p w14:paraId="6DD8BC09" w14:textId="3F86B572" w:rsidR="0085272D" w:rsidRDefault="00FA6998">
      <w:pPr>
        <w:tabs>
          <w:tab w:val="right" w:leader="dot" w:pos="8460"/>
        </w:tabs>
        <w:spacing w:after="240"/>
        <w:rPr>
          <w:lang w:eastAsia="zh-CN"/>
        </w:rPr>
      </w:pPr>
      <w:r>
        <w:rPr>
          <w:noProof/>
          <w:position w:val="-30"/>
          <w:lang w:eastAsia="zh-CN" w:bidi="ar-SA"/>
        </w:rPr>
        <w:drawing>
          <wp:inline distT="0" distB="0" distL="0" distR="0" wp14:anchorId="6BA5DB02" wp14:editId="2F573486">
            <wp:extent cx="631190" cy="478790"/>
            <wp:effectExtent l="0" t="0" r="3810" b="3810"/>
            <wp:docPr id="1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1190" cy="478790"/>
                    </a:xfrm>
                    <a:prstGeom prst="rect">
                      <a:avLst/>
                    </a:prstGeom>
                    <a:noFill/>
                    <a:ln>
                      <a:noFill/>
                    </a:ln>
                  </pic:spPr>
                </pic:pic>
              </a:graphicData>
            </a:graphic>
          </wp:inline>
        </w:drawing>
      </w:r>
      <w:r w:rsidR="0096367E">
        <w:rPr>
          <w:lang w:eastAsia="zh-CN"/>
        </w:rPr>
        <w:tab/>
        <w:t>(2.1</w:t>
      </w:r>
      <w:r w:rsidR="0096367E">
        <w:rPr>
          <w:rFonts w:hint="eastAsia"/>
          <w:lang w:eastAsia="zh-CN"/>
        </w:rPr>
        <w:t>3</w:t>
      </w:r>
      <w:r w:rsidR="0096367E">
        <w:rPr>
          <w:lang w:eastAsia="zh-CN"/>
        </w:rPr>
        <w:t>)</w:t>
      </w:r>
    </w:p>
    <w:p w14:paraId="2EB288A0" w14:textId="77777777" w:rsidR="0085272D" w:rsidRDefault="0096367E">
      <w:pPr>
        <w:jc w:val="both"/>
      </w:pPr>
      <w:r>
        <w:t xml:space="preserve">Where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and </w:t>
      </w:r>
      <m:oMath>
        <m:sSub>
          <m:sSubPr>
            <m:ctrlPr>
              <w:rPr>
                <w:rFonts w:ascii="Cambria Math" w:hAnsi="Cambria Math"/>
                <w:i/>
              </w:rPr>
            </m:ctrlPr>
          </m:sSubPr>
          <m:e>
            <m:r>
              <w:rPr>
                <w:rFonts w:ascii="Cambria Math" w:hAnsi="Cambria Math"/>
              </w:rPr>
              <m:t>x</m:t>
            </m:r>
          </m:e>
          <m:sub>
            <m:r>
              <w:rPr>
                <w:rFonts w:ascii="Cambria Math" w:hAnsi="Cambria Math"/>
              </w:rPr>
              <m:t>j</m:t>
            </m:r>
          </m:sub>
        </m:sSub>
      </m:oMath>
      <w:r>
        <w:t xml:space="preserve"> are mole fractions for species i and j, respectively. </w:t>
      </w:r>
      <m:oMath>
        <m:sSub>
          <m:sSubPr>
            <m:ctrlPr>
              <w:rPr>
                <w:rFonts w:ascii="Cambria Math" w:hAnsi="Cambria Math"/>
                <w:i/>
              </w:rPr>
            </m:ctrlPr>
          </m:sSubPr>
          <m:e>
            <m:r>
              <w:rPr>
                <w:rFonts w:ascii="Cambria Math" w:hAnsi="Cambria Math"/>
              </w:rPr>
              <m:t>b</m:t>
            </m:r>
          </m:e>
          <m:sub>
            <m:r>
              <w:rPr>
                <w:rFonts w:ascii="Cambria Math" w:hAnsi="Cambria Math"/>
              </w:rPr>
              <m:t>i</m:t>
            </m:r>
          </m:sub>
        </m:sSub>
      </m:oMath>
      <w:r>
        <w:t xml:space="preserve"> represents the value of b for species i while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t xml:space="preserve"> has the following form:</w:t>
      </w:r>
    </w:p>
    <w:p w14:paraId="12303693" w14:textId="77777777" w:rsidR="0085272D" w:rsidRDefault="0096367E">
      <w:pPr>
        <w:tabs>
          <w:tab w:val="right" w:leader="dot" w:pos="8460"/>
        </w:tabs>
        <w:spacing w:after="240"/>
        <w:rPr>
          <w:lang w:eastAsia="zh-CN"/>
        </w:rPr>
      </w:pPr>
      <w:r w:rsidRPr="000759E2">
        <w:rPr>
          <w:position w:val="-14"/>
        </w:rPr>
        <w:object w:dxaOrig="2103" w:dyaOrig="404" w14:anchorId="54CFDD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5pt;height:19.7pt" o:ole="">
            <v:imagedata r:id="rId29" o:title=""/>
          </v:shape>
          <o:OLEObject Type="Embed" ProgID="Equation.3" ShapeID="_x0000_i1025" DrawAspect="Content" ObjectID="_1581936710" r:id="rId30"/>
        </w:object>
      </w:r>
      <w:r>
        <w:rPr>
          <w:lang w:eastAsia="zh-CN"/>
        </w:rPr>
        <w:tab/>
        <w:t>(2.1</w:t>
      </w:r>
      <w:r>
        <w:rPr>
          <w:rFonts w:hint="eastAsia"/>
          <w:lang w:eastAsia="zh-CN"/>
        </w:rPr>
        <w:t>4</w:t>
      </w:r>
      <w:r>
        <w:rPr>
          <w:lang w:eastAsia="zh-CN"/>
        </w:rPr>
        <w:t>)</w:t>
      </w:r>
    </w:p>
    <w:p w14:paraId="5EAA4DB6" w14:textId="77777777" w:rsidR="0085272D" w:rsidRDefault="0096367E">
      <w:pPr>
        <w:jc w:val="both"/>
      </w:pPr>
      <w:r>
        <w:t>In Equation 2.14, k</w:t>
      </w:r>
      <w:r>
        <w:rPr>
          <w:vertAlign w:val="subscript"/>
        </w:rPr>
        <w:t>ij</w:t>
      </w:r>
      <w:r>
        <w:t xml:space="preserve"> is the binary interaction coefficient. For the new parameter c </w:t>
      </w:r>
      <w:r>
        <w:rPr>
          <w:rFonts w:ascii="Times" w:hAnsi="Times" w:cs="Times"/>
        </w:rPr>
        <w:t>can be treated in the same way as a, by applying the same mixing rule:</w:t>
      </w:r>
    </w:p>
    <w:p w14:paraId="467434AE" w14:textId="77777777" w:rsidR="0085272D" w:rsidRDefault="0096367E">
      <w:pPr>
        <w:tabs>
          <w:tab w:val="right" w:leader="dot" w:pos="8460"/>
        </w:tabs>
        <w:rPr>
          <w:lang w:eastAsia="zh-CN"/>
        </w:rPr>
      </w:pPr>
      <w:r w:rsidRPr="000759E2">
        <w:rPr>
          <w:position w:val="-34"/>
        </w:rPr>
        <w:object w:dxaOrig="1246" w:dyaOrig="647" w14:anchorId="457FC7D8">
          <v:shape id="_x0000_i1026" type="#_x0000_t75" style="width:61.7pt;height:31.7pt" o:ole="">
            <v:imagedata r:id="rId31" o:title=""/>
          </v:shape>
          <o:OLEObject Type="Embed" ProgID="Equation.3" ShapeID="_x0000_i1026" DrawAspect="Content" ObjectID="_1581936711" r:id="rId32"/>
        </w:object>
      </w:r>
      <w:r>
        <w:rPr>
          <w:lang w:eastAsia="zh-CN"/>
        </w:rPr>
        <w:tab/>
        <w:t>(2.1</w:t>
      </w:r>
      <w:r>
        <w:rPr>
          <w:rFonts w:hint="eastAsia"/>
          <w:lang w:eastAsia="zh-CN"/>
        </w:rPr>
        <w:t>5</w:t>
      </w:r>
      <w:r>
        <w:rPr>
          <w:lang w:eastAsia="zh-CN"/>
        </w:rPr>
        <w:t>)</w:t>
      </w:r>
    </w:p>
    <w:p w14:paraId="7315D0D3" w14:textId="77777777" w:rsidR="0085272D" w:rsidRDefault="0096367E">
      <w:pPr>
        <w:tabs>
          <w:tab w:val="right" w:leader="dot" w:pos="8460"/>
        </w:tabs>
        <w:rPr>
          <w:lang w:eastAsia="zh-CN"/>
        </w:rPr>
      </w:pPr>
      <w:r>
        <w:rPr>
          <w:lang w:eastAsia="zh-CN"/>
        </w:rPr>
        <w:t>Where c</w:t>
      </w:r>
      <w:r>
        <w:rPr>
          <w:vertAlign w:val="subscript"/>
          <w:lang w:eastAsia="zh-CN"/>
        </w:rPr>
        <w:t>ij</w:t>
      </w:r>
      <w:r>
        <w:rPr>
          <w:lang w:eastAsia="zh-CN"/>
        </w:rPr>
        <w:t xml:space="preserve"> can be expressed as:</w:t>
      </w:r>
    </w:p>
    <w:p w14:paraId="26F911C9" w14:textId="77777777" w:rsidR="0085272D" w:rsidRDefault="0096367E">
      <w:pPr>
        <w:tabs>
          <w:tab w:val="right" w:leader="dot" w:pos="8460"/>
        </w:tabs>
        <w:spacing w:after="240"/>
        <w:rPr>
          <w:lang w:eastAsia="zh-CN"/>
        </w:rPr>
      </w:pPr>
      <w:r w:rsidRPr="000759E2">
        <w:rPr>
          <w:position w:val="-14"/>
        </w:rPr>
        <w:object w:dxaOrig="2055" w:dyaOrig="404" w14:anchorId="522291C5">
          <v:shape id="_x0000_i1027" type="#_x0000_t75" style="width:102.85pt;height:19.7pt" o:ole="">
            <v:imagedata r:id="rId33" o:title=""/>
          </v:shape>
          <o:OLEObject Type="Embed" ProgID="Equation.3" ShapeID="_x0000_i1027" DrawAspect="Content" ObjectID="_1581936712" r:id="rId34"/>
        </w:object>
      </w:r>
      <w:r>
        <w:rPr>
          <w:lang w:eastAsia="zh-CN"/>
        </w:rPr>
        <w:tab/>
        <w:t>(2.1</w:t>
      </w:r>
      <w:r>
        <w:rPr>
          <w:rFonts w:hint="eastAsia"/>
          <w:lang w:eastAsia="zh-CN"/>
        </w:rPr>
        <w:t>6</w:t>
      </w:r>
      <w:r>
        <w:rPr>
          <w:lang w:eastAsia="zh-CN"/>
        </w:rPr>
        <w:t>)</w:t>
      </w:r>
    </w:p>
    <w:p w14:paraId="3C2C0B7C" w14:textId="77777777" w:rsidR="0085272D" w:rsidRDefault="0096367E">
      <w:pPr>
        <w:tabs>
          <w:tab w:val="right" w:leader="dot" w:pos="8460"/>
        </w:tabs>
        <w:spacing w:after="240"/>
        <w:jc w:val="both"/>
        <w:rPr>
          <w:lang w:eastAsia="zh-CN"/>
        </w:rPr>
      </w:pPr>
      <w:r>
        <w:rPr>
          <w:lang w:eastAsia="zh-CN"/>
        </w:rPr>
        <w:t xml:space="preserve">Similar to </w:t>
      </w:r>
      <w:r>
        <w:t>k</w:t>
      </w:r>
      <w:r>
        <w:rPr>
          <w:vertAlign w:val="subscript"/>
        </w:rPr>
        <w:t>ij</w:t>
      </w:r>
      <w:r>
        <w:t>, J</w:t>
      </w:r>
      <w:r>
        <w:rPr>
          <w:vertAlign w:val="subscript"/>
        </w:rPr>
        <w:t>ij</w:t>
      </w:r>
      <w:r>
        <w:t xml:space="preserve"> is another set of binary interaction coefficient that is used to describe the binary interactions between i and j in parameter c. More details of the values of J</w:t>
      </w:r>
      <w:r>
        <w:rPr>
          <w:vertAlign w:val="subscript"/>
        </w:rPr>
        <w:t xml:space="preserve">ij </w:t>
      </w:r>
      <w:r>
        <w:t>will be investigated in Chapter 4.</w:t>
      </w:r>
    </w:p>
    <w:p w14:paraId="00C1681F" w14:textId="77777777" w:rsidR="0085272D" w:rsidRDefault="0096367E">
      <w:pPr>
        <w:pStyle w:val="para1"/>
        <w:spacing w:line="480" w:lineRule="auto"/>
        <w:ind w:firstLine="0"/>
      </w:pPr>
      <w:r>
        <w:rPr>
          <w:rFonts w:asciiTheme="minorHAnsi" w:eastAsiaTheme="minorEastAsia" w:hAnsiTheme="minorHAnsi" w:cstheme="minorBidi"/>
          <w:sz w:val="24"/>
          <w:szCs w:val="24"/>
        </w:rPr>
        <w:lastRenderedPageBreak/>
        <w:t>Once the values of the EOS parameters are obtained, one can perform the phase equilibria calculations in confined pores using the modified van der Waals EOS by equating the fugacities of each component in each phase. The fugacity is the effective pressure that replaces the true mechanical pressure of a real fluid. In thermodynamics</w:t>
      </w:r>
      <w:r>
        <w:rPr>
          <w:sz w:val="24"/>
          <w:szCs w:val="24"/>
        </w:rPr>
        <w:t>,</w:t>
      </w:r>
      <w:r>
        <w:t xml:space="preserve"> </w:t>
      </w:r>
      <w:r>
        <w:rPr>
          <w:rFonts w:asciiTheme="minorHAnsi" w:eastAsiaTheme="minorEastAsia" w:hAnsiTheme="minorHAnsi" w:cstheme="minorBidi"/>
          <w:sz w:val="24"/>
          <w:szCs w:val="24"/>
        </w:rPr>
        <w:t xml:space="preserve">fugacity provides the fundamental criterion for phase equilibria calculations. That is, the fugacity of each component must be equal in all existing phases at equilibrium. To make it dimensionless, the fugacity coefficient is introduced to be the </w:t>
      </w:r>
      <w:r>
        <w:rPr>
          <w:sz w:val="24"/>
          <w:szCs w:val="24"/>
        </w:rPr>
        <w:t>ratio of the fugacity and the true mechanical pressure:</w:t>
      </w:r>
    </w:p>
    <w:p w14:paraId="16C41919" w14:textId="44D7EFB2" w:rsidR="0085272D" w:rsidRDefault="00FA6998">
      <w:pPr>
        <w:tabs>
          <w:tab w:val="right" w:leader="dot" w:pos="8460"/>
        </w:tabs>
        <w:rPr>
          <w:lang w:eastAsia="zh-CN"/>
        </w:rPr>
      </w:pPr>
      <w:r>
        <w:rPr>
          <w:noProof/>
          <w:position w:val="-24"/>
          <w:lang w:eastAsia="zh-CN" w:bidi="ar-SA"/>
        </w:rPr>
        <w:drawing>
          <wp:inline distT="0" distB="0" distL="0" distR="0" wp14:anchorId="133F066A" wp14:editId="1CC4CC22">
            <wp:extent cx="402590" cy="391795"/>
            <wp:effectExtent l="0" t="0" r="3810" b="0"/>
            <wp:docPr id="11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590" cy="391795"/>
                    </a:xfrm>
                    <a:prstGeom prst="rect">
                      <a:avLst/>
                    </a:prstGeom>
                    <a:noFill/>
                    <a:ln>
                      <a:noFill/>
                    </a:ln>
                  </pic:spPr>
                </pic:pic>
              </a:graphicData>
            </a:graphic>
          </wp:inline>
        </w:drawing>
      </w:r>
      <w:r w:rsidR="0096367E">
        <w:rPr>
          <w:lang w:eastAsia="zh-CN"/>
        </w:rPr>
        <w:tab/>
        <w:t>(2.17)</w:t>
      </w:r>
    </w:p>
    <w:p w14:paraId="7C039185" w14:textId="77777777" w:rsidR="0085272D" w:rsidRDefault="0096367E">
      <w:pPr>
        <w:jc w:val="both"/>
      </w:pPr>
      <w:r>
        <w:t xml:space="preserve">Note that in Equation 2.17, f is the fugacity, P is the true mechanical pressure and </w:t>
      </w:r>
      <m:oMath>
        <m:r>
          <w:rPr>
            <w:rFonts w:ascii="Cambria Math" w:hAnsi="Cambria Math"/>
          </w:rPr>
          <m:t>ϕ</m:t>
        </m:r>
      </m:oMath>
      <w:r>
        <w:t xml:space="preserve"> is the dimensionless fugacity coefficient. For a mixture, the fugacity coefficient for each component is also related to partial fugacity of that component and its composition:</w:t>
      </w:r>
    </w:p>
    <w:p w14:paraId="2FF2A4EC" w14:textId="3914B10B" w:rsidR="0085272D" w:rsidRDefault="00FA6998">
      <w:pPr>
        <w:tabs>
          <w:tab w:val="right" w:leader="dot" w:pos="8460"/>
        </w:tabs>
        <w:rPr>
          <w:lang w:eastAsia="zh-CN"/>
        </w:rPr>
      </w:pPr>
      <w:r>
        <w:rPr>
          <w:noProof/>
          <w:position w:val="-30"/>
          <w:lang w:eastAsia="zh-CN" w:bidi="ar-SA"/>
        </w:rPr>
        <w:drawing>
          <wp:inline distT="0" distB="0" distL="0" distR="0" wp14:anchorId="73E5CDCC" wp14:editId="34584325">
            <wp:extent cx="533400" cy="435610"/>
            <wp:effectExtent l="0" t="0" r="0" b="0"/>
            <wp:docPr id="1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3400" cy="435610"/>
                    </a:xfrm>
                    <a:prstGeom prst="rect">
                      <a:avLst/>
                    </a:prstGeom>
                    <a:noFill/>
                    <a:ln>
                      <a:noFill/>
                    </a:ln>
                  </pic:spPr>
                </pic:pic>
              </a:graphicData>
            </a:graphic>
          </wp:inline>
        </w:drawing>
      </w:r>
      <w:r w:rsidR="0096367E">
        <w:rPr>
          <w:lang w:eastAsia="zh-CN"/>
        </w:rPr>
        <w:tab/>
        <w:t>(2.18)</w:t>
      </w:r>
    </w:p>
    <w:p w14:paraId="0AADCEE0" w14:textId="77777777" w:rsidR="0085272D" w:rsidRDefault="0096367E">
      <w:pPr>
        <w:tabs>
          <w:tab w:val="right" w:leader="dot" w:pos="8460"/>
        </w:tabs>
        <w:rPr>
          <w:lang w:eastAsia="zh-CN"/>
        </w:rPr>
      </w:pPr>
      <w:r>
        <w:rPr>
          <w:lang w:eastAsia="zh-CN"/>
        </w:rPr>
        <w:t>Where x</w:t>
      </w:r>
      <w:r>
        <w:rPr>
          <w:vertAlign w:val="subscript"/>
          <w:lang w:eastAsia="zh-CN"/>
        </w:rPr>
        <w:t>i</w:t>
      </w:r>
      <w:r>
        <w:rPr>
          <w:lang w:eastAsia="zh-CN"/>
        </w:rPr>
        <w:t xml:space="preserve"> is the composition of component i in a phase. If the mixture has more than one phase, then the fugacity coefficient for component i in phase m can be expressed as:</w:t>
      </w:r>
    </w:p>
    <w:p w14:paraId="48E61262" w14:textId="3A0195DF" w:rsidR="0085272D" w:rsidRDefault="00FA6998">
      <w:pPr>
        <w:tabs>
          <w:tab w:val="right" w:leader="dot" w:pos="8460"/>
        </w:tabs>
        <w:rPr>
          <w:lang w:eastAsia="zh-CN"/>
        </w:rPr>
      </w:pPr>
      <w:r>
        <w:rPr>
          <w:noProof/>
          <w:position w:val="-30"/>
          <w:lang w:eastAsia="zh-CN" w:bidi="ar-SA"/>
        </w:rPr>
        <w:drawing>
          <wp:inline distT="0" distB="0" distL="0" distR="0" wp14:anchorId="5214FB47" wp14:editId="2DF563C7">
            <wp:extent cx="631190" cy="435610"/>
            <wp:effectExtent l="0" t="0" r="3810" b="0"/>
            <wp:docPr id="1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1190" cy="435610"/>
                    </a:xfrm>
                    <a:prstGeom prst="rect">
                      <a:avLst/>
                    </a:prstGeom>
                    <a:noFill/>
                    <a:ln>
                      <a:noFill/>
                    </a:ln>
                  </pic:spPr>
                </pic:pic>
              </a:graphicData>
            </a:graphic>
          </wp:inline>
        </w:drawing>
      </w:r>
      <w:r w:rsidR="0096367E">
        <w:rPr>
          <w:lang w:eastAsia="zh-CN"/>
        </w:rPr>
        <w:tab/>
        <w:t>(2.19)</w:t>
      </w:r>
    </w:p>
    <w:p w14:paraId="3D5C1D7B" w14:textId="77777777" w:rsidR="0085272D" w:rsidRDefault="0096367E">
      <w:pPr>
        <w:pStyle w:val="para1"/>
        <w:spacing w:line="480" w:lineRule="auto"/>
        <w:ind w:firstLine="0"/>
        <w:rPr>
          <w:rFonts w:asciiTheme="minorHAnsi" w:eastAsiaTheme="minorEastAsia" w:hAnsiTheme="minorHAnsi" w:cstheme="minorBidi"/>
          <w:sz w:val="24"/>
          <w:szCs w:val="24"/>
        </w:rPr>
      </w:pPr>
      <w:r>
        <w:rPr>
          <w:rFonts w:asciiTheme="minorHAnsi" w:eastAsiaTheme="minorEastAsia" w:hAnsiTheme="minorHAnsi" w:cstheme="minorBidi"/>
          <w:sz w:val="24"/>
          <w:szCs w:val="24"/>
        </w:rPr>
        <w:t>The fugacity coefficient for species i in phase m solved from the original van der Waals EOS is given as:</w:t>
      </w:r>
    </w:p>
    <w:p w14:paraId="11E3D665" w14:textId="4AC06A18" w:rsidR="0085272D" w:rsidRDefault="00FA6998">
      <w:pPr>
        <w:tabs>
          <w:tab w:val="right" w:leader="dot" w:pos="8460"/>
        </w:tabs>
        <w:rPr>
          <w:lang w:eastAsia="zh-CN"/>
        </w:rPr>
      </w:pPr>
      <w:r>
        <w:rPr>
          <w:noProof/>
          <w:position w:val="-34"/>
          <w:lang w:eastAsia="zh-CN" w:bidi="ar-SA"/>
        </w:rPr>
        <w:drawing>
          <wp:inline distT="0" distB="0" distL="0" distR="0" wp14:anchorId="09F8A97D" wp14:editId="5EBB1924">
            <wp:extent cx="2764790" cy="511810"/>
            <wp:effectExtent l="0" t="0" r="3810" b="0"/>
            <wp:docPr id="1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4790" cy="511810"/>
                    </a:xfrm>
                    <a:prstGeom prst="rect">
                      <a:avLst/>
                    </a:prstGeom>
                    <a:noFill/>
                    <a:ln>
                      <a:noFill/>
                    </a:ln>
                  </pic:spPr>
                </pic:pic>
              </a:graphicData>
            </a:graphic>
          </wp:inline>
        </w:drawing>
      </w:r>
      <w:r w:rsidR="0096367E">
        <w:rPr>
          <w:lang w:eastAsia="zh-CN"/>
        </w:rPr>
        <w:tab/>
        <w:t>(2.</w:t>
      </w:r>
      <w:r w:rsidR="0096367E">
        <w:rPr>
          <w:rFonts w:hint="eastAsia"/>
          <w:lang w:eastAsia="zh-CN"/>
        </w:rPr>
        <w:t>20</w:t>
      </w:r>
      <w:r w:rsidR="0096367E">
        <w:rPr>
          <w:lang w:eastAsia="zh-CN"/>
        </w:rPr>
        <w:t>)</w:t>
      </w:r>
    </w:p>
    <w:p w14:paraId="6CA4AAF1" w14:textId="77777777" w:rsidR="0085272D" w:rsidRDefault="0096367E">
      <w:pPr>
        <w:pStyle w:val="para1"/>
        <w:spacing w:line="480" w:lineRule="auto"/>
        <w:ind w:firstLine="0"/>
        <w:rPr>
          <w:rFonts w:asciiTheme="minorHAnsi" w:eastAsiaTheme="minorEastAsia" w:hAnsiTheme="minorHAnsi" w:cstheme="minorBidi"/>
          <w:sz w:val="24"/>
          <w:szCs w:val="24"/>
          <w:lang w:eastAsia="zh-CN"/>
        </w:rPr>
      </w:pPr>
      <w:r>
        <w:rPr>
          <w:rFonts w:asciiTheme="minorHAnsi" w:eastAsiaTheme="minorEastAsia" w:hAnsiTheme="minorHAnsi" w:cstheme="minorBidi"/>
          <w:sz w:val="24"/>
          <w:szCs w:val="24"/>
        </w:rPr>
        <w:lastRenderedPageBreak/>
        <w:t xml:space="preserve">Where </w:t>
      </w:r>
      <m:oMath>
        <m:sSub>
          <m:sSubPr>
            <m:ctrlPr>
              <w:rPr>
                <w:rFonts w:ascii="Cambria Math" w:eastAsiaTheme="minorEastAsia" w:hAnsi="Cambria Math" w:cstheme="minorBidi"/>
                <w:sz w:val="24"/>
                <w:szCs w:val="24"/>
              </w:rPr>
            </m:ctrlPr>
          </m:sSubPr>
          <m:e>
            <m:r>
              <m:rPr>
                <m:sty m:val="p"/>
              </m:rPr>
              <w:rPr>
                <w:rFonts w:ascii="Cambria Math" w:eastAsiaTheme="minorEastAsia" w:hAnsi="Cambria Math" w:cstheme="minorBidi"/>
                <w:sz w:val="24"/>
                <w:szCs w:val="24"/>
              </w:rPr>
              <m:t>φ</m:t>
            </m:r>
          </m:e>
          <m:sub>
            <m:r>
              <m:rPr>
                <m:sty m:val="p"/>
              </m:rPr>
              <w:rPr>
                <w:rFonts w:ascii="Cambria Math" w:eastAsiaTheme="minorEastAsia" w:hAnsi="Cambria Math" w:cstheme="minorBidi"/>
                <w:sz w:val="24"/>
                <w:szCs w:val="24"/>
              </w:rPr>
              <m:t>i,m</m:t>
            </m:r>
          </m:sub>
        </m:sSub>
      </m:oMath>
      <w:r>
        <w:rPr>
          <w:rFonts w:asciiTheme="minorHAnsi" w:eastAsiaTheme="minorEastAsia" w:hAnsiTheme="minorHAnsi" w:cstheme="minorBidi"/>
          <w:sz w:val="24"/>
          <w:szCs w:val="24"/>
        </w:rPr>
        <w:t xml:space="preserve"> and </w:t>
      </w:r>
      <m:oMath>
        <m:sSub>
          <m:sSubPr>
            <m:ctrlPr>
              <w:rPr>
                <w:rFonts w:ascii="Cambria Math" w:eastAsiaTheme="minorEastAsia" w:hAnsi="Cambria Math" w:cstheme="minorBidi"/>
                <w:sz w:val="24"/>
                <w:szCs w:val="24"/>
              </w:rPr>
            </m:ctrlPr>
          </m:sSubPr>
          <m:e>
            <m:r>
              <m:rPr>
                <m:sty m:val="p"/>
              </m:rPr>
              <w:rPr>
                <w:rFonts w:ascii="Cambria Math" w:eastAsiaTheme="minorEastAsia" w:hAnsi="Cambria Math" w:cstheme="minorBidi"/>
                <w:sz w:val="24"/>
                <w:szCs w:val="24"/>
              </w:rPr>
              <m:t>v</m:t>
            </m:r>
          </m:e>
          <m:sub>
            <m:r>
              <m:rPr>
                <m:sty m:val="p"/>
              </m:rPr>
              <w:rPr>
                <w:rFonts w:ascii="Cambria Math" w:eastAsiaTheme="minorEastAsia" w:hAnsi="Cambria Math" w:cstheme="minorBidi"/>
                <w:sz w:val="24"/>
                <w:szCs w:val="24"/>
              </w:rPr>
              <m:t>i,m</m:t>
            </m:r>
          </m:sub>
        </m:sSub>
      </m:oMath>
      <w:r>
        <w:rPr>
          <w:rFonts w:asciiTheme="minorHAnsi" w:eastAsiaTheme="minorEastAsia" w:hAnsiTheme="minorHAnsi" w:cstheme="minorBidi"/>
          <w:sz w:val="24"/>
          <w:szCs w:val="24"/>
        </w:rPr>
        <w:t xml:space="preserve"> are fugacity coefficient and molar volume for species i in phase m, respectively. However, the fugacity expression obtained from the proposed EOS (Equation </w:t>
      </w:r>
      <w:r>
        <w:rPr>
          <w:rFonts w:asciiTheme="minorHAnsi" w:eastAsiaTheme="minorEastAsia" w:hAnsiTheme="minorHAnsi" w:cstheme="minorBidi" w:hint="eastAsia"/>
          <w:sz w:val="24"/>
          <w:szCs w:val="24"/>
        </w:rPr>
        <w:t>2.</w:t>
      </w:r>
      <w:r>
        <w:rPr>
          <w:rFonts w:asciiTheme="minorHAnsi" w:eastAsiaTheme="minorEastAsia" w:hAnsiTheme="minorHAnsi" w:cstheme="minorBidi"/>
          <w:sz w:val="24"/>
          <w:szCs w:val="24"/>
        </w:rPr>
        <w:t>1) will change due to the additional c term as:</w:t>
      </w:r>
    </w:p>
    <w:p w14:paraId="043EDFFB" w14:textId="25811E68" w:rsidR="0085272D" w:rsidRDefault="00FA6998">
      <w:pPr>
        <w:tabs>
          <w:tab w:val="right" w:leader="dot" w:pos="8460"/>
        </w:tabs>
        <w:spacing w:after="240"/>
        <w:rPr>
          <w:lang w:eastAsia="zh-CN"/>
        </w:rPr>
      </w:pPr>
      <w:r>
        <w:rPr>
          <w:noProof/>
          <w:position w:val="-34"/>
          <w:lang w:eastAsia="zh-CN" w:bidi="ar-SA"/>
        </w:rPr>
        <w:drawing>
          <wp:inline distT="0" distB="0" distL="0" distR="0" wp14:anchorId="238AD9F5" wp14:editId="52BFDCA9">
            <wp:extent cx="3145790" cy="511810"/>
            <wp:effectExtent l="0" t="0" r="3810" b="0"/>
            <wp:docPr id="1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45790" cy="511810"/>
                    </a:xfrm>
                    <a:prstGeom prst="rect">
                      <a:avLst/>
                    </a:prstGeom>
                    <a:noFill/>
                    <a:ln>
                      <a:noFill/>
                    </a:ln>
                  </pic:spPr>
                </pic:pic>
              </a:graphicData>
            </a:graphic>
          </wp:inline>
        </w:drawing>
      </w:r>
      <w:r w:rsidR="0096367E">
        <w:rPr>
          <w:lang w:eastAsia="zh-CN"/>
        </w:rPr>
        <w:tab/>
        <w:t>(2.</w:t>
      </w:r>
      <w:r w:rsidR="0096367E">
        <w:rPr>
          <w:rFonts w:hint="eastAsia"/>
          <w:lang w:eastAsia="zh-CN"/>
        </w:rPr>
        <w:t>21</w:t>
      </w:r>
      <w:r w:rsidR="0096367E">
        <w:rPr>
          <w:lang w:eastAsia="zh-CN"/>
        </w:rPr>
        <w:t>)</w:t>
      </w:r>
    </w:p>
    <w:p w14:paraId="7B23608B" w14:textId="77777777" w:rsidR="0085272D" w:rsidRDefault="0096367E">
      <w:pPr>
        <w:tabs>
          <w:tab w:val="right" w:leader="dot" w:pos="8460"/>
        </w:tabs>
        <w:spacing w:after="240"/>
        <w:jc w:val="both"/>
        <w:rPr>
          <w:lang w:eastAsia="zh-CN"/>
        </w:rPr>
      </w:pPr>
      <w:r>
        <w:rPr>
          <w:lang w:eastAsia="zh-CN"/>
        </w:rPr>
        <w:t xml:space="preserve">Equation 2.21 gives the </w:t>
      </w:r>
      <w:r>
        <w:rPr>
          <w:rFonts w:eastAsiaTheme="minorEastAsia" w:cstheme="minorBidi"/>
        </w:rPr>
        <w:t xml:space="preserve">fugacity coefficient expression for </w:t>
      </w:r>
      <w:r>
        <w:rPr>
          <w:lang w:eastAsia="zh-CN"/>
        </w:rPr>
        <w:t xml:space="preserve">component i in phase m considering the confinement effects. When the system is at equilibrium and has more than one phase, the fugacity of each component will equate in each phase. As we can see, the pore size dependent parameter c will impact the </w:t>
      </w:r>
      <w:r>
        <w:rPr>
          <w:rFonts w:eastAsiaTheme="minorEastAsia" w:cstheme="minorBidi"/>
        </w:rPr>
        <w:t xml:space="preserve">fugacity coefficient and thus can change the conditions of the </w:t>
      </w:r>
      <w:r>
        <w:rPr>
          <w:lang w:eastAsia="zh-CN"/>
        </w:rPr>
        <w:t>equilibrium.</w:t>
      </w:r>
    </w:p>
    <w:p w14:paraId="173BB5D3" w14:textId="77777777" w:rsidR="0085272D" w:rsidRDefault="0085272D">
      <w:pPr>
        <w:tabs>
          <w:tab w:val="right" w:leader="dot" w:pos="8460"/>
        </w:tabs>
        <w:spacing w:after="240"/>
        <w:jc w:val="both"/>
        <w:rPr>
          <w:lang w:eastAsia="zh-CN"/>
        </w:rPr>
      </w:pPr>
    </w:p>
    <w:p w14:paraId="68BB26E8" w14:textId="77777777" w:rsidR="0085272D" w:rsidRDefault="0096367E">
      <w:pPr>
        <w:pStyle w:val="Heading3"/>
      </w:pPr>
      <w:bookmarkStart w:id="23" w:name="_Toc508114141"/>
      <w:r>
        <w:t>2.2.2 Modification of Peng-Robinson Equation of State</w:t>
      </w:r>
      <w:bookmarkEnd w:id="23"/>
    </w:p>
    <w:p w14:paraId="6ED08884" w14:textId="77777777" w:rsidR="0085272D" w:rsidRDefault="0096367E">
      <w:pPr>
        <w:widowControl w:val="0"/>
        <w:autoSpaceDE w:val="0"/>
        <w:autoSpaceDN w:val="0"/>
        <w:adjustRightInd w:val="0"/>
        <w:jc w:val="both"/>
        <w:rPr>
          <w:rFonts w:ascii="Times" w:hAnsi="Times" w:cs="Times"/>
        </w:rPr>
      </w:pPr>
      <w:r>
        <w:rPr>
          <w:rFonts w:ascii="Times" w:hAnsi="Times" w:cs="Times"/>
        </w:rPr>
        <w:t>Peng and Robinson (1976) developed a new two-constant EOS, known as Peng-Robinson EOS, to help better predict the phase behavior of complicated fluids such as petroleum fluids. The Peng-Robinson EOS has the following form:</w:t>
      </w:r>
    </w:p>
    <w:p w14:paraId="511221EB" w14:textId="75E3A75C" w:rsidR="0085272D" w:rsidRDefault="00FA6998">
      <w:pPr>
        <w:tabs>
          <w:tab w:val="right" w:leader="dot" w:pos="8460"/>
        </w:tabs>
        <w:rPr>
          <w:lang w:eastAsia="zh-CN"/>
        </w:rPr>
      </w:pPr>
      <w:r>
        <w:rPr>
          <w:noProof/>
          <w:position w:val="-28"/>
          <w:sz w:val="22"/>
          <w:szCs w:val="22"/>
          <w:lang w:eastAsia="zh-CN" w:bidi="ar-SA"/>
        </w:rPr>
        <w:drawing>
          <wp:inline distT="0" distB="0" distL="0" distR="0" wp14:anchorId="20D852AA" wp14:editId="27A812BD">
            <wp:extent cx="1784985" cy="413385"/>
            <wp:effectExtent l="0" t="0" r="0" b="0"/>
            <wp:docPr id="1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84985" cy="413385"/>
                    </a:xfrm>
                    <a:prstGeom prst="rect">
                      <a:avLst/>
                    </a:prstGeom>
                    <a:noFill/>
                    <a:ln>
                      <a:noFill/>
                    </a:ln>
                  </pic:spPr>
                </pic:pic>
              </a:graphicData>
            </a:graphic>
          </wp:inline>
        </w:drawing>
      </w:r>
      <w:r w:rsidR="0096367E">
        <w:rPr>
          <w:lang w:eastAsia="zh-CN"/>
        </w:rPr>
        <w:tab/>
        <w:t>(2.</w:t>
      </w:r>
      <w:r w:rsidR="0096367E">
        <w:rPr>
          <w:rFonts w:hint="eastAsia"/>
          <w:lang w:eastAsia="zh-CN"/>
        </w:rPr>
        <w:t>22</w:t>
      </w:r>
      <w:r w:rsidR="0096367E">
        <w:rPr>
          <w:lang w:eastAsia="zh-CN"/>
        </w:rPr>
        <w:t>)</w:t>
      </w:r>
    </w:p>
    <w:p w14:paraId="3FAC18DA" w14:textId="77777777" w:rsidR="0085272D" w:rsidRDefault="0096367E">
      <w:pPr>
        <w:widowControl w:val="0"/>
        <w:autoSpaceDE w:val="0"/>
        <w:autoSpaceDN w:val="0"/>
        <w:adjustRightInd w:val="0"/>
        <w:jc w:val="both"/>
        <w:rPr>
          <w:rFonts w:ascii="Times" w:hAnsi="Times" w:cs="Times"/>
        </w:rPr>
      </w:pPr>
      <w:r>
        <w:rPr>
          <w:rFonts w:ascii="Times" w:hAnsi="Times" w:cs="Times"/>
        </w:rPr>
        <w:t>Peng-Robinson EOS has been so far widely used in the petroleum industry. Similar approach of modification can be applied to Peng-Robinson EOS by adding a new term to consider the fluid-wall interactions:</w:t>
      </w:r>
    </w:p>
    <w:p w14:paraId="48422CED" w14:textId="71418641" w:rsidR="0085272D" w:rsidRDefault="00FA6998">
      <w:pPr>
        <w:tabs>
          <w:tab w:val="right" w:leader="dot" w:pos="8460"/>
        </w:tabs>
        <w:rPr>
          <w:lang w:eastAsia="zh-CN"/>
        </w:rPr>
      </w:pPr>
      <w:r>
        <w:rPr>
          <w:noProof/>
          <w:position w:val="-28"/>
          <w:sz w:val="22"/>
          <w:szCs w:val="22"/>
          <w:lang w:eastAsia="zh-CN" w:bidi="ar-SA"/>
        </w:rPr>
        <w:drawing>
          <wp:inline distT="0" distB="0" distL="0" distR="0" wp14:anchorId="25E80240" wp14:editId="27D353C5">
            <wp:extent cx="2971800" cy="413385"/>
            <wp:effectExtent l="0" t="0" r="0" b="0"/>
            <wp:docPr id="11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71800" cy="413385"/>
                    </a:xfrm>
                    <a:prstGeom prst="rect">
                      <a:avLst/>
                    </a:prstGeom>
                    <a:noFill/>
                    <a:ln>
                      <a:noFill/>
                    </a:ln>
                  </pic:spPr>
                </pic:pic>
              </a:graphicData>
            </a:graphic>
          </wp:inline>
        </w:drawing>
      </w:r>
      <w:r w:rsidR="0096367E">
        <w:rPr>
          <w:lang w:eastAsia="zh-CN"/>
        </w:rPr>
        <w:tab/>
        <w:t>(2.</w:t>
      </w:r>
      <w:r w:rsidR="0096367E">
        <w:rPr>
          <w:rFonts w:hint="eastAsia"/>
          <w:lang w:eastAsia="zh-CN"/>
        </w:rPr>
        <w:t>23</w:t>
      </w:r>
      <w:r w:rsidR="0096367E">
        <w:rPr>
          <w:lang w:eastAsia="zh-CN"/>
        </w:rPr>
        <w:t>)</w:t>
      </w:r>
    </w:p>
    <w:p w14:paraId="2DC24FBF" w14:textId="77777777" w:rsidR="0085272D" w:rsidRDefault="0096367E">
      <w:pPr>
        <w:jc w:val="both"/>
        <w:rPr>
          <w:rFonts w:ascii="Times" w:hAnsi="Times" w:cs="Times"/>
        </w:rPr>
      </w:pPr>
      <w:r>
        <w:lastRenderedPageBreak/>
        <w:t xml:space="preserve">Same as that in the previous section, the term </w:t>
      </w:r>
      <m:oMath>
        <m:f>
          <m:fPr>
            <m:ctrlPr>
              <w:rPr>
                <w:rFonts w:ascii="Cambria Math" w:hAnsi="Cambria Math"/>
              </w:rPr>
            </m:ctrlPr>
          </m:fPr>
          <m:num>
            <m:r>
              <m:rPr>
                <m:sty m:val="p"/>
              </m:rPr>
              <w:rPr>
                <w:rFonts w:ascii="Cambria Math" w:hAnsi="Cambria Math"/>
              </w:rPr>
              <m:t>c</m:t>
            </m:r>
          </m:num>
          <m:den>
            <m:r>
              <m:rPr>
                <m:sty m:val="p"/>
              </m:rPr>
              <w:rPr>
                <w:rFonts w:ascii="Cambria Math" w:hAnsi="Cambria Math"/>
              </w:rPr>
              <m:t>v</m:t>
            </m:r>
            <m:d>
              <m:dPr>
                <m:ctrlPr>
                  <w:rPr>
                    <w:rFonts w:ascii="Cambria Math" w:hAnsi="Cambria Math"/>
                  </w:rPr>
                </m:ctrlPr>
              </m:dPr>
              <m:e>
                <m:r>
                  <m:rPr>
                    <m:sty m:val="p"/>
                  </m:rPr>
                  <w:rPr>
                    <w:rFonts w:ascii="Cambria Math" w:hAnsi="Cambria Math"/>
                  </w:rPr>
                  <m:t>v+b</m:t>
                </m:r>
              </m:e>
            </m:d>
            <m:r>
              <m:rPr>
                <m:sty m:val="p"/>
              </m:rPr>
              <w:rPr>
                <w:rFonts w:ascii="Cambria Math" w:hAnsi="Cambria Math"/>
              </w:rPr>
              <m:t>+b(v-b)</m:t>
            </m:r>
          </m:den>
        </m:f>
      </m:oMath>
      <w:r>
        <w:t xml:space="preserve"> represents the interactions between the fluid molecule and the pore wall of the porous media. However, the short-range repulsions are ignored as of now.  The expressions of critical temperature and pressure for both original </w:t>
      </w:r>
      <w:r>
        <w:rPr>
          <w:rFonts w:ascii="Times" w:hAnsi="Times" w:cs="Times"/>
        </w:rPr>
        <w:t>Peng-Robinson EOS and its modified form are given as:</w:t>
      </w:r>
    </w:p>
    <w:p w14:paraId="127A2F73" w14:textId="50FD59F7" w:rsidR="0085272D" w:rsidRDefault="00FA6998">
      <w:pPr>
        <w:tabs>
          <w:tab w:val="right" w:leader="dot" w:pos="8460"/>
        </w:tabs>
        <w:rPr>
          <w:lang w:eastAsia="zh-CN"/>
        </w:rPr>
      </w:pPr>
      <w:r>
        <w:rPr>
          <w:noProof/>
          <w:position w:val="-24"/>
          <w:sz w:val="22"/>
          <w:szCs w:val="22"/>
          <w:lang w:eastAsia="zh-CN" w:bidi="ar-SA"/>
        </w:rPr>
        <w:drawing>
          <wp:inline distT="0" distB="0" distL="0" distR="0" wp14:anchorId="50AB1775" wp14:editId="300BD529">
            <wp:extent cx="1099185" cy="391795"/>
            <wp:effectExtent l="0" t="0" r="0" b="0"/>
            <wp:docPr id="10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99185" cy="391795"/>
                    </a:xfrm>
                    <a:prstGeom prst="rect">
                      <a:avLst/>
                    </a:prstGeom>
                    <a:noFill/>
                    <a:ln>
                      <a:noFill/>
                    </a:ln>
                  </pic:spPr>
                </pic:pic>
              </a:graphicData>
            </a:graphic>
          </wp:inline>
        </w:drawing>
      </w:r>
      <w:r w:rsidR="0096367E">
        <w:rPr>
          <w:lang w:eastAsia="zh-CN"/>
        </w:rPr>
        <w:tab/>
        <w:t>(2.</w:t>
      </w:r>
      <w:r w:rsidR="0096367E">
        <w:rPr>
          <w:rFonts w:hint="eastAsia"/>
          <w:lang w:eastAsia="zh-CN"/>
        </w:rPr>
        <w:t>24</w:t>
      </w:r>
      <w:r w:rsidR="0096367E">
        <w:rPr>
          <w:lang w:eastAsia="zh-CN"/>
        </w:rPr>
        <w:t>)</w:t>
      </w:r>
    </w:p>
    <w:p w14:paraId="747B192E" w14:textId="6344C5B6" w:rsidR="0085272D" w:rsidRDefault="00FA6998">
      <w:pPr>
        <w:tabs>
          <w:tab w:val="right" w:leader="dot" w:pos="8460"/>
        </w:tabs>
        <w:rPr>
          <w:lang w:eastAsia="zh-CN"/>
        </w:rPr>
      </w:pPr>
      <w:r>
        <w:rPr>
          <w:noProof/>
          <w:position w:val="-24"/>
          <w:sz w:val="22"/>
          <w:szCs w:val="22"/>
          <w:lang w:eastAsia="zh-CN" w:bidi="ar-SA"/>
        </w:rPr>
        <w:drawing>
          <wp:inline distT="0" distB="0" distL="0" distR="0" wp14:anchorId="4EAFC4E9" wp14:editId="20511FFC">
            <wp:extent cx="1012190" cy="391795"/>
            <wp:effectExtent l="0" t="0" r="3810" b="0"/>
            <wp:docPr id="10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2190" cy="391795"/>
                    </a:xfrm>
                    <a:prstGeom prst="rect">
                      <a:avLst/>
                    </a:prstGeom>
                    <a:noFill/>
                    <a:ln>
                      <a:noFill/>
                    </a:ln>
                  </pic:spPr>
                </pic:pic>
              </a:graphicData>
            </a:graphic>
          </wp:inline>
        </w:drawing>
      </w:r>
      <w:r w:rsidR="0096367E">
        <w:rPr>
          <w:lang w:eastAsia="zh-CN"/>
        </w:rPr>
        <w:tab/>
        <w:t>(2.</w:t>
      </w:r>
      <w:r w:rsidR="0096367E">
        <w:rPr>
          <w:rFonts w:hint="eastAsia"/>
          <w:lang w:eastAsia="zh-CN"/>
        </w:rPr>
        <w:t>25</w:t>
      </w:r>
      <w:r w:rsidR="0096367E">
        <w:rPr>
          <w:lang w:eastAsia="zh-CN"/>
        </w:rPr>
        <w:t>)</w:t>
      </w:r>
    </w:p>
    <w:p w14:paraId="3181E1B6" w14:textId="40A08C5B" w:rsidR="0085272D" w:rsidRDefault="00FA6998">
      <w:pPr>
        <w:tabs>
          <w:tab w:val="right" w:leader="dot" w:pos="8460"/>
        </w:tabs>
        <w:rPr>
          <w:lang w:eastAsia="zh-CN"/>
        </w:rPr>
      </w:pPr>
      <w:r>
        <w:rPr>
          <w:noProof/>
          <w:position w:val="-24"/>
          <w:sz w:val="22"/>
          <w:szCs w:val="22"/>
          <w:lang w:eastAsia="zh-CN" w:bidi="ar-SA"/>
        </w:rPr>
        <w:drawing>
          <wp:inline distT="0" distB="0" distL="0" distR="0" wp14:anchorId="4821FD94" wp14:editId="23C7BCBE">
            <wp:extent cx="1263015" cy="391795"/>
            <wp:effectExtent l="0" t="0" r="6985" b="0"/>
            <wp:docPr id="10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63015" cy="391795"/>
                    </a:xfrm>
                    <a:prstGeom prst="rect">
                      <a:avLst/>
                    </a:prstGeom>
                    <a:noFill/>
                    <a:ln>
                      <a:noFill/>
                    </a:ln>
                  </pic:spPr>
                </pic:pic>
              </a:graphicData>
            </a:graphic>
          </wp:inline>
        </w:drawing>
      </w:r>
      <w:r w:rsidR="0096367E">
        <w:rPr>
          <w:lang w:eastAsia="zh-CN"/>
        </w:rPr>
        <w:tab/>
        <w:t>(2.</w:t>
      </w:r>
      <w:r w:rsidR="0096367E">
        <w:rPr>
          <w:rFonts w:hint="eastAsia"/>
          <w:lang w:eastAsia="zh-CN"/>
        </w:rPr>
        <w:t>26</w:t>
      </w:r>
      <w:r w:rsidR="0096367E">
        <w:rPr>
          <w:lang w:eastAsia="zh-CN"/>
        </w:rPr>
        <w:t>)</w:t>
      </w:r>
    </w:p>
    <w:p w14:paraId="5EBCE173" w14:textId="76974267" w:rsidR="0085272D" w:rsidRDefault="00FA6998">
      <w:pPr>
        <w:tabs>
          <w:tab w:val="right" w:leader="dot" w:pos="8460"/>
        </w:tabs>
        <w:rPr>
          <w:lang w:eastAsia="zh-CN"/>
        </w:rPr>
      </w:pPr>
      <w:r>
        <w:rPr>
          <w:noProof/>
          <w:position w:val="-24"/>
          <w:sz w:val="22"/>
          <w:szCs w:val="22"/>
          <w:lang w:eastAsia="zh-CN" w:bidi="ar-SA"/>
        </w:rPr>
        <w:drawing>
          <wp:inline distT="0" distB="0" distL="0" distR="0" wp14:anchorId="5B09F5EC" wp14:editId="3358F40C">
            <wp:extent cx="1164590" cy="391795"/>
            <wp:effectExtent l="0" t="0" r="3810" b="0"/>
            <wp:docPr id="10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64590" cy="391795"/>
                    </a:xfrm>
                    <a:prstGeom prst="rect">
                      <a:avLst/>
                    </a:prstGeom>
                    <a:noFill/>
                    <a:ln>
                      <a:noFill/>
                    </a:ln>
                  </pic:spPr>
                </pic:pic>
              </a:graphicData>
            </a:graphic>
          </wp:inline>
        </w:drawing>
      </w:r>
      <w:r w:rsidR="0096367E">
        <w:rPr>
          <w:lang w:eastAsia="zh-CN"/>
        </w:rPr>
        <w:tab/>
        <w:t>(2.</w:t>
      </w:r>
      <w:r w:rsidR="0096367E">
        <w:rPr>
          <w:rFonts w:hint="eastAsia"/>
          <w:lang w:eastAsia="zh-CN"/>
        </w:rPr>
        <w:t>27</w:t>
      </w:r>
      <w:r w:rsidR="0096367E">
        <w:rPr>
          <w:lang w:eastAsia="zh-CN"/>
        </w:rPr>
        <w:t>)</w:t>
      </w:r>
    </w:p>
    <w:p w14:paraId="0F21ECEB" w14:textId="77777777" w:rsidR="0085272D" w:rsidRDefault="0096367E">
      <w:pPr>
        <w:jc w:val="both"/>
      </w:pPr>
      <w:r>
        <w:t>Where P</w:t>
      </w:r>
      <w:r>
        <w:rPr>
          <w:vertAlign w:val="subscript"/>
        </w:rPr>
        <w:t>c</w:t>
      </w:r>
      <w:r>
        <w:t xml:space="preserve"> and T</w:t>
      </w:r>
      <w:r>
        <w:rPr>
          <w:vertAlign w:val="subscript"/>
        </w:rPr>
        <w:t>c</w:t>
      </w:r>
      <w:r>
        <w:t xml:space="preserve"> are the critical pressure and critical temperature of the original </w:t>
      </w:r>
      <w:r>
        <w:rPr>
          <w:rFonts w:ascii="Times" w:hAnsi="Times" w:cs="Times"/>
        </w:rPr>
        <w:t>Peng-Robinson</w:t>
      </w:r>
      <w:r>
        <w:t xml:space="preserve"> EOS; while P</w:t>
      </w:r>
      <w:r>
        <w:rPr>
          <w:vertAlign w:val="subscript"/>
        </w:rPr>
        <w:t>cz</w:t>
      </w:r>
      <w:r>
        <w:t xml:space="preserve"> and T</w:t>
      </w:r>
      <w:r>
        <w:rPr>
          <w:vertAlign w:val="subscript"/>
        </w:rPr>
        <w:t>cz</w:t>
      </w:r>
      <w:r>
        <w:t xml:space="preserve"> are the critical pressure and critical temperature calculated from the modified </w:t>
      </w:r>
      <w:r>
        <w:rPr>
          <w:rFonts w:ascii="Times" w:hAnsi="Times" w:cs="Times"/>
        </w:rPr>
        <w:t>Peng-Robinson</w:t>
      </w:r>
      <w:r>
        <w:t xml:space="preserve"> EOS. ΔP</w:t>
      </w:r>
      <w:r>
        <w:rPr>
          <w:vertAlign w:val="subscript"/>
        </w:rPr>
        <w:t>C</w:t>
      </w:r>
      <w:r>
        <w:t xml:space="preserve"> and ΔT</w:t>
      </w:r>
      <w:r>
        <w:rPr>
          <w:vertAlign w:val="subscript"/>
        </w:rPr>
        <w:t xml:space="preserve">C </w:t>
      </w:r>
      <w:r>
        <w:t>can</w:t>
      </w:r>
      <w:r>
        <w:rPr>
          <w:vertAlign w:val="subscript"/>
        </w:rPr>
        <w:t xml:space="preserve"> </w:t>
      </w:r>
      <w:r>
        <w:t>be defined as follows:</w:t>
      </w:r>
    </w:p>
    <w:p w14:paraId="238ABBAE" w14:textId="39E8D561" w:rsidR="0085272D" w:rsidRDefault="00FA6998">
      <w:pPr>
        <w:tabs>
          <w:tab w:val="right" w:leader="dot" w:pos="8460"/>
        </w:tabs>
        <w:rPr>
          <w:lang w:eastAsia="zh-CN"/>
        </w:rPr>
      </w:pPr>
      <w:r>
        <w:rPr>
          <w:noProof/>
          <w:position w:val="-30"/>
          <w:sz w:val="22"/>
          <w:szCs w:val="22"/>
          <w:lang w:eastAsia="zh-CN" w:bidi="ar-SA"/>
        </w:rPr>
        <w:drawing>
          <wp:inline distT="0" distB="0" distL="0" distR="0" wp14:anchorId="282C52CD" wp14:editId="7B1A457D">
            <wp:extent cx="1894205" cy="435610"/>
            <wp:effectExtent l="0" t="0" r="10795" b="0"/>
            <wp:docPr id="10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94205" cy="435610"/>
                    </a:xfrm>
                    <a:prstGeom prst="rect">
                      <a:avLst/>
                    </a:prstGeom>
                    <a:noFill/>
                    <a:ln>
                      <a:noFill/>
                    </a:ln>
                  </pic:spPr>
                </pic:pic>
              </a:graphicData>
            </a:graphic>
          </wp:inline>
        </w:drawing>
      </w:r>
      <w:r w:rsidR="0096367E">
        <w:rPr>
          <w:lang w:eastAsia="zh-CN"/>
        </w:rPr>
        <w:tab/>
        <w:t>(2.</w:t>
      </w:r>
      <w:r w:rsidR="0096367E">
        <w:rPr>
          <w:rFonts w:hint="eastAsia"/>
          <w:lang w:eastAsia="zh-CN"/>
        </w:rPr>
        <w:t>28</w:t>
      </w:r>
      <w:r w:rsidR="0096367E">
        <w:rPr>
          <w:lang w:eastAsia="zh-CN"/>
        </w:rPr>
        <w:t>)</w:t>
      </w:r>
    </w:p>
    <w:p w14:paraId="1C4EC08E" w14:textId="77777777" w:rsidR="0085272D" w:rsidRDefault="0096367E">
      <w:pPr>
        <w:jc w:val="both"/>
      </w:pPr>
      <w:r>
        <w:t>Same for ΔT</w:t>
      </w:r>
      <w:r>
        <w:rPr>
          <w:vertAlign w:val="subscript"/>
        </w:rPr>
        <w:t>C</w:t>
      </w:r>
      <w:r>
        <w:t>:</w:t>
      </w:r>
    </w:p>
    <w:p w14:paraId="143DBFDC" w14:textId="6BA08AE0" w:rsidR="0085272D" w:rsidRDefault="00FA6998">
      <w:pPr>
        <w:tabs>
          <w:tab w:val="right" w:leader="dot" w:pos="8460"/>
        </w:tabs>
        <w:rPr>
          <w:lang w:eastAsia="zh-CN"/>
        </w:rPr>
      </w:pPr>
      <w:r>
        <w:rPr>
          <w:noProof/>
          <w:position w:val="-30"/>
          <w:sz w:val="22"/>
          <w:szCs w:val="22"/>
          <w:lang w:eastAsia="zh-CN" w:bidi="ar-SA"/>
        </w:rPr>
        <w:drawing>
          <wp:inline distT="0" distB="0" distL="0" distR="0" wp14:anchorId="477143CF" wp14:editId="1C61B66F">
            <wp:extent cx="1839595" cy="435610"/>
            <wp:effectExtent l="0" t="0" r="0" b="0"/>
            <wp:docPr id="10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39595" cy="435610"/>
                    </a:xfrm>
                    <a:prstGeom prst="rect">
                      <a:avLst/>
                    </a:prstGeom>
                    <a:noFill/>
                    <a:ln>
                      <a:noFill/>
                    </a:ln>
                  </pic:spPr>
                </pic:pic>
              </a:graphicData>
            </a:graphic>
          </wp:inline>
        </w:drawing>
      </w:r>
      <w:r w:rsidR="0096367E">
        <w:rPr>
          <w:lang w:eastAsia="zh-CN"/>
        </w:rPr>
        <w:tab/>
        <w:t>(2.</w:t>
      </w:r>
      <w:r w:rsidR="0096367E">
        <w:rPr>
          <w:rFonts w:hint="eastAsia"/>
          <w:lang w:eastAsia="zh-CN"/>
        </w:rPr>
        <w:t>29</w:t>
      </w:r>
      <w:r w:rsidR="0096367E">
        <w:rPr>
          <w:lang w:eastAsia="zh-CN"/>
        </w:rPr>
        <w:t>)</w:t>
      </w:r>
    </w:p>
    <w:p w14:paraId="1FF61E36" w14:textId="77777777" w:rsidR="0085272D" w:rsidRDefault="0096367E">
      <w:pPr>
        <w:widowControl w:val="0"/>
        <w:autoSpaceDE w:val="0"/>
        <w:autoSpaceDN w:val="0"/>
        <w:adjustRightInd w:val="0"/>
        <w:jc w:val="both"/>
      </w:pPr>
      <w:r>
        <w:rPr>
          <w:rFonts w:ascii="Times" w:hAnsi="Times" w:cs="Times"/>
        </w:rPr>
        <w:t xml:space="preserve">The same mixing rules that used in the </w:t>
      </w:r>
      <w:r>
        <w:t xml:space="preserve">van der Waals EOS </w:t>
      </w:r>
      <w:r>
        <w:rPr>
          <w:rFonts w:ascii="Times" w:hAnsi="Times" w:cs="Times"/>
        </w:rPr>
        <w:t xml:space="preserve">in the previous section are applied here for </w:t>
      </w:r>
      <w:r>
        <w:t>Peng-Robinson EOS. For any mixtures, the expressions of fugacity coefficient for species i for both original and modified Peng-Robinson EOS are shown below:</w:t>
      </w:r>
    </w:p>
    <w:p w14:paraId="3FF1B570" w14:textId="620DB778" w:rsidR="0085272D" w:rsidRDefault="00FA6998">
      <w:pPr>
        <w:tabs>
          <w:tab w:val="right" w:leader="dot" w:pos="8460"/>
        </w:tabs>
        <w:rPr>
          <w:lang w:eastAsia="zh-CN"/>
        </w:rPr>
      </w:pPr>
      <w:r>
        <w:rPr>
          <w:rFonts w:eastAsiaTheme="minorEastAsia" w:cstheme="minorBidi"/>
          <w:noProof/>
          <w:position w:val="-44"/>
          <w:lang w:eastAsia="zh-CN" w:bidi="ar-SA"/>
        </w:rPr>
        <w:lastRenderedPageBreak/>
        <w:drawing>
          <wp:inline distT="0" distB="0" distL="0" distR="0" wp14:anchorId="5F434506" wp14:editId="20D68DE1">
            <wp:extent cx="4931410" cy="565785"/>
            <wp:effectExtent l="0" t="0" r="0" b="0"/>
            <wp:docPr id="10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31410" cy="565785"/>
                    </a:xfrm>
                    <a:prstGeom prst="rect">
                      <a:avLst/>
                    </a:prstGeom>
                    <a:noFill/>
                    <a:ln>
                      <a:noFill/>
                    </a:ln>
                  </pic:spPr>
                </pic:pic>
              </a:graphicData>
            </a:graphic>
          </wp:inline>
        </w:drawing>
      </w:r>
      <w:r w:rsidR="0096367E">
        <w:rPr>
          <w:lang w:eastAsia="zh-CN"/>
        </w:rPr>
        <w:tab/>
        <w:t>(2.</w:t>
      </w:r>
      <w:r w:rsidR="0096367E">
        <w:rPr>
          <w:rFonts w:hint="eastAsia"/>
          <w:lang w:eastAsia="zh-CN"/>
        </w:rPr>
        <w:t>30</w:t>
      </w:r>
      <w:r w:rsidR="0096367E">
        <w:rPr>
          <w:lang w:eastAsia="zh-CN"/>
        </w:rPr>
        <w:t>)</w:t>
      </w:r>
    </w:p>
    <w:p w14:paraId="36CA6FE4" w14:textId="6C2840C5" w:rsidR="0085272D" w:rsidRDefault="00FA6998">
      <w:pPr>
        <w:tabs>
          <w:tab w:val="right" w:leader="dot" w:pos="8460"/>
        </w:tabs>
        <w:rPr>
          <w:lang w:eastAsia="zh-CN"/>
        </w:rPr>
      </w:pPr>
      <w:r>
        <w:rPr>
          <w:rFonts w:eastAsiaTheme="minorEastAsia" w:cstheme="minorBidi"/>
          <w:noProof/>
          <w:position w:val="-44"/>
          <w:lang w:eastAsia="zh-CN" w:bidi="ar-SA"/>
        </w:rPr>
        <w:drawing>
          <wp:inline distT="0" distB="0" distL="0" distR="0" wp14:anchorId="32BBD571" wp14:editId="124B41CE">
            <wp:extent cx="5018405" cy="544195"/>
            <wp:effectExtent l="0" t="0" r="10795" b="0"/>
            <wp:docPr id="10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18405" cy="544195"/>
                    </a:xfrm>
                    <a:prstGeom prst="rect">
                      <a:avLst/>
                    </a:prstGeom>
                    <a:noFill/>
                    <a:ln>
                      <a:noFill/>
                    </a:ln>
                  </pic:spPr>
                </pic:pic>
              </a:graphicData>
            </a:graphic>
          </wp:inline>
        </w:drawing>
      </w:r>
      <w:r w:rsidR="0096367E">
        <w:rPr>
          <w:lang w:eastAsia="zh-CN"/>
        </w:rPr>
        <w:tab/>
        <w:t>(2.</w:t>
      </w:r>
      <w:r w:rsidR="0096367E">
        <w:rPr>
          <w:rFonts w:hint="eastAsia"/>
          <w:lang w:eastAsia="zh-CN"/>
        </w:rPr>
        <w:t>31</w:t>
      </w:r>
      <w:r w:rsidR="0096367E">
        <w:rPr>
          <w:lang w:eastAsia="zh-CN"/>
        </w:rPr>
        <w:t>)</w:t>
      </w:r>
    </w:p>
    <w:p w14:paraId="0F334E61" w14:textId="77777777" w:rsidR="0085272D" w:rsidRDefault="0096367E">
      <w:pPr>
        <w:widowControl w:val="0"/>
        <w:autoSpaceDE w:val="0"/>
        <w:autoSpaceDN w:val="0"/>
        <w:adjustRightInd w:val="0"/>
        <w:spacing w:after="240"/>
        <w:jc w:val="both"/>
        <w:rPr>
          <w:lang w:eastAsia="zh-CN"/>
        </w:rPr>
      </w:pPr>
      <w:r>
        <w:rPr>
          <w:rFonts w:ascii="Times" w:hAnsi="Times" w:cs="Times"/>
        </w:rPr>
        <w:t>In Equation 2.31, the term c and c</w:t>
      </w:r>
      <w:r>
        <w:rPr>
          <w:rFonts w:ascii="Times" w:hAnsi="Times" w:cs="Times"/>
          <w:vertAlign w:val="subscript"/>
        </w:rPr>
        <w:t>ij</w:t>
      </w:r>
      <w:r>
        <w:rPr>
          <w:rFonts w:ascii="Times" w:hAnsi="Times" w:cs="Times"/>
        </w:rPr>
        <w:t xml:space="preserve"> can be treated in the same way as a and a</w:t>
      </w:r>
      <w:r>
        <w:rPr>
          <w:rFonts w:ascii="Times" w:hAnsi="Times" w:cs="Times"/>
          <w:vertAlign w:val="subscript"/>
        </w:rPr>
        <w:t>ij</w:t>
      </w:r>
      <w:r>
        <w:rPr>
          <w:rFonts w:ascii="Times" w:hAnsi="Times" w:cs="Times"/>
        </w:rPr>
        <w:t>, by applying similar mixing rule.</w:t>
      </w:r>
    </w:p>
    <w:p w14:paraId="3E529CD4" w14:textId="77777777" w:rsidR="0085272D" w:rsidRDefault="0085272D">
      <w:pPr>
        <w:tabs>
          <w:tab w:val="right" w:leader="dot" w:pos="8460"/>
        </w:tabs>
        <w:spacing w:after="240"/>
        <w:rPr>
          <w:lang w:eastAsia="zh-CN"/>
        </w:rPr>
      </w:pPr>
    </w:p>
    <w:p w14:paraId="025756B3" w14:textId="77777777" w:rsidR="0085272D" w:rsidRDefault="0096367E">
      <w:pPr>
        <w:pStyle w:val="Heading2"/>
      </w:pPr>
      <w:bookmarkStart w:id="24" w:name="_Toc508114142"/>
      <w:r>
        <w:t>2.3 Correlations to Determine the Pore Size Dependent EOS Parameter c</w:t>
      </w:r>
      <w:bookmarkEnd w:id="24"/>
    </w:p>
    <w:p w14:paraId="6BA5B0CB" w14:textId="5F13288E" w:rsidR="0085272D" w:rsidRDefault="0096367E">
      <w:pPr>
        <w:spacing w:after="240"/>
        <w:jc w:val="both"/>
      </w:pPr>
      <w:r>
        <w:t xml:space="preserve">Singh et al. (2009) studies the shift in the critical temperature as a function of slit pore width from 0.5 nm to 5 nm </w:t>
      </w:r>
      <w:r>
        <w:rPr>
          <w:rFonts w:hint="eastAsia"/>
          <w:lang w:eastAsia="zh-CN"/>
        </w:rPr>
        <w:t>with</w:t>
      </w:r>
      <w:r>
        <w:t xml:space="preserve"> configurational-bias grand-canonical transition-matrix Monte Carlo simulation method. </w:t>
      </w:r>
      <w:r>
        <w:rPr>
          <w:b/>
        </w:rPr>
        <w:t>Figure 2.1</w:t>
      </w:r>
      <w:r>
        <w:t xml:space="preserve"> shows the relationship between ΔT</w:t>
      </w:r>
      <w:r>
        <w:rPr>
          <w:vertAlign w:val="subscript"/>
        </w:rPr>
        <w:t>C</w:t>
      </w:r>
      <w:r>
        <w:t xml:space="preserve"> and pore size for methane, n-butane and n-octane in graphite and mica porous media on a log-log scale plot. From the </w:t>
      </w:r>
      <w:r w:rsidR="007E0B1F">
        <w:t>plot,</w:t>
      </w:r>
      <w:r>
        <w:t xml:space="preserve"> we can see that the change in ΔT</w:t>
      </w:r>
      <w:r>
        <w:rPr>
          <w:vertAlign w:val="subscript"/>
        </w:rPr>
        <w:t>C</w:t>
      </w:r>
      <w:r>
        <w:t xml:space="preserve"> follows the similar trend for all the cases. That is, the value of ΔT</w:t>
      </w:r>
      <w:r>
        <w:rPr>
          <w:vertAlign w:val="subscript"/>
        </w:rPr>
        <w:t>C</w:t>
      </w:r>
      <w:r>
        <w:t xml:space="preserve"> tends to stabilize around 0.6 when the pore size is extremely small (&lt;0.7 nm) and begins to decrease with increasing pore size. However, the rate of change in ΔT</w:t>
      </w:r>
      <w:r>
        <w:rPr>
          <w:vertAlign w:val="subscript"/>
        </w:rPr>
        <w:t>C</w:t>
      </w:r>
      <w:r>
        <w:t xml:space="preserve"> starts to differentiate for different fluids when the pore size</w:t>
      </w:r>
      <w:r>
        <w:rPr>
          <w:rFonts w:hint="eastAsia"/>
          <w:lang w:eastAsia="zh-CN"/>
        </w:rPr>
        <w:t>s</w:t>
      </w:r>
      <w:r>
        <w:t xml:space="preserve"> greater than 1.5 nm. This is due to the effects of the molecular orientation in small pores </w:t>
      </w:r>
      <w:r>
        <w:rPr>
          <w:rFonts w:hint="eastAsia"/>
          <w:lang w:eastAsia="zh-CN"/>
        </w:rPr>
        <w:t>resulted from</w:t>
      </w:r>
      <w:r>
        <w:t xml:space="preserve"> the fluid molecule-pore wall interactions. Methane has a spherical molecular configuration and the smallest molecular size</w:t>
      </w:r>
      <w:r>
        <w:rPr>
          <w:rFonts w:hint="eastAsia"/>
          <w:lang w:eastAsia="zh-CN"/>
        </w:rPr>
        <w:t>.</w:t>
      </w:r>
      <w:r>
        <w:t xml:space="preserve"> ΔT</w:t>
      </w:r>
      <w:r>
        <w:rPr>
          <w:vertAlign w:val="subscript"/>
        </w:rPr>
        <w:t>C</w:t>
      </w:r>
      <w:r>
        <w:t xml:space="preserve"> for methane declines very fast at bigger pore size</w:t>
      </w:r>
      <w:r>
        <w:rPr>
          <w:rFonts w:hint="eastAsia"/>
          <w:lang w:eastAsia="zh-CN"/>
        </w:rPr>
        <w:t>s</w:t>
      </w:r>
      <w:r>
        <w:t xml:space="preserve"> compare to n-butane and n-octane that have larger molecular </w:t>
      </w:r>
      <w:r>
        <w:lastRenderedPageBreak/>
        <w:t xml:space="preserve">sizes. To eliminate the effects of molecular size, the ratio of pore size to effective molecular diameter is used in </w:t>
      </w:r>
      <w:r>
        <w:rPr>
          <w:b/>
        </w:rPr>
        <w:t>Figure 2.2</w:t>
      </w:r>
      <w:r>
        <w:t xml:space="preserve">. The effective molecular diameter is neither the width nor the length of a molecule, but </w:t>
      </w:r>
      <w:r>
        <w:rPr>
          <w:rFonts w:hint="eastAsia"/>
          <w:lang w:eastAsia="zh-CN"/>
        </w:rPr>
        <w:t xml:space="preserve">it is </w:t>
      </w:r>
      <w:r>
        <w:t xml:space="preserve">the diameter of the smallest cross-section of a molecule. Mao and Sinnott (2001) proposed the effective size and length of methane, ethane and butane. From their studies, the effective diameter of methane (0.399 nm) is only a little smaller than n-butane (0.415 nm) since the cross section of n-butane along the carbon chain is close to that of methane. However, when the carbon chain of a hydrocarbon molecule gets longer, the molecular configuration will change as indicated by Lucia and Bonk (2011). In their studies, they mention that long molecules such as n-octane can exhibit to the structure that is partially extended and wrapped at the ends in the liquid state rather than zigzag planar configuration. This finding will change the shape and area of the cross section of the long n-alkanes and should take into account when obtaining the effective molecular diameter. Deourane (2007) discussed the same findings. </w:t>
      </w:r>
      <w:r w:rsidR="00B2181C">
        <w:t>Basically,</w:t>
      </w:r>
      <w:r>
        <w:t xml:space="preserve"> what is reported as the diameter of a molecule is actually the van der Waals diameter when there is no effect of confinement. However, the effective molecule diameter under confinement will be different due to molecule configuration along the pore wall resulted from fluid molecule-pore wall interactions. </w:t>
      </w:r>
    </w:p>
    <w:p w14:paraId="4E7C5C8D" w14:textId="77777777" w:rsidR="0085272D" w:rsidRDefault="0096367E">
      <w:pPr>
        <w:ind w:firstLine="90"/>
        <w:jc w:val="both"/>
      </w:pPr>
      <w:r>
        <w:rPr>
          <w:noProof/>
          <w:lang w:eastAsia="zh-CN" w:bidi="ar-SA"/>
        </w:rPr>
        <w:lastRenderedPageBreak/>
        <w:drawing>
          <wp:inline distT="0" distB="0" distL="0" distR="0" wp14:anchorId="6AF816DB" wp14:editId="4A91C259">
            <wp:extent cx="5227320" cy="27019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3F760EC" w14:textId="77777777" w:rsidR="0085272D" w:rsidRDefault="0096367E">
      <w:pPr>
        <w:spacing w:after="240"/>
        <w:jc w:val="center"/>
        <w:rPr>
          <w:b/>
        </w:rPr>
      </w:pPr>
      <w:r>
        <w:rPr>
          <w:b/>
        </w:rPr>
        <w:t xml:space="preserve">Figure 2.1—Correlation of critical temperature shift versus pore diameter </w:t>
      </w:r>
    </w:p>
    <w:p w14:paraId="144DED18" w14:textId="77777777" w:rsidR="0085272D" w:rsidRDefault="0096367E">
      <w:pPr>
        <w:ind w:firstLine="90"/>
        <w:jc w:val="both"/>
      </w:pPr>
      <w:r>
        <w:rPr>
          <w:noProof/>
          <w:sz w:val="22"/>
          <w:szCs w:val="22"/>
          <w:lang w:eastAsia="zh-CN" w:bidi="ar-SA"/>
        </w:rPr>
        <w:drawing>
          <wp:inline distT="0" distB="0" distL="0" distR="0" wp14:anchorId="54D9B4A9" wp14:editId="3EF4998D">
            <wp:extent cx="5227320" cy="313118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C8D5D68" w14:textId="77777777" w:rsidR="0085272D" w:rsidRDefault="0096367E">
      <w:pPr>
        <w:spacing w:after="240"/>
        <w:jc w:val="center"/>
      </w:pPr>
      <w:r>
        <w:rPr>
          <w:b/>
        </w:rPr>
        <w:t>Figure 2.2—Correlation of critical temperature shift versus the ratio of pore diameter and effective molecular diameter</w:t>
      </w:r>
    </w:p>
    <w:p w14:paraId="26450E4A" w14:textId="77777777" w:rsidR="0085272D" w:rsidRDefault="0096367E">
      <w:pPr>
        <w:jc w:val="both"/>
      </w:pPr>
      <w:r>
        <w:lastRenderedPageBreak/>
        <w:t xml:space="preserve">In </w:t>
      </w:r>
      <w:r>
        <w:rPr>
          <w:b/>
        </w:rPr>
        <w:t>Figure 2.2</w:t>
      </w:r>
      <w:r>
        <w:t xml:space="preserve"> the decline rate of ΔT</w:t>
      </w:r>
      <w:r>
        <w:rPr>
          <w:vertAlign w:val="subscript"/>
        </w:rPr>
        <w:t>C</w:t>
      </w:r>
      <w:r>
        <w:t xml:space="preserve"> becomes much closer for all the three different fluids. A universal correlation can then be applied to present the relationships between ΔT</w:t>
      </w:r>
      <w:r>
        <w:rPr>
          <w:vertAlign w:val="subscript"/>
        </w:rPr>
        <w:t>C</w:t>
      </w:r>
      <w:r>
        <w:t xml:space="preserve"> vs. the ratio of pore size to effective molecular diameter as:</w:t>
      </w:r>
    </w:p>
    <w:p w14:paraId="4241E681" w14:textId="10517744" w:rsidR="0085272D" w:rsidRDefault="00FA6998">
      <w:pPr>
        <w:tabs>
          <w:tab w:val="right" w:leader="dot" w:pos="8460"/>
        </w:tabs>
        <w:spacing w:after="240"/>
        <w:rPr>
          <w:lang w:eastAsia="zh-CN"/>
        </w:rPr>
      </w:pPr>
      <w:r>
        <w:rPr>
          <w:noProof/>
          <w:position w:val="-12"/>
          <w:sz w:val="22"/>
          <w:szCs w:val="22"/>
          <w:lang w:eastAsia="zh-CN" w:bidi="ar-SA"/>
        </w:rPr>
        <w:drawing>
          <wp:inline distT="0" distB="0" distL="0" distR="0" wp14:anchorId="48B38E1D" wp14:editId="1CD0C63B">
            <wp:extent cx="631190" cy="250190"/>
            <wp:effectExtent l="0" t="0" r="3810" b="3810"/>
            <wp:docPr id="10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1190" cy="250190"/>
                    </a:xfrm>
                    <a:prstGeom prst="rect">
                      <a:avLst/>
                    </a:prstGeom>
                    <a:noFill/>
                    <a:ln>
                      <a:noFill/>
                    </a:ln>
                  </pic:spPr>
                </pic:pic>
              </a:graphicData>
            </a:graphic>
          </wp:inline>
        </w:drawing>
      </w:r>
      <w:r w:rsidR="0096367E">
        <w:rPr>
          <w:rFonts w:hint="eastAsia"/>
          <w:position w:val="-12"/>
          <w:sz w:val="22"/>
          <w:szCs w:val="22"/>
          <w:lang w:eastAsia="zh-CN"/>
        </w:rPr>
        <w:t xml:space="preserve">                    </w:t>
      </w:r>
      <w:r w:rsidR="0096367E">
        <w:rPr>
          <w:position w:val="-12"/>
          <w:sz w:val="22"/>
          <w:szCs w:val="22"/>
          <w:lang w:eastAsia="zh-CN"/>
        </w:rPr>
        <w:t xml:space="preserve">         </w:t>
      </w:r>
      <w:r w:rsidR="0096367E">
        <w:rPr>
          <w:rFonts w:hint="eastAsia"/>
          <w:position w:val="-12"/>
          <w:sz w:val="22"/>
          <w:szCs w:val="22"/>
          <w:lang w:eastAsia="zh-CN"/>
        </w:rPr>
        <w:t xml:space="preserve">     </w:t>
      </w:r>
      <w:r w:rsidR="0096367E">
        <w:t xml:space="preserve">when               </w:t>
      </w:r>
      <w:r>
        <w:rPr>
          <w:noProof/>
          <w:position w:val="-36"/>
          <w:sz w:val="22"/>
          <w:szCs w:val="22"/>
          <w:lang w:eastAsia="zh-CN" w:bidi="ar-SA"/>
        </w:rPr>
        <w:drawing>
          <wp:inline distT="0" distB="0" distL="0" distR="0" wp14:anchorId="2B5FCAD9" wp14:editId="6DA6F4D9">
            <wp:extent cx="751205" cy="533400"/>
            <wp:effectExtent l="0" t="0" r="10795" b="0"/>
            <wp:docPr id="10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51205" cy="533400"/>
                    </a:xfrm>
                    <a:prstGeom prst="rect">
                      <a:avLst/>
                    </a:prstGeom>
                    <a:noFill/>
                    <a:ln>
                      <a:noFill/>
                    </a:ln>
                  </pic:spPr>
                </pic:pic>
              </a:graphicData>
            </a:graphic>
          </wp:inline>
        </w:drawing>
      </w:r>
      <w:r w:rsidR="0096367E">
        <w:rPr>
          <w:lang w:eastAsia="zh-CN"/>
        </w:rPr>
        <w:tab/>
        <w:t>(2.32)</w:t>
      </w:r>
    </w:p>
    <w:p w14:paraId="7534B07C" w14:textId="5AA39846" w:rsidR="0085272D" w:rsidRDefault="00FA6998">
      <w:pPr>
        <w:tabs>
          <w:tab w:val="right" w:leader="dot" w:pos="8460"/>
        </w:tabs>
        <w:spacing w:after="240"/>
        <w:rPr>
          <w:lang w:eastAsia="zh-CN"/>
        </w:rPr>
      </w:pPr>
      <w:r>
        <w:rPr>
          <w:noProof/>
          <w:position w:val="-36"/>
          <w:sz w:val="22"/>
          <w:szCs w:val="22"/>
          <w:lang w:eastAsia="zh-CN" w:bidi="ar-SA"/>
        </w:rPr>
        <w:drawing>
          <wp:inline distT="0" distB="0" distL="0" distR="0" wp14:anchorId="14F5B848" wp14:editId="52E5F2E2">
            <wp:extent cx="1469390" cy="554990"/>
            <wp:effectExtent l="0" t="0" r="3810" b="3810"/>
            <wp:docPr id="9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69390" cy="554990"/>
                    </a:xfrm>
                    <a:prstGeom prst="rect">
                      <a:avLst/>
                    </a:prstGeom>
                    <a:noFill/>
                    <a:ln>
                      <a:noFill/>
                    </a:ln>
                  </pic:spPr>
                </pic:pic>
              </a:graphicData>
            </a:graphic>
          </wp:inline>
        </w:drawing>
      </w:r>
      <w:r w:rsidR="0096367E">
        <w:rPr>
          <w:rFonts w:hint="eastAsia"/>
          <w:position w:val="-12"/>
          <w:sz w:val="22"/>
          <w:szCs w:val="22"/>
          <w:lang w:eastAsia="zh-CN"/>
        </w:rPr>
        <w:t xml:space="preserve">          </w:t>
      </w:r>
      <w:r w:rsidR="0096367E">
        <w:t xml:space="preserve">when               </w:t>
      </w:r>
      <w:r>
        <w:rPr>
          <w:noProof/>
          <w:position w:val="-36"/>
          <w:sz w:val="22"/>
          <w:szCs w:val="22"/>
          <w:lang w:eastAsia="zh-CN" w:bidi="ar-SA"/>
        </w:rPr>
        <w:drawing>
          <wp:inline distT="0" distB="0" distL="0" distR="0" wp14:anchorId="31AB66A4" wp14:editId="23CA1462">
            <wp:extent cx="751205" cy="533400"/>
            <wp:effectExtent l="0" t="0" r="10795" b="0"/>
            <wp:docPr id="9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1205" cy="533400"/>
                    </a:xfrm>
                    <a:prstGeom prst="rect">
                      <a:avLst/>
                    </a:prstGeom>
                    <a:noFill/>
                    <a:ln>
                      <a:noFill/>
                    </a:ln>
                  </pic:spPr>
                </pic:pic>
              </a:graphicData>
            </a:graphic>
          </wp:inline>
        </w:drawing>
      </w:r>
      <w:r w:rsidR="0096367E">
        <w:rPr>
          <w:lang w:eastAsia="zh-CN"/>
        </w:rPr>
        <w:tab/>
        <w:t>(2.33)</w:t>
      </w:r>
    </w:p>
    <w:p w14:paraId="01638C26" w14:textId="77777777" w:rsidR="0085272D" w:rsidRDefault="0096367E">
      <w:pPr>
        <w:jc w:val="both"/>
      </w:pPr>
      <w:r>
        <w:t>If substitute Equations 2.32 and 2.33 into Equation 2.9, the parameter c in the modified van der Waals EOS can be calculated for any fluids under specific pore size as:</w:t>
      </w:r>
    </w:p>
    <w:p w14:paraId="63042E19" w14:textId="68A7317C" w:rsidR="0085272D" w:rsidRDefault="00FA6998">
      <w:pPr>
        <w:tabs>
          <w:tab w:val="right" w:leader="dot" w:pos="8460"/>
        </w:tabs>
        <w:spacing w:after="240"/>
        <w:rPr>
          <w:lang w:eastAsia="zh-CN"/>
        </w:rPr>
      </w:pPr>
      <w:r>
        <w:rPr>
          <w:noProof/>
          <w:position w:val="-24"/>
          <w:sz w:val="22"/>
          <w:szCs w:val="22"/>
          <w:lang w:eastAsia="zh-CN" w:bidi="ar-SA"/>
        </w:rPr>
        <w:drawing>
          <wp:inline distT="0" distB="0" distL="0" distR="0" wp14:anchorId="178D7C2B" wp14:editId="37AC50DE">
            <wp:extent cx="1045210" cy="413385"/>
            <wp:effectExtent l="0" t="0" r="0" b="0"/>
            <wp:docPr id="9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45210" cy="413385"/>
                    </a:xfrm>
                    <a:prstGeom prst="rect">
                      <a:avLst/>
                    </a:prstGeom>
                    <a:noFill/>
                    <a:ln>
                      <a:noFill/>
                    </a:ln>
                  </pic:spPr>
                </pic:pic>
              </a:graphicData>
            </a:graphic>
          </wp:inline>
        </w:drawing>
      </w:r>
      <w:r w:rsidR="0096367E">
        <w:rPr>
          <w:rFonts w:hint="eastAsia"/>
          <w:position w:val="-12"/>
          <w:sz w:val="22"/>
          <w:szCs w:val="22"/>
          <w:lang w:eastAsia="zh-CN"/>
        </w:rPr>
        <w:t xml:space="preserve">                    </w:t>
      </w:r>
      <w:r w:rsidR="0096367E">
        <w:rPr>
          <w:position w:val="-12"/>
          <w:sz w:val="22"/>
          <w:szCs w:val="22"/>
          <w:lang w:eastAsia="zh-CN"/>
        </w:rPr>
        <w:t xml:space="preserve">         </w:t>
      </w:r>
      <w:r w:rsidR="0096367E">
        <w:rPr>
          <w:rFonts w:hint="eastAsia"/>
          <w:position w:val="-12"/>
          <w:sz w:val="22"/>
          <w:szCs w:val="22"/>
          <w:lang w:eastAsia="zh-CN"/>
        </w:rPr>
        <w:t xml:space="preserve">     </w:t>
      </w:r>
      <w:r w:rsidR="0096367E">
        <w:t xml:space="preserve">when               </w:t>
      </w:r>
      <w:r>
        <w:rPr>
          <w:noProof/>
          <w:position w:val="-36"/>
          <w:sz w:val="22"/>
          <w:szCs w:val="22"/>
          <w:lang w:eastAsia="zh-CN" w:bidi="ar-SA"/>
        </w:rPr>
        <w:drawing>
          <wp:inline distT="0" distB="0" distL="0" distR="0" wp14:anchorId="29E14840" wp14:editId="611E3598">
            <wp:extent cx="751205" cy="533400"/>
            <wp:effectExtent l="0" t="0" r="10795" b="0"/>
            <wp:docPr id="9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1205" cy="533400"/>
                    </a:xfrm>
                    <a:prstGeom prst="rect">
                      <a:avLst/>
                    </a:prstGeom>
                    <a:noFill/>
                    <a:ln>
                      <a:noFill/>
                    </a:ln>
                  </pic:spPr>
                </pic:pic>
              </a:graphicData>
            </a:graphic>
          </wp:inline>
        </w:drawing>
      </w:r>
      <w:r w:rsidR="0096367E">
        <w:rPr>
          <w:lang w:eastAsia="zh-CN"/>
        </w:rPr>
        <w:tab/>
        <w:t>(2.34)</w:t>
      </w:r>
    </w:p>
    <w:p w14:paraId="326959F0" w14:textId="0C76D3D3" w:rsidR="0085272D" w:rsidRDefault="00FA6998">
      <w:pPr>
        <w:tabs>
          <w:tab w:val="right" w:leader="dot" w:pos="8460"/>
        </w:tabs>
        <w:spacing w:after="240"/>
        <w:rPr>
          <w:lang w:eastAsia="zh-CN"/>
        </w:rPr>
      </w:pPr>
      <w:r>
        <w:rPr>
          <w:noProof/>
          <w:position w:val="-36"/>
          <w:sz w:val="22"/>
          <w:szCs w:val="22"/>
          <w:lang w:eastAsia="zh-CN" w:bidi="ar-SA"/>
        </w:rPr>
        <w:drawing>
          <wp:inline distT="0" distB="0" distL="0" distR="0" wp14:anchorId="429D95CB" wp14:editId="53129F51">
            <wp:extent cx="1872615" cy="554990"/>
            <wp:effectExtent l="0" t="0" r="6985" b="3810"/>
            <wp:docPr id="9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72615" cy="554990"/>
                    </a:xfrm>
                    <a:prstGeom prst="rect">
                      <a:avLst/>
                    </a:prstGeom>
                    <a:noFill/>
                    <a:ln>
                      <a:noFill/>
                    </a:ln>
                  </pic:spPr>
                </pic:pic>
              </a:graphicData>
            </a:graphic>
          </wp:inline>
        </w:drawing>
      </w:r>
      <w:r w:rsidR="0096367E">
        <w:rPr>
          <w:rFonts w:hint="eastAsia"/>
          <w:position w:val="-12"/>
          <w:sz w:val="22"/>
          <w:szCs w:val="22"/>
          <w:lang w:eastAsia="zh-CN"/>
        </w:rPr>
        <w:t xml:space="preserve">          </w:t>
      </w:r>
      <w:r w:rsidR="0096367E">
        <w:t xml:space="preserve">when               </w:t>
      </w:r>
      <w:r>
        <w:rPr>
          <w:noProof/>
          <w:position w:val="-36"/>
          <w:sz w:val="22"/>
          <w:szCs w:val="22"/>
          <w:lang w:eastAsia="zh-CN" w:bidi="ar-SA"/>
        </w:rPr>
        <w:drawing>
          <wp:inline distT="0" distB="0" distL="0" distR="0" wp14:anchorId="32885EB8" wp14:editId="1B18135B">
            <wp:extent cx="751205" cy="533400"/>
            <wp:effectExtent l="0" t="0" r="10795" b="0"/>
            <wp:docPr id="9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1205" cy="533400"/>
                    </a:xfrm>
                    <a:prstGeom prst="rect">
                      <a:avLst/>
                    </a:prstGeom>
                    <a:noFill/>
                    <a:ln>
                      <a:noFill/>
                    </a:ln>
                  </pic:spPr>
                </pic:pic>
              </a:graphicData>
            </a:graphic>
          </wp:inline>
        </w:drawing>
      </w:r>
      <w:r w:rsidR="0096367E">
        <w:rPr>
          <w:lang w:eastAsia="zh-CN"/>
        </w:rPr>
        <w:tab/>
        <w:t>(2.35)</w:t>
      </w:r>
    </w:p>
    <w:p w14:paraId="0EAC1DDD" w14:textId="77777777" w:rsidR="0085272D" w:rsidRDefault="0096367E">
      <w:pPr>
        <w:tabs>
          <w:tab w:val="right" w:leader="dot" w:pos="8460"/>
        </w:tabs>
        <w:spacing w:after="240"/>
      </w:pPr>
      <w:r>
        <w:rPr>
          <w:lang w:eastAsia="zh-CN"/>
        </w:rPr>
        <w:t xml:space="preserve">Similarly, the </w:t>
      </w:r>
      <w:r>
        <w:t>parameter c in the modified Peng-Robinson EOS can be obtained by substituting Equations 2.32 and 2.33 into Equation 2.28:</w:t>
      </w:r>
    </w:p>
    <w:p w14:paraId="7C025A4F" w14:textId="6139AAE3" w:rsidR="0085272D" w:rsidRDefault="00FA6998">
      <w:pPr>
        <w:tabs>
          <w:tab w:val="right" w:leader="dot" w:pos="8460"/>
        </w:tabs>
        <w:spacing w:after="240"/>
        <w:rPr>
          <w:lang w:eastAsia="zh-CN"/>
        </w:rPr>
      </w:pPr>
      <w:r>
        <w:rPr>
          <w:noProof/>
          <w:position w:val="-12"/>
          <w:sz w:val="22"/>
          <w:szCs w:val="22"/>
          <w:lang w:eastAsia="zh-CN" w:bidi="ar-SA"/>
        </w:rPr>
        <w:drawing>
          <wp:inline distT="0" distB="0" distL="0" distR="0" wp14:anchorId="34A687BF" wp14:editId="5701201C">
            <wp:extent cx="1284605" cy="250190"/>
            <wp:effectExtent l="0" t="0" r="10795" b="3810"/>
            <wp:docPr id="9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84605" cy="250190"/>
                    </a:xfrm>
                    <a:prstGeom prst="rect">
                      <a:avLst/>
                    </a:prstGeom>
                    <a:noFill/>
                    <a:ln>
                      <a:noFill/>
                    </a:ln>
                  </pic:spPr>
                </pic:pic>
              </a:graphicData>
            </a:graphic>
          </wp:inline>
        </w:drawing>
      </w:r>
      <w:r w:rsidR="0096367E">
        <w:rPr>
          <w:rFonts w:hint="eastAsia"/>
          <w:position w:val="-12"/>
          <w:sz w:val="22"/>
          <w:szCs w:val="22"/>
          <w:lang w:eastAsia="zh-CN"/>
        </w:rPr>
        <w:t xml:space="preserve">                    </w:t>
      </w:r>
      <w:r w:rsidR="0096367E">
        <w:rPr>
          <w:position w:val="-12"/>
          <w:sz w:val="22"/>
          <w:szCs w:val="22"/>
          <w:lang w:eastAsia="zh-CN"/>
        </w:rPr>
        <w:t xml:space="preserve">         </w:t>
      </w:r>
      <w:r w:rsidR="0096367E">
        <w:rPr>
          <w:rFonts w:hint="eastAsia"/>
          <w:position w:val="-12"/>
          <w:sz w:val="22"/>
          <w:szCs w:val="22"/>
          <w:lang w:eastAsia="zh-CN"/>
        </w:rPr>
        <w:t xml:space="preserve">     </w:t>
      </w:r>
      <w:r w:rsidR="0096367E">
        <w:t xml:space="preserve">when               </w:t>
      </w:r>
      <w:r>
        <w:rPr>
          <w:noProof/>
          <w:position w:val="-36"/>
          <w:sz w:val="22"/>
          <w:szCs w:val="22"/>
          <w:lang w:eastAsia="zh-CN" w:bidi="ar-SA"/>
        </w:rPr>
        <w:drawing>
          <wp:inline distT="0" distB="0" distL="0" distR="0" wp14:anchorId="73B26820" wp14:editId="317EE900">
            <wp:extent cx="729615" cy="533400"/>
            <wp:effectExtent l="0" t="0" r="6985" b="0"/>
            <wp:docPr id="9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29615" cy="533400"/>
                    </a:xfrm>
                    <a:prstGeom prst="rect">
                      <a:avLst/>
                    </a:prstGeom>
                    <a:noFill/>
                    <a:ln>
                      <a:noFill/>
                    </a:ln>
                  </pic:spPr>
                </pic:pic>
              </a:graphicData>
            </a:graphic>
          </wp:inline>
        </w:drawing>
      </w:r>
      <w:r w:rsidR="0096367E">
        <w:rPr>
          <w:lang w:eastAsia="zh-CN"/>
        </w:rPr>
        <w:tab/>
        <w:t>(2.36)</w:t>
      </w:r>
    </w:p>
    <w:p w14:paraId="014F7D4B" w14:textId="7DE07CCE" w:rsidR="0085272D" w:rsidRDefault="00FA6998">
      <w:pPr>
        <w:tabs>
          <w:tab w:val="right" w:leader="dot" w:pos="8460"/>
        </w:tabs>
        <w:spacing w:after="240"/>
        <w:rPr>
          <w:lang w:eastAsia="zh-CN"/>
        </w:rPr>
      </w:pPr>
      <w:r>
        <w:rPr>
          <w:noProof/>
          <w:position w:val="-36"/>
          <w:sz w:val="22"/>
          <w:szCs w:val="22"/>
          <w:lang w:eastAsia="zh-CN" w:bidi="ar-SA"/>
        </w:rPr>
        <w:drawing>
          <wp:inline distT="0" distB="0" distL="0" distR="0" wp14:anchorId="1E51873E" wp14:editId="383900CD">
            <wp:extent cx="2122805" cy="565785"/>
            <wp:effectExtent l="0" t="0" r="10795" b="0"/>
            <wp:docPr id="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22805" cy="565785"/>
                    </a:xfrm>
                    <a:prstGeom prst="rect">
                      <a:avLst/>
                    </a:prstGeom>
                    <a:noFill/>
                    <a:ln>
                      <a:noFill/>
                    </a:ln>
                  </pic:spPr>
                </pic:pic>
              </a:graphicData>
            </a:graphic>
          </wp:inline>
        </w:drawing>
      </w:r>
      <w:r w:rsidR="0096367E">
        <w:rPr>
          <w:rFonts w:hint="eastAsia"/>
          <w:position w:val="-12"/>
          <w:sz w:val="22"/>
          <w:szCs w:val="22"/>
          <w:lang w:eastAsia="zh-CN"/>
        </w:rPr>
        <w:t xml:space="preserve">          </w:t>
      </w:r>
      <w:r w:rsidR="0096367E">
        <w:t xml:space="preserve">when               </w:t>
      </w:r>
      <w:r>
        <w:rPr>
          <w:noProof/>
          <w:position w:val="-36"/>
          <w:sz w:val="22"/>
          <w:szCs w:val="22"/>
          <w:lang w:eastAsia="zh-CN" w:bidi="ar-SA"/>
        </w:rPr>
        <w:drawing>
          <wp:inline distT="0" distB="0" distL="0" distR="0" wp14:anchorId="38BE137D" wp14:editId="1CD64C52">
            <wp:extent cx="707390" cy="533400"/>
            <wp:effectExtent l="0" t="0" r="3810" b="0"/>
            <wp:docPr id="9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07390" cy="533400"/>
                    </a:xfrm>
                    <a:prstGeom prst="rect">
                      <a:avLst/>
                    </a:prstGeom>
                    <a:noFill/>
                    <a:ln>
                      <a:noFill/>
                    </a:ln>
                  </pic:spPr>
                </pic:pic>
              </a:graphicData>
            </a:graphic>
          </wp:inline>
        </w:drawing>
      </w:r>
      <w:r w:rsidR="0096367E">
        <w:rPr>
          <w:lang w:eastAsia="zh-CN"/>
        </w:rPr>
        <w:tab/>
        <w:t>(2.37)</w:t>
      </w:r>
    </w:p>
    <w:p w14:paraId="61864BA2" w14:textId="3C1024A9" w:rsidR="0085272D" w:rsidRDefault="0096367E">
      <w:pPr>
        <w:pStyle w:val="Heading1"/>
        <w:ind w:left="240" w:right="240"/>
        <w:rPr>
          <w:lang w:eastAsia="zh-CN"/>
        </w:rPr>
      </w:pPr>
      <w:bookmarkStart w:id="25" w:name="_Toc508114143"/>
      <w:r>
        <w:lastRenderedPageBreak/>
        <w:t xml:space="preserve">Chapter 3: Predicting Fluid Density in Nanopores Using </w:t>
      </w:r>
      <w:r>
        <w:rPr>
          <w:lang w:eastAsia="zh-CN"/>
        </w:rPr>
        <w:t xml:space="preserve">Simplified Local Density/ </w:t>
      </w:r>
      <w:r w:rsidR="00C4224A">
        <w:rPr>
          <w:lang w:eastAsia="zh-CN"/>
        </w:rPr>
        <w:t>P</w:t>
      </w:r>
      <w:r>
        <w:rPr>
          <w:lang w:eastAsia="zh-CN"/>
        </w:rPr>
        <w:t>eng-Robinson Equation of State Model</w:t>
      </w:r>
      <w:bookmarkEnd w:id="25"/>
    </w:p>
    <w:p w14:paraId="78107831" w14:textId="77777777" w:rsidR="0085272D" w:rsidRDefault="0096367E">
      <w:pPr>
        <w:pStyle w:val="Heading2"/>
      </w:pPr>
      <w:bookmarkStart w:id="26" w:name="_Toc508114144"/>
      <w:r>
        <w:t>3.1 Background and Previous Work</w:t>
      </w:r>
      <w:bookmarkEnd w:id="26"/>
    </w:p>
    <w:p w14:paraId="2ADFDC26" w14:textId="1862203D" w:rsidR="0085272D" w:rsidRDefault="0096367E">
      <w:pPr>
        <w:spacing w:after="240"/>
        <w:jc w:val="both"/>
      </w:pPr>
      <w:r>
        <w:t xml:space="preserve">The fluid density is one of the most important parameters in phase behavior. Many of the correlations of the fluid properties, such as viscosity, diffusivity, compressibility factor, interfacial tension and others are developed based on fluid densities (McCain et al., 2011). </w:t>
      </w:r>
      <w:r>
        <w:rPr>
          <w:lang w:eastAsia="zh-CN"/>
        </w:rPr>
        <w:t xml:space="preserve">The prediction of fluid density is also important in hydrocarbon-in-place calculations in shale formations due to adsorption phenomena in nanopores (Ambrose et al., 2012). </w:t>
      </w:r>
      <w:r>
        <w:t xml:space="preserve">In conventional formations, where pore sizes are large, fluids are stored in bulk state inside these pores. The fluid is uniformly distributed and the fluid density remains constant across the pore width under certain temperature and pressure. However, in shale formations, </w:t>
      </w:r>
      <w:r>
        <w:rPr>
          <w:lang w:eastAsia="zh-CN"/>
        </w:rPr>
        <w:t>the fluid density is not uniformly distributed across the pore due to the confinement effects. The fluid-wall interactions between the solid porous wall and the confined hydrocarbon fluids can cause the fluid densities to deviate from the bulk values (Rangarajan et al., 1995; Mohammad et al., 2009 and Ambrose et al., 2012). The fluids can get adsorbed near the surface of the pore (mostly organic pores), forming an adsorbed phase. The fluids of the adsorbed phase can have much higher density compare to that of bulk phase under the same reservoir condition. These adsorbed fluids are an important component of hydrocarbon storage in shales. The fluid properties of the adsorbed fluids are expected to be different from the bulk fluids.</w:t>
      </w:r>
      <w:r>
        <w:rPr>
          <w:rFonts w:hint="eastAsia"/>
          <w:lang w:eastAsia="zh-CN"/>
        </w:rPr>
        <w:t xml:space="preserve"> </w:t>
      </w:r>
      <w:r w:rsidR="001D456D">
        <w:rPr>
          <w:rFonts w:hint="eastAsia"/>
          <w:lang w:eastAsia="zh-CN"/>
        </w:rPr>
        <w:t>Therefore,</w:t>
      </w:r>
      <w:r>
        <w:rPr>
          <w:lang w:eastAsia="zh-CN"/>
        </w:rPr>
        <w:t xml:space="preserve"> it is important to predict the density of the adsorbed fluids in shale formations and should be solved as a prior.</w:t>
      </w:r>
    </w:p>
    <w:p w14:paraId="690D6A74" w14:textId="4AAC4D5E" w:rsidR="0085272D" w:rsidRDefault="0096367E">
      <w:pPr>
        <w:spacing w:after="240"/>
        <w:jc w:val="both"/>
      </w:pPr>
      <w:r>
        <w:rPr>
          <w:lang w:eastAsia="zh-CN"/>
        </w:rPr>
        <w:lastRenderedPageBreak/>
        <w:t>There are several suggestions in the literature regarding adsorbed phase density calculations. Dubinin (1960) found that the adsorbed phase density is related to the van der Waals co-volume constant “b”. Menon (1968) found that the adsorbed phase density is equivalent to the liquid density that is under the same temperature and pressure conditions. Li et</w:t>
      </w:r>
      <w:r w:rsidR="001D456D">
        <w:rPr>
          <w:lang w:eastAsia="zh-CN"/>
        </w:rPr>
        <w:t xml:space="preserve"> al. (2003) used a Langmuir-Freu</w:t>
      </w:r>
      <w:r>
        <w:rPr>
          <w:lang w:eastAsia="zh-CN"/>
        </w:rPr>
        <w:t xml:space="preserve">ndlich adsorption model and found that the adsorbed phase density is temperature dependent. These references although helpful in understand the mechanisms of adsorbed, but did not give a clear way to accurately predict the adsorbed phase density and the temperature and pressure conditions considered in these references are far below shale reservoir condition. Recently, Ambrose (2011) performed a molecular simulation study to predict the density of methane in nanometer slit graphite pores under high temperature high pressure. </w:t>
      </w:r>
      <w:r>
        <w:t xml:space="preserve">Results from </w:t>
      </w:r>
      <w:r>
        <w:rPr>
          <w:lang w:eastAsia="zh-CN"/>
        </w:rPr>
        <w:t xml:space="preserve">Ambrose (2011) using </w:t>
      </w:r>
      <w:r>
        <w:t>molecular simulation technique showed more detailed adsorption phenomena than some of the simplified models such as the Langmuir single-layer adsorption model</w:t>
      </w:r>
      <w:r>
        <w:rPr>
          <w:lang w:eastAsia="zh-CN"/>
        </w:rPr>
        <w:t xml:space="preserve">. </w:t>
      </w:r>
      <w:r>
        <w:rPr>
          <w:b/>
          <w:lang w:eastAsia="zh-CN"/>
        </w:rPr>
        <w:t>Figure 3.1</w:t>
      </w:r>
      <w:r>
        <w:rPr>
          <w:lang w:eastAsia="zh-CN"/>
        </w:rPr>
        <w:t xml:space="preserve"> shows the density profile from </w:t>
      </w:r>
      <w:r>
        <w:t xml:space="preserve">molecular simulation results and the results from Langmuir adsorption model. The pore is in slit shape with width equal to 2.31 nm. The temperature and pressure are 176 °F and 3043 psi. It is clear to see that multi-layer adsorption is presented according to the results from molecular simulation. While Langmuir model only assumes monolayer adsorption. It indicates that the adsorption in shale formations is somehow complicated and Langmuir model cannot show all the details. </w:t>
      </w:r>
    </w:p>
    <w:p w14:paraId="42B9DD60" w14:textId="77777777" w:rsidR="0085272D" w:rsidRDefault="0085272D">
      <w:pPr>
        <w:jc w:val="both"/>
        <w:rPr>
          <w:lang w:eastAsia="zh-CN"/>
        </w:rPr>
      </w:pPr>
    </w:p>
    <w:p w14:paraId="6F6E81AA" w14:textId="77777777" w:rsidR="00303760" w:rsidRPr="00303760" w:rsidRDefault="00303760" w:rsidP="00303760">
      <w:pPr>
        <w:rPr>
          <w:b/>
          <w:bCs/>
          <w:iCs/>
        </w:rPr>
      </w:pPr>
      <w:r w:rsidRPr="00303760">
        <w:rPr>
          <w:b/>
          <w:bCs/>
          <w:iCs/>
          <w:noProof/>
          <w:lang w:eastAsia="zh-CN" w:bidi="ar-SA"/>
        </w:rPr>
        <w:drawing>
          <wp:inline distT="0" distB="0" distL="0" distR="0" wp14:anchorId="6EFE8490" wp14:editId="35308691">
            <wp:extent cx="5393690" cy="2650490"/>
            <wp:effectExtent l="0" t="0" r="0" b="0"/>
            <wp:docPr id="6" name="Picture 6" descr="Macintosh HD:Users:erln:Documents:Thesis:MS Thesis:Figures:Figure 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cintosh HD:Users:erln:Documents:Thesis:MS Thesis:Figures:Figure 3.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393690" cy="2650490"/>
                    </a:xfrm>
                    <a:prstGeom prst="rect">
                      <a:avLst/>
                    </a:prstGeom>
                    <a:noFill/>
                    <a:ln>
                      <a:noFill/>
                    </a:ln>
                  </pic:spPr>
                </pic:pic>
              </a:graphicData>
            </a:graphic>
          </wp:inline>
        </w:drawing>
      </w:r>
    </w:p>
    <w:p w14:paraId="7D715622" w14:textId="77777777" w:rsidR="00303760" w:rsidRPr="00303760" w:rsidRDefault="00303760" w:rsidP="00303760">
      <w:pPr>
        <w:jc w:val="center"/>
        <w:rPr>
          <w:b/>
        </w:rPr>
      </w:pPr>
      <w:r w:rsidRPr="00303760">
        <w:rPr>
          <w:b/>
        </w:rPr>
        <w:t>Figure 3.1 — Density profile from molecular simulation results and the results from Langmuir adsorption model (Ambrose, 2011)</w:t>
      </w:r>
    </w:p>
    <w:p w14:paraId="00024E77" w14:textId="77777777" w:rsidR="00303760" w:rsidRPr="00303760" w:rsidRDefault="00303760" w:rsidP="00303760">
      <w:pPr>
        <w:rPr>
          <w:b/>
        </w:rPr>
      </w:pPr>
    </w:p>
    <w:p w14:paraId="7388E54C" w14:textId="77777777" w:rsidR="00303760" w:rsidRPr="00303760" w:rsidRDefault="00303760" w:rsidP="00303760">
      <w:pPr>
        <w:spacing w:after="100" w:afterAutospacing="1"/>
        <w:jc w:val="both"/>
        <w:rPr>
          <w:lang w:eastAsia="zh-CN"/>
        </w:rPr>
      </w:pPr>
      <w:r w:rsidRPr="00303760">
        <w:rPr>
          <w:lang w:eastAsia="zh-CN"/>
        </w:rPr>
        <w:t xml:space="preserve">Although molecular simulation provides detailed information about fluid distributions across the nanopores, the high computational cost makes it hard to deal with complicated field cases but a theoretical study. Moreover, molecular simulations cannot replace any of the analytical methods since the interpretation of the molecular simulation data, which is similar to experimental results, always requires analytical tools to achieve a good understanding of the underlying physics. On the other hand, Density Functional Theory (DFT) provides both microscopic structure and macroscopic properties of fluid from a molecular perspective, which bridges the gap between the molecular simulations and classical thermodynamics (Neimark et al., 2003; Wu, 2005). DFT is considered to be a statistical thermodynamic method and is widely used in chemical engineering, especially in the area of fluid storage in capillary systems, such as coals, catalysts and other nanoporous materials. These media have very similar characteristics compare to the shale formations. However, few publications of unconventional shale resource studies using DFT are available in the oil and gas literature. </w:t>
      </w:r>
    </w:p>
    <w:p w14:paraId="65D18C0B" w14:textId="77777777" w:rsidR="00303760" w:rsidRPr="00303760" w:rsidRDefault="00303760" w:rsidP="00303760">
      <w:pPr>
        <w:spacing w:after="100" w:afterAutospacing="1"/>
        <w:jc w:val="both"/>
        <w:rPr>
          <w:lang w:eastAsia="zh-CN"/>
        </w:rPr>
      </w:pPr>
      <w:r w:rsidRPr="00303760">
        <w:rPr>
          <w:lang w:eastAsia="zh-CN"/>
        </w:rPr>
        <w:t>In this chapter, we introduce a model built upon thermodynamic equilibrium relations, named Simplified Local Density (SLD) model. The SLD model is a branch of DFT, which is first developed by Rangarajan et al. (1995) to study the physical adsorption of the different over large pressure area including the supercritical ranges. In their studies, Van der Waals EOS was used to couple with the SLD model to predict the fugacities and densities of the fluids. Mohammad et al. (2009) extended the model to a generalized Peng-Robinson EOS and predicted CO2 adsorption on coals. The two EOS parameters “a” and “b” were modified in the generalized Peng-Robinson EOS. The EOS parameter “a” was modified based on Chen et al. (1997) to consider the effects of interactions between</w:t>
      </w:r>
      <w:r w:rsidRPr="00303760">
        <w:rPr>
          <w:rFonts w:hint="eastAsia"/>
          <w:lang w:eastAsia="zh-CN"/>
        </w:rPr>
        <w:t xml:space="preserve"> </w:t>
      </w:r>
      <w:r w:rsidRPr="00303760">
        <w:rPr>
          <w:lang w:eastAsia="zh-CN"/>
        </w:rPr>
        <w:t xml:space="preserve">fluid and wall on the internal pressure corrections. The other parameter “b” from Peng-Robinson EOS was generalized based on pure component adsorption data of different fluids on coals. The simulation results of their SLD model were in good match with the adsorption isotherm experimental measurements. In their more recent publication, Chareonsuppanimit et al. (2012), they tried both measurements and modeling on new Albany shale samples with N2, CH4 and CO2. They found that the SLD model was able to predict the laboratory measurements, with average absolute percentage deviations of 4% and 9% for CH4 and CO2 adsorption isotherms, respectively. </w:t>
      </w:r>
    </w:p>
    <w:p w14:paraId="32F67E4E" w14:textId="77777777" w:rsidR="00303760" w:rsidRPr="00303760" w:rsidRDefault="00303760" w:rsidP="00303760">
      <w:pPr>
        <w:jc w:val="both"/>
        <w:rPr>
          <w:lang w:eastAsia="zh-CN"/>
        </w:rPr>
      </w:pPr>
      <w:r w:rsidRPr="00303760">
        <w:rPr>
          <w:lang w:eastAsia="zh-CN"/>
        </w:rPr>
        <w:t xml:space="preserve">In this </w:t>
      </w:r>
      <w:r>
        <w:rPr>
          <w:lang w:eastAsia="zh-CN"/>
        </w:rPr>
        <w:t>dissertation</w:t>
      </w:r>
      <w:r w:rsidRPr="00303760">
        <w:rPr>
          <w:lang w:eastAsia="zh-CN"/>
        </w:rPr>
        <w:t xml:space="preserve"> work, we focused on the predictions of the density distributions in slit-shaped graphite pores that represented the nanopores inside kerogen in shale formations. For simplicity and accuracy considerations, the SLD model developed by Rangarajan et al. (1995) and the Peng-Robinson EOS with modification by Chen et al. (1997) was used. The model was extended to mixtures for the investigations of gas condensate systems. </w:t>
      </w:r>
    </w:p>
    <w:p w14:paraId="355836ED" w14:textId="77777777" w:rsidR="0085272D" w:rsidRDefault="0085272D">
      <w:pPr>
        <w:rPr>
          <w:b/>
        </w:rPr>
      </w:pPr>
    </w:p>
    <w:p w14:paraId="143FEB9B" w14:textId="77777777" w:rsidR="0085272D" w:rsidRDefault="0096367E">
      <w:pPr>
        <w:pStyle w:val="Heading2"/>
      </w:pPr>
      <w:bookmarkStart w:id="27" w:name="_Toc508114145"/>
      <w:r>
        <w:t>3.2 Model Description</w:t>
      </w:r>
      <w:bookmarkEnd w:id="27"/>
    </w:p>
    <w:p w14:paraId="733E540D" w14:textId="77777777" w:rsidR="0085272D" w:rsidRDefault="0096367E">
      <w:pPr>
        <w:pStyle w:val="Heading3"/>
      </w:pPr>
      <w:bookmarkStart w:id="28" w:name="_Toc508114146"/>
      <w:r>
        <w:t>3.2.1 Single Component Model</w:t>
      </w:r>
      <w:bookmarkEnd w:id="28"/>
    </w:p>
    <w:p w14:paraId="392B6026" w14:textId="77777777" w:rsidR="0085272D" w:rsidRDefault="0096367E">
      <w:pPr>
        <w:pStyle w:val="para"/>
        <w:spacing w:line="480" w:lineRule="auto"/>
        <w:rPr>
          <w:rFonts w:asciiTheme="minorHAnsi" w:hAnsiTheme="minorHAnsi"/>
          <w:sz w:val="24"/>
          <w:szCs w:val="24"/>
          <w:lang w:eastAsia="zh-CN" w:bidi="en-US"/>
        </w:rPr>
      </w:pPr>
      <w:r>
        <w:rPr>
          <w:rFonts w:asciiTheme="minorHAnsi" w:hAnsiTheme="minorHAnsi"/>
          <w:sz w:val="24"/>
          <w:szCs w:val="24"/>
          <w:lang w:eastAsia="zh-CN" w:bidi="en-US"/>
        </w:rPr>
        <w:t xml:space="preserve">The fluid density is at highest near the pores and lowest in the center portion of the pores due to the fluid-wall interactions exerted on the fluids inside the pores. This makes the fluid density a function of position with respect to the pore wall, </w:t>
      </w:r>
      <m:oMath>
        <m:r>
          <m:rPr>
            <m:sty m:val="p"/>
          </m:rPr>
          <w:rPr>
            <w:rFonts w:ascii="Cambria Math" w:hAnsi="Cambria Math"/>
            <w:sz w:val="24"/>
            <w:szCs w:val="24"/>
            <w:lang w:eastAsia="zh-CN" w:bidi="en-US"/>
          </w:rPr>
          <m:t>ρ(z)</m:t>
        </m:r>
      </m:oMath>
      <w:r>
        <w:rPr>
          <w:rFonts w:asciiTheme="minorHAnsi" w:hAnsiTheme="minorHAnsi"/>
          <w:sz w:val="24"/>
          <w:szCs w:val="24"/>
          <w:lang w:eastAsia="zh-CN" w:bidi="en-US"/>
        </w:rPr>
        <w:t>, where z is the distance from the nearer solid wall of a slit shaped pore. The SLD-PR model was developed based on the chemical potential equality at any perpendicular position from the pore wall. The model has the following basic assumptions:</w:t>
      </w:r>
    </w:p>
    <w:p w14:paraId="50145B29" w14:textId="77777777" w:rsidR="0085272D" w:rsidRDefault="0096367E">
      <w:pPr>
        <w:pStyle w:val="para1"/>
        <w:numPr>
          <w:ilvl w:val="0"/>
          <w:numId w:val="1"/>
        </w:numPr>
        <w:spacing w:line="480" w:lineRule="auto"/>
        <w:rPr>
          <w:rFonts w:asciiTheme="minorHAnsi" w:hAnsiTheme="minorHAnsi"/>
          <w:sz w:val="24"/>
          <w:szCs w:val="24"/>
          <w:lang w:eastAsia="zh-CN" w:bidi="en-US"/>
        </w:rPr>
      </w:pPr>
      <w:r>
        <w:rPr>
          <w:rFonts w:asciiTheme="minorHAnsi" w:hAnsiTheme="minorHAnsi"/>
          <w:sz w:val="24"/>
          <w:szCs w:val="24"/>
          <w:lang w:eastAsia="zh-CN" w:bidi="en-US"/>
        </w:rPr>
        <w:t>At equilibrium, the chemical potentials at any point inside the pore are the same.</w:t>
      </w:r>
    </w:p>
    <w:p w14:paraId="37FA0711" w14:textId="77777777" w:rsidR="0085272D" w:rsidRDefault="0096367E">
      <w:pPr>
        <w:pStyle w:val="para1"/>
        <w:numPr>
          <w:ilvl w:val="0"/>
          <w:numId w:val="1"/>
        </w:numPr>
        <w:spacing w:line="480" w:lineRule="auto"/>
        <w:rPr>
          <w:rFonts w:asciiTheme="minorHAnsi" w:hAnsiTheme="minorHAnsi"/>
          <w:sz w:val="24"/>
          <w:szCs w:val="24"/>
          <w:lang w:eastAsia="zh-CN" w:bidi="en-US"/>
        </w:rPr>
      </w:pPr>
      <w:r>
        <w:rPr>
          <w:rFonts w:asciiTheme="minorHAnsi" w:hAnsiTheme="minorHAnsi"/>
          <w:sz w:val="24"/>
          <w:szCs w:val="24"/>
          <w:lang w:eastAsia="zh-CN" w:bidi="en-US"/>
        </w:rPr>
        <w:t>At equilibrium, at any point where the fluid-wall interactions are not negligible, the chemical potential of that point is equal to the summation of chemical potentials resulting from fluid-fluid and fluid-wall interactions.</w:t>
      </w:r>
    </w:p>
    <w:p w14:paraId="0DEDE27B" w14:textId="77777777" w:rsidR="0085272D" w:rsidRDefault="0096367E">
      <w:pPr>
        <w:pStyle w:val="para1"/>
        <w:numPr>
          <w:ilvl w:val="0"/>
          <w:numId w:val="1"/>
        </w:numPr>
        <w:spacing w:line="480" w:lineRule="auto"/>
        <w:rPr>
          <w:rFonts w:asciiTheme="minorHAnsi" w:hAnsiTheme="minorHAnsi"/>
          <w:sz w:val="24"/>
          <w:szCs w:val="24"/>
          <w:lang w:eastAsia="zh-CN" w:bidi="en-US"/>
        </w:rPr>
      </w:pPr>
      <w:r>
        <w:rPr>
          <w:rFonts w:asciiTheme="minorHAnsi" w:hAnsiTheme="minorHAnsi"/>
          <w:sz w:val="24"/>
          <w:szCs w:val="24"/>
          <w:lang w:eastAsia="zh-CN" w:bidi="en-US"/>
        </w:rPr>
        <w:t xml:space="preserve">The pore should have a perfect slit shape, which has uniform width. </w:t>
      </w:r>
    </w:p>
    <w:p w14:paraId="7A165136" w14:textId="77777777" w:rsidR="0085272D" w:rsidRDefault="0096367E">
      <w:pPr>
        <w:pStyle w:val="para1"/>
        <w:numPr>
          <w:ilvl w:val="0"/>
          <w:numId w:val="1"/>
        </w:numPr>
        <w:spacing w:line="480" w:lineRule="auto"/>
        <w:rPr>
          <w:rFonts w:asciiTheme="minorHAnsi" w:hAnsiTheme="minorHAnsi"/>
          <w:sz w:val="24"/>
          <w:szCs w:val="24"/>
          <w:lang w:eastAsia="zh-CN" w:bidi="en-US"/>
        </w:rPr>
      </w:pPr>
      <w:r>
        <w:rPr>
          <w:rFonts w:asciiTheme="minorHAnsi" w:hAnsiTheme="minorHAnsi"/>
          <w:sz w:val="24"/>
          <w:szCs w:val="24"/>
          <w:lang w:eastAsia="zh-CN" w:bidi="en-US"/>
        </w:rPr>
        <w:t>All the fluid molecules are considered to have a ball shape, which means that the configuration of these fluid molecules has been simplified to a sphere.</w:t>
      </w:r>
    </w:p>
    <w:p w14:paraId="45367E3A" w14:textId="77777777" w:rsidR="0085272D" w:rsidRDefault="0096367E">
      <w:pPr>
        <w:pStyle w:val="para1"/>
        <w:numPr>
          <w:ilvl w:val="0"/>
          <w:numId w:val="1"/>
        </w:numPr>
        <w:spacing w:line="480" w:lineRule="auto"/>
        <w:rPr>
          <w:rFonts w:asciiTheme="minorHAnsi" w:hAnsiTheme="minorHAnsi"/>
          <w:sz w:val="24"/>
          <w:szCs w:val="24"/>
          <w:lang w:eastAsia="zh-CN" w:bidi="en-US"/>
        </w:rPr>
      </w:pPr>
      <w:r>
        <w:rPr>
          <w:rFonts w:asciiTheme="minorHAnsi" w:hAnsiTheme="minorHAnsi"/>
          <w:sz w:val="24"/>
          <w:szCs w:val="24"/>
          <w:lang w:eastAsia="zh-CN" w:bidi="en-US"/>
        </w:rPr>
        <w:t>The temperature and pressure are uniform inside the pores. The pressure of the bulk phase of the fluid (pore pressure) is adopted for calculations.</w:t>
      </w:r>
    </w:p>
    <w:p w14:paraId="5695496A" w14:textId="77777777" w:rsidR="0085272D" w:rsidRDefault="0085272D">
      <w:pPr>
        <w:pStyle w:val="para1"/>
        <w:rPr>
          <w:rFonts w:asciiTheme="minorHAnsi" w:hAnsiTheme="minorHAnsi"/>
          <w:sz w:val="24"/>
          <w:szCs w:val="24"/>
          <w:lang w:eastAsia="zh-CN" w:bidi="en-US"/>
        </w:rPr>
      </w:pPr>
    </w:p>
    <w:p w14:paraId="382E5940" w14:textId="77777777" w:rsidR="0085272D" w:rsidRDefault="0096367E">
      <w:pPr>
        <w:jc w:val="both"/>
        <w:rPr>
          <w:lang w:eastAsia="zh-CN"/>
        </w:rPr>
      </w:pPr>
      <w:r>
        <w:rPr>
          <w:lang w:eastAsia="zh-CN"/>
        </w:rPr>
        <w:t>When the system is at equilibrium, the chemical potential of the adsorbed phase is equal to the chemical potential of the bulk phase. The chemical potential of the adsorbed phase can further be expressed as the summation of the chemical potentials from the fluid-fluid interactions and fluid-solid interactions, as shown in Equation 3.1.</w:t>
      </w:r>
    </w:p>
    <w:p w14:paraId="6522BBBF" w14:textId="2F3A7DD8" w:rsidR="0085272D" w:rsidRDefault="00FA6998">
      <w:pPr>
        <w:tabs>
          <w:tab w:val="right" w:leader="dot" w:pos="8460"/>
        </w:tabs>
        <w:rPr>
          <w:lang w:eastAsia="zh-CN"/>
        </w:rPr>
      </w:pPr>
      <w:r>
        <w:rPr>
          <w:noProof/>
          <w:position w:val="-14"/>
          <w:lang w:eastAsia="zh-CN" w:bidi="ar-SA"/>
        </w:rPr>
        <w:drawing>
          <wp:inline distT="0" distB="0" distL="0" distR="0" wp14:anchorId="21A74511" wp14:editId="78CEC3CD">
            <wp:extent cx="1665605" cy="250190"/>
            <wp:effectExtent l="0" t="0" r="10795" b="3810"/>
            <wp:docPr id="8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65605" cy="250190"/>
                    </a:xfrm>
                    <a:prstGeom prst="rect">
                      <a:avLst/>
                    </a:prstGeom>
                    <a:noFill/>
                    <a:ln>
                      <a:noFill/>
                    </a:ln>
                  </pic:spPr>
                </pic:pic>
              </a:graphicData>
            </a:graphic>
          </wp:inline>
        </w:drawing>
      </w:r>
      <w:r w:rsidR="0096367E">
        <w:rPr>
          <w:lang w:eastAsia="zh-CN"/>
        </w:rPr>
        <w:tab/>
        <w:t>(3.1)</w:t>
      </w:r>
    </w:p>
    <w:p w14:paraId="008983E1" w14:textId="77777777" w:rsidR="0085272D" w:rsidRDefault="0096367E">
      <w:pPr>
        <w:spacing w:after="240"/>
        <w:contextualSpacing/>
        <w:jc w:val="both"/>
      </w:pPr>
      <w:r>
        <w:t xml:space="preserve">In Equation 3.1, the subscripts “ads”, “bulk”, “ff” and “fs” refer to the adsorbed phase, the bulk phase, fluid-fluid interactions and fluid-solid interactions. For slit pores, z is the distance from point of interest to the nearer solid wall of the slit pore and L-z to be the distance to the further solid wall, where L is the width of the slit pore (see </w:t>
      </w:r>
      <w:r>
        <w:rPr>
          <w:b/>
        </w:rPr>
        <w:t>Figure 3.2</w:t>
      </w:r>
      <w:r>
        <w:t>). Then Equation 3.1 becomes:</w:t>
      </w:r>
    </w:p>
    <w:p w14:paraId="3694FB06" w14:textId="77777777" w:rsidR="0085272D" w:rsidRDefault="0096367E">
      <w:pPr>
        <w:tabs>
          <w:tab w:val="right" w:leader="dot" w:pos="8460"/>
        </w:tabs>
        <w:rPr>
          <w:lang w:eastAsia="zh-CN"/>
        </w:rPr>
      </w:pPr>
      <w:r w:rsidRPr="000759E2">
        <w:rPr>
          <w:rFonts w:ascii="Times New Roman" w:hAnsi="Times New Roman"/>
          <w:position w:val="-14"/>
        </w:rPr>
        <w:object w:dxaOrig="4401" w:dyaOrig="324" w14:anchorId="29114F3B">
          <v:shape id="_x0000_i1028" type="#_x0000_t75" style="width:220.3pt;height:17.15pt" o:ole="">
            <v:imagedata r:id="rId63" o:title=""/>
          </v:shape>
          <o:OLEObject Type="Embed" ProgID="Equation.3" ShapeID="_x0000_i1028" DrawAspect="Content" ObjectID="_1581936713" r:id="rId64"/>
        </w:object>
      </w:r>
      <w:r>
        <w:rPr>
          <w:lang w:eastAsia="zh-CN"/>
        </w:rPr>
        <w:tab/>
        <w:t>(3.2)</w:t>
      </w:r>
    </w:p>
    <w:p w14:paraId="0C6ED612" w14:textId="77777777" w:rsidR="0085272D" w:rsidRDefault="0096367E">
      <w:pPr>
        <w:spacing w:after="240"/>
        <w:contextualSpacing/>
      </w:pPr>
      <w:r>
        <w:t>The chemical potential of the bulk fluid can be written in terms of fugacity:</w:t>
      </w:r>
    </w:p>
    <w:p w14:paraId="13173B05" w14:textId="77777777" w:rsidR="0085272D" w:rsidRDefault="0096367E">
      <w:pPr>
        <w:tabs>
          <w:tab w:val="right" w:leader="dot" w:pos="8460"/>
        </w:tabs>
        <w:rPr>
          <w:lang w:eastAsia="zh-CN"/>
        </w:rPr>
      </w:pPr>
      <w:r w:rsidRPr="000759E2">
        <w:rPr>
          <w:rFonts w:ascii="Times New Roman" w:hAnsi="Times New Roman"/>
          <w:position w:val="-30"/>
        </w:rPr>
        <w:object w:dxaOrig="2573" w:dyaOrig="696" w14:anchorId="18194ACD">
          <v:shape id="_x0000_i1029" type="#_x0000_t75" style="width:129.45pt;height:34.3pt" o:ole="">
            <v:imagedata r:id="rId65" o:title=""/>
          </v:shape>
          <o:OLEObject Type="Embed" ProgID="Equation.3" ShapeID="_x0000_i1029" DrawAspect="Content" ObjectID="_1581936714" r:id="rId66"/>
        </w:object>
      </w:r>
      <w:r>
        <w:rPr>
          <w:lang w:eastAsia="zh-CN"/>
        </w:rPr>
        <w:tab/>
        <w:t>(3.3)</w:t>
      </w:r>
    </w:p>
    <w:p w14:paraId="7D3FF76B" w14:textId="77777777" w:rsidR="0085272D" w:rsidRDefault="0096367E">
      <w:pPr>
        <w:spacing w:after="240"/>
        <w:contextualSpacing/>
        <w:jc w:val="both"/>
      </w:pPr>
      <w:r>
        <w:t>Where f</w:t>
      </w:r>
      <w:r>
        <w:rPr>
          <w:vertAlign w:val="subscript"/>
        </w:rPr>
        <w:t>bulk</w:t>
      </w:r>
      <w:r>
        <w:t xml:space="preserve"> is the bulk fugacity and f</w:t>
      </w:r>
      <w:r>
        <w:rPr>
          <w:vertAlign w:val="subscript"/>
        </w:rPr>
        <w:t>0</w:t>
      </w:r>
      <w:r>
        <w:t xml:space="preserve"> is the fugacity at an arbitrary reference state. Similarly, the chemical potential of fluid-fluid interactions can be expressed:</w:t>
      </w:r>
    </w:p>
    <w:p w14:paraId="1A03C473" w14:textId="77777777" w:rsidR="0085272D" w:rsidRDefault="0096367E">
      <w:pPr>
        <w:tabs>
          <w:tab w:val="right" w:leader="dot" w:pos="8460"/>
        </w:tabs>
        <w:rPr>
          <w:lang w:eastAsia="zh-CN"/>
        </w:rPr>
      </w:pPr>
      <w:r w:rsidRPr="000759E2">
        <w:rPr>
          <w:rFonts w:ascii="Times New Roman" w:hAnsi="Times New Roman"/>
          <w:position w:val="-30"/>
        </w:rPr>
        <w:object w:dxaOrig="2573" w:dyaOrig="696" w14:anchorId="1D574F13">
          <v:shape id="_x0000_i1030" type="#_x0000_t75" style="width:129.45pt;height:34.3pt" o:ole="">
            <v:imagedata r:id="rId67" o:title=""/>
          </v:shape>
          <o:OLEObject Type="Embed" ProgID="Equation.3" ShapeID="_x0000_i1030" DrawAspect="Content" ObjectID="_1581936715" r:id="rId68"/>
        </w:object>
      </w:r>
      <w:r>
        <w:rPr>
          <w:lang w:eastAsia="zh-CN"/>
        </w:rPr>
        <w:tab/>
        <w:t>(3.4)</w:t>
      </w:r>
    </w:p>
    <w:p w14:paraId="1D943DEE" w14:textId="77777777" w:rsidR="0085272D" w:rsidRDefault="0096367E">
      <w:pPr>
        <w:spacing w:after="240"/>
        <w:contextualSpacing/>
        <w:jc w:val="both"/>
        <w:rPr>
          <w:rFonts w:ascii="Times" w:hAnsi="Times" w:cs="Times"/>
        </w:rPr>
      </w:pPr>
      <w:r>
        <w:rPr>
          <w:lang w:eastAsia="zh-CN"/>
        </w:rPr>
        <w:t xml:space="preserve">In Equation 3.4, </w:t>
      </w:r>
      <w:r>
        <w:t>f</w:t>
      </w:r>
      <w:r>
        <w:rPr>
          <w:vertAlign w:val="subscript"/>
        </w:rPr>
        <w:t>ff</w:t>
      </w:r>
      <w:r>
        <w:t>(z) is the fugacity that accounts for the fluid-fluid interactions at any position z.</w:t>
      </w:r>
      <w:r>
        <w:rPr>
          <w:rFonts w:ascii="Times" w:hAnsi="Times" w:cs="Times"/>
        </w:rPr>
        <w:t xml:space="preserve"> </w:t>
      </w:r>
      <w:r>
        <w:t>The fluid-solid chemical potential is, however, related to the fluid-solid pair potential:</w:t>
      </w:r>
    </w:p>
    <w:p w14:paraId="5B18983E" w14:textId="77777777" w:rsidR="0085272D" w:rsidRDefault="0096367E">
      <w:pPr>
        <w:tabs>
          <w:tab w:val="right" w:leader="dot" w:pos="8460"/>
        </w:tabs>
        <w:rPr>
          <w:lang w:eastAsia="zh-CN"/>
        </w:rPr>
      </w:pPr>
      <w:r w:rsidRPr="000759E2">
        <w:rPr>
          <w:rFonts w:ascii="Times New Roman" w:hAnsi="Times New Roman"/>
          <w:position w:val="-14"/>
        </w:rPr>
        <w:object w:dxaOrig="1893" w:dyaOrig="404" w14:anchorId="39815303">
          <v:shape id="_x0000_i1031" type="#_x0000_t75" style="width:94.3pt;height:19.7pt" o:ole="">
            <v:imagedata r:id="rId69" o:title=""/>
          </v:shape>
          <o:OLEObject Type="Embed" ProgID="Equation.3" ShapeID="_x0000_i1031" DrawAspect="Content" ObjectID="_1581936716" r:id="rId70"/>
        </w:object>
      </w:r>
      <w:r>
        <w:rPr>
          <w:lang w:eastAsia="zh-CN"/>
        </w:rPr>
        <w:tab/>
        <w:t>(3.5)</w:t>
      </w:r>
    </w:p>
    <w:p w14:paraId="599578FC" w14:textId="77777777" w:rsidR="0085272D" w:rsidRDefault="0096367E">
      <w:pPr>
        <w:spacing w:after="240"/>
        <w:contextualSpacing/>
        <w:jc w:val="both"/>
      </w:pPr>
      <w:r>
        <w:t xml:space="preserve">Where </w:t>
      </w:r>
      <m:oMath>
        <m:sSup>
          <m:sSupPr>
            <m:ctrlPr>
              <w:rPr>
                <w:rFonts w:ascii="Cambria Math" w:hAnsi="Cambria Math"/>
              </w:rPr>
            </m:ctrlPr>
          </m:sSupPr>
          <m:e>
            <m:r>
              <m:rPr>
                <m:sty m:val="p"/>
              </m:rPr>
              <w:rPr>
                <w:rFonts w:ascii="Cambria Math" w:hAnsi="Cambria Math"/>
              </w:rPr>
              <m:t>Ψ</m:t>
            </m:r>
          </m:e>
          <m:sup>
            <m:r>
              <m:rPr>
                <m:sty m:val="p"/>
              </m:rPr>
              <w:rPr>
                <w:rFonts w:ascii="Cambria Math" w:hAnsi="Cambria Math"/>
              </w:rPr>
              <m:t>fs</m:t>
            </m:r>
          </m:sup>
        </m:sSup>
        <m:d>
          <m:dPr>
            <m:ctrlPr>
              <w:rPr>
                <w:rFonts w:ascii="Cambria Math" w:hAnsi="Cambria Math"/>
              </w:rPr>
            </m:ctrlPr>
          </m:dPr>
          <m:e>
            <m:r>
              <m:rPr>
                <m:sty m:val="p"/>
              </m:rPr>
              <w:rPr>
                <w:rFonts w:ascii="Cambria Math" w:hAnsi="Cambria Math"/>
              </w:rPr>
              <m:t>z</m:t>
            </m:r>
          </m:e>
        </m:d>
      </m:oMath>
      <w:r>
        <w:t xml:space="preserve"> is the fluid-solid potential energy function. Lee’s partially integrated 10-4 Lennard–Jones potential is used here to describe such interactions (Lee, 1988):</w:t>
      </w:r>
    </w:p>
    <w:p w14:paraId="564F3C0E" w14:textId="77777777" w:rsidR="0085272D" w:rsidRDefault="0096367E">
      <w:pPr>
        <w:tabs>
          <w:tab w:val="right" w:leader="dot" w:pos="8460"/>
        </w:tabs>
        <w:rPr>
          <w:lang w:eastAsia="zh-CN"/>
        </w:rPr>
      </w:pPr>
      <w:r w:rsidRPr="000759E2">
        <w:rPr>
          <w:rFonts w:ascii="Times New Roman" w:hAnsi="Times New Roman"/>
          <w:position w:val="-38"/>
        </w:rPr>
        <w:object w:dxaOrig="5097" w:dyaOrig="858" w14:anchorId="315A5C07">
          <v:shape id="_x0000_i1032" type="#_x0000_t75" style="width:255.45pt;height:42.85pt" o:ole="">
            <v:imagedata r:id="rId71" o:title=""/>
          </v:shape>
          <o:OLEObject Type="Embed" ProgID="Equation.3" ShapeID="_x0000_i1032" DrawAspect="Content" ObjectID="_1581936717" r:id="rId72"/>
        </w:object>
      </w:r>
      <w:r>
        <w:rPr>
          <w:lang w:eastAsia="zh-CN"/>
        </w:rPr>
        <w:tab/>
        <w:t>(3.6)</w:t>
      </w:r>
    </w:p>
    <w:p w14:paraId="38BFBD21" w14:textId="77777777" w:rsidR="0085272D" w:rsidRDefault="0085272D">
      <w:pPr>
        <w:tabs>
          <w:tab w:val="right" w:leader="dot" w:pos="8460"/>
        </w:tabs>
        <w:rPr>
          <w:lang w:eastAsia="zh-CN"/>
        </w:rPr>
      </w:pPr>
    </w:p>
    <w:p w14:paraId="2EC75EE0" w14:textId="77777777" w:rsidR="0085272D" w:rsidRDefault="0096367E">
      <w:pPr>
        <w:tabs>
          <w:tab w:val="right" w:leader="dot" w:pos="8460"/>
        </w:tabs>
        <w:ind w:left="547" w:firstLine="360"/>
        <w:contextualSpacing/>
        <w:rPr>
          <w:lang w:eastAsia="zh-CN"/>
        </w:rPr>
      </w:pPr>
      <w:r>
        <w:rPr>
          <w:noProof/>
          <w:lang w:eastAsia="zh-CN" w:bidi="ar-SA"/>
        </w:rPr>
        <w:drawing>
          <wp:inline distT="0" distB="0" distL="0" distR="0" wp14:anchorId="72894C63" wp14:editId="1844559F">
            <wp:extent cx="4000500" cy="3869690"/>
            <wp:effectExtent l="0" t="0" r="0" b="0"/>
            <wp:docPr id="10" name="Picture 10" descr="Macintosh HD:Users:erln:Documents:Thesis:MS Thesis:Figures:Figure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cintosh HD:Users:erln:Documents:Thesis:MS Thesis:Figures:Figure 3.2.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4002134" cy="3871008"/>
                    </a:xfrm>
                    <a:prstGeom prst="rect">
                      <a:avLst/>
                    </a:prstGeom>
                    <a:noFill/>
                    <a:ln>
                      <a:noFill/>
                    </a:ln>
                  </pic:spPr>
                </pic:pic>
              </a:graphicData>
            </a:graphic>
          </wp:inline>
        </w:drawing>
      </w:r>
    </w:p>
    <w:p w14:paraId="318F8095" w14:textId="77777777" w:rsidR="0085272D" w:rsidRDefault="0096367E">
      <w:pPr>
        <w:tabs>
          <w:tab w:val="right" w:leader="dot" w:pos="8460"/>
        </w:tabs>
        <w:ind w:firstLine="360"/>
        <w:contextualSpacing/>
        <w:rPr>
          <w:b/>
        </w:rPr>
      </w:pPr>
      <w:r>
        <w:rPr>
          <w:b/>
        </w:rPr>
        <w:t xml:space="preserve">                  Figure 3.2 —</w:t>
      </w:r>
      <w:r>
        <w:rPr>
          <w:rFonts w:hint="eastAsia"/>
          <w:b/>
        </w:rPr>
        <w:t xml:space="preserve"> Schematic of a slit-shaped pore model</w:t>
      </w:r>
    </w:p>
    <w:p w14:paraId="6944995C" w14:textId="77777777" w:rsidR="0085272D" w:rsidRDefault="0085272D">
      <w:pPr>
        <w:tabs>
          <w:tab w:val="right" w:leader="dot" w:pos="8460"/>
        </w:tabs>
        <w:contextualSpacing/>
        <w:rPr>
          <w:b/>
        </w:rPr>
      </w:pPr>
    </w:p>
    <w:p w14:paraId="07BC5855" w14:textId="77777777" w:rsidR="0085272D" w:rsidRDefault="0096367E">
      <w:pPr>
        <w:spacing w:after="240"/>
        <w:contextualSpacing/>
        <w:jc w:val="both"/>
      </w:pPr>
      <w:r>
        <w:t xml:space="preserve">In Equation 3.6, </w:t>
      </w:r>
      <m:oMath>
        <m:sSub>
          <m:sSubPr>
            <m:ctrlPr>
              <w:rPr>
                <w:rFonts w:ascii="Cambria Math" w:hAnsi="Cambria Math"/>
                <w:i/>
              </w:rPr>
            </m:ctrlPr>
          </m:sSubPr>
          <m:e>
            <m:r>
              <w:rPr>
                <w:rFonts w:ascii="Cambria Math" w:hAnsi="Cambria Math"/>
              </w:rPr>
              <m:t>ρ</m:t>
            </m:r>
          </m:e>
          <m:sub>
            <m:r>
              <w:rPr>
                <w:rFonts w:ascii="Cambria Math" w:hAnsi="Cambria Math"/>
              </w:rPr>
              <m:t>atom</m:t>
            </m:r>
          </m:sub>
        </m:sSub>
      </m:oMath>
      <w:r>
        <w:t xml:space="preserve"> is the number of carbon plane atoms per unit area (38.2 atoms/nm</w:t>
      </w:r>
      <w:r>
        <w:rPr>
          <w:vertAlign w:val="superscript"/>
        </w:rPr>
        <w:t>2</w:t>
      </w:r>
      <w:r>
        <w:t xml:space="preserve">), </w:t>
      </w:r>
      <m:oMath>
        <m:sSub>
          <m:sSubPr>
            <m:ctrlPr>
              <w:rPr>
                <w:rFonts w:ascii="Cambria Math" w:hAnsi="Cambria Math"/>
                <w:i/>
              </w:rPr>
            </m:ctrlPr>
          </m:sSubPr>
          <m:e>
            <m:r>
              <w:rPr>
                <w:rFonts w:ascii="Cambria Math" w:hAnsi="Cambria Math"/>
              </w:rPr>
              <m:t>ε</m:t>
            </m:r>
          </m:e>
          <m:sub>
            <m:r>
              <w:rPr>
                <w:rFonts w:ascii="Cambria Math" w:hAnsi="Cambria Math"/>
              </w:rPr>
              <m:t>fs</m:t>
            </m:r>
          </m:sub>
        </m:sSub>
      </m:oMath>
      <w:r>
        <w:t xml:space="preserve"> is the fluid-solid interaction energy parameter and </w:t>
      </w:r>
      <m:oMath>
        <m:sSub>
          <m:sSubPr>
            <m:ctrlPr>
              <w:rPr>
                <w:rFonts w:ascii="Cambria Math" w:hAnsi="Cambria Math"/>
                <w:i/>
              </w:rPr>
            </m:ctrlPr>
          </m:sSubPr>
          <m:e>
            <m:r>
              <w:rPr>
                <w:rFonts w:ascii="Cambria Math" w:hAnsi="Cambria Math"/>
              </w:rPr>
              <m:t>σ</m:t>
            </m:r>
          </m:e>
          <m:sub>
            <m:r>
              <w:rPr>
                <w:rFonts w:ascii="Cambria Math" w:hAnsi="Cambria Math"/>
              </w:rPr>
              <m:t>fs</m:t>
            </m:r>
          </m:sub>
        </m:sSub>
      </m:oMath>
      <w:r>
        <w:t xml:space="preserve"> is the average value of the fluid and solid molecular diameter: </w:t>
      </w:r>
      <m:oMath>
        <m:sSub>
          <m:sSubPr>
            <m:ctrlPr>
              <w:rPr>
                <w:rFonts w:ascii="Cambria Math" w:hAnsi="Cambria Math"/>
                <w:i/>
              </w:rPr>
            </m:ctrlPr>
          </m:sSubPr>
          <m:e>
            <m:r>
              <w:rPr>
                <w:rFonts w:ascii="Cambria Math" w:hAnsi="Cambria Math"/>
              </w:rPr>
              <m:t>σ</m:t>
            </m:r>
          </m:e>
          <m:sub>
            <m:r>
              <w:rPr>
                <w:rFonts w:ascii="Cambria Math" w:hAnsi="Cambria Math"/>
              </w:rPr>
              <m:t>fs</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ff</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ss</m:t>
            </m:r>
          </m:sub>
        </m:sSub>
        <m:r>
          <w:rPr>
            <w:rFonts w:ascii="Cambria Math" w:hAnsi="Cambria Math"/>
          </w:rPr>
          <m:t>)/2</m:t>
        </m:r>
      </m:oMath>
      <w:r>
        <w:t xml:space="preserve">. </w:t>
      </w:r>
      <m:oMath>
        <m:sSub>
          <m:sSubPr>
            <m:ctrlPr>
              <w:rPr>
                <w:rFonts w:ascii="Cambria Math" w:hAnsi="Cambria Math"/>
                <w:i/>
              </w:rPr>
            </m:ctrlPr>
          </m:sSubPr>
          <m:e>
            <m:r>
              <w:rPr>
                <w:rFonts w:ascii="Cambria Math" w:hAnsi="Cambria Math"/>
              </w:rPr>
              <m:t>σ</m:t>
            </m:r>
          </m:e>
          <m:sub>
            <m:r>
              <w:rPr>
                <w:rFonts w:ascii="Cambria Math" w:hAnsi="Cambria Math"/>
              </w:rPr>
              <m:t>ss</m:t>
            </m:r>
          </m:sub>
        </m:sSub>
      </m:oMath>
      <w:r>
        <w:t xml:space="preserve"> is the carbon interplanar distance which is commonly taken to be that of graphite (0.34 nm), and the virtual coordinate z’ is defined by z’=z+</w:t>
      </w:r>
      <m:oMath>
        <m:sSub>
          <m:sSubPr>
            <m:ctrlPr>
              <w:rPr>
                <w:rFonts w:ascii="Cambria Math" w:hAnsi="Cambria Math"/>
                <w:i/>
              </w:rPr>
            </m:ctrlPr>
          </m:sSubPr>
          <m:e>
            <m:r>
              <w:rPr>
                <w:rFonts w:ascii="Cambria Math" w:hAnsi="Cambria Math"/>
              </w:rPr>
              <m:t>σ</m:t>
            </m:r>
          </m:e>
          <m:sub>
            <m:r>
              <w:rPr>
                <w:rFonts w:ascii="Cambria Math" w:hAnsi="Cambria Math"/>
              </w:rPr>
              <m:t>ff</m:t>
            </m:r>
          </m:sub>
        </m:sSub>
        <m:r>
          <w:rPr>
            <w:rFonts w:ascii="Cambria Math" w:hAnsi="Cambria Math"/>
          </w:rPr>
          <m:t>/2</m:t>
        </m:r>
      </m:oMath>
      <w:r>
        <w:t>. The summation is over the number of solid layers from the surface to the bulk of the solid phase. It is assumed that the interaction between a fluid molecule and solid molecules after the fourth layer is very weak, therefore, the counter i varies from 1 to 4. Now combine Equations 3.2-3.5, the relations of the bulk fugacity and fluid-fluid fugacity can be expressed as follows:</w:t>
      </w:r>
    </w:p>
    <w:p w14:paraId="5F957CA9" w14:textId="45B39B9B" w:rsidR="0085272D" w:rsidRDefault="00FA6998">
      <w:pPr>
        <w:tabs>
          <w:tab w:val="right" w:leader="dot" w:pos="8460"/>
        </w:tabs>
        <w:rPr>
          <w:lang w:eastAsia="zh-CN"/>
        </w:rPr>
      </w:pPr>
      <w:r>
        <w:rPr>
          <w:noProof/>
          <w:position w:val="-30"/>
          <w:lang w:eastAsia="zh-CN" w:bidi="ar-SA"/>
        </w:rPr>
        <w:drawing>
          <wp:inline distT="0" distB="0" distL="0" distR="0" wp14:anchorId="10957EB8" wp14:editId="500AB44C">
            <wp:extent cx="2372995" cy="467995"/>
            <wp:effectExtent l="0" t="0" r="0" b="0"/>
            <wp:docPr id="8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72995" cy="467995"/>
                    </a:xfrm>
                    <a:prstGeom prst="rect">
                      <a:avLst/>
                    </a:prstGeom>
                    <a:noFill/>
                    <a:ln>
                      <a:noFill/>
                    </a:ln>
                  </pic:spPr>
                </pic:pic>
              </a:graphicData>
            </a:graphic>
          </wp:inline>
        </w:drawing>
      </w:r>
      <w:r w:rsidR="0096367E">
        <w:rPr>
          <w:lang w:eastAsia="zh-CN"/>
        </w:rPr>
        <w:tab/>
        <w:t>(3.7)</w:t>
      </w:r>
    </w:p>
    <w:p w14:paraId="04DC39B0" w14:textId="77777777" w:rsidR="0085272D" w:rsidRDefault="0096367E">
      <w:pPr>
        <w:spacing w:after="240"/>
        <w:contextualSpacing/>
        <w:jc w:val="both"/>
        <w:rPr>
          <w:rFonts w:ascii="Times" w:hAnsi="Times" w:cs="Times"/>
        </w:rPr>
      </w:pPr>
      <w:r>
        <w:t>In this model, fugacities are calculated using PR-EOS:</w:t>
      </w:r>
    </w:p>
    <w:p w14:paraId="0F9DC3B2" w14:textId="0F0F8B19" w:rsidR="0085272D" w:rsidRDefault="00FA6998">
      <w:pPr>
        <w:tabs>
          <w:tab w:val="right" w:leader="dot" w:pos="8460"/>
        </w:tabs>
        <w:rPr>
          <w:lang w:eastAsia="zh-CN"/>
        </w:rPr>
      </w:pPr>
      <w:r>
        <w:rPr>
          <w:noProof/>
          <w:position w:val="-46"/>
          <w:lang w:eastAsia="zh-CN" w:bidi="ar-SA"/>
        </w:rPr>
        <w:drawing>
          <wp:inline distT="0" distB="0" distL="0" distR="0" wp14:anchorId="522B1709" wp14:editId="60D96549">
            <wp:extent cx="3255010" cy="544195"/>
            <wp:effectExtent l="0" t="0" r="0" b="0"/>
            <wp:docPr id="87"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55010" cy="544195"/>
                    </a:xfrm>
                    <a:prstGeom prst="rect">
                      <a:avLst/>
                    </a:prstGeom>
                    <a:noFill/>
                    <a:ln>
                      <a:noFill/>
                    </a:ln>
                  </pic:spPr>
                </pic:pic>
              </a:graphicData>
            </a:graphic>
          </wp:inline>
        </w:drawing>
      </w:r>
      <w:r w:rsidR="0096367E">
        <w:rPr>
          <w:lang w:eastAsia="zh-CN"/>
        </w:rPr>
        <w:tab/>
        <w:t>(3.8)</w:t>
      </w:r>
    </w:p>
    <w:p w14:paraId="32694454" w14:textId="77777777" w:rsidR="0085272D" w:rsidRDefault="0096367E">
      <w:pPr>
        <w:spacing w:after="240"/>
        <w:contextualSpacing/>
        <w:jc w:val="both"/>
      </w:pPr>
      <w:r>
        <w:t>The bulk fugacity can be calculated using PR-EOS in terms of bulk fluid density:</w:t>
      </w:r>
    </w:p>
    <w:p w14:paraId="0B6F1AFE" w14:textId="39A8D7D9" w:rsidR="0085272D" w:rsidRDefault="00FA6998">
      <w:pPr>
        <w:tabs>
          <w:tab w:val="right" w:leader="dot" w:pos="8460"/>
        </w:tabs>
        <w:rPr>
          <w:lang w:eastAsia="zh-CN"/>
        </w:rPr>
      </w:pPr>
      <w:r>
        <w:rPr>
          <w:noProof/>
          <w:position w:val="-44"/>
          <w:lang w:eastAsia="zh-CN" w:bidi="ar-SA"/>
        </w:rPr>
        <w:drawing>
          <wp:inline distT="0" distB="0" distL="0" distR="0" wp14:anchorId="5A1F84F7" wp14:editId="25B8B29C">
            <wp:extent cx="5029200" cy="544195"/>
            <wp:effectExtent l="0" t="0" r="0" b="0"/>
            <wp:docPr id="8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29200" cy="544195"/>
                    </a:xfrm>
                    <a:prstGeom prst="rect">
                      <a:avLst/>
                    </a:prstGeom>
                    <a:noFill/>
                    <a:ln>
                      <a:noFill/>
                    </a:ln>
                  </pic:spPr>
                </pic:pic>
              </a:graphicData>
            </a:graphic>
          </wp:inline>
        </w:drawing>
      </w:r>
      <w:r w:rsidR="0096367E">
        <w:rPr>
          <w:lang w:eastAsia="zh-CN"/>
        </w:rPr>
        <w:tab/>
        <w:t>(3.9)</w:t>
      </w:r>
    </w:p>
    <w:p w14:paraId="406B38E5" w14:textId="77777777" w:rsidR="0085272D" w:rsidRDefault="0096367E">
      <w:pPr>
        <w:spacing w:after="240"/>
        <w:contextualSpacing/>
        <w:jc w:val="both"/>
        <w:rPr>
          <w:rFonts w:ascii="Times" w:hAnsi="Times" w:cs="Times"/>
        </w:rPr>
      </w:pPr>
      <w:r>
        <w:t xml:space="preserve">The fugacity that accounts for the fluid-fluid interactions is expressed as in Equation 3.10. </w:t>
      </w:r>
    </w:p>
    <w:p w14:paraId="6C7292FD" w14:textId="240583A2" w:rsidR="0085272D" w:rsidRDefault="00FA6998">
      <w:pPr>
        <w:tabs>
          <w:tab w:val="right" w:leader="dot" w:pos="8460"/>
        </w:tabs>
        <w:rPr>
          <w:lang w:eastAsia="zh-CN"/>
        </w:rPr>
      </w:pPr>
      <w:r>
        <w:rPr>
          <w:noProof/>
          <w:position w:val="-44"/>
          <w:lang w:eastAsia="zh-CN" w:bidi="ar-SA"/>
        </w:rPr>
        <w:drawing>
          <wp:inline distT="0" distB="0" distL="0" distR="0" wp14:anchorId="063CE9A0" wp14:editId="775F7481">
            <wp:extent cx="4909185" cy="467995"/>
            <wp:effectExtent l="0" t="0" r="0" b="0"/>
            <wp:docPr id="8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909185" cy="467995"/>
                    </a:xfrm>
                    <a:prstGeom prst="rect">
                      <a:avLst/>
                    </a:prstGeom>
                    <a:noFill/>
                    <a:ln>
                      <a:noFill/>
                    </a:ln>
                  </pic:spPr>
                </pic:pic>
              </a:graphicData>
            </a:graphic>
          </wp:inline>
        </w:drawing>
      </w:r>
      <w:r w:rsidR="0096367E">
        <w:rPr>
          <w:lang w:eastAsia="zh-CN"/>
        </w:rPr>
        <w:tab/>
        <w:t>(3.10)</w:t>
      </w:r>
    </w:p>
    <w:p w14:paraId="027DE009" w14:textId="46981A59" w:rsidR="0085272D" w:rsidRDefault="0096367E">
      <w:pPr>
        <w:spacing w:after="240"/>
        <w:jc w:val="both"/>
      </w:pPr>
      <w:r>
        <w:rPr>
          <w:lang w:eastAsia="zh-CN"/>
        </w:rPr>
        <w:t xml:space="preserve">In Equation 3.10, the parameter “a” in PR-EOS has been modified as a function of position rather than constant to consider the confinement effects on the fluids. This modification is based on Chen et al. (1997). </w:t>
      </w:r>
      <w:r>
        <w:t xml:space="preserve">In their paper, they claimed that the parameter “a” in PR-EOS depends on the position of interest inside the pore, z, as well as the dimensionless pore width </w:t>
      </w:r>
      <m:oMath>
        <m:sSub>
          <m:sSubPr>
            <m:ctrlPr>
              <w:rPr>
                <w:rFonts w:ascii="Cambria Math" w:hAnsi="Cambria Math"/>
              </w:rPr>
            </m:ctrlPr>
          </m:sSubPr>
          <m:e>
            <m:r>
              <m:rPr>
                <m:sty m:val="p"/>
              </m:rPr>
              <w:rPr>
                <w:rFonts w:ascii="Cambria Math" w:hAnsi="Cambria Math"/>
              </w:rPr>
              <m:t>L/σ</m:t>
            </m:r>
          </m:e>
          <m:sub>
            <m:r>
              <m:rPr>
                <m:sty m:val="p"/>
              </m:rPr>
              <w:rPr>
                <w:rFonts w:ascii="Cambria Math" w:hAnsi="Cambria Math"/>
              </w:rPr>
              <m:t>ff</m:t>
            </m:r>
          </m:sub>
        </m:sSub>
      </m:oMath>
      <w:r>
        <w:t xml:space="preserve">, where </w:t>
      </w:r>
      <m:oMath>
        <m:r>
          <m:rPr>
            <m:sty m:val="p"/>
          </m:rPr>
          <w:rPr>
            <w:rFonts w:ascii="Cambria Math" w:hAnsi="Cambria Math"/>
          </w:rPr>
          <m:t>L</m:t>
        </m:r>
      </m:oMath>
      <w:r>
        <w:t xml:space="preserve"> is pore width and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ff</m:t>
            </m:r>
          </m:sub>
        </m:sSub>
      </m:oMath>
      <w:r>
        <w:t xml:space="preserve"> is the </w:t>
      </w:r>
      <w:r>
        <w:rPr>
          <w:lang w:eastAsia="zh-CN"/>
        </w:rPr>
        <w:t xml:space="preserve">Van der Waals </w:t>
      </w:r>
      <w:r>
        <w:t xml:space="preserve">molecular diameter of the fluid. The purpose of this modification is to account for the variation of attraction potential with respect to position inside the pore for an inhomogeneous fluid. More details can be found in </w:t>
      </w:r>
      <w:r>
        <w:rPr>
          <w:lang w:eastAsia="zh-CN"/>
        </w:rPr>
        <w:t xml:space="preserve">Rangarajan et al. (1995). </w:t>
      </w:r>
      <w:r>
        <w:t xml:space="preserve">The expressions of the correction on the parameter “a” are shown in </w:t>
      </w:r>
      <w:r>
        <w:rPr>
          <w:b/>
        </w:rPr>
        <w:t>Appendix A</w:t>
      </w:r>
      <w:r>
        <w:t xml:space="preserve">. From these </w:t>
      </w:r>
      <w:r w:rsidR="00B2181C">
        <w:t>expressions,</w:t>
      </w:r>
      <w:r>
        <w:t xml:space="preserve"> it is clear to see that for a fixed pore size with a particular fluid, the parameter “a” only depends on position z. </w:t>
      </w:r>
    </w:p>
    <w:p w14:paraId="320870F1" w14:textId="77777777" w:rsidR="0085272D" w:rsidRDefault="0096367E">
      <w:pPr>
        <w:spacing w:after="240"/>
        <w:contextualSpacing/>
        <w:jc w:val="both"/>
      </w:pPr>
      <w:r>
        <w:rPr>
          <w:rFonts w:ascii="Times" w:hAnsi="Times" w:cs="Times"/>
        </w:rPr>
        <w:t xml:space="preserve">Finally, the local density at any position z can be obtained from Equation 3.10. In </w:t>
      </w:r>
      <w:r>
        <w:t>Equation 3.10</w:t>
      </w:r>
      <w:r>
        <w:rPr>
          <w:lang w:eastAsia="zh-CN"/>
        </w:rPr>
        <w:t xml:space="preserve">, the fluid-fluid fugacity can be calculated from Equations </w:t>
      </w:r>
      <w:r>
        <w:t xml:space="preserve">3.6-3.8 and Equation 3.9. The local density profile across the pore can then be obtained by discretizing the pore into small segments and calculating an average </w:t>
      </w:r>
      <m:oMath>
        <m:sSub>
          <m:sSubPr>
            <m:ctrlPr>
              <w:rPr>
                <w:rFonts w:ascii="Cambria Math" w:hAnsi="Cambria Math"/>
              </w:rPr>
            </m:ctrlPr>
          </m:sSubPr>
          <m:e>
            <m:r>
              <m:rPr>
                <m:sty m:val="p"/>
              </m:rPr>
              <w:rPr>
                <w:rFonts w:ascii="Cambria Math" w:hAnsi="Cambria Math"/>
              </w:rPr>
              <m:t>ρ</m:t>
            </m:r>
          </m:e>
          <m:sub>
            <m:r>
              <w:rPr>
                <w:rFonts w:ascii="Cambria Math" w:hAnsi="Cambria Math"/>
              </w:rPr>
              <m:t>local</m:t>
            </m:r>
          </m:sub>
        </m:sSub>
        <m:r>
          <m:rPr>
            <m:sty m:val="p"/>
          </m:rPr>
          <w:rPr>
            <w:rFonts w:ascii="Cambria Math" w:hAnsi="Cambria Math"/>
          </w:rPr>
          <m:t>(z)</m:t>
        </m:r>
      </m:oMath>
      <w:r>
        <w:t xml:space="preserve"> for each segment. An algorithm of local density profile calculations for pure component using SLD-PR model is shown in </w:t>
      </w:r>
      <w:r>
        <w:rPr>
          <w:b/>
        </w:rPr>
        <w:t>Figure 3.3</w:t>
      </w:r>
      <w:r>
        <w:t>.</w:t>
      </w:r>
    </w:p>
    <w:p w14:paraId="08E1A5D3" w14:textId="77777777" w:rsidR="00303760" w:rsidRDefault="00303760">
      <w:pPr>
        <w:spacing w:after="240"/>
        <w:contextualSpacing/>
        <w:jc w:val="both"/>
      </w:pPr>
    </w:p>
    <w:p w14:paraId="53A332B8" w14:textId="77777777" w:rsidR="00303760" w:rsidRDefault="00303760">
      <w:pPr>
        <w:spacing w:after="240"/>
        <w:contextualSpacing/>
        <w:jc w:val="both"/>
      </w:pPr>
    </w:p>
    <w:p w14:paraId="36DD96FC" w14:textId="77777777" w:rsidR="00303760" w:rsidRDefault="00303760">
      <w:pPr>
        <w:spacing w:after="240"/>
        <w:contextualSpacing/>
        <w:jc w:val="both"/>
      </w:pPr>
    </w:p>
    <w:p w14:paraId="6DF608BA" w14:textId="77777777" w:rsidR="00303760" w:rsidRDefault="00303760">
      <w:pPr>
        <w:spacing w:after="240"/>
        <w:contextualSpacing/>
        <w:jc w:val="both"/>
      </w:pPr>
    </w:p>
    <w:p w14:paraId="12B9B6D8" w14:textId="77777777" w:rsidR="00303760" w:rsidRDefault="00303760">
      <w:pPr>
        <w:spacing w:after="240"/>
        <w:contextualSpacing/>
        <w:jc w:val="both"/>
      </w:pPr>
    </w:p>
    <w:p w14:paraId="79A825E7" w14:textId="77777777" w:rsidR="00303760" w:rsidRDefault="00303760">
      <w:pPr>
        <w:spacing w:after="240"/>
        <w:contextualSpacing/>
        <w:jc w:val="both"/>
      </w:pPr>
    </w:p>
    <w:p w14:paraId="42C2F9EA" w14:textId="77777777" w:rsidR="00303760" w:rsidRDefault="00303760">
      <w:pPr>
        <w:spacing w:after="240"/>
        <w:contextualSpacing/>
        <w:jc w:val="both"/>
      </w:pPr>
    </w:p>
    <w:p w14:paraId="4CFA6E88" w14:textId="77777777" w:rsidR="00303760" w:rsidRDefault="00303760">
      <w:pPr>
        <w:spacing w:after="240"/>
        <w:contextualSpacing/>
        <w:jc w:val="both"/>
      </w:pPr>
    </w:p>
    <w:p w14:paraId="3E6F4028" w14:textId="77777777" w:rsidR="00303760" w:rsidRDefault="00303760">
      <w:pPr>
        <w:spacing w:after="240"/>
        <w:contextualSpacing/>
        <w:jc w:val="both"/>
      </w:pPr>
    </w:p>
    <w:p w14:paraId="4CFD15D2" w14:textId="77777777" w:rsidR="00303760" w:rsidRDefault="00303760">
      <w:pPr>
        <w:spacing w:after="240"/>
        <w:contextualSpacing/>
        <w:jc w:val="both"/>
      </w:pPr>
    </w:p>
    <w:p w14:paraId="243B0A95" w14:textId="77777777" w:rsidR="00303760" w:rsidRDefault="00303760">
      <w:pPr>
        <w:spacing w:after="240"/>
        <w:contextualSpacing/>
        <w:jc w:val="both"/>
      </w:pPr>
    </w:p>
    <w:p w14:paraId="077B8700" w14:textId="77777777" w:rsidR="001D456D" w:rsidRDefault="001D456D">
      <w:pPr>
        <w:spacing w:after="240"/>
        <w:contextualSpacing/>
        <w:jc w:val="both"/>
      </w:pPr>
    </w:p>
    <w:p w14:paraId="28F6BF60" w14:textId="77777777" w:rsidR="001D456D" w:rsidRDefault="001D456D">
      <w:pPr>
        <w:spacing w:after="240"/>
        <w:contextualSpacing/>
        <w:jc w:val="both"/>
      </w:pPr>
    </w:p>
    <w:p w14:paraId="1D189E71" w14:textId="77777777" w:rsidR="001D456D" w:rsidRDefault="001D456D">
      <w:pPr>
        <w:spacing w:after="240"/>
        <w:contextualSpacing/>
        <w:jc w:val="both"/>
      </w:pPr>
    </w:p>
    <w:p w14:paraId="5483235A" w14:textId="77777777" w:rsidR="001D456D" w:rsidRDefault="001D456D">
      <w:pPr>
        <w:spacing w:after="240"/>
        <w:contextualSpacing/>
        <w:jc w:val="both"/>
      </w:pPr>
    </w:p>
    <w:p w14:paraId="0811C22F" w14:textId="77777777" w:rsidR="00303760" w:rsidRDefault="00303760">
      <w:pPr>
        <w:spacing w:after="240"/>
        <w:contextualSpacing/>
        <w:jc w:val="both"/>
      </w:pPr>
    </w:p>
    <w:p w14:paraId="2C534690" w14:textId="77777777" w:rsidR="0085272D" w:rsidRDefault="0085272D">
      <w:pPr>
        <w:spacing w:after="240"/>
        <w:contextualSpacing/>
        <w:jc w:val="both"/>
      </w:pPr>
    </w:p>
    <w:p w14:paraId="11C6D2B7" w14:textId="77777777" w:rsidR="00303760" w:rsidRPr="00303760" w:rsidRDefault="00303760" w:rsidP="00303760">
      <w:pPr>
        <w:spacing w:after="240" w:line="240" w:lineRule="auto"/>
        <w:contextualSpacing/>
        <w:jc w:val="both"/>
      </w:pPr>
    </w:p>
    <w:p w14:paraId="138E6623" w14:textId="7E05D6D5" w:rsidR="00303760" w:rsidRPr="00303760" w:rsidRDefault="00FA6998" w:rsidP="00303760">
      <w:pPr>
        <w:spacing w:after="240" w:line="240" w:lineRule="auto"/>
        <w:contextualSpacing/>
        <w:jc w:val="both"/>
        <w:rPr>
          <w:bCs/>
          <w:i/>
        </w:rPr>
      </w:pPr>
      <w:r>
        <w:rPr>
          <w:bCs/>
          <w:i/>
          <w:noProof/>
          <w:lang w:eastAsia="zh-CN" w:bidi="ar-SA"/>
        </w:rPr>
        <mc:AlternateContent>
          <mc:Choice Requires="wps">
            <w:drawing>
              <wp:anchor distT="0" distB="0" distL="114300" distR="114300" simplePos="0" relativeHeight="251702272" behindDoc="0" locked="0" layoutInCell="1" allowOverlap="1" wp14:anchorId="69DB5632" wp14:editId="71A5BB0D">
                <wp:simplePos x="0" y="0"/>
                <wp:positionH relativeFrom="column">
                  <wp:posOffset>457200</wp:posOffset>
                </wp:positionH>
                <wp:positionV relativeFrom="paragraph">
                  <wp:posOffset>-342900</wp:posOffset>
                </wp:positionV>
                <wp:extent cx="3198495" cy="609600"/>
                <wp:effectExtent l="0" t="0" r="27305" b="25400"/>
                <wp:wrapThrough wrapText="bothSides">
                  <wp:wrapPolygon edited="0">
                    <wp:start x="0" y="0"/>
                    <wp:lineTo x="0" y="21600"/>
                    <wp:lineTo x="21613" y="21600"/>
                    <wp:lineTo x="21613" y="0"/>
                    <wp:lineTo x="0" y="0"/>
                  </wp:wrapPolygon>
                </wp:wrapThrough>
                <wp:docPr id="174"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609600"/>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5B180322" w14:textId="77777777" w:rsidR="002F4E62" w:rsidRDefault="002F4E62" w:rsidP="00303760">
                            <w:pPr>
                              <w:jc w:val="center"/>
                              <w:rPr>
                                <w:color w:val="000000" w:themeColor="text1"/>
                              </w:rPr>
                            </w:pPr>
                            <w:r>
                              <w:rPr>
                                <w:lang w:eastAsia="zh-CN"/>
                              </w:rPr>
                              <w:t>Begin Local Density Calculation, Specify Temperature, Pressure and Pore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DB5632" id="Rounded Rectangle 7" o:spid="_x0000_s1026" style="position:absolute;left:0;text-align:left;margin-left:36pt;margin-top:-26.95pt;width:251.85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" fillcolor="white [3201]" strokecolor="black [3200]" strokeweight=".25pt">
                <v:path arrowok="t"/>
                <v:textbox>
                  <w:txbxContent>
                    <w:p w14:paraId="5B180322" w14:textId="77777777" w:rsidR="002F4E62" w:rsidRDefault="002F4E62" w:rsidP="00303760">
                      <w:pPr>
                        <w:jc w:val="center"/>
                        <w:rPr>
                          <w:color w:val="000000" w:themeColor="text1"/>
                        </w:rPr>
                      </w:pPr>
                      <w:r>
                        <w:rPr>
                          <w:lang w:eastAsia="zh-CN"/>
                        </w:rPr>
                        <w:t>Begin Local Density Calculation, Specify Temperature, Pressure and Pore Size</w:t>
                      </w:r>
                    </w:p>
                  </w:txbxContent>
                </v:textbox>
                <w10:wrap type="through"/>
              </v:roundrect>
            </w:pict>
          </mc:Fallback>
        </mc:AlternateContent>
      </w:r>
    </w:p>
    <w:p w14:paraId="58F11445" w14:textId="49814278"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10464" behindDoc="0" locked="0" layoutInCell="1" allowOverlap="1" wp14:anchorId="1E86A969" wp14:editId="089EA735">
                <wp:simplePos x="0" y="0"/>
                <wp:positionH relativeFrom="column">
                  <wp:posOffset>1908810</wp:posOffset>
                </wp:positionH>
                <wp:positionV relativeFrom="paragraph">
                  <wp:posOffset>219075</wp:posOffset>
                </wp:positionV>
                <wp:extent cx="260350" cy="635"/>
                <wp:effectExtent l="95250" t="51435" r="107315" b="69215"/>
                <wp:wrapNone/>
                <wp:docPr id="173"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350" cy="635"/>
                        </a:xfrm>
                        <a:prstGeom prst="bentConnector3">
                          <a:avLst>
                            <a:gd name="adj1" fmla="val 50000"/>
                          </a:avLst>
                        </a:prstGeom>
                        <a:noFill/>
                        <a:ln w="3175">
                          <a:solidFill>
                            <a:schemeClr val="dk1">
                              <a:lumMod val="95000"/>
                              <a:lumOff val="0"/>
                            </a:schemeClr>
                          </a:solidFill>
                          <a:miter lim="800000"/>
                          <a:headEnd/>
                          <a:tailEnd type="arrow" w="med"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7B40573" id="_x0000_t34" coordsize="21600,21600" o:spt="34" o:oned="t" adj="10800" path="m0,0l@0,0@0,21600,21600,21600e" filled="f">
                <v:stroke joinstyle="miter"/>
                <v:formulas>
                  <v:f eqn="val #0"/>
                </v:formulas>
                <v:path arrowok="t" fillok="f" o:connecttype="none"/>
                <v:handles>
                  <v:h position="#0,center"/>
                </v:handles>
                <o:lock v:ext="edit" shapetype="t"/>
              </v:shapetype>
              <v:shape id="AutoShape 128" o:spid="_x0000_s1026" type="#_x0000_t34" style="position:absolute;margin-left:150.3pt;margin-top:17.25pt;width:20.5pt;height:.0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" strokecolor="black [3040]" strokeweight=".25pt">
                <v:stroke endarrow="open" endarrowlength="short"/>
              </v:shape>
            </w:pict>
          </mc:Fallback>
        </mc:AlternateContent>
      </w:r>
    </w:p>
    <w:p w14:paraId="33A386D0" w14:textId="08EB10F0"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97152" behindDoc="0" locked="0" layoutInCell="1" allowOverlap="1" wp14:anchorId="2F1DF48B" wp14:editId="00AD06D0">
                <wp:simplePos x="0" y="0"/>
                <wp:positionH relativeFrom="column">
                  <wp:posOffset>791210</wp:posOffset>
                </wp:positionH>
                <wp:positionV relativeFrom="paragraph">
                  <wp:posOffset>1283335</wp:posOffset>
                </wp:positionV>
                <wp:extent cx="5456555" cy="2962275"/>
                <wp:effectExtent l="57150" t="86995" r="66675" b="57150"/>
                <wp:wrapNone/>
                <wp:docPr id="172" name="Elb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5456555" cy="2962275"/>
                        </a:xfrm>
                        <a:prstGeom prst="bentConnector3">
                          <a:avLst>
                            <a:gd name="adj1" fmla="val 99903"/>
                          </a:avLst>
                        </a:prstGeom>
                        <a:noFill/>
                        <a:ln w="3175">
                          <a:solidFill>
                            <a:schemeClr val="dk1">
                              <a:lumMod val="95000"/>
                              <a:lumOff val="0"/>
                            </a:schemeClr>
                          </a:solidFill>
                          <a:miter lim="800000"/>
                          <a:headEnd/>
                          <a:tailEnd type="arrow" w="med"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24D86A" id="Elbow Connector 31" o:spid="_x0000_s1026" type="#_x0000_t34" style="position:absolute;margin-left:62.3pt;margin-top:101.05pt;width:429.65pt;height:233.25pt;rotation:-9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" adj="21579" strokecolor="black [3040]" strokeweight=".25pt">
                <v:stroke endarrow="open" endarrowlength="short"/>
              </v:shape>
            </w:pict>
          </mc:Fallback>
        </mc:AlternateContent>
      </w:r>
    </w:p>
    <w:p w14:paraId="2377BB0C" w14:textId="50197FE6"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87936" behindDoc="0" locked="0" layoutInCell="1" allowOverlap="1" wp14:anchorId="2B3B3258" wp14:editId="0D35480B">
                <wp:simplePos x="0" y="0"/>
                <wp:positionH relativeFrom="column">
                  <wp:posOffset>457200</wp:posOffset>
                </wp:positionH>
                <wp:positionV relativeFrom="paragraph">
                  <wp:posOffset>-635</wp:posOffset>
                </wp:positionV>
                <wp:extent cx="3198495" cy="569595"/>
                <wp:effectExtent l="0" t="0" r="27305" b="14605"/>
                <wp:wrapTight wrapText="bothSides">
                  <wp:wrapPolygon edited="0">
                    <wp:start x="0" y="0"/>
                    <wp:lineTo x="0" y="21191"/>
                    <wp:lineTo x="21613" y="21191"/>
                    <wp:lineTo x="21613" y="0"/>
                    <wp:lineTo x="0" y="0"/>
                  </wp:wrapPolygon>
                </wp:wrapTight>
                <wp:docPr id="171"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569595"/>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1A84ACB9" w14:textId="77777777" w:rsidR="002F4E62" w:rsidRDefault="002F4E62" w:rsidP="00303760">
                            <w:pPr>
                              <w:jc w:val="center"/>
                              <w:rPr>
                                <w:color w:val="000000" w:themeColor="text1"/>
                              </w:rPr>
                            </w:pPr>
                            <w:r>
                              <w:rPr>
                                <w:lang w:eastAsia="zh-CN"/>
                              </w:rPr>
                              <w:t>Select a Computational Segment at Position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B3258" id="Rounded Rectangle 9" o:spid="_x0000_s1027" style="position:absolute;left:0;text-align:left;margin-left:36pt;margin-top:0;width:251.85pt;height:44.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" fillcolor="white [3201]" strokecolor="black [3200]" strokeweight=".25pt">
                <v:path arrowok="t"/>
                <v:textbox>
                  <w:txbxContent>
                    <w:p w14:paraId="1A84ACB9" w14:textId="77777777" w:rsidR="002F4E62" w:rsidRDefault="002F4E62" w:rsidP="00303760">
                      <w:pPr>
                        <w:jc w:val="center"/>
                        <w:rPr>
                          <w:color w:val="000000" w:themeColor="text1"/>
                        </w:rPr>
                      </w:pPr>
                      <w:r>
                        <w:rPr>
                          <w:lang w:eastAsia="zh-CN"/>
                        </w:rPr>
                        <w:t>Select a Computational Segment at Position z</w:t>
                      </w:r>
                    </w:p>
                  </w:txbxContent>
                </v:textbox>
                <w10:wrap type="tight"/>
              </v:roundrect>
            </w:pict>
          </mc:Fallback>
        </mc:AlternateContent>
      </w:r>
    </w:p>
    <w:p w14:paraId="434F7AE6" w14:textId="77777777" w:rsidR="00303760" w:rsidRPr="00303760" w:rsidRDefault="00303760" w:rsidP="00303760">
      <w:pPr>
        <w:spacing w:after="240" w:line="240" w:lineRule="auto"/>
        <w:contextualSpacing/>
        <w:jc w:val="both"/>
      </w:pPr>
    </w:p>
    <w:p w14:paraId="5B2AA497" w14:textId="77777777" w:rsidR="00303760" w:rsidRPr="00303760" w:rsidRDefault="00303760" w:rsidP="00303760">
      <w:pPr>
        <w:spacing w:after="240" w:line="240" w:lineRule="auto"/>
        <w:contextualSpacing/>
        <w:jc w:val="both"/>
      </w:pPr>
    </w:p>
    <w:p w14:paraId="0DF9294C" w14:textId="4B4C50A8"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89984" behindDoc="0" locked="0" layoutInCell="1" allowOverlap="1" wp14:anchorId="19071624" wp14:editId="0D532F5A">
                <wp:simplePos x="0" y="0"/>
                <wp:positionH relativeFrom="column">
                  <wp:posOffset>1883410</wp:posOffset>
                </wp:positionH>
                <wp:positionV relativeFrom="paragraph">
                  <wp:posOffset>198755</wp:posOffset>
                </wp:positionV>
                <wp:extent cx="310515" cy="0"/>
                <wp:effectExtent l="45085" t="17780" r="81915" b="27305"/>
                <wp:wrapNone/>
                <wp:docPr id="170"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10515"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36D01CC" id="_x0000_t32" coordsize="21600,21600" o:spt="32" o:oned="t" path="m0,0l21600,21600e" filled="f">
                <v:path arrowok="t" fillok="f" o:connecttype="none"/>
                <o:lock v:ext="edit" shapetype="t"/>
              </v:shapetype>
              <v:shape id="Straight Arrow Connector 15" o:spid="_x0000_s1026" type="#_x0000_t32" style="position:absolute;margin-left:148.3pt;margin-top:15.65pt;width:24.45pt;height:0;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" strokecolor="black [3040]" strokeweight=".25pt">
                <v:stroke endarrow="open" endarrowlength="short"/>
              </v:shape>
            </w:pict>
          </mc:Fallback>
        </mc:AlternateContent>
      </w:r>
    </w:p>
    <w:p w14:paraId="2AB2066D" w14:textId="77777777" w:rsidR="00303760" w:rsidRPr="00303760" w:rsidRDefault="00303760" w:rsidP="00303760">
      <w:pPr>
        <w:spacing w:after="240" w:line="240" w:lineRule="auto"/>
        <w:contextualSpacing/>
        <w:jc w:val="both"/>
      </w:pPr>
    </w:p>
    <w:p w14:paraId="0AAD57D2" w14:textId="6D5DF08F"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3296" behindDoc="0" locked="0" layoutInCell="1" allowOverlap="1" wp14:anchorId="3FE91116" wp14:editId="34DBBFE8">
                <wp:simplePos x="0" y="0"/>
                <wp:positionH relativeFrom="column">
                  <wp:posOffset>457200</wp:posOffset>
                </wp:positionH>
                <wp:positionV relativeFrom="paragraph">
                  <wp:posOffset>3175</wp:posOffset>
                </wp:positionV>
                <wp:extent cx="3197225" cy="683895"/>
                <wp:effectExtent l="0" t="0" r="28575" b="27305"/>
                <wp:wrapThrough wrapText="bothSides">
                  <wp:wrapPolygon edited="0">
                    <wp:start x="0" y="0"/>
                    <wp:lineTo x="0" y="21660"/>
                    <wp:lineTo x="21621" y="21660"/>
                    <wp:lineTo x="21621" y="0"/>
                    <wp:lineTo x="0" y="0"/>
                  </wp:wrapPolygon>
                </wp:wrapThrough>
                <wp:docPr id="169"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7225" cy="683895"/>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11BD767B" w14:textId="77777777" w:rsidR="002F4E62" w:rsidRDefault="002F4E62" w:rsidP="00303760">
                            <w:pPr>
                              <w:jc w:val="center"/>
                              <w:rPr>
                                <w:rFonts w:ascii="Times" w:eastAsia="Times New Roman" w:hAnsi="Times"/>
                              </w:rPr>
                            </w:pPr>
                            <w:r>
                              <w:rPr>
                                <w:lang w:eastAsia="zh-CN"/>
                              </w:rPr>
                              <w:t xml:space="preserve">Calculate Fluid-Solid Chemical Potential </w:t>
                            </w:r>
                            <w:r>
                              <w:rPr>
                                <w:rFonts w:eastAsia="Times New Roman"/>
                                <w:color w:val="444444"/>
                                <w:shd w:val="clear" w:color="auto" w:fill="FFFFFF"/>
                              </w:rPr>
                              <w:t>µ</w:t>
                            </w:r>
                            <w:r>
                              <w:rPr>
                                <w:vertAlign w:val="subscript"/>
                                <w:lang w:eastAsia="zh-CN"/>
                              </w:rPr>
                              <w:t>fs</w:t>
                            </w:r>
                            <w:r>
                              <w:rPr>
                                <w:lang w:eastAsia="zh-CN"/>
                              </w:rPr>
                              <w:t xml:space="preserve"> for Both Walls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91116" id="Rounded Rectangle 11" o:spid="_x0000_s1028" style="position:absolute;left:0;text-align:left;margin-left:36pt;margin-top:.25pt;width:251.75pt;height:53.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" fillcolor="white [3201]" strokecolor="black [3200]" strokeweight=".25pt">
                <v:path arrowok="t"/>
                <v:textbox>
                  <w:txbxContent>
                    <w:p w14:paraId="11BD767B" w14:textId="77777777" w:rsidR="002F4E62" w:rsidRDefault="002F4E62" w:rsidP="00303760">
                      <w:pPr>
                        <w:jc w:val="center"/>
                        <w:rPr>
                          <w:rFonts w:ascii="Times" w:eastAsia="Times New Roman" w:hAnsi="Times"/>
                        </w:rPr>
                      </w:pPr>
                      <w:r>
                        <w:rPr>
                          <w:lang w:eastAsia="zh-CN"/>
                        </w:rPr>
                        <w:t xml:space="preserve">Calculate Fluid-Solid Chemical Potential </w:t>
                      </w:r>
                      <w:r>
                        <w:rPr>
                          <w:rFonts w:eastAsia="Times New Roman"/>
                          <w:color w:val="444444"/>
                          <w:shd w:val="clear" w:color="auto" w:fill="FFFFFF"/>
                        </w:rPr>
                        <w:t>µ</w:t>
                      </w:r>
                      <w:r>
                        <w:rPr>
                          <w:vertAlign w:val="subscript"/>
                          <w:lang w:eastAsia="zh-CN"/>
                        </w:rPr>
                        <w:t>fs</w:t>
                      </w:r>
                      <w:r>
                        <w:rPr>
                          <w:lang w:eastAsia="zh-CN"/>
                        </w:rPr>
                        <w:t xml:space="preserve"> for Both Walls</w:t>
                      </w:r>
                    </w:p>
                  </w:txbxContent>
                </v:textbox>
                <w10:wrap type="through"/>
              </v:roundrect>
            </w:pict>
          </mc:Fallback>
        </mc:AlternateContent>
      </w:r>
    </w:p>
    <w:p w14:paraId="370ECD0F" w14:textId="77777777" w:rsidR="00303760" w:rsidRPr="00303760" w:rsidRDefault="00303760" w:rsidP="00303760">
      <w:pPr>
        <w:spacing w:after="240" w:line="240" w:lineRule="auto"/>
        <w:contextualSpacing/>
        <w:jc w:val="both"/>
      </w:pPr>
    </w:p>
    <w:p w14:paraId="4DDD9403" w14:textId="77777777" w:rsidR="00303760" w:rsidRPr="00303760" w:rsidRDefault="00303760" w:rsidP="00303760">
      <w:pPr>
        <w:spacing w:after="240" w:line="240" w:lineRule="auto"/>
        <w:contextualSpacing/>
        <w:jc w:val="both"/>
      </w:pPr>
    </w:p>
    <w:p w14:paraId="48840F94" w14:textId="6C214380"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93056" behindDoc="0" locked="0" layoutInCell="1" allowOverlap="1" wp14:anchorId="6B4140B2" wp14:editId="659DA71F">
                <wp:simplePos x="0" y="0"/>
                <wp:positionH relativeFrom="column">
                  <wp:posOffset>1819910</wp:posOffset>
                </wp:positionH>
                <wp:positionV relativeFrom="paragraph">
                  <wp:posOffset>375285</wp:posOffset>
                </wp:positionV>
                <wp:extent cx="407670" cy="0"/>
                <wp:effectExtent l="55245" t="6350" r="71755" b="30480"/>
                <wp:wrapNone/>
                <wp:docPr id="168"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7670"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70D335C" id="Straight Arrow Connector 47" o:spid="_x0000_s1026" type="#_x0000_t32" style="position:absolute;margin-left:143.3pt;margin-top:29.55pt;width:32.1pt;height:0;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" strokecolor="black [3040]" strokeweight=".25pt">
                <v:stroke endarrow="open" endarrowlength="short"/>
              </v:shape>
            </w:pict>
          </mc:Fallback>
        </mc:AlternateContent>
      </w:r>
    </w:p>
    <w:p w14:paraId="0D568E77" w14:textId="77777777" w:rsidR="00303760" w:rsidRPr="00303760" w:rsidRDefault="00303760" w:rsidP="00303760">
      <w:pPr>
        <w:spacing w:after="240" w:line="240" w:lineRule="auto"/>
        <w:contextualSpacing/>
        <w:jc w:val="both"/>
      </w:pPr>
    </w:p>
    <w:p w14:paraId="4CA41BB5" w14:textId="77777777" w:rsidR="00303760" w:rsidRPr="00303760" w:rsidRDefault="00303760" w:rsidP="00303760">
      <w:pPr>
        <w:spacing w:after="240" w:line="240" w:lineRule="auto"/>
        <w:contextualSpacing/>
        <w:jc w:val="both"/>
      </w:pPr>
    </w:p>
    <w:p w14:paraId="4EC7DC99" w14:textId="04517DC5"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4320" behindDoc="0" locked="0" layoutInCell="1" allowOverlap="1" wp14:anchorId="415BE659" wp14:editId="5AF501C3">
                <wp:simplePos x="0" y="0"/>
                <wp:positionH relativeFrom="column">
                  <wp:posOffset>457200</wp:posOffset>
                </wp:positionH>
                <wp:positionV relativeFrom="paragraph">
                  <wp:posOffset>53340</wp:posOffset>
                </wp:positionV>
                <wp:extent cx="3198495" cy="455295"/>
                <wp:effectExtent l="0" t="0" r="27305" b="27305"/>
                <wp:wrapThrough wrapText="bothSides">
                  <wp:wrapPolygon edited="0">
                    <wp:start x="0" y="0"/>
                    <wp:lineTo x="0" y="21690"/>
                    <wp:lineTo x="21613" y="21690"/>
                    <wp:lineTo x="21613" y="0"/>
                    <wp:lineTo x="0" y="0"/>
                  </wp:wrapPolygon>
                </wp:wrapThrough>
                <wp:docPr id="167"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455295"/>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703089D1" w14:textId="77777777" w:rsidR="002F4E62" w:rsidRDefault="002F4E62" w:rsidP="00303760">
                            <w:pPr>
                              <w:jc w:val="center"/>
                              <w:rPr>
                                <w:rFonts w:ascii="Times" w:eastAsia="Times New Roman" w:hAnsi="Times"/>
                              </w:rPr>
                            </w:pPr>
                            <w:r>
                              <w:rPr>
                                <w:lang w:eastAsia="zh-CN"/>
                              </w:rPr>
                              <w:t xml:space="preserve">Calculate Bulk Fluid Density </w:t>
                            </w:r>
                            <w:r>
                              <w:rPr>
                                <w:rFonts w:eastAsia="Times New Roman"/>
                                <w:color w:val="444444"/>
                                <w:shd w:val="clear" w:color="auto" w:fill="FFFFFF"/>
                              </w:rPr>
                              <w:t>ρ</w:t>
                            </w:r>
                            <w:r>
                              <w:rPr>
                                <w:rFonts w:ascii="Times" w:eastAsia="Times New Roman" w:hAnsi="Times"/>
                              </w:rPr>
                              <w:t xml:space="preserve"> </w:t>
                            </w:r>
                            <w:r>
                              <w:rPr>
                                <w:lang w:eastAsia="zh-CN"/>
                              </w:rPr>
                              <w:t>from PR-EOS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5BE659" id="Rounded Rectangle 14" o:spid="_x0000_s1029" style="position:absolute;left:0;text-align:left;margin-left:36pt;margin-top:4.2pt;width:251.85pt;height:3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" fillcolor="white [3201]" strokecolor="black [3200]" strokeweight=".25pt">
                <v:path arrowok="t"/>
                <v:textbox>
                  <w:txbxContent>
                    <w:p w14:paraId="703089D1" w14:textId="77777777" w:rsidR="002F4E62" w:rsidRDefault="002F4E62" w:rsidP="00303760">
                      <w:pPr>
                        <w:jc w:val="center"/>
                        <w:rPr>
                          <w:rFonts w:ascii="Times" w:eastAsia="Times New Roman" w:hAnsi="Times"/>
                        </w:rPr>
                      </w:pPr>
                      <w:r>
                        <w:rPr>
                          <w:lang w:eastAsia="zh-CN"/>
                        </w:rPr>
                        <w:t xml:space="preserve">Calculate Bulk Fluid Density </w:t>
                      </w:r>
                      <w:r>
                        <w:rPr>
                          <w:rFonts w:eastAsia="Times New Roman"/>
                          <w:color w:val="444444"/>
                          <w:shd w:val="clear" w:color="auto" w:fill="FFFFFF"/>
                        </w:rPr>
                        <w:t>ρ</w:t>
                      </w:r>
                      <w:r>
                        <w:rPr>
                          <w:rFonts w:ascii="Times" w:eastAsia="Times New Roman" w:hAnsi="Times"/>
                        </w:rPr>
                        <w:t xml:space="preserve"> </w:t>
                      </w:r>
                      <w:r>
                        <w:rPr>
                          <w:lang w:eastAsia="zh-CN"/>
                        </w:rPr>
                        <w:t>from PR-EOS</w:t>
                      </w:r>
                    </w:p>
                  </w:txbxContent>
                </v:textbox>
                <w10:wrap type="through"/>
              </v:roundrect>
            </w:pict>
          </mc:Fallback>
        </mc:AlternateContent>
      </w:r>
    </w:p>
    <w:p w14:paraId="6466BE5C" w14:textId="77777777" w:rsidR="00303760" w:rsidRPr="00303760" w:rsidRDefault="00303760" w:rsidP="00303760">
      <w:pPr>
        <w:spacing w:after="240" w:line="240" w:lineRule="auto"/>
        <w:contextualSpacing/>
        <w:jc w:val="both"/>
      </w:pPr>
    </w:p>
    <w:p w14:paraId="54A1B506" w14:textId="51D740B6"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6368" behindDoc="0" locked="0" layoutInCell="1" allowOverlap="1" wp14:anchorId="7DA0BD91" wp14:editId="410E04B4">
                <wp:simplePos x="0" y="0"/>
                <wp:positionH relativeFrom="column">
                  <wp:posOffset>1873885</wp:posOffset>
                </wp:positionH>
                <wp:positionV relativeFrom="paragraph">
                  <wp:posOffset>326390</wp:posOffset>
                </wp:positionV>
                <wp:extent cx="329565" cy="0"/>
                <wp:effectExtent l="45085" t="8890" r="81915" b="42545"/>
                <wp:wrapNone/>
                <wp:docPr id="166"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9565"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BDEDD6F" id="Straight Arrow Connector 17" o:spid="_x0000_s1026" type="#_x0000_t32" style="position:absolute;margin-left:147.55pt;margin-top:25.7pt;width:25.95pt;height:0;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" strokecolor="black [3040]" strokeweight=".25pt">
                <v:stroke endarrow="open" endarrowlength="short"/>
              </v:shape>
            </w:pict>
          </mc:Fallback>
        </mc:AlternateContent>
      </w:r>
    </w:p>
    <w:p w14:paraId="5AAA8CB5" w14:textId="77777777" w:rsidR="00303760" w:rsidRPr="00303760" w:rsidRDefault="00303760" w:rsidP="00303760">
      <w:pPr>
        <w:spacing w:after="240" w:line="240" w:lineRule="auto"/>
        <w:contextualSpacing/>
        <w:jc w:val="both"/>
      </w:pPr>
    </w:p>
    <w:p w14:paraId="5BE4DA50" w14:textId="3256C9BB"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5344" behindDoc="0" locked="0" layoutInCell="1" allowOverlap="1" wp14:anchorId="1A9570B2" wp14:editId="0706FE4F">
                <wp:simplePos x="0" y="0"/>
                <wp:positionH relativeFrom="column">
                  <wp:posOffset>438150</wp:posOffset>
                </wp:positionH>
                <wp:positionV relativeFrom="paragraph">
                  <wp:posOffset>140335</wp:posOffset>
                </wp:positionV>
                <wp:extent cx="3198495" cy="455295"/>
                <wp:effectExtent l="0" t="0" r="27305" b="27305"/>
                <wp:wrapThrough wrapText="bothSides">
                  <wp:wrapPolygon edited="0">
                    <wp:start x="0" y="0"/>
                    <wp:lineTo x="0" y="21690"/>
                    <wp:lineTo x="21613" y="21690"/>
                    <wp:lineTo x="21613" y="0"/>
                    <wp:lineTo x="0" y="0"/>
                  </wp:wrapPolygon>
                </wp:wrapThrough>
                <wp:docPr id="165" name="Rounded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455295"/>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2F8FAAA2" w14:textId="77777777" w:rsidR="002F4E62" w:rsidRDefault="002F4E62" w:rsidP="00303760">
                            <w:pPr>
                              <w:jc w:val="center"/>
                              <w:rPr>
                                <w:rFonts w:ascii="Times" w:eastAsia="Times New Roman" w:hAnsi="Times"/>
                              </w:rPr>
                            </w:pPr>
                            <w:r>
                              <w:rPr>
                                <w:lang w:eastAsia="zh-CN"/>
                              </w:rPr>
                              <w:t>Calculate Bulk Fugacity</w:t>
                            </w:r>
                            <w:r>
                              <w:rPr>
                                <w:rFonts w:ascii="Times" w:eastAsia="Times New Roman" w:hAnsi="Times"/>
                              </w:rPr>
                              <w:t xml:space="preserve"> </w:t>
                            </w:r>
                            <w:r>
                              <w:rPr>
                                <w:lang w:eastAsia="zh-CN"/>
                              </w:rPr>
                              <w:t>from Equation 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9570B2" id="Rounded Rectangle 18" o:spid="_x0000_s1030" style="position:absolute;left:0;text-align:left;margin-left:34.5pt;margin-top:11.05pt;width:251.85pt;height:35.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" fillcolor="white [3201]" strokecolor="black [3200]" strokeweight=".25pt">
                <v:path arrowok="t"/>
                <v:textbox>
                  <w:txbxContent>
                    <w:p w14:paraId="2F8FAAA2" w14:textId="77777777" w:rsidR="002F4E62" w:rsidRDefault="002F4E62" w:rsidP="00303760">
                      <w:pPr>
                        <w:jc w:val="center"/>
                        <w:rPr>
                          <w:rFonts w:ascii="Times" w:eastAsia="Times New Roman" w:hAnsi="Times"/>
                        </w:rPr>
                      </w:pPr>
                      <w:r>
                        <w:rPr>
                          <w:lang w:eastAsia="zh-CN"/>
                        </w:rPr>
                        <w:t>Calculate Bulk Fugacity</w:t>
                      </w:r>
                      <w:r>
                        <w:rPr>
                          <w:rFonts w:ascii="Times" w:eastAsia="Times New Roman" w:hAnsi="Times"/>
                        </w:rPr>
                        <w:t xml:space="preserve"> </w:t>
                      </w:r>
                      <w:r>
                        <w:rPr>
                          <w:lang w:eastAsia="zh-CN"/>
                        </w:rPr>
                        <w:t>from Equation 3.9</w:t>
                      </w:r>
                    </w:p>
                  </w:txbxContent>
                </v:textbox>
                <w10:wrap type="through"/>
              </v:roundrect>
            </w:pict>
          </mc:Fallback>
        </mc:AlternateContent>
      </w:r>
    </w:p>
    <w:p w14:paraId="759811BD" w14:textId="77777777" w:rsidR="00303760" w:rsidRPr="00303760" w:rsidRDefault="00303760" w:rsidP="00303760">
      <w:pPr>
        <w:spacing w:after="240" w:line="240" w:lineRule="auto"/>
        <w:contextualSpacing/>
        <w:jc w:val="both"/>
      </w:pPr>
    </w:p>
    <w:p w14:paraId="65ED8854" w14:textId="77777777" w:rsidR="00303760" w:rsidRPr="00303760" w:rsidRDefault="00303760" w:rsidP="00303760">
      <w:pPr>
        <w:spacing w:after="240" w:line="240" w:lineRule="auto"/>
        <w:contextualSpacing/>
        <w:jc w:val="both"/>
      </w:pPr>
    </w:p>
    <w:p w14:paraId="6493E457" w14:textId="5146CBDE"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95104" behindDoc="0" locked="0" layoutInCell="1" allowOverlap="1" wp14:anchorId="72110A71" wp14:editId="7C407EA0">
                <wp:simplePos x="0" y="0"/>
                <wp:positionH relativeFrom="column">
                  <wp:posOffset>1918970</wp:posOffset>
                </wp:positionH>
                <wp:positionV relativeFrom="paragraph">
                  <wp:posOffset>189865</wp:posOffset>
                </wp:positionV>
                <wp:extent cx="238760" cy="0"/>
                <wp:effectExtent l="57150" t="6985" r="69850" b="20955"/>
                <wp:wrapNone/>
                <wp:docPr id="164"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760"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750D3FCF" id="Straight Arrow Connector 26" o:spid="_x0000_s1026" type="#_x0000_t32" style="position:absolute;margin-left:151.1pt;margin-top:14.95pt;width:18.8pt;height:0;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" strokecolor="black [3040]" strokeweight=".25pt">
                <v:stroke endarrow="open" endarrowlength="short"/>
              </v:shape>
            </w:pict>
          </mc:Fallback>
        </mc:AlternateContent>
      </w:r>
    </w:p>
    <w:p w14:paraId="18ABD80B" w14:textId="6FAABA37"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7392" behindDoc="0" locked="0" layoutInCell="1" allowOverlap="1" wp14:anchorId="12CA9095" wp14:editId="64035A43">
                <wp:simplePos x="0" y="0"/>
                <wp:positionH relativeFrom="column">
                  <wp:posOffset>438150</wp:posOffset>
                </wp:positionH>
                <wp:positionV relativeFrom="paragraph">
                  <wp:posOffset>133985</wp:posOffset>
                </wp:positionV>
                <wp:extent cx="3198495" cy="455295"/>
                <wp:effectExtent l="0" t="0" r="27305" b="27305"/>
                <wp:wrapThrough wrapText="bothSides">
                  <wp:wrapPolygon edited="0">
                    <wp:start x="0" y="0"/>
                    <wp:lineTo x="0" y="21690"/>
                    <wp:lineTo x="21613" y="21690"/>
                    <wp:lineTo x="21613" y="0"/>
                    <wp:lineTo x="0" y="0"/>
                  </wp:wrapPolygon>
                </wp:wrapThrough>
                <wp:docPr id="163"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455295"/>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39000E7B" w14:textId="77777777" w:rsidR="002F4E62" w:rsidRDefault="002F4E62" w:rsidP="00303760">
                            <w:pPr>
                              <w:jc w:val="center"/>
                              <w:rPr>
                                <w:rFonts w:ascii="Times" w:eastAsia="Times New Roman" w:hAnsi="Times"/>
                              </w:rPr>
                            </w:pPr>
                            <w:r>
                              <w:rPr>
                                <w:lang w:eastAsia="zh-CN"/>
                              </w:rPr>
                              <w:t>Calculate Fluid-fluid Fugacity</w:t>
                            </w:r>
                            <w:r>
                              <w:rPr>
                                <w:rFonts w:ascii="Times" w:eastAsia="Times New Roman" w:hAnsi="Times"/>
                              </w:rPr>
                              <w:t xml:space="preserve"> </w:t>
                            </w:r>
                            <w:r>
                              <w:rPr>
                                <w:lang w:eastAsia="zh-CN"/>
                              </w:rPr>
                              <w:t>from Equation 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A9095" id="Rounded Rectangle 29" o:spid="_x0000_s1031" style="position:absolute;left:0;text-align:left;margin-left:34.5pt;margin-top:10.55pt;width:251.85pt;height:35.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" fillcolor="white [3201]" strokecolor="black [3200]" strokeweight=".25pt">
                <v:path arrowok="t"/>
                <v:textbox>
                  <w:txbxContent>
                    <w:p w14:paraId="39000E7B" w14:textId="77777777" w:rsidR="002F4E62" w:rsidRDefault="002F4E62" w:rsidP="00303760">
                      <w:pPr>
                        <w:jc w:val="center"/>
                        <w:rPr>
                          <w:rFonts w:ascii="Times" w:eastAsia="Times New Roman" w:hAnsi="Times"/>
                        </w:rPr>
                      </w:pPr>
                      <w:r>
                        <w:rPr>
                          <w:lang w:eastAsia="zh-CN"/>
                        </w:rPr>
                        <w:t>Calculate Fluid-fluid Fugacity</w:t>
                      </w:r>
                      <w:r>
                        <w:rPr>
                          <w:rFonts w:ascii="Times" w:eastAsia="Times New Roman" w:hAnsi="Times"/>
                        </w:rPr>
                        <w:t xml:space="preserve"> </w:t>
                      </w:r>
                      <w:r>
                        <w:rPr>
                          <w:lang w:eastAsia="zh-CN"/>
                        </w:rPr>
                        <w:t>from Equation 3.7</w:t>
                      </w:r>
                    </w:p>
                  </w:txbxContent>
                </v:textbox>
                <w10:wrap type="through"/>
              </v:roundrect>
            </w:pict>
          </mc:Fallback>
        </mc:AlternateContent>
      </w:r>
    </w:p>
    <w:p w14:paraId="138BC9D5" w14:textId="77777777" w:rsidR="00303760" w:rsidRPr="00303760" w:rsidRDefault="00303760" w:rsidP="00303760">
      <w:pPr>
        <w:spacing w:after="240" w:line="240" w:lineRule="auto"/>
        <w:contextualSpacing/>
        <w:jc w:val="both"/>
      </w:pPr>
    </w:p>
    <w:p w14:paraId="74CAADD1" w14:textId="77777777" w:rsidR="00303760" w:rsidRPr="00303760" w:rsidRDefault="00303760" w:rsidP="00303760">
      <w:pPr>
        <w:spacing w:after="240" w:line="240" w:lineRule="auto"/>
        <w:contextualSpacing/>
        <w:jc w:val="both"/>
      </w:pPr>
    </w:p>
    <w:p w14:paraId="1E7B2908" w14:textId="502B172C"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96128" behindDoc="0" locked="0" layoutInCell="1" allowOverlap="1" wp14:anchorId="00195D9A" wp14:editId="5385D437">
                <wp:simplePos x="0" y="0"/>
                <wp:positionH relativeFrom="column">
                  <wp:posOffset>1924050</wp:posOffset>
                </wp:positionH>
                <wp:positionV relativeFrom="paragraph">
                  <wp:posOffset>177800</wp:posOffset>
                </wp:positionV>
                <wp:extent cx="228600" cy="0"/>
                <wp:effectExtent l="57150" t="12700" r="69850" b="38100"/>
                <wp:wrapNone/>
                <wp:docPr id="16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8600"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1E46FD3" id="Straight Arrow Connector 30" o:spid="_x0000_s1026" type="#_x0000_t32" style="position:absolute;margin-left:151.5pt;margin-top:14pt;width:18pt;height:0;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" strokecolor="black [3040]" strokeweight=".25pt">
                <v:stroke endarrow="open" endarrowlength="short"/>
              </v:shape>
            </w:pict>
          </mc:Fallback>
        </mc:AlternateContent>
      </w:r>
    </w:p>
    <w:p w14:paraId="75E1E65A" w14:textId="2E039E45"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8416" behindDoc="0" locked="0" layoutInCell="1" allowOverlap="1" wp14:anchorId="68289CA2" wp14:editId="7106D418">
                <wp:simplePos x="0" y="0"/>
                <wp:positionH relativeFrom="column">
                  <wp:posOffset>455930</wp:posOffset>
                </wp:positionH>
                <wp:positionV relativeFrom="paragraph">
                  <wp:posOffset>116840</wp:posOffset>
                </wp:positionV>
                <wp:extent cx="3198495" cy="683895"/>
                <wp:effectExtent l="0" t="0" r="27305" b="27305"/>
                <wp:wrapThrough wrapText="bothSides">
                  <wp:wrapPolygon edited="0">
                    <wp:start x="0" y="0"/>
                    <wp:lineTo x="0" y="21660"/>
                    <wp:lineTo x="21613" y="21660"/>
                    <wp:lineTo x="21613" y="0"/>
                    <wp:lineTo x="0" y="0"/>
                  </wp:wrapPolygon>
                </wp:wrapThrough>
                <wp:docPr id="161"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8495" cy="683895"/>
                        </a:xfrm>
                        <a:prstGeom prst="roundRect">
                          <a:avLst>
                            <a:gd name="adj" fmla="val 0"/>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58106688" w14:textId="77777777" w:rsidR="002F4E62" w:rsidRDefault="002F4E62" w:rsidP="00303760">
                            <w:pPr>
                              <w:jc w:val="center"/>
                              <w:rPr>
                                <w:rFonts w:ascii="Times" w:eastAsia="Times New Roman" w:hAnsi="Times"/>
                              </w:rPr>
                            </w:pPr>
                            <w:r>
                              <w:rPr>
                                <w:lang w:eastAsia="zh-CN"/>
                              </w:rPr>
                              <w:t>Calculate Local Density at Position z from Equation 3.10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89CA2" id="Rounded Rectangle 32" o:spid="_x0000_s1032" style="position:absolute;left:0;text-align:left;margin-left:35.9pt;margin-top:9.2pt;width:251.85pt;height:53.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" fillcolor="white [3201]" strokecolor="black [3200]" strokeweight=".25pt">
                <v:path arrowok="t"/>
                <v:textbox>
                  <w:txbxContent>
                    <w:p w14:paraId="58106688" w14:textId="77777777" w:rsidR="002F4E62" w:rsidRDefault="002F4E62" w:rsidP="00303760">
                      <w:pPr>
                        <w:jc w:val="center"/>
                        <w:rPr>
                          <w:rFonts w:ascii="Times" w:eastAsia="Times New Roman" w:hAnsi="Times"/>
                        </w:rPr>
                      </w:pPr>
                      <w:r>
                        <w:rPr>
                          <w:lang w:eastAsia="zh-CN"/>
                        </w:rPr>
                        <w:t>Calculate Local Density at Position z from Equation 3.10</w:t>
                      </w:r>
                    </w:p>
                  </w:txbxContent>
                </v:textbox>
                <w10:wrap type="through"/>
              </v:roundrect>
            </w:pict>
          </mc:Fallback>
        </mc:AlternateContent>
      </w:r>
    </w:p>
    <w:p w14:paraId="764F11B7" w14:textId="77777777" w:rsidR="00303760" w:rsidRPr="00303760" w:rsidRDefault="00303760" w:rsidP="00303760">
      <w:pPr>
        <w:spacing w:after="240" w:line="240" w:lineRule="auto"/>
        <w:contextualSpacing/>
        <w:jc w:val="both"/>
      </w:pPr>
    </w:p>
    <w:p w14:paraId="52677F9B" w14:textId="77777777" w:rsidR="00303760" w:rsidRPr="00303760" w:rsidRDefault="00303760" w:rsidP="00303760">
      <w:pPr>
        <w:spacing w:after="240" w:line="240" w:lineRule="auto"/>
        <w:contextualSpacing/>
        <w:jc w:val="both"/>
      </w:pPr>
    </w:p>
    <w:p w14:paraId="67974D53" w14:textId="77777777" w:rsidR="00303760" w:rsidRPr="00303760" w:rsidRDefault="00303760" w:rsidP="00303760">
      <w:pPr>
        <w:spacing w:after="240" w:line="240" w:lineRule="auto"/>
        <w:contextualSpacing/>
        <w:jc w:val="both"/>
      </w:pPr>
    </w:p>
    <w:p w14:paraId="327E5832" w14:textId="432DB0A0" w:rsidR="00303760" w:rsidRPr="00303760"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692032" behindDoc="0" locked="0" layoutInCell="1" allowOverlap="1" wp14:anchorId="790DDBD3" wp14:editId="026A4D8C">
                <wp:simplePos x="0" y="0"/>
                <wp:positionH relativeFrom="column">
                  <wp:posOffset>1477010</wp:posOffset>
                </wp:positionH>
                <wp:positionV relativeFrom="paragraph">
                  <wp:posOffset>1362710</wp:posOffset>
                </wp:positionV>
                <wp:extent cx="1143000" cy="342900"/>
                <wp:effectExtent l="0" t="0" r="25400" b="38100"/>
                <wp:wrapThrough wrapText="bothSides">
                  <wp:wrapPolygon edited="0">
                    <wp:start x="0" y="0"/>
                    <wp:lineTo x="0" y="22400"/>
                    <wp:lineTo x="21600" y="22400"/>
                    <wp:lineTo x="21600" y="0"/>
                    <wp:lineTo x="0" y="0"/>
                  </wp:wrapPolygon>
                </wp:wrapThrough>
                <wp:docPr id="160"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342900"/>
                        </a:xfrm>
                        <a:prstGeom prst="roundRect">
                          <a:avLst>
                            <a:gd name="adj" fmla="val 25641"/>
                          </a:avLst>
                        </a:prstGeom>
                        <a:ln w="3175" cap="flat" cmpd="sng">
                          <a:solidFill>
                            <a:schemeClr val="dk1"/>
                          </a:solidFill>
                          <a:prstDash val="solid"/>
                          <a:round/>
                        </a:ln>
                      </wps:spPr>
                      <wps:style>
                        <a:lnRef idx="2">
                          <a:schemeClr val="dk1"/>
                        </a:lnRef>
                        <a:fillRef idx="1">
                          <a:schemeClr val="lt1"/>
                        </a:fillRef>
                        <a:effectRef idx="0">
                          <a:schemeClr val="dk1"/>
                        </a:effectRef>
                        <a:fontRef idx="minor">
                          <a:schemeClr val="dk1"/>
                        </a:fontRef>
                      </wps:style>
                      <wps:txbx>
                        <w:txbxContent>
                          <w:p w14:paraId="3FFBDD58" w14:textId="77777777" w:rsidR="002F4E62" w:rsidRDefault="002F4E62" w:rsidP="00303760">
                            <w:pPr>
                              <w:jc w:val="center"/>
                              <w:rPr>
                                <w:color w:val="000000" w:themeColor="text1"/>
                              </w:rPr>
                            </w:pPr>
                            <w:r>
                              <w:rPr>
                                <w:lang w:eastAsia="zh-CN"/>
                              </w:rPr>
                              <w:t>STOP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DDBD3" id="Rounded Rectangle 22" o:spid="_x0000_s1033" style="position:absolute;left:0;text-align:left;margin-left:116.3pt;margin-top:107.3pt;width:90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02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" fillcolor="white [3201]" strokecolor="black [3200]" strokeweight=".25pt">
                <v:path arrowok="t"/>
                <v:textbox>
                  <w:txbxContent>
                    <w:p w14:paraId="3FFBDD58" w14:textId="77777777" w:rsidR="002F4E62" w:rsidRDefault="002F4E62" w:rsidP="00303760">
                      <w:pPr>
                        <w:jc w:val="center"/>
                        <w:rPr>
                          <w:color w:val="000000" w:themeColor="text1"/>
                        </w:rPr>
                      </w:pPr>
                      <w:r>
                        <w:rPr>
                          <w:lang w:eastAsia="zh-CN"/>
                        </w:rPr>
                        <w:t>STOP</w:t>
                      </w:r>
                    </w:p>
                  </w:txbxContent>
                </v:textbox>
                <w10:wrap type="through"/>
              </v:roundrect>
            </w:pict>
          </mc:Fallback>
        </mc:AlternateContent>
      </w:r>
      <w:r>
        <w:rPr>
          <w:noProof/>
          <w:lang w:eastAsia="zh-CN" w:bidi="ar-SA"/>
        </w:rPr>
        <mc:AlternateContent>
          <mc:Choice Requires="wps">
            <w:drawing>
              <wp:anchor distT="0" distB="0" distL="114300" distR="114300" simplePos="0" relativeHeight="251698176" behindDoc="0" locked="0" layoutInCell="1" allowOverlap="1" wp14:anchorId="23B7277D" wp14:editId="33D82E7F">
                <wp:simplePos x="0" y="0"/>
                <wp:positionH relativeFrom="column">
                  <wp:posOffset>1809750</wp:posOffset>
                </wp:positionH>
                <wp:positionV relativeFrom="paragraph">
                  <wp:posOffset>1121410</wp:posOffset>
                </wp:positionV>
                <wp:extent cx="457200" cy="0"/>
                <wp:effectExtent l="57150" t="16510" r="69850" b="21590"/>
                <wp:wrapNone/>
                <wp:docPr id="159"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7200"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F77EDD9" id="Straight Arrow Connector 33" o:spid="_x0000_s1026" type="#_x0000_t32" style="position:absolute;margin-left:142.5pt;margin-top:88.3pt;width:36pt;height:0;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" strokecolor="black [3040]" strokeweight=".25pt">
                <v:stroke endarrow="open" endarrowlength="short"/>
              </v:shape>
            </w:pict>
          </mc:Fallback>
        </mc:AlternateContent>
      </w:r>
      <w:r>
        <w:rPr>
          <w:noProof/>
          <w:lang w:eastAsia="zh-CN" w:bidi="ar-SA"/>
        </w:rPr>
        <mc:AlternateContent>
          <mc:Choice Requires="wps">
            <w:drawing>
              <wp:anchor distT="0" distB="0" distL="114300" distR="114300" simplePos="0" relativeHeight="251691008" behindDoc="0" locked="0" layoutInCell="1" allowOverlap="1" wp14:anchorId="4472A75F" wp14:editId="6D64BF91">
                <wp:simplePos x="0" y="0"/>
                <wp:positionH relativeFrom="column">
                  <wp:posOffset>1009650</wp:posOffset>
                </wp:positionH>
                <wp:positionV relativeFrom="paragraph">
                  <wp:posOffset>321310</wp:posOffset>
                </wp:positionV>
                <wp:extent cx="2057400" cy="558165"/>
                <wp:effectExtent l="0" t="0" r="25400" b="26035"/>
                <wp:wrapThrough wrapText="bothSides">
                  <wp:wrapPolygon edited="0">
                    <wp:start x="9333" y="0"/>
                    <wp:lineTo x="0" y="7863"/>
                    <wp:lineTo x="0" y="12778"/>
                    <wp:lineTo x="3467" y="15727"/>
                    <wp:lineTo x="9067" y="21625"/>
                    <wp:lineTo x="9333" y="21625"/>
                    <wp:lineTo x="12267" y="21625"/>
                    <wp:lineTo x="12533" y="21625"/>
                    <wp:lineTo x="18133" y="15727"/>
                    <wp:lineTo x="21600" y="12778"/>
                    <wp:lineTo x="21600" y="7863"/>
                    <wp:lineTo x="12267" y="0"/>
                    <wp:lineTo x="9333" y="0"/>
                  </wp:wrapPolygon>
                </wp:wrapThrough>
                <wp:docPr id="158" name="Diamond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558165"/>
                        </a:xfrm>
                        <a:prstGeom prst="diamond">
                          <a:avLst/>
                        </a:prstGeom>
                        <a:ln w="3175" cmpd="sng"/>
                      </wps:spPr>
                      <wps:style>
                        <a:lnRef idx="2">
                          <a:schemeClr val="dk1"/>
                        </a:lnRef>
                        <a:fillRef idx="1">
                          <a:schemeClr val="lt1"/>
                        </a:fillRef>
                        <a:effectRef idx="0">
                          <a:schemeClr val="dk1"/>
                        </a:effectRef>
                        <a:fontRef idx="minor">
                          <a:schemeClr val="dk1"/>
                        </a:fontRef>
                      </wps:style>
                      <wps:txbx>
                        <w:txbxContent>
                          <w:p w14:paraId="6003A1D9" w14:textId="77777777" w:rsidR="002F4E62" w:rsidRDefault="002F4E62" w:rsidP="00303760">
                            <w:pPr>
                              <w:jc w:val="center"/>
                            </w:pPr>
                            <w:r>
                              <w:t>Last Segment?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2A75F" id="_x0000_t4" coordsize="21600,21600" o:spt="4" path="m10800,0l0,10800,10800,21600,21600,10800xe">
                <v:stroke joinstyle="miter"/>
                <v:path gradientshapeok="t" o:connecttype="rect" textboxrect="5400,5400,16200,16200"/>
              </v:shapetype>
              <v:shape id="Diamond 23" o:spid="_x0000_s1034" type="#_x0000_t4" style="position:absolute;left:0;text-align:left;margin-left:79.5pt;margin-top:25.3pt;width:162pt;height:4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" fillcolor="white [3201]" strokecolor="black [3200]" strokeweight=".25pt">
                <v:path arrowok="t"/>
                <v:textbox>
                  <w:txbxContent>
                    <w:p w14:paraId="6003A1D9" w14:textId="77777777" w:rsidR="002F4E62" w:rsidRDefault="002F4E62" w:rsidP="00303760">
                      <w:pPr>
                        <w:jc w:val="center"/>
                      </w:pPr>
                      <w:r>
                        <w:t>Last Segment?</w:t>
                      </w:r>
                    </w:p>
                  </w:txbxContent>
                </v:textbox>
                <w10:wrap type="through"/>
              </v:shape>
            </w:pict>
          </mc:Fallback>
        </mc:AlternateContent>
      </w:r>
      <w:r>
        <w:rPr>
          <w:noProof/>
          <w:lang w:eastAsia="zh-CN" w:bidi="ar-SA"/>
        </w:rPr>
        <mc:AlternateContent>
          <mc:Choice Requires="wps">
            <w:drawing>
              <wp:anchor distT="0" distB="0" distL="114300" distR="114300" simplePos="0" relativeHeight="251699200" behindDoc="0" locked="0" layoutInCell="1" allowOverlap="1" wp14:anchorId="7D8BD3DB" wp14:editId="3142F438">
                <wp:simplePos x="0" y="0"/>
                <wp:positionH relativeFrom="column">
                  <wp:posOffset>1924050</wp:posOffset>
                </wp:positionH>
                <wp:positionV relativeFrom="paragraph">
                  <wp:posOffset>207010</wp:posOffset>
                </wp:positionV>
                <wp:extent cx="228600" cy="0"/>
                <wp:effectExtent l="57150" t="16510" r="69850" b="34290"/>
                <wp:wrapNone/>
                <wp:docPr id="157"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8600" cy="0"/>
                        </a:xfrm>
                        <a:prstGeom prst="straightConnector1">
                          <a:avLst/>
                        </a:prstGeom>
                        <a:noFill/>
                        <a:ln w="3175">
                          <a:solidFill>
                            <a:schemeClr val="dk1">
                              <a:lumMod val="95000"/>
                              <a:lumOff val="0"/>
                            </a:schemeClr>
                          </a:solidFill>
                          <a:round/>
                          <a:headEnd/>
                          <a:tailEnd type="arrow"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49E7DB1A" id="Straight Arrow Connector 35" o:spid="_x0000_s1026" type="#_x0000_t32" style="position:absolute;margin-left:151.5pt;margin-top:16.3pt;width:18pt;height:0;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" strokecolor="black [3040]" strokeweight=".25pt">
                <v:stroke endarrow="open" endarrowlength="short"/>
              </v:shape>
            </w:pict>
          </mc:Fallback>
        </mc:AlternateContent>
      </w:r>
    </w:p>
    <w:p w14:paraId="340A5759" w14:textId="423CAF44" w:rsidR="0085272D" w:rsidRDefault="00FA6998" w:rsidP="00303760">
      <w:pPr>
        <w:spacing w:after="240" w:line="240" w:lineRule="auto"/>
        <w:contextualSpacing/>
        <w:jc w:val="both"/>
      </w:pPr>
      <w:r>
        <w:rPr>
          <w:noProof/>
          <w:lang w:eastAsia="zh-CN" w:bidi="ar-SA"/>
        </w:rPr>
        <mc:AlternateContent>
          <mc:Choice Requires="wps">
            <w:drawing>
              <wp:anchor distT="0" distB="0" distL="114300" distR="114300" simplePos="0" relativeHeight="251709440" behindDoc="0" locked="0" layoutInCell="1" allowOverlap="1" wp14:anchorId="784B6B6C" wp14:editId="703BD3E3">
                <wp:simplePos x="0" y="0"/>
                <wp:positionH relativeFrom="column">
                  <wp:posOffset>-403860</wp:posOffset>
                </wp:positionH>
                <wp:positionV relativeFrom="paragraph">
                  <wp:posOffset>1946275</wp:posOffset>
                </wp:positionV>
                <wp:extent cx="5581015" cy="319405"/>
                <wp:effectExtent l="0" t="0" r="0" b="10795"/>
                <wp:wrapSquare wrapText="bothSides"/>
                <wp:docPr id="15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31940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7CADEF" w14:textId="77777777" w:rsidR="002F4E62" w:rsidRDefault="002F4E62" w:rsidP="00303760">
                            <w:pPr>
                              <w:spacing w:after="240"/>
                              <w:ind w:left="720"/>
                              <w:contextualSpacing/>
                              <w:jc w:val="center"/>
                            </w:pPr>
                            <w:r>
                              <w:rPr>
                                <w:b/>
                              </w:rPr>
                              <w:t>Figure 3.3 —</w:t>
                            </w:r>
                            <w:r>
                              <w:rPr>
                                <w:b/>
                              </w:rPr>
                              <w:tab/>
                              <w:t>Flow chart for SLD-PR</w:t>
                            </w:r>
                            <w:r>
                              <w:rPr>
                                <w:rFonts w:hint="eastAsia"/>
                                <w:b/>
                              </w:rPr>
                              <w:t xml:space="preserve"> </w:t>
                            </w:r>
                            <w:r>
                              <w:rPr>
                                <w:b/>
                              </w:rPr>
                              <w:t xml:space="preserve">single component </w:t>
                            </w:r>
                            <w:r>
                              <w:rPr>
                                <w:rFonts w:hint="eastAsia"/>
                                <w:b/>
                              </w:rPr>
                              <w:t>model</w:t>
                            </w:r>
                            <w:r>
                              <w:rPr>
                                <w:b/>
                              </w:rPr>
                              <w:t xml:space="preserve"> algorithm</w:t>
                            </w:r>
                          </w:p>
                          <w:p w14:paraId="1229AB9A" w14:textId="77777777" w:rsidR="002F4E62" w:rsidRDefault="002F4E62" w:rsidP="003037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4B6B6C" id="_x0000_t202" coordsize="21600,21600" o:spt="202" path="m0,0l0,21600,21600,21600,21600,0xe">
                <v:stroke joinstyle="miter"/>
                <v:path gradientshapeok="t" o:connecttype="rect"/>
              </v:shapetype>
              <v:shape id="Text Box 19" o:spid="_x0000_s1035" type="#_x0000_t202" style="position:absolute;left:0;text-align:left;margin-left:-31.8pt;margin-top:153.25pt;width:439.45pt;height:25.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" filled="f" stroked="f">
                <v:path arrowok="t"/>
                <v:textbox>
                  <w:txbxContent>
                    <w:p w14:paraId="687CADEF" w14:textId="77777777" w:rsidR="002F4E62" w:rsidRDefault="002F4E62" w:rsidP="00303760">
                      <w:pPr>
                        <w:spacing w:after="240"/>
                        <w:ind w:left="720"/>
                        <w:contextualSpacing/>
                        <w:jc w:val="center"/>
                      </w:pPr>
                      <w:r>
                        <w:rPr>
                          <w:b/>
                        </w:rPr>
                        <w:t>Figure 3.3 —</w:t>
                      </w:r>
                      <w:r>
                        <w:rPr>
                          <w:b/>
                        </w:rPr>
                        <w:tab/>
                        <w:t>Flow chart for SLD-PR</w:t>
                      </w:r>
                      <w:r>
                        <w:rPr>
                          <w:rFonts w:hint="eastAsia"/>
                          <w:b/>
                        </w:rPr>
                        <w:t xml:space="preserve"> </w:t>
                      </w:r>
                      <w:r>
                        <w:rPr>
                          <w:b/>
                        </w:rPr>
                        <w:t xml:space="preserve">single component </w:t>
                      </w:r>
                      <w:r>
                        <w:rPr>
                          <w:rFonts w:hint="eastAsia"/>
                          <w:b/>
                        </w:rPr>
                        <w:t>model</w:t>
                      </w:r>
                      <w:r>
                        <w:rPr>
                          <w:b/>
                        </w:rPr>
                        <w:t xml:space="preserve"> algorithm</w:t>
                      </w:r>
                    </w:p>
                    <w:p w14:paraId="1229AB9A" w14:textId="77777777" w:rsidR="002F4E62" w:rsidRDefault="002F4E62" w:rsidP="00303760"/>
                  </w:txbxContent>
                </v:textbox>
                <w10:wrap type="square"/>
              </v:shape>
            </w:pict>
          </mc:Fallback>
        </mc:AlternateContent>
      </w:r>
      <w:r>
        <w:rPr>
          <w:noProof/>
          <w:lang w:eastAsia="zh-CN" w:bidi="ar-SA"/>
        </w:rPr>
        <mc:AlternateContent>
          <mc:Choice Requires="wps">
            <w:drawing>
              <wp:anchor distT="0" distB="0" distL="114300" distR="114300" simplePos="0" relativeHeight="251694080" behindDoc="0" locked="0" layoutInCell="1" allowOverlap="1" wp14:anchorId="0064F99C" wp14:editId="45429029">
                <wp:simplePos x="0" y="0"/>
                <wp:positionH relativeFrom="column">
                  <wp:posOffset>2023745</wp:posOffset>
                </wp:positionH>
                <wp:positionV relativeFrom="paragraph">
                  <wp:posOffset>749300</wp:posOffset>
                </wp:positionV>
                <wp:extent cx="685800" cy="342900"/>
                <wp:effectExtent l="0" t="0" r="0" b="12700"/>
                <wp:wrapSquare wrapText="bothSides"/>
                <wp:docPr id="15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11E712" w14:textId="77777777" w:rsidR="002F4E62" w:rsidRDefault="002F4E62" w:rsidP="00303760">
                            <w:r>
                              <w:t>Yes</w:t>
                            </w:r>
                          </w:p>
                          <w:p w14:paraId="7ADA99FE" w14:textId="77777777" w:rsidR="002F4E62" w:rsidRDefault="002F4E62" w:rsidP="003037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64F99C" id="Text Box 21" o:spid="_x0000_s1036" type="#_x0000_t202" style="position:absolute;left:0;text-align:left;margin-left:159.35pt;margin-top:59pt;width:54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" filled="f" stroked="f">
                <v:path arrowok="t"/>
                <v:textbox>
                  <w:txbxContent>
                    <w:p w14:paraId="6511E712" w14:textId="77777777" w:rsidR="002F4E62" w:rsidRDefault="002F4E62" w:rsidP="00303760">
                      <w:r>
                        <w:t>Yes</w:t>
                      </w:r>
                    </w:p>
                    <w:p w14:paraId="7ADA99FE" w14:textId="77777777" w:rsidR="002F4E62" w:rsidRDefault="002F4E62" w:rsidP="00303760"/>
                  </w:txbxContent>
                </v:textbox>
                <w10:wrap type="square"/>
              </v:shape>
            </w:pict>
          </mc:Fallback>
        </mc:AlternateContent>
      </w:r>
      <w:r>
        <w:rPr>
          <w:noProof/>
          <w:lang w:eastAsia="zh-CN" w:bidi="ar-SA"/>
        </w:rPr>
        <mc:AlternateContent>
          <mc:Choice Requires="wps">
            <w:drawing>
              <wp:anchor distT="0" distB="0" distL="114300" distR="114300" simplePos="0" relativeHeight="251700224" behindDoc="0" locked="0" layoutInCell="1" allowOverlap="1" wp14:anchorId="3CC89463" wp14:editId="63DBB8CF">
                <wp:simplePos x="0" y="0"/>
                <wp:positionH relativeFrom="column">
                  <wp:posOffset>3743325</wp:posOffset>
                </wp:positionH>
                <wp:positionV relativeFrom="paragraph">
                  <wp:posOffset>182245</wp:posOffset>
                </wp:positionV>
                <wp:extent cx="609600" cy="342900"/>
                <wp:effectExtent l="0" t="0" r="0" b="12700"/>
                <wp:wrapSquare wrapText="bothSides"/>
                <wp:docPr id="15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F0FE86" w14:textId="77777777" w:rsidR="002F4E62" w:rsidRDefault="002F4E62" w:rsidP="00303760">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89463" id="Text Box 36" o:spid="_x0000_s1037" type="#_x0000_t202" style="position:absolute;left:0;text-align:left;margin-left:294.75pt;margin-top:14.35pt;width:48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" filled="f" stroked="f">
                <v:path arrowok="t"/>
                <v:textbox>
                  <w:txbxContent>
                    <w:p w14:paraId="0EF0FE86" w14:textId="77777777" w:rsidR="002F4E62" w:rsidRDefault="002F4E62" w:rsidP="00303760">
                      <w:r>
                        <w:t>No</w:t>
                      </w:r>
                    </w:p>
                  </w:txbxContent>
                </v:textbox>
                <w10:wrap type="square"/>
              </v:shape>
            </w:pict>
          </mc:Fallback>
        </mc:AlternateContent>
      </w:r>
      <w:r>
        <w:rPr>
          <w:noProof/>
          <w:lang w:eastAsia="zh-CN" w:bidi="ar-SA"/>
        </w:rPr>
        <mc:AlternateContent>
          <mc:Choice Requires="wps">
            <w:drawing>
              <wp:anchor distT="0" distB="0" distL="114300" distR="114300" simplePos="0" relativeHeight="251701248" behindDoc="0" locked="0" layoutInCell="1" allowOverlap="1" wp14:anchorId="75F17513" wp14:editId="2177C666">
                <wp:simplePos x="0" y="0"/>
                <wp:positionH relativeFrom="column">
                  <wp:posOffset>3057525</wp:posOffset>
                </wp:positionH>
                <wp:positionV relativeFrom="paragraph">
                  <wp:posOffset>410845</wp:posOffset>
                </wp:positionV>
                <wp:extent cx="1943100" cy="12700"/>
                <wp:effectExtent l="9525" t="17145" r="28575" b="20955"/>
                <wp:wrapNone/>
                <wp:docPr id="153"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3100" cy="1270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7579333" id="Straight Connector 38"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0.75pt,32.35pt" to="393.75pt,3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" strokecolor="black [3040]"/>
            </w:pict>
          </mc:Fallback>
        </mc:AlternateContent>
      </w:r>
      <w:r w:rsidR="00303760" w:rsidRPr="00303760">
        <w:br w:type="page"/>
      </w:r>
    </w:p>
    <w:p w14:paraId="0ED231AD" w14:textId="08EF62FF" w:rsidR="0085272D" w:rsidRDefault="0096367E">
      <w:pPr>
        <w:pStyle w:val="Heading3"/>
      </w:pPr>
      <w:bookmarkStart w:id="29" w:name="_Toc508114147"/>
      <w:r>
        <w:t>3.2.2 Multi-Component Model</w:t>
      </w:r>
      <w:bookmarkEnd w:id="29"/>
    </w:p>
    <w:p w14:paraId="30C87711" w14:textId="77777777" w:rsidR="0085272D" w:rsidRDefault="0096367E">
      <w:pPr>
        <w:jc w:val="both"/>
      </w:pPr>
      <w:r>
        <w:t>For fluid mixtures, the thermodynamic relations and equilibrium still apply for each component. That is, for component i, the partial bulk fugacity and partial fluid-fluid fugacity should still obey the relation expressed in Equation 3.7:</w:t>
      </w:r>
    </w:p>
    <w:p w14:paraId="158C8A04" w14:textId="7900E761" w:rsidR="0085272D" w:rsidRDefault="00FA6998">
      <w:pPr>
        <w:tabs>
          <w:tab w:val="right" w:leader="dot" w:pos="8460"/>
        </w:tabs>
        <w:rPr>
          <w:lang w:eastAsia="zh-CN"/>
        </w:rPr>
      </w:pPr>
      <w:r>
        <w:rPr>
          <w:noProof/>
          <w:position w:val="-32"/>
          <w:lang w:eastAsia="zh-CN" w:bidi="ar-SA"/>
        </w:rPr>
        <w:drawing>
          <wp:inline distT="0" distB="0" distL="0" distR="0" wp14:anchorId="4B2563B2" wp14:editId="74C65D94">
            <wp:extent cx="2459990" cy="478790"/>
            <wp:effectExtent l="0" t="0" r="3810" b="3810"/>
            <wp:docPr id="8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59990" cy="478790"/>
                    </a:xfrm>
                    <a:prstGeom prst="rect">
                      <a:avLst/>
                    </a:prstGeom>
                    <a:noFill/>
                    <a:ln>
                      <a:noFill/>
                    </a:ln>
                  </pic:spPr>
                </pic:pic>
              </a:graphicData>
            </a:graphic>
          </wp:inline>
        </w:drawing>
      </w:r>
      <w:r w:rsidR="0096367E">
        <w:rPr>
          <w:lang w:eastAsia="zh-CN"/>
        </w:rPr>
        <w:tab/>
        <w:t>(3.11)</w:t>
      </w:r>
    </w:p>
    <w:p w14:paraId="4B976FD4" w14:textId="77777777" w:rsidR="0085272D" w:rsidRDefault="0096367E">
      <w:pPr>
        <w:jc w:val="both"/>
      </w:pPr>
      <w:r>
        <w:t>Where the partial bulk fugacity and partial fluid-fluid fugacity for component i can be obtained using PR-EOS similar to Equations 3.9 and 3.10:</w:t>
      </w:r>
    </w:p>
    <w:p w14:paraId="0BA9F096" w14:textId="0FA4B51D" w:rsidR="0085272D" w:rsidRDefault="00FA6998">
      <w:pPr>
        <w:tabs>
          <w:tab w:val="right" w:leader="dot" w:pos="8460"/>
        </w:tabs>
        <w:rPr>
          <w:lang w:eastAsia="zh-CN"/>
        </w:rPr>
      </w:pPr>
      <w:r>
        <w:rPr>
          <w:noProof/>
          <w:position w:val="-44"/>
          <w:lang w:eastAsia="zh-CN" w:bidi="ar-SA"/>
        </w:rPr>
        <w:drawing>
          <wp:inline distT="0" distB="0" distL="0" distR="0" wp14:anchorId="746E7F00" wp14:editId="485568DD">
            <wp:extent cx="4909185" cy="544195"/>
            <wp:effectExtent l="0" t="0" r="0" b="0"/>
            <wp:docPr id="8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909185" cy="544195"/>
                    </a:xfrm>
                    <a:prstGeom prst="rect">
                      <a:avLst/>
                    </a:prstGeom>
                    <a:noFill/>
                    <a:ln>
                      <a:noFill/>
                    </a:ln>
                  </pic:spPr>
                </pic:pic>
              </a:graphicData>
            </a:graphic>
          </wp:inline>
        </w:drawing>
      </w:r>
      <w:r w:rsidR="0096367E">
        <w:rPr>
          <w:lang w:eastAsia="zh-CN"/>
        </w:rPr>
        <w:tab/>
        <w:t>(3.12)</w:t>
      </w:r>
    </w:p>
    <w:p w14:paraId="117F526F" w14:textId="150E8B11" w:rsidR="0085272D" w:rsidRDefault="00FA6998">
      <w:pPr>
        <w:tabs>
          <w:tab w:val="right" w:leader="dot" w:pos="8460"/>
        </w:tabs>
        <w:rPr>
          <w:lang w:eastAsia="zh-CN"/>
        </w:rPr>
      </w:pPr>
      <w:r>
        <w:rPr>
          <w:noProof/>
          <w:position w:val="-44"/>
          <w:lang w:eastAsia="zh-CN" w:bidi="ar-SA"/>
        </w:rPr>
        <w:drawing>
          <wp:inline distT="0" distB="0" distL="0" distR="0" wp14:anchorId="4E0B0CF3" wp14:editId="3F1EA0E0">
            <wp:extent cx="4985385" cy="478790"/>
            <wp:effectExtent l="0" t="0" r="0" b="3810"/>
            <wp:docPr id="8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85385" cy="478790"/>
                    </a:xfrm>
                    <a:prstGeom prst="rect">
                      <a:avLst/>
                    </a:prstGeom>
                    <a:noFill/>
                    <a:ln>
                      <a:noFill/>
                    </a:ln>
                  </pic:spPr>
                </pic:pic>
              </a:graphicData>
            </a:graphic>
          </wp:inline>
        </w:drawing>
      </w:r>
      <w:r w:rsidR="0096367E">
        <w:rPr>
          <w:lang w:eastAsia="zh-CN"/>
        </w:rPr>
        <w:tab/>
        <w:t>(3.13)</w:t>
      </w:r>
    </w:p>
    <w:p w14:paraId="5C8A18AE" w14:textId="77777777" w:rsidR="0085272D" w:rsidRDefault="0096367E">
      <w:pPr>
        <w:jc w:val="both"/>
      </w:pPr>
      <w:r>
        <w:t>The parameter x</w:t>
      </w:r>
      <w:r>
        <w:rPr>
          <w:vertAlign w:val="subscript"/>
        </w:rPr>
        <w:t>i</w:t>
      </w:r>
      <w:r>
        <w:t xml:space="preserve"> represents the composition of component i in bulk phase. While the parameter y</w:t>
      </w:r>
      <w:r>
        <w:rPr>
          <w:vertAlign w:val="subscript"/>
        </w:rPr>
        <w:t>i</w:t>
      </w:r>
      <w:r>
        <w:t>(z) is the composition of component i at position z in adsorbed phase. The mixing rules for the EOS parameters a and b are given as:</w:t>
      </w:r>
    </w:p>
    <w:p w14:paraId="38E1B96E" w14:textId="1C1DA722" w:rsidR="0085272D" w:rsidRDefault="00FA6998">
      <w:pPr>
        <w:tabs>
          <w:tab w:val="right" w:leader="dot" w:pos="8460"/>
        </w:tabs>
        <w:rPr>
          <w:lang w:eastAsia="zh-CN"/>
        </w:rPr>
      </w:pPr>
      <w:r>
        <w:rPr>
          <w:noProof/>
          <w:position w:val="-34"/>
          <w:lang w:eastAsia="zh-CN" w:bidi="ar-SA"/>
        </w:rPr>
        <w:drawing>
          <wp:inline distT="0" distB="0" distL="0" distR="0" wp14:anchorId="18FC9A20" wp14:editId="3C5ECE50">
            <wp:extent cx="1001395" cy="478790"/>
            <wp:effectExtent l="0" t="0" r="0" b="3810"/>
            <wp:docPr id="8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01395" cy="478790"/>
                    </a:xfrm>
                    <a:prstGeom prst="rect">
                      <a:avLst/>
                    </a:prstGeom>
                    <a:noFill/>
                    <a:ln>
                      <a:noFill/>
                    </a:ln>
                  </pic:spPr>
                </pic:pic>
              </a:graphicData>
            </a:graphic>
          </wp:inline>
        </w:drawing>
      </w:r>
      <w:r w:rsidR="0096367E">
        <w:rPr>
          <w:lang w:eastAsia="zh-CN"/>
        </w:rPr>
        <w:tab/>
        <w:t>(3.14)</w:t>
      </w:r>
    </w:p>
    <w:p w14:paraId="46939238" w14:textId="6F46DC3D" w:rsidR="0085272D" w:rsidRDefault="00FA6998">
      <w:pPr>
        <w:tabs>
          <w:tab w:val="right" w:leader="dot" w:pos="8460"/>
        </w:tabs>
        <w:rPr>
          <w:lang w:eastAsia="zh-CN"/>
        </w:rPr>
      </w:pPr>
      <w:r>
        <w:rPr>
          <w:noProof/>
          <w:position w:val="-16"/>
          <w:lang w:eastAsia="zh-CN" w:bidi="ar-SA"/>
        </w:rPr>
        <w:drawing>
          <wp:inline distT="0" distB="0" distL="0" distR="0" wp14:anchorId="2DB17AEB" wp14:editId="54197268">
            <wp:extent cx="1132205" cy="283210"/>
            <wp:effectExtent l="0" t="0" r="10795" b="0"/>
            <wp:docPr id="8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32205" cy="283210"/>
                    </a:xfrm>
                    <a:prstGeom prst="rect">
                      <a:avLst/>
                    </a:prstGeom>
                    <a:noFill/>
                    <a:ln>
                      <a:noFill/>
                    </a:ln>
                  </pic:spPr>
                </pic:pic>
              </a:graphicData>
            </a:graphic>
          </wp:inline>
        </w:drawing>
      </w:r>
      <w:r w:rsidR="0096367E">
        <w:rPr>
          <w:lang w:eastAsia="zh-CN"/>
        </w:rPr>
        <w:tab/>
        <w:t>(3.15)</w:t>
      </w:r>
    </w:p>
    <w:p w14:paraId="265D3F58" w14:textId="27968788" w:rsidR="0085272D" w:rsidRDefault="00FA6998">
      <w:pPr>
        <w:tabs>
          <w:tab w:val="right" w:leader="dot" w:pos="8460"/>
        </w:tabs>
        <w:rPr>
          <w:lang w:eastAsia="zh-CN"/>
        </w:rPr>
      </w:pPr>
      <w:r>
        <w:rPr>
          <w:noProof/>
          <w:position w:val="-30"/>
          <w:lang w:eastAsia="zh-CN" w:bidi="ar-SA"/>
        </w:rPr>
        <w:drawing>
          <wp:inline distT="0" distB="0" distL="0" distR="0" wp14:anchorId="0CC5532E" wp14:editId="3EDC6189">
            <wp:extent cx="631190" cy="467995"/>
            <wp:effectExtent l="0" t="0" r="3810" b="0"/>
            <wp:docPr id="7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31190" cy="467995"/>
                    </a:xfrm>
                    <a:prstGeom prst="rect">
                      <a:avLst/>
                    </a:prstGeom>
                    <a:noFill/>
                    <a:ln>
                      <a:noFill/>
                    </a:ln>
                  </pic:spPr>
                </pic:pic>
              </a:graphicData>
            </a:graphic>
          </wp:inline>
        </w:drawing>
      </w:r>
      <w:r w:rsidR="0096367E">
        <w:rPr>
          <w:lang w:eastAsia="zh-CN"/>
        </w:rPr>
        <w:tab/>
        <w:t>(3.16)</w:t>
      </w:r>
    </w:p>
    <w:p w14:paraId="6253D401" w14:textId="77777777" w:rsidR="0085272D" w:rsidRDefault="0096367E">
      <w:pPr>
        <w:jc w:val="both"/>
      </w:pPr>
      <w:r>
        <w:t>Where k</w:t>
      </w:r>
      <w:r>
        <w:rPr>
          <w:vertAlign w:val="subscript"/>
        </w:rPr>
        <w:t xml:space="preserve">ij </w:t>
      </w:r>
      <w:r>
        <w:t>is the binary interaction parameters (BIPs) between fluid-fluid molecules that is used to describe the interactions between asymmetric mixtures. The parameter a</w:t>
      </w:r>
      <w:r>
        <w:rPr>
          <w:vertAlign w:val="subscript"/>
        </w:rPr>
        <w:t>ff</w:t>
      </w:r>
      <w:r>
        <w:t xml:space="preserve"> describing the fluid-fluid interactions can have the similar form as parameter a:</w:t>
      </w:r>
    </w:p>
    <w:p w14:paraId="44F91DAE" w14:textId="77777777" w:rsidR="0085272D" w:rsidRDefault="0085272D">
      <w:pPr>
        <w:tabs>
          <w:tab w:val="right" w:leader="dot" w:pos="8460"/>
        </w:tabs>
        <w:rPr>
          <w:lang w:eastAsia="zh-CN"/>
        </w:rPr>
      </w:pPr>
    </w:p>
    <w:p w14:paraId="23F46498" w14:textId="6E55A5E7" w:rsidR="0085272D" w:rsidRDefault="00FA6998">
      <w:pPr>
        <w:tabs>
          <w:tab w:val="right" w:leader="dot" w:pos="8460"/>
        </w:tabs>
        <w:rPr>
          <w:lang w:eastAsia="zh-CN"/>
        </w:rPr>
      </w:pPr>
      <w:r>
        <w:rPr>
          <w:noProof/>
          <w:position w:val="-34"/>
          <w:lang w:eastAsia="zh-CN" w:bidi="ar-SA"/>
        </w:rPr>
        <w:drawing>
          <wp:inline distT="0" distB="0" distL="0" distR="0" wp14:anchorId="0914BBF8" wp14:editId="399A44FE">
            <wp:extent cx="1784985" cy="478790"/>
            <wp:effectExtent l="0" t="0" r="0" b="3810"/>
            <wp:docPr id="7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784985" cy="478790"/>
                    </a:xfrm>
                    <a:prstGeom prst="rect">
                      <a:avLst/>
                    </a:prstGeom>
                    <a:noFill/>
                    <a:ln>
                      <a:noFill/>
                    </a:ln>
                  </pic:spPr>
                </pic:pic>
              </a:graphicData>
            </a:graphic>
          </wp:inline>
        </w:drawing>
      </w:r>
      <w:r w:rsidR="0096367E">
        <w:rPr>
          <w:lang w:eastAsia="zh-CN"/>
        </w:rPr>
        <w:tab/>
        <w:t>(3.17)</w:t>
      </w:r>
    </w:p>
    <w:p w14:paraId="71C3E086" w14:textId="3B678BD9" w:rsidR="0085272D" w:rsidRDefault="00FA6998">
      <w:pPr>
        <w:tabs>
          <w:tab w:val="right" w:leader="dot" w:pos="8460"/>
        </w:tabs>
        <w:rPr>
          <w:lang w:eastAsia="zh-CN"/>
        </w:rPr>
      </w:pPr>
      <w:r>
        <w:rPr>
          <w:noProof/>
          <w:position w:val="-16"/>
          <w:lang w:eastAsia="zh-CN" w:bidi="ar-SA"/>
        </w:rPr>
        <w:drawing>
          <wp:inline distT="0" distB="0" distL="0" distR="0" wp14:anchorId="7B7BCBAB" wp14:editId="104B7F83">
            <wp:extent cx="1784985" cy="294005"/>
            <wp:effectExtent l="0" t="0" r="0" b="10795"/>
            <wp:docPr id="7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84985" cy="294005"/>
                    </a:xfrm>
                    <a:prstGeom prst="rect">
                      <a:avLst/>
                    </a:prstGeom>
                    <a:noFill/>
                    <a:ln>
                      <a:noFill/>
                    </a:ln>
                  </pic:spPr>
                </pic:pic>
              </a:graphicData>
            </a:graphic>
          </wp:inline>
        </w:drawing>
      </w:r>
      <w:r w:rsidR="0096367E">
        <w:rPr>
          <w:lang w:eastAsia="zh-CN"/>
        </w:rPr>
        <w:tab/>
        <w:t>(3.18)</w:t>
      </w:r>
    </w:p>
    <w:p w14:paraId="0289758F" w14:textId="77777777" w:rsidR="0085272D" w:rsidRDefault="0096367E" w:rsidP="00764EEC">
      <w:pPr>
        <w:jc w:val="both"/>
      </w:pPr>
      <w:r>
        <w:t>For any fluid mixtures, in order to calculate the fluid composition and fluid local density at any position z, one needs to define the fluid composition of the bulk state. Once the fluid composition of the bulk state for each component, x</w:t>
      </w:r>
      <w:r>
        <w:rPr>
          <w:vertAlign w:val="subscript"/>
        </w:rPr>
        <w:t>i</w:t>
      </w:r>
      <w:r>
        <w:t xml:space="preserve"> (x=1,2,3….nc), is known, the partial fugacity f</w:t>
      </w:r>
      <w:r>
        <w:rPr>
          <w:vertAlign w:val="subscript"/>
        </w:rPr>
        <w:t>i</w:t>
      </w:r>
      <w:r>
        <w:rPr>
          <w:vertAlign w:val="superscript"/>
        </w:rPr>
        <w:t>bulk</w:t>
      </w:r>
      <w:r>
        <w:t xml:space="preserve"> of each component can be calculated from Equation 3.12. The chemical potentials account for the fluid-wall interaction between component i and both pore walls can be calculated from Lee’s potential using Equations 3.5 and 3.6. Then the partial fluid-fluid fugacity f</w:t>
      </w:r>
      <w:r>
        <w:rPr>
          <w:vertAlign w:val="subscript"/>
        </w:rPr>
        <w:t>i</w:t>
      </w:r>
      <w:r>
        <w:rPr>
          <w:vertAlign w:val="superscript"/>
        </w:rPr>
        <w:t>ff</w:t>
      </w:r>
      <w:r>
        <w:t xml:space="preserve"> can be obtained from Equation 3.11. After f</w:t>
      </w:r>
      <w:r>
        <w:rPr>
          <w:vertAlign w:val="subscript"/>
        </w:rPr>
        <w:t>i</w:t>
      </w:r>
      <w:r>
        <w:rPr>
          <w:vertAlign w:val="superscript"/>
        </w:rPr>
        <w:t>bulk</w:t>
      </w:r>
      <w:r>
        <w:t xml:space="preserve"> and f</w:t>
      </w:r>
      <w:r>
        <w:rPr>
          <w:vertAlign w:val="subscript"/>
        </w:rPr>
        <w:t>i</w:t>
      </w:r>
      <w:r>
        <w:rPr>
          <w:vertAlign w:val="superscript"/>
        </w:rPr>
        <w:t>ff</w:t>
      </w:r>
      <w:r>
        <w:t xml:space="preserve"> are calculated, the fluid composition y</w:t>
      </w:r>
      <w:r>
        <w:rPr>
          <w:vertAlign w:val="subscript"/>
        </w:rPr>
        <w:t>i</w:t>
      </w:r>
      <w:r>
        <w:t>(z) and fluid local density ρ</w:t>
      </w:r>
      <w:r>
        <w:rPr>
          <w:vertAlign w:val="subscript"/>
        </w:rPr>
        <w:t>local</w:t>
      </w:r>
      <w:r>
        <w:t xml:space="preserve">(z) can be solved from Equation 3.13 plus the constraint on mole fractions, </w:t>
      </w:r>
      <m:oMath>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(z)</m:t>
            </m:r>
          </m:e>
        </m:nary>
        <m:r>
          <w:rPr>
            <w:rFonts w:ascii="Cambria Math" w:hAnsi="Cambria Math"/>
          </w:rPr>
          <m:t>=1</m:t>
        </m:r>
      </m:oMath>
      <w:r>
        <w:t>. For i components, there are i+1 unknowns: y</w:t>
      </w:r>
      <w:r>
        <w:rPr>
          <w:vertAlign w:val="subscript"/>
        </w:rPr>
        <w:t>i</w:t>
      </w:r>
      <w:r>
        <w:t>(z) for each component i and ρ</w:t>
      </w:r>
      <w:r>
        <w:rPr>
          <w:vertAlign w:val="subscript"/>
        </w:rPr>
        <w:t>local</w:t>
      </w:r>
      <w:r>
        <w:t xml:space="preserve">(z). And there should be i+1 equations: Equation 3.13 for each component i plus the mole fraction constraint. Repeat the above procedure for each position z from </w:t>
      </w:r>
      <m:oMath>
        <m:sSub>
          <m:sSubPr>
            <m:ctrlPr>
              <w:rPr>
                <w:rFonts w:ascii="Cambria Math" w:hAnsi="Cambria Math"/>
                <w:i/>
              </w:rPr>
            </m:ctrlPr>
          </m:sSubPr>
          <m:e>
            <m:r>
              <w:rPr>
                <w:rFonts w:ascii="Cambria Math" w:hAnsi="Cambria Math"/>
              </w:rPr>
              <m:t>σ</m:t>
            </m:r>
          </m:e>
          <m:sub>
            <m:r>
              <w:rPr>
                <w:rFonts w:ascii="Cambria Math" w:hAnsi="Cambria Math"/>
              </w:rPr>
              <m:t>ff</m:t>
            </m:r>
          </m:sub>
        </m:sSub>
        <m:r>
          <w:rPr>
            <w:rFonts w:ascii="Cambria Math" w:hAnsi="Cambria Math"/>
          </w:rPr>
          <m:t>/2</m:t>
        </m:r>
      </m:oMath>
      <w:r>
        <w:t xml:space="preserve"> to </w:t>
      </w:r>
      <m:oMath>
        <m:sSub>
          <m:sSubPr>
            <m:ctrlPr>
              <w:rPr>
                <w:rFonts w:ascii="Cambria Math" w:hAnsi="Cambria Math"/>
                <w:i/>
              </w:rPr>
            </m:ctrlPr>
          </m:sSubPr>
          <m:e>
            <m:r>
              <w:rPr>
                <w:rFonts w:ascii="Cambria Math" w:hAnsi="Cambria Math"/>
              </w:rPr>
              <m:t>L-σ</m:t>
            </m:r>
          </m:e>
          <m:sub>
            <m:r>
              <w:rPr>
                <w:rFonts w:ascii="Cambria Math" w:hAnsi="Cambria Math"/>
              </w:rPr>
              <m:t>ff</m:t>
            </m:r>
          </m:sub>
        </m:sSub>
        <m:r>
          <w:rPr>
            <w:rFonts w:ascii="Cambria Math" w:hAnsi="Cambria Math"/>
          </w:rPr>
          <m:t>/2</m:t>
        </m:r>
      </m:oMath>
      <w:r>
        <w:t xml:space="preserve"> with an increment of dz will give the density profile across the pore with a fixed width L. Note that the regions between 0 to </w:t>
      </w:r>
      <m:oMath>
        <m:sSub>
          <m:sSubPr>
            <m:ctrlPr>
              <w:rPr>
                <w:rFonts w:ascii="Cambria Math" w:hAnsi="Cambria Math"/>
                <w:i/>
              </w:rPr>
            </m:ctrlPr>
          </m:sSubPr>
          <m:e>
            <m:r>
              <w:rPr>
                <w:rFonts w:ascii="Cambria Math" w:hAnsi="Cambria Math"/>
              </w:rPr>
              <m:t>σ</m:t>
            </m:r>
          </m:e>
          <m:sub>
            <m:r>
              <w:rPr>
                <w:rFonts w:ascii="Cambria Math" w:hAnsi="Cambria Math"/>
              </w:rPr>
              <m:t>ff</m:t>
            </m:r>
          </m:sub>
        </m:sSub>
        <m:r>
          <w:rPr>
            <w:rFonts w:ascii="Cambria Math" w:hAnsi="Cambria Math"/>
          </w:rPr>
          <m:t>/2</m:t>
        </m:r>
      </m:oMath>
      <w:r>
        <w:t xml:space="preserve"> and </w:t>
      </w:r>
      <m:oMath>
        <m:sSub>
          <m:sSubPr>
            <m:ctrlPr>
              <w:rPr>
                <w:rFonts w:ascii="Cambria Math" w:hAnsi="Cambria Math"/>
                <w:i/>
              </w:rPr>
            </m:ctrlPr>
          </m:sSubPr>
          <m:e>
            <m:r>
              <w:rPr>
                <w:rFonts w:ascii="Cambria Math" w:hAnsi="Cambria Math"/>
              </w:rPr>
              <m:t>L-σ</m:t>
            </m:r>
          </m:e>
          <m:sub>
            <m:r>
              <w:rPr>
                <w:rFonts w:ascii="Cambria Math" w:hAnsi="Cambria Math"/>
              </w:rPr>
              <m:t>ff</m:t>
            </m:r>
          </m:sub>
        </m:sSub>
        <m:r>
          <w:rPr>
            <w:rFonts w:ascii="Cambria Math" w:hAnsi="Cambria Math"/>
          </w:rPr>
          <m:t>/2</m:t>
        </m:r>
      </m:oMath>
      <w:r>
        <w:t xml:space="preserve"> to L are inaccessible due to the size of the fluid molecules.</w:t>
      </w:r>
    </w:p>
    <w:p w14:paraId="6E6FB29B" w14:textId="77777777" w:rsidR="00764EEC" w:rsidRDefault="00764EEC" w:rsidP="00764EEC">
      <w:pPr>
        <w:jc w:val="both"/>
      </w:pPr>
    </w:p>
    <w:p w14:paraId="4E23E556" w14:textId="77777777" w:rsidR="00764EEC" w:rsidRDefault="00764EEC" w:rsidP="00764EEC">
      <w:pPr>
        <w:jc w:val="both"/>
      </w:pPr>
    </w:p>
    <w:p w14:paraId="5221FCEB" w14:textId="77777777" w:rsidR="00764EEC" w:rsidRDefault="00764EEC" w:rsidP="00764EEC">
      <w:pPr>
        <w:jc w:val="both"/>
      </w:pPr>
    </w:p>
    <w:p w14:paraId="7CF093B1" w14:textId="77777777" w:rsidR="00764EEC" w:rsidRDefault="00764EEC" w:rsidP="00764EEC">
      <w:pPr>
        <w:jc w:val="both"/>
      </w:pPr>
    </w:p>
    <w:p w14:paraId="345EE2B7" w14:textId="77777777" w:rsidR="00764EEC" w:rsidRDefault="00764EEC" w:rsidP="00764EEC">
      <w:pPr>
        <w:jc w:val="both"/>
      </w:pPr>
    </w:p>
    <w:p w14:paraId="223F4551" w14:textId="77777777" w:rsidR="0085272D" w:rsidRDefault="0096367E">
      <w:pPr>
        <w:pStyle w:val="Heading1"/>
        <w:ind w:left="240" w:right="240"/>
      </w:pPr>
      <w:bookmarkStart w:id="30" w:name="_Toc508114148"/>
      <w:r>
        <w:t xml:space="preserve">Chapter 4: </w:t>
      </w:r>
      <w:r>
        <w:rPr>
          <w:rFonts w:hint="eastAsia"/>
          <w:lang w:eastAsia="zh-CN"/>
        </w:rPr>
        <w:t>Studying Confined Fluid Phase Behavior Using Proposed Models</w:t>
      </w:r>
      <w:bookmarkEnd w:id="30"/>
    </w:p>
    <w:p w14:paraId="7052FD8E" w14:textId="77777777" w:rsidR="0085272D" w:rsidRDefault="0096367E">
      <w:pPr>
        <w:jc w:val="both"/>
        <w:rPr>
          <w:lang w:eastAsia="zh-CN"/>
        </w:rPr>
      </w:pPr>
      <w:r>
        <w:rPr>
          <w:lang w:eastAsia="zh-CN"/>
        </w:rPr>
        <w:t>The previous two chapters were focused on the development of the mathematical formulations that considered confinement effects on phase behavior calculations. In Chapter 2 we introduced the modification of EOS to include the fluid-wall interactions, while in Chapter 3 we discussed the SLD-PR model that can predict the fluid density at any position inside a confined pore space. In this chapter, we first compared the results of the models with literature data for validation purposes. Then we performed flash calculations using the modified Peng-Robinson EOS to show the confinement effects on phase equilibrium of a hydrocarbon mixture that contains C1, nC4 and C10. Last, we calculated fluid density profiles using the SLD-PR model in slit pores with fixed width for different fluids. Sensitivity analysis was performed to investigate the effects of temperature, pressure, fluid composition and pore size on the density profiles.</w:t>
      </w:r>
    </w:p>
    <w:p w14:paraId="3AD61537" w14:textId="77777777" w:rsidR="0085272D" w:rsidRDefault="0085272D">
      <w:pPr>
        <w:rPr>
          <w:lang w:eastAsia="zh-CN"/>
        </w:rPr>
      </w:pPr>
    </w:p>
    <w:p w14:paraId="41F8B6B9" w14:textId="77777777" w:rsidR="0085272D" w:rsidRDefault="0096367E">
      <w:pPr>
        <w:pStyle w:val="Heading2"/>
      </w:pPr>
      <w:bookmarkStart w:id="31" w:name="_Toc508114149"/>
      <w:r>
        <w:t>4.1 Model Validation</w:t>
      </w:r>
      <w:bookmarkEnd w:id="31"/>
    </w:p>
    <w:p w14:paraId="7D86A594" w14:textId="77777777" w:rsidR="0085272D" w:rsidRDefault="0096367E">
      <w:pPr>
        <w:pStyle w:val="Heading3"/>
      </w:pPr>
      <w:bookmarkStart w:id="32" w:name="_Toc508114150"/>
      <w:r>
        <w:t>4.1.1 Validation of Modified EOS for Phase Behavior of Confined Fluid</w:t>
      </w:r>
      <w:bookmarkEnd w:id="32"/>
    </w:p>
    <w:p w14:paraId="318B1ED2" w14:textId="77777777" w:rsidR="0085272D" w:rsidRDefault="0096367E">
      <w:pPr>
        <w:spacing w:after="240"/>
        <w:jc w:val="both"/>
        <w:rPr>
          <w:lang w:eastAsia="zh-CN"/>
        </w:rPr>
      </w:pPr>
      <w:r>
        <w:t xml:space="preserve">In this section, the bubble point pressures of a C1/nC5 mixture in nanopores were calculated using Modified Peng-Robinson EOS and compared the results with experimental data. </w:t>
      </w:r>
      <w:r>
        <w:rPr>
          <w:lang w:eastAsia="zh-CN"/>
        </w:rPr>
        <w:t>Sigmund et al. (1973) proposed bubble point pressures for a methane-n-pentane binary system under effects of curvature (confinement effect) for different methane compositions. The laboratory measurements of Sigmund et al. (1973) showed that bubble</w:t>
      </w:r>
      <w:r>
        <w:t xml:space="preserve"> point pressures suppressed with confined pores. The smaller the pore size, the more the </w:t>
      </w:r>
      <w:r>
        <w:rPr>
          <w:lang w:eastAsia="zh-CN"/>
        </w:rPr>
        <w:t>bubble</w:t>
      </w:r>
      <w:r>
        <w:t xml:space="preserve"> point pressure suppression was observed. </w:t>
      </w:r>
      <w:r>
        <w:rPr>
          <w:b/>
        </w:rPr>
        <w:t>Table 4.1</w:t>
      </w:r>
      <w:r>
        <w:t xml:space="preserve"> shows the </w:t>
      </w:r>
      <w:r>
        <w:rPr>
          <w:lang w:eastAsia="zh-CN"/>
        </w:rPr>
        <w:t>bubble</w:t>
      </w:r>
      <w:r>
        <w:t xml:space="preserve"> point pressures of the C1/nC5 system with different C1 composition in different pore sizes calculated by Modified Peng-Robinson EOS as well as the measurements from </w:t>
      </w:r>
      <w:r>
        <w:rPr>
          <w:lang w:eastAsia="zh-CN"/>
        </w:rPr>
        <w:t>Sigmund et al. (1973). The mixing rules used for the EOS parameters were listed in Chapter 2 as Equations 2.12, 2.13 and 2.15. The Binary Interaction Parameters (BIPs) K</w:t>
      </w:r>
      <w:r>
        <w:rPr>
          <w:vertAlign w:val="subscript"/>
          <w:lang w:eastAsia="zh-CN"/>
        </w:rPr>
        <w:t>ij</w:t>
      </w:r>
      <w:r>
        <w:rPr>
          <w:lang w:eastAsia="zh-CN"/>
        </w:rPr>
        <w:t xml:space="preserve"> and</w:t>
      </w:r>
      <w:r>
        <w:rPr>
          <w:vertAlign w:val="subscript"/>
          <w:lang w:eastAsia="zh-CN"/>
        </w:rPr>
        <w:t xml:space="preserve"> </w:t>
      </w:r>
      <w:r>
        <w:rPr>
          <w:lang w:eastAsia="zh-CN"/>
        </w:rPr>
        <w:t>J</w:t>
      </w:r>
      <w:r>
        <w:rPr>
          <w:vertAlign w:val="subscript"/>
          <w:lang w:eastAsia="zh-CN"/>
        </w:rPr>
        <w:t>ij</w:t>
      </w:r>
      <w:r>
        <w:rPr>
          <w:lang w:eastAsia="zh-CN"/>
        </w:rPr>
        <w:t xml:space="preserve"> used in parameters a and c were obtained by using the least squares fitting to the experimental data. The values of K</w:t>
      </w:r>
      <w:r>
        <w:rPr>
          <w:vertAlign w:val="subscript"/>
          <w:lang w:eastAsia="zh-CN"/>
        </w:rPr>
        <w:t>ij</w:t>
      </w:r>
      <w:r>
        <w:rPr>
          <w:lang w:eastAsia="zh-CN"/>
        </w:rPr>
        <w:t xml:space="preserve"> and</w:t>
      </w:r>
      <w:r>
        <w:rPr>
          <w:vertAlign w:val="subscript"/>
          <w:lang w:eastAsia="zh-CN"/>
        </w:rPr>
        <w:t xml:space="preserve"> </w:t>
      </w:r>
      <w:r>
        <w:rPr>
          <w:lang w:eastAsia="zh-CN"/>
        </w:rPr>
        <w:t>J</w:t>
      </w:r>
      <w:r>
        <w:rPr>
          <w:vertAlign w:val="subscript"/>
          <w:lang w:eastAsia="zh-CN"/>
        </w:rPr>
        <w:t xml:space="preserve">ij </w:t>
      </w:r>
      <w:r>
        <w:rPr>
          <w:lang w:eastAsia="zh-CN"/>
        </w:rPr>
        <w:t>were found to be [0 0.021; 0.021 0] and [0 2.1; 2.1 0], respectively and the coefficients of determination, r</w:t>
      </w:r>
      <w:r>
        <w:rPr>
          <w:vertAlign w:val="superscript"/>
          <w:lang w:eastAsia="zh-CN"/>
        </w:rPr>
        <w:t>2</w:t>
      </w:r>
      <w:r>
        <w:rPr>
          <w:lang w:eastAsia="zh-CN"/>
        </w:rPr>
        <w:t>, for bulk, 100 nm and 10 nm, were equal to 0.002589, 0.002183 and 0.001557, respectively.</w:t>
      </w:r>
    </w:p>
    <w:p w14:paraId="412A2219" w14:textId="77777777" w:rsidR="0085272D" w:rsidRDefault="0096367E">
      <w:pPr>
        <w:spacing w:after="240"/>
        <w:jc w:val="both"/>
      </w:pPr>
      <w:r>
        <w:rPr>
          <w:lang w:eastAsia="zh-CN"/>
        </w:rPr>
        <w:t>It is clear to see from Table 4.1 that both the simulation results and the experimental measurements show the decrease in bubble</w:t>
      </w:r>
      <w:r>
        <w:t xml:space="preserve"> point pressure with decreasing pore size, regardless of the C1 composition. However, it is also observed that </w:t>
      </w:r>
      <w:r>
        <w:rPr>
          <w:lang w:eastAsia="zh-CN"/>
        </w:rPr>
        <w:t>at high bubble point pressure range,</w:t>
      </w:r>
      <w:r>
        <w:t xml:space="preserve"> the difference between the simulation and </w:t>
      </w:r>
      <w:r>
        <w:rPr>
          <w:lang w:eastAsia="zh-CN"/>
        </w:rPr>
        <w:t xml:space="preserve">experimental results becomes larger when the </w:t>
      </w:r>
      <w:r>
        <w:t>C1 composition in the mixture increases. And this has led us to have more investigations on the BIPs.</w:t>
      </w:r>
    </w:p>
    <w:p w14:paraId="086B01B0" w14:textId="3E0FFBFC" w:rsidR="0085272D" w:rsidRDefault="0096367E">
      <w:pPr>
        <w:spacing w:after="240"/>
        <w:jc w:val="both"/>
        <w:rPr>
          <w:lang w:eastAsia="zh-CN"/>
        </w:rPr>
      </w:pPr>
      <w:r>
        <w:rPr>
          <w:lang w:eastAsia="zh-CN"/>
        </w:rPr>
        <w:t>The BIPs are the empirical or semi-empirical parameters that are required in the use of any cubic EOS. The BIPs are used along with the mixing rules that are in conjunction with cubic EOS to represent fluid mixtures. The derivation of the BIPs has been studied in the past decades and many methods have been developed. Peng and Robinson (1976) obtained the values of the BIPs from vapor-liquid equilibrium experimental data. However, for many complex and nonideal systems, fixed BIPs may not do the job. It has been stated back from 1970s that the BIPs depend on physical parameters, such as temperature (Schulze 1993 and Estévez et al., 1988) and fluid composition (Panagiotopoulos and Reid, 1986; Adachi and Sugie, 1986; Stryjek and Vera 1986; Łencka and Andrzej, 1991).</w:t>
      </w:r>
    </w:p>
    <w:p w14:paraId="0C2C5FEF" w14:textId="77777777" w:rsidR="0085272D" w:rsidRDefault="0096367E">
      <w:pPr>
        <w:jc w:val="both"/>
        <w:rPr>
          <w:lang w:eastAsia="zh-CN"/>
        </w:rPr>
      </w:pPr>
      <w:r>
        <w:rPr>
          <w:lang w:eastAsia="zh-CN"/>
        </w:rPr>
        <w:t>To have better performance of the simulation results, the BIPs were corrected and became composition dependent variables as follows:</w:t>
      </w:r>
    </w:p>
    <w:p w14:paraId="1D6900A2" w14:textId="77777777" w:rsidR="0085272D" w:rsidRDefault="0096367E">
      <w:pPr>
        <w:tabs>
          <w:tab w:val="right" w:leader="dot" w:pos="8460"/>
        </w:tabs>
        <w:rPr>
          <w:lang w:eastAsia="zh-CN"/>
        </w:rPr>
      </w:pPr>
      <w:r w:rsidRPr="000759E2">
        <w:rPr>
          <w:position w:val="-40"/>
          <w:lang w:eastAsia="zh-CN"/>
        </w:rPr>
        <w:object w:dxaOrig="2880" w:dyaOrig="906" w14:anchorId="57415043">
          <v:shape id="_x0000_i1033" type="#_x0000_t75" style="width:2in;height:44.55pt" o:ole="">
            <v:imagedata r:id="rId86" o:title=""/>
          </v:shape>
          <o:OLEObject Type="Embed" ProgID="Equation.3" ShapeID="_x0000_i1033" DrawAspect="Content" ObjectID="_1581936718" r:id="rId87"/>
        </w:object>
      </w:r>
      <w:r>
        <w:rPr>
          <w:lang w:eastAsia="zh-CN"/>
        </w:rPr>
        <w:tab/>
        <w:t>(4.1)</w:t>
      </w:r>
    </w:p>
    <w:p w14:paraId="604A1227" w14:textId="77777777" w:rsidR="0085272D" w:rsidRDefault="0096367E">
      <w:pPr>
        <w:tabs>
          <w:tab w:val="right" w:leader="dot" w:pos="8460"/>
        </w:tabs>
        <w:rPr>
          <w:lang w:eastAsia="zh-CN"/>
        </w:rPr>
      </w:pPr>
      <w:r w:rsidRPr="000759E2">
        <w:rPr>
          <w:position w:val="-40"/>
        </w:rPr>
        <w:object w:dxaOrig="2427" w:dyaOrig="906" w14:anchorId="7FB0FEF7">
          <v:shape id="_x0000_i1034" type="#_x0000_t75" style="width:120.85pt;height:44.55pt" o:ole="">
            <v:imagedata r:id="rId88" o:title=""/>
          </v:shape>
          <o:OLEObject Type="Embed" ProgID="Equation.3" ShapeID="_x0000_i1034" DrawAspect="Content" ObjectID="_1581936719" r:id="rId89"/>
        </w:object>
      </w:r>
      <w:r>
        <w:rPr>
          <w:lang w:eastAsia="zh-CN"/>
        </w:rPr>
        <w:tab/>
        <w:t>(4.2)</w:t>
      </w:r>
    </w:p>
    <w:p w14:paraId="14A75111" w14:textId="77777777" w:rsidR="0085272D" w:rsidRDefault="0096367E">
      <w:pPr>
        <w:tabs>
          <w:tab w:val="right" w:leader="dot" w:pos="8460"/>
        </w:tabs>
        <w:spacing w:after="240"/>
        <w:jc w:val="both"/>
        <w:rPr>
          <w:lang w:eastAsia="zh-CN"/>
        </w:rPr>
      </w:pPr>
      <w:r>
        <w:rPr>
          <w:lang w:eastAsia="zh-CN"/>
        </w:rPr>
        <w:t>Where x</w:t>
      </w:r>
      <w:r>
        <w:rPr>
          <w:vertAlign w:val="subscript"/>
          <w:lang w:eastAsia="zh-CN"/>
        </w:rPr>
        <w:t>C5</w:t>
      </w:r>
      <w:r>
        <w:rPr>
          <w:lang w:eastAsia="zh-CN"/>
        </w:rPr>
        <w:t xml:space="preserve"> represents the composition of n-pentane in the mixture. </w:t>
      </w:r>
      <w:r>
        <w:rPr>
          <w:b/>
        </w:rPr>
        <w:t xml:space="preserve">Table 4.2 </w:t>
      </w:r>
      <w:r>
        <w:t xml:space="preserve">gives the simulation results using the new BIPs. We see better performance of predictions at high bubble point pressure range especially for bulk and 100 nm. </w:t>
      </w:r>
      <w:r>
        <w:rPr>
          <w:lang w:eastAsia="zh-CN"/>
        </w:rPr>
        <w:t>The coefficients of determination, r</w:t>
      </w:r>
      <w:r>
        <w:rPr>
          <w:vertAlign w:val="superscript"/>
          <w:lang w:eastAsia="zh-CN"/>
        </w:rPr>
        <w:t>2</w:t>
      </w:r>
      <w:r>
        <w:rPr>
          <w:lang w:eastAsia="zh-CN"/>
        </w:rPr>
        <w:t>, for bulk, 100 nm and 10 nm reduced to 2.3336e-4, 5.0953e-4 and 0.001465, respectively. Although it is not sufficient to draw conclusions on the generalizations of the composition dependent BIPs based on the limited data. Such corrections, however, gives the train of thought in the PVT calculations as an example. That is, in complex systems, the BIPs can be variable dependent parameters rather than fixed numbers to have better predictions in the phase behavior.</w:t>
      </w:r>
    </w:p>
    <w:p w14:paraId="71DDA60E" w14:textId="77777777" w:rsidR="0085272D" w:rsidRDefault="0085272D">
      <w:pPr>
        <w:jc w:val="both"/>
        <w:rPr>
          <w:rFonts w:ascii="Times" w:eastAsia="Times New Roman" w:hAnsi="Times"/>
          <w:sz w:val="20"/>
          <w:szCs w:val="20"/>
          <w:lang w:bidi="ar-SA"/>
        </w:rPr>
      </w:pPr>
    </w:p>
    <w:p w14:paraId="5F385FB8" w14:textId="77777777" w:rsidR="0085272D" w:rsidRDefault="0085272D">
      <w:pPr>
        <w:jc w:val="both"/>
        <w:rPr>
          <w:lang w:eastAsia="zh-CN"/>
        </w:rPr>
      </w:pPr>
    </w:p>
    <w:p w14:paraId="10BD00C5" w14:textId="77777777" w:rsidR="0085272D" w:rsidRDefault="0085272D">
      <w:pPr>
        <w:jc w:val="center"/>
        <w:rPr>
          <w:lang w:eastAsia="zh-CN"/>
        </w:rPr>
      </w:pPr>
    </w:p>
    <w:p w14:paraId="3DD340C3" w14:textId="77777777" w:rsidR="0085272D" w:rsidRDefault="0085272D">
      <w:pPr>
        <w:jc w:val="center"/>
        <w:rPr>
          <w:b/>
        </w:rPr>
      </w:pPr>
    </w:p>
    <w:p w14:paraId="6C683F58" w14:textId="77777777" w:rsidR="0085272D" w:rsidRDefault="0085272D">
      <w:pPr>
        <w:rPr>
          <w:b/>
        </w:rPr>
      </w:pPr>
    </w:p>
    <w:tbl>
      <w:tblPr>
        <w:tblW w:w="8247" w:type="dxa"/>
        <w:tblInd w:w="198" w:type="dxa"/>
        <w:tblLayout w:type="fixed"/>
        <w:tblLook w:val="04A0" w:firstRow="1" w:lastRow="0" w:firstColumn="1" w:lastColumn="0" w:noHBand="0" w:noVBand="1"/>
      </w:tblPr>
      <w:tblGrid>
        <w:gridCol w:w="1176"/>
        <w:gridCol w:w="1206"/>
        <w:gridCol w:w="1151"/>
        <w:gridCol w:w="1206"/>
        <w:gridCol w:w="1151"/>
        <w:gridCol w:w="1206"/>
        <w:gridCol w:w="1151"/>
      </w:tblGrid>
      <w:tr w:rsidR="0085272D" w14:paraId="6BA335B3" w14:textId="77777777">
        <w:trPr>
          <w:trHeight w:val="801"/>
        </w:trPr>
        <w:tc>
          <w:tcPr>
            <w:tcW w:w="8247" w:type="dxa"/>
            <w:gridSpan w:val="7"/>
            <w:tcBorders>
              <w:top w:val="single" w:sz="4" w:space="0" w:color="auto"/>
              <w:left w:val="single" w:sz="4" w:space="0" w:color="auto"/>
              <w:bottom w:val="nil"/>
              <w:right w:val="single" w:sz="4" w:space="0" w:color="auto"/>
            </w:tcBorders>
            <w:shd w:val="clear" w:color="auto" w:fill="auto"/>
            <w:vAlign w:val="center"/>
          </w:tcPr>
          <w:p w14:paraId="7653103F" w14:textId="77777777" w:rsidR="0085272D" w:rsidRDefault="0096367E">
            <w:pPr>
              <w:spacing w:line="240" w:lineRule="auto"/>
              <w:jc w:val="center"/>
              <w:rPr>
                <w:rFonts w:ascii="Times New Roman" w:eastAsia="Times New Roman" w:hAnsi="Times New Roman"/>
                <w:color w:val="000000"/>
                <w:lang w:bidi="ar-SA"/>
              </w:rPr>
            </w:pPr>
            <w:r>
              <w:rPr>
                <w:rFonts w:ascii="Times New Roman" w:hAnsi="Times New Roman"/>
                <w:b/>
                <w:sz w:val="22"/>
                <w:szCs w:val="22"/>
              </w:rPr>
              <w:t>T</w:t>
            </w:r>
            <w:r>
              <w:rPr>
                <w:rFonts w:ascii="Times New Roman" w:hAnsi="Times New Roman" w:hint="eastAsia"/>
                <w:b/>
                <w:sz w:val="22"/>
                <w:szCs w:val="22"/>
                <w:lang w:eastAsia="zh-CN"/>
              </w:rPr>
              <w:t>ABEL</w:t>
            </w:r>
            <w:r>
              <w:rPr>
                <w:rFonts w:ascii="Times New Roman" w:hAnsi="Times New Roman"/>
                <w:b/>
                <w:sz w:val="22"/>
                <w:szCs w:val="22"/>
                <w:lang w:eastAsia="zh-CN"/>
              </w:rPr>
              <w:t xml:space="preserve"> </w:t>
            </w:r>
            <w:r>
              <w:rPr>
                <w:rFonts w:ascii="Times New Roman" w:hAnsi="Times New Roman"/>
                <w:b/>
                <w:sz w:val="22"/>
                <w:szCs w:val="22"/>
              </w:rPr>
              <w:t>4.1—Comparison of Simulation Results from Modified PR-EOS Model and Experimental Data from Sigmund et al. (1973) --- Fixed BIPs</w:t>
            </w:r>
          </w:p>
        </w:tc>
      </w:tr>
      <w:tr w:rsidR="0085272D" w14:paraId="7769F2FA" w14:textId="77777777">
        <w:trPr>
          <w:trHeight w:val="801"/>
        </w:trPr>
        <w:tc>
          <w:tcPr>
            <w:tcW w:w="1176" w:type="dxa"/>
            <w:tcBorders>
              <w:top w:val="single" w:sz="4" w:space="0" w:color="auto"/>
              <w:left w:val="single" w:sz="4" w:space="0" w:color="auto"/>
              <w:bottom w:val="nil"/>
              <w:right w:val="nil"/>
            </w:tcBorders>
            <w:shd w:val="clear" w:color="auto" w:fill="auto"/>
            <w:vAlign w:val="center"/>
          </w:tcPr>
          <w:p w14:paraId="6F4FF4C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w:t>
            </w:r>
          </w:p>
        </w:tc>
        <w:tc>
          <w:tcPr>
            <w:tcW w:w="2357" w:type="dxa"/>
            <w:gridSpan w:val="2"/>
            <w:tcBorders>
              <w:top w:val="single" w:sz="4" w:space="0" w:color="auto"/>
              <w:left w:val="nil"/>
              <w:bottom w:val="nil"/>
              <w:right w:val="nil"/>
            </w:tcBorders>
            <w:shd w:val="clear" w:color="auto" w:fill="auto"/>
            <w:vAlign w:val="center"/>
          </w:tcPr>
          <w:p w14:paraId="696DA37F"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Bulk</w:t>
            </w:r>
          </w:p>
        </w:tc>
        <w:tc>
          <w:tcPr>
            <w:tcW w:w="2357" w:type="dxa"/>
            <w:gridSpan w:val="2"/>
            <w:tcBorders>
              <w:top w:val="single" w:sz="4" w:space="0" w:color="auto"/>
              <w:left w:val="nil"/>
              <w:bottom w:val="nil"/>
              <w:right w:val="nil"/>
            </w:tcBorders>
            <w:shd w:val="clear" w:color="auto" w:fill="auto"/>
            <w:vAlign w:val="center"/>
          </w:tcPr>
          <w:p w14:paraId="2E26241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100 nm</w:t>
            </w:r>
          </w:p>
        </w:tc>
        <w:tc>
          <w:tcPr>
            <w:tcW w:w="2357" w:type="dxa"/>
            <w:gridSpan w:val="2"/>
            <w:tcBorders>
              <w:top w:val="single" w:sz="4" w:space="0" w:color="auto"/>
              <w:left w:val="nil"/>
              <w:bottom w:val="nil"/>
              <w:right w:val="single" w:sz="4" w:space="0" w:color="000000"/>
            </w:tcBorders>
            <w:shd w:val="clear" w:color="auto" w:fill="auto"/>
            <w:vAlign w:val="center"/>
          </w:tcPr>
          <w:p w14:paraId="08426D5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10 nm</w:t>
            </w:r>
          </w:p>
        </w:tc>
      </w:tr>
      <w:tr w:rsidR="0085272D" w14:paraId="0AE2E46E" w14:textId="77777777">
        <w:trPr>
          <w:trHeight w:val="801"/>
        </w:trPr>
        <w:tc>
          <w:tcPr>
            <w:tcW w:w="1176" w:type="dxa"/>
            <w:tcBorders>
              <w:top w:val="nil"/>
              <w:left w:val="single" w:sz="4" w:space="0" w:color="auto"/>
              <w:bottom w:val="nil"/>
              <w:right w:val="nil"/>
            </w:tcBorders>
            <w:shd w:val="clear" w:color="auto" w:fill="auto"/>
            <w:vAlign w:val="center"/>
          </w:tcPr>
          <w:p w14:paraId="369B667E"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xCH4</w:t>
            </w:r>
          </w:p>
        </w:tc>
        <w:tc>
          <w:tcPr>
            <w:tcW w:w="1206" w:type="dxa"/>
            <w:tcBorders>
              <w:top w:val="nil"/>
              <w:left w:val="nil"/>
              <w:bottom w:val="nil"/>
              <w:right w:val="nil"/>
            </w:tcBorders>
            <w:shd w:val="clear" w:color="auto" w:fill="auto"/>
            <w:vAlign w:val="center"/>
          </w:tcPr>
          <w:p w14:paraId="02B7CB6A"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Sigmund</w:t>
            </w:r>
          </w:p>
        </w:tc>
        <w:tc>
          <w:tcPr>
            <w:tcW w:w="1151" w:type="dxa"/>
            <w:tcBorders>
              <w:top w:val="nil"/>
              <w:left w:val="nil"/>
              <w:bottom w:val="nil"/>
              <w:right w:val="nil"/>
            </w:tcBorders>
            <w:shd w:val="clear" w:color="auto" w:fill="auto"/>
            <w:vAlign w:val="center"/>
          </w:tcPr>
          <w:p w14:paraId="60035A9A"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mPR-EOS</w:t>
            </w:r>
          </w:p>
        </w:tc>
        <w:tc>
          <w:tcPr>
            <w:tcW w:w="1206" w:type="dxa"/>
            <w:tcBorders>
              <w:top w:val="nil"/>
              <w:left w:val="nil"/>
              <w:bottom w:val="nil"/>
              <w:right w:val="nil"/>
            </w:tcBorders>
            <w:shd w:val="clear" w:color="auto" w:fill="auto"/>
            <w:vAlign w:val="center"/>
          </w:tcPr>
          <w:p w14:paraId="7BB7AF85"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Sigmund</w:t>
            </w:r>
          </w:p>
        </w:tc>
        <w:tc>
          <w:tcPr>
            <w:tcW w:w="1151" w:type="dxa"/>
            <w:tcBorders>
              <w:top w:val="nil"/>
              <w:left w:val="nil"/>
              <w:bottom w:val="nil"/>
              <w:right w:val="nil"/>
            </w:tcBorders>
            <w:shd w:val="clear" w:color="auto" w:fill="auto"/>
            <w:vAlign w:val="center"/>
          </w:tcPr>
          <w:p w14:paraId="50D56F89"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mPR-EOS</w:t>
            </w:r>
          </w:p>
        </w:tc>
        <w:tc>
          <w:tcPr>
            <w:tcW w:w="1206" w:type="dxa"/>
            <w:tcBorders>
              <w:top w:val="nil"/>
              <w:left w:val="nil"/>
              <w:bottom w:val="nil"/>
              <w:right w:val="nil"/>
            </w:tcBorders>
            <w:shd w:val="clear" w:color="auto" w:fill="auto"/>
            <w:vAlign w:val="center"/>
          </w:tcPr>
          <w:p w14:paraId="2724BC1A"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Sigmund</w:t>
            </w:r>
          </w:p>
        </w:tc>
        <w:tc>
          <w:tcPr>
            <w:tcW w:w="1151" w:type="dxa"/>
            <w:tcBorders>
              <w:top w:val="nil"/>
              <w:left w:val="nil"/>
              <w:bottom w:val="nil"/>
              <w:right w:val="single" w:sz="4" w:space="0" w:color="auto"/>
            </w:tcBorders>
            <w:shd w:val="clear" w:color="auto" w:fill="auto"/>
            <w:vAlign w:val="center"/>
          </w:tcPr>
          <w:p w14:paraId="47510969"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mPR-EOS</w:t>
            </w:r>
          </w:p>
        </w:tc>
      </w:tr>
      <w:tr w:rsidR="0085272D" w14:paraId="6014C60B" w14:textId="77777777">
        <w:trPr>
          <w:trHeight w:val="801"/>
        </w:trPr>
        <w:tc>
          <w:tcPr>
            <w:tcW w:w="1176" w:type="dxa"/>
            <w:tcBorders>
              <w:top w:val="nil"/>
              <w:left w:val="single" w:sz="4" w:space="0" w:color="auto"/>
              <w:bottom w:val="nil"/>
              <w:right w:val="nil"/>
            </w:tcBorders>
            <w:shd w:val="clear" w:color="auto" w:fill="auto"/>
            <w:vAlign w:val="center"/>
          </w:tcPr>
          <w:p w14:paraId="3D61F6E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0.0288</w:t>
            </w:r>
          </w:p>
        </w:tc>
        <w:tc>
          <w:tcPr>
            <w:tcW w:w="1206" w:type="dxa"/>
            <w:tcBorders>
              <w:top w:val="nil"/>
              <w:left w:val="nil"/>
              <w:bottom w:val="nil"/>
              <w:right w:val="nil"/>
            </w:tcBorders>
            <w:shd w:val="clear" w:color="auto" w:fill="auto"/>
            <w:vAlign w:val="center"/>
          </w:tcPr>
          <w:p w14:paraId="724AA6F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99.53</w:t>
            </w:r>
          </w:p>
        </w:tc>
        <w:tc>
          <w:tcPr>
            <w:tcW w:w="1151" w:type="dxa"/>
            <w:tcBorders>
              <w:top w:val="nil"/>
              <w:left w:val="nil"/>
              <w:bottom w:val="nil"/>
              <w:right w:val="nil"/>
            </w:tcBorders>
            <w:shd w:val="clear" w:color="auto" w:fill="auto"/>
            <w:vAlign w:val="center"/>
          </w:tcPr>
          <w:p w14:paraId="34F3DC1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98.14</w:t>
            </w:r>
          </w:p>
        </w:tc>
        <w:tc>
          <w:tcPr>
            <w:tcW w:w="1206" w:type="dxa"/>
            <w:tcBorders>
              <w:top w:val="nil"/>
              <w:left w:val="nil"/>
              <w:bottom w:val="nil"/>
              <w:right w:val="nil"/>
            </w:tcBorders>
            <w:shd w:val="clear" w:color="auto" w:fill="auto"/>
            <w:vAlign w:val="center"/>
          </w:tcPr>
          <w:p w14:paraId="0A4E7B1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98.62</w:t>
            </w:r>
          </w:p>
        </w:tc>
        <w:tc>
          <w:tcPr>
            <w:tcW w:w="1151" w:type="dxa"/>
            <w:tcBorders>
              <w:top w:val="nil"/>
              <w:left w:val="nil"/>
              <w:bottom w:val="nil"/>
              <w:right w:val="nil"/>
            </w:tcBorders>
            <w:shd w:val="clear" w:color="auto" w:fill="auto"/>
            <w:vAlign w:val="center"/>
          </w:tcPr>
          <w:p w14:paraId="7FD46E40"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97.82</w:t>
            </w:r>
          </w:p>
        </w:tc>
        <w:tc>
          <w:tcPr>
            <w:tcW w:w="1206" w:type="dxa"/>
            <w:tcBorders>
              <w:top w:val="nil"/>
              <w:left w:val="nil"/>
              <w:bottom w:val="nil"/>
              <w:right w:val="nil"/>
            </w:tcBorders>
            <w:shd w:val="clear" w:color="auto" w:fill="auto"/>
            <w:vAlign w:val="center"/>
          </w:tcPr>
          <w:p w14:paraId="1396921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90.89</w:t>
            </w:r>
          </w:p>
        </w:tc>
        <w:tc>
          <w:tcPr>
            <w:tcW w:w="1151" w:type="dxa"/>
            <w:tcBorders>
              <w:top w:val="nil"/>
              <w:left w:val="nil"/>
              <w:bottom w:val="nil"/>
              <w:right w:val="single" w:sz="4" w:space="0" w:color="auto"/>
            </w:tcBorders>
            <w:shd w:val="clear" w:color="auto" w:fill="auto"/>
            <w:vAlign w:val="center"/>
          </w:tcPr>
          <w:p w14:paraId="126FA4DF"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93.43</w:t>
            </w:r>
          </w:p>
        </w:tc>
      </w:tr>
      <w:tr w:rsidR="0085272D" w14:paraId="471A3029" w14:textId="77777777">
        <w:trPr>
          <w:trHeight w:val="801"/>
        </w:trPr>
        <w:tc>
          <w:tcPr>
            <w:tcW w:w="1176" w:type="dxa"/>
            <w:tcBorders>
              <w:top w:val="nil"/>
              <w:left w:val="single" w:sz="4" w:space="0" w:color="auto"/>
              <w:bottom w:val="nil"/>
              <w:right w:val="nil"/>
            </w:tcBorders>
            <w:shd w:val="clear" w:color="auto" w:fill="auto"/>
            <w:vAlign w:val="center"/>
          </w:tcPr>
          <w:p w14:paraId="17FE755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0.0628</w:t>
            </w:r>
          </w:p>
        </w:tc>
        <w:tc>
          <w:tcPr>
            <w:tcW w:w="1206" w:type="dxa"/>
            <w:tcBorders>
              <w:top w:val="nil"/>
              <w:left w:val="nil"/>
              <w:bottom w:val="nil"/>
              <w:right w:val="nil"/>
            </w:tcBorders>
            <w:shd w:val="clear" w:color="auto" w:fill="auto"/>
            <w:vAlign w:val="center"/>
          </w:tcPr>
          <w:p w14:paraId="17E7EF7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200.75</w:t>
            </w:r>
          </w:p>
        </w:tc>
        <w:tc>
          <w:tcPr>
            <w:tcW w:w="1151" w:type="dxa"/>
            <w:tcBorders>
              <w:top w:val="nil"/>
              <w:left w:val="nil"/>
              <w:bottom w:val="nil"/>
              <w:right w:val="nil"/>
            </w:tcBorders>
            <w:shd w:val="clear" w:color="auto" w:fill="auto"/>
            <w:vAlign w:val="center"/>
          </w:tcPr>
          <w:p w14:paraId="37DB24F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198.34</w:t>
            </w:r>
          </w:p>
        </w:tc>
        <w:tc>
          <w:tcPr>
            <w:tcW w:w="1206" w:type="dxa"/>
            <w:tcBorders>
              <w:top w:val="nil"/>
              <w:left w:val="nil"/>
              <w:bottom w:val="nil"/>
              <w:right w:val="nil"/>
            </w:tcBorders>
            <w:shd w:val="clear" w:color="auto" w:fill="auto"/>
            <w:vAlign w:val="center"/>
          </w:tcPr>
          <w:p w14:paraId="6D25E50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199.09</w:t>
            </w:r>
          </w:p>
        </w:tc>
        <w:tc>
          <w:tcPr>
            <w:tcW w:w="1151" w:type="dxa"/>
            <w:tcBorders>
              <w:top w:val="nil"/>
              <w:left w:val="nil"/>
              <w:bottom w:val="nil"/>
              <w:right w:val="nil"/>
            </w:tcBorders>
            <w:shd w:val="clear" w:color="auto" w:fill="auto"/>
            <w:vAlign w:val="center"/>
          </w:tcPr>
          <w:p w14:paraId="61D1354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197.71</w:t>
            </w:r>
          </w:p>
        </w:tc>
        <w:tc>
          <w:tcPr>
            <w:tcW w:w="1206" w:type="dxa"/>
            <w:tcBorders>
              <w:top w:val="nil"/>
              <w:left w:val="nil"/>
              <w:bottom w:val="nil"/>
              <w:right w:val="nil"/>
            </w:tcBorders>
            <w:shd w:val="clear" w:color="auto" w:fill="auto"/>
            <w:vAlign w:val="center"/>
          </w:tcPr>
          <w:p w14:paraId="31F6EED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184.83</w:t>
            </w:r>
          </w:p>
        </w:tc>
        <w:tc>
          <w:tcPr>
            <w:tcW w:w="1151" w:type="dxa"/>
            <w:tcBorders>
              <w:top w:val="nil"/>
              <w:left w:val="nil"/>
              <w:bottom w:val="nil"/>
              <w:right w:val="single" w:sz="4" w:space="0" w:color="auto"/>
            </w:tcBorders>
            <w:shd w:val="clear" w:color="auto" w:fill="auto"/>
            <w:vAlign w:val="center"/>
          </w:tcPr>
          <w:p w14:paraId="6935917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186.73</w:t>
            </w:r>
          </w:p>
        </w:tc>
      </w:tr>
      <w:tr w:rsidR="0085272D" w14:paraId="5236267E" w14:textId="77777777">
        <w:trPr>
          <w:trHeight w:val="801"/>
        </w:trPr>
        <w:tc>
          <w:tcPr>
            <w:tcW w:w="1176" w:type="dxa"/>
            <w:tcBorders>
              <w:top w:val="nil"/>
              <w:left w:val="single" w:sz="4" w:space="0" w:color="auto"/>
              <w:bottom w:val="nil"/>
              <w:right w:val="nil"/>
            </w:tcBorders>
            <w:shd w:val="clear" w:color="auto" w:fill="auto"/>
            <w:vAlign w:val="center"/>
          </w:tcPr>
          <w:p w14:paraId="52B67BFF"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0.0957</w:t>
            </w:r>
          </w:p>
        </w:tc>
        <w:tc>
          <w:tcPr>
            <w:tcW w:w="1206" w:type="dxa"/>
            <w:tcBorders>
              <w:top w:val="nil"/>
              <w:left w:val="nil"/>
              <w:bottom w:val="nil"/>
              <w:right w:val="nil"/>
            </w:tcBorders>
            <w:shd w:val="clear" w:color="auto" w:fill="auto"/>
            <w:vAlign w:val="center"/>
          </w:tcPr>
          <w:p w14:paraId="3DBFBD1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301.05</w:t>
            </w:r>
          </w:p>
        </w:tc>
        <w:tc>
          <w:tcPr>
            <w:tcW w:w="1151" w:type="dxa"/>
            <w:tcBorders>
              <w:top w:val="nil"/>
              <w:left w:val="nil"/>
              <w:bottom w:val="nil"/>
              <w:right w:val="nil"/>
            </w:tcBorders>
            <w:shd w:val="clear" w:color="auto" w:fill="auto"/>
            <w:vAlign w:val="center"/>
          </w:tcPr>
          <w:p w14:paraId="7FC5812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297.47</w:t>
            </w:r>
          </w:p>
        </w:tc>
        <w:tc>
          <w:tcPr>
            <w:tcW w:w="1206" w:type="dxa"/>
            <w:tcBorders>
              <w:top w:val="nil"/>
              <w:left w:val="nil"/>
              <w:bottom w:val="nil"/>
              <w:right w:val="nil"/>
            </w:tcBorders>
            <w:shd w:val="clear" w:color="auto" w:fill="auto"/>
            <w:vAlign w:val="center"/>
          </w:tcPr>
          <w:p w14:paraId="56F7B92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298.7</w:t>
            </w:r>
          </w:p>
        </w:tc>
        <w:tc>
          <w:tcPr>
            <w:tcW w:w="1151" w:type="dxa"/>
            <w:tcBorders>
              <w:top w:val="nil"/>
              <w:left w:val="nil"/>
              <w:bottom w:val="nil"/>
              <w:right w:val="nil"/>
            </w:tcBorders>
            <w:shd w:val="clear" w:color="auto" w:fill="auto"/>
            <w:vAlign w:val="center"/>
          </w:tcPr>
          <w:p w14:paraId="7887429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296.53</w:t>
            </w:r>
          </w:p>
        </w:tc>
        <w:tc>
          <w:tcPr>
            <w:tcW w:w="1206" w:type="dxa"/>
            <w:tcBorders>
              <w:top w:val="nil"/>
              <w:left w:val="nil"/>
              <w:bottom w:val="nil"/>
              <w:right w:val="nil"/>
            </w:tcBorders>
            <w:shd w:val="clear" w:color="auto" w:fill="auto"/>
            <w:vAlign w:val="center"/>
          </w:tcPr>
          <w:p w14:paraId="7811AB5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278.45</w:t>
            </w:r>
          </w:p>
        </w:tc>
        <w:tc>
          <w:tcPr>
            <w:tcW w:w="1151" w:type="dxa"/>
            <w:tcBorders>
              <w:top w:val="nil"/>
              <w:left w:val="nil"/>
              <w:bottom w:val="nil"/>
              <w:right w:val="single" w:sz="4" w:space="0" w:color="auto"/>
            </w:tcBorders>
            <w:shd w:val="clear" w:color="auto" w:fill="auto"/>
            <w:vAlign w:val="center"/>
          </w:tcPr>
          <w:p w14:paraId="58E7DDD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279.28</w:t>
            </w:r>
          </w:p>
        </w:tc>
      </w:tr>
      <w:tr w:rsidR="0085272D" w14:paraId="3FF6126C" w14:textId="77777777">
        <w:trPr>
          <w:trHeight w:val="801"/>
        </w:trPr>
        <w:tc>
          <w:tcPr>
            <w:tcW w:w="1176" w:type="dxa"/>
            <w:tcBorders>
              <w:top w:val="nil"/>
              <w:left w:val="single" w:sz="4" w:space="0" w:color="auto"/>
              <w:bottom w:val="nil"/>
              <w:right w:val="nil"/>
            </w:tcBorders>
            <w:shd w:val="clear" w:color="auto" w:fill="auto"/>
            <w:vAlign w:val="center"/>
          </w:tcPr>
          <w:p w14:paraId="026FA21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0.1282</w:t>
            </w:r>
          </w:p>
        </w:tc>
        <w:tc>
          <w:tcPr>
            <w:tcW w:w="1206" w:type="dxa"/>
            <w:tcBorders>
              <w:top w:val="nil"/>
              <w:left w:val="nil"/>
              <w:bottom w:val="nil"/>
              <w:right w:val="nil"/>
            </w:tcBorders>
            <w:shd w:val="clear" w:color="auto" w:fill="auto"/>
            <w:vAlign w:val="center"/>
          </w:tcPr>
          <w:p w14:paraId="0FAB136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402.4</w:t>
            </w:r>
          </w:p>
        </w:tc>
        <w:tc>
          <w:tcPr>
            <w:tcW w:w="1151" w:type="dxa"/>
            <w:tcBorders>
              <w:top w:val="nil"/>
              <w:left w:val="nil"/>
              <w:bottom w:val="nil"/>
              <w:right w:val="nil"/>
            </w:tcBorders>
            <w:shd w:val="clear" w:color="auto" w:fill="auto"/>
            <w:vAlign w:val="center"/>
          </w:tcPr>
          <w:p w14:paraId="3114C46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398.02</w:t>
            </w:r>
          </w:p>
        </w:tc>
        <w:tc>
          <w:tcPr>
            <w:tcW w:w="1206" w:type="dxa"/>
            <w:tcBorders>
              <w:top w:val="nil"/>
              <w:left w:val="nil"/>
              <w:bottom w:val="nil"/>
              <w:right w:val="nil"/>
            </w:tcBorders>
            <w:shd w:val="clear" w:color="auto" w:fill="auto"/>
            <w:vAlign w:val="center"/>
          </w:tcPr>
          <w:p w14:paraId="04BF1CF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399.41</w:t>
            </w:r>
          </w:p>
        </w:tc>
        <w:tc>
          <w:tcPr>
            <w:tcW w:w="1151" w:type="dxa"/>
            <w:tcBorders>
              <w:top w:val="nil"/>
              <w:left w:val="nil"/>
              <w:bottom w:val="nil"/>
              <w:right w:val="nil"/>
            </w:tcBorders>
            <w:shd w:val="clear" w:color="auto" w:fill="auto"/>
            <w:vAlign w:val="center"/>
          </w:tcPr>
          <w:p w14:paraId="32C764D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396.77</w:t>
            </w:r>
          </w:p>
        </w:tc>
        <w:tc>
          <w:tcPr>
            <w:tcW w:w="1206" w:type="dxa"/>
            <w:tcBorders>
              <w:top w:val="nil"/>
              <w:left w:val="nil"/>
              <w:bottom w:val="nil"/>
              <w:right w:val="nil"/>
            </w:tcBorders>
            <w:shd w:val="clear" w:color="auto" w:fill="auto"/>
            <w:vAlign w:val="center"/>
          </w:tcPr>
          <w:p w14:paraId="26741A3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373.66</w:t>
            </w:r>
          </w:p>
        </w:tc>
        <w:tc>
          <w:tcPr>
            <w:tcW w:w="1151" w:type="dxa"/>
            <w:tcBorders>
              <w:top w:val="nil"/>
              <w:left w:val="nil"/>
              <w:bottom w:val="nil"/>
              <w:right w:val="single" w:sz="4" w:space="0" w:color="auto"/>
            </w:tcBorders>
            <w:shd w:val="clear" w:color="auto" w:fill="auto"/>
            <w:vAlign w:val="center"/>
          </w:tcPr>
          <w:p w14:paraId="4F1DA95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372.93</w:t>
            </w:r>
          </w:p>
        </w:tc>
      </w:tr>
      <w:tr w:rsidR="0085272D" w14:paraId="550D4FE2" w14:textId="77777777">
        <w:trPr>
          <w:trHeight w:val="801"/>
        </w:trPr>
        <w:tc>
          <w:tcPr>
            <w:tcW w:w="1176" w:type="dxa"/>
            <w:tcBorders>
              <w:top w:val="nil"/>
              <w:left w:val="single" w:sz="4" w:space="0" w:color="auto"/>
              <w:bottom w:val="nil"/>
              <w:right w:val="nil"/>
            </w:tcBorders>
            <w:shd w:val="clear" w:color="auto" w:fill="auto"/>
            <w:vAlign w:val="center"/>
          </w:tcPr>
          <w:p w14:paraId="5E2D8C5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0.1911</w:t>
            </w:r>
          </w:p>
        </w:tc>
        <w:tc>
          <w:tcPr>
            <w:tcW w:w="1206" w:type="dxa"/>
            <w:tcBorders>
              <w:top w:val="nil"/>
              <w:left w:val="nil"/>
              <w:bottom w:val="nil"/>
              <w:right w:val="nil"/>
            </w:tcBorders>
            <w:shd w:val="clear" w:color="auto" w:fill="auto"/>
            <w:vAlign w:val="center"/>
          </w:tcPr>
          <w:p w14:paraId="146D5D3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604.93</w:t>
            </w:r>
          </w:p>
        </w:tc>
        <w:tc>
          <w:tcPr>
            <w:tcW w:w="1151" w:type="dxa"/>
            <w:tcBorders>
              <w:top w:val="nil"/>
              <w:left w:val="nil"/>
              <w:bottom w:val="nil"/>
              <w:right w:val="nil"/>
            </w:tcBorders>
            <w:shd w:val="clear" w:color="auto" w:fill="auto"/>
            <w:vAlign w:val="center"/>
          </w:tcPr>
          <w:p w14:paraId="429DD3A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600.02</w:t>
            </w:r>
          </w:p>
        </w:tc>
        <w:tc>
          <w:tcPr>
            <w:tcW w:w="1206" w:type="dxa"/>
            <w:tcBorders>
              <w:top w:val="nil"/>
              <w:left w:val="nil"/>
              <w:bottom w:val="nil"/>
              <w:right w:val="nil"/>
            </w:tcBorders>
            <w:shd w:val="clear" w:color="auto" w:fill="auto"/>
            <w:vAlign w:val="center"/>
          </w:tcPr>
          <w:p w14:paraId="3BCCC0B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600.8</w:t>
            </w:r>
          </w:p>
        </w:tc>
        <w:tc>
          <w:tcPr>
            <w:tcW w:w="1151" w:type="dxa"/>
            <w:tcBorders>
              <w:top w:val="nil"/>
              <w:left w:val="nil"/>
              <w:bottom w:val="nil"/>
              <w:right w:val="nil"/>
            </w:tcBorders>
            <w:shd w:val="clear" w:color="auto" w:fill="auto"/>
            <w:vAlign w:val="center"/>
          </w:tcPr>
          <w:p w14:paraId="390A4F00"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598.14</w:t>
            </w:r>
          </w:p>
        </w:tc>
        <w:tc>
          <w:tcPr>
            <w:tcW w:w="1206" w:type="dxa"/>
            <w:tcBorders>
              <w:top w:val="nil"/>
              <w:left w:val="nil"/>
              <w:bottom w:val="nil"/>
              <w:right w:val="nil"/>
            </w:tcBorders>
            <w:shd w:val="clear" w:color="auto" w:fill="auto"/>
            <w:vAlign w:val="center"/>
          </w:tcPr>
          <w:p w14:paraId="5B858C0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565.22</w:t>
            </w:r>
          </w:p>
        </w:tc>
        <w:tc>
          <w:tcPr>
            <w:tcW w:w="1151" w:type="dxa"/>
            <w:tcBorders>
              <w:top w:val="nil"/>
              <w:left w:val="nil"/>
              <w:bottom w:val="nil"/>
              <w:right w:val="single" w:sz="4" w:space="0" w:color="auto"/>
            </w:tcBorders>
            <w:shd w:val="clear" w:color="auto" w:fill="auto"/>
            <w:vAlign w:val="center"/>
          </w:tcPr>
          <w:p w14:paraId="2D59473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561.12</w:t>
            </w:r>
          </w:p>
        </w:tc>
      </w:tr>
      <w:tr w:rsidR="0085272D" w14:paraId="532E2852" w14:textId="77777777">
        <w:trPr>
          <w:trHeight w:val="801"/>
        </w:trPr>
        <w:tc>
          <w:tcPr>
            <w:tcW w:w="1176" w:type="dxa"/>
            <w:tcBorders>
              <w:top w:val="nil"/>
              <w:left w:val="single" w:sz="4" w:space="0" w:color="auto"/>
              <w:bottom w:val="nil"/>
              <w:right w:val="nil"/>
            </w:tcBorders>
            <w:shd w:val="clear" w:color="auto" w:fill="auto"/>
            <w:vAlign w:val="center"/>
          </w:tcPr>
          <w:p w14:paraId="7ABE819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0.2508</w:t>
            </w:r>
          </w:p>
        </w:tc>
        <w:tc>
          <w:tcPr>
            <w:tcW w:w="1206" w:type="dxa"/>
            <w:tcBorders>
              <w:top w:val="nil"/>
              <w:left w:val="nil"/>
              <w:bottom w:val="nil"/>
              <w:right w:val="nil"/>
            </w:tcBorders>
            <w:shd w:val="clear" w:color="auto" w:fill="auto"/>
            <w:vAlign w:val="center"/>
          </w:tcPr>
          <w:p w14:paraId="797D8A2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804.65</w:t>
            </w:r>
          </w:p>
        </w:tc>
        <w:tc>
          <w:tcPr>
            <w:tcW w:w="1151" w:type="dxa"/>
            <w:tcBorders>
              <w:top w:val="nil"/>
              <w:left w:val="nil"/>
              <w:bottom w:val="nil"/>
              <w:right w:val="nil"/>
            </w:tcBorders>
            <w:shd w:val="clear" w:color="auto" w:fill="auto"/>
            <w:vAlign w:val="center"/>
          </w:tcPr>
          <w:p w14:paraId="602A5C1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800.64</w:t>
            </w:r>
          </w:p>
        </w:tc>
        <w:tc>
          <w:tcPr>
            <w:tcW w:w="1206" w:type="dxa"/>
            <w:tcBorders>
              <w:top w:val="nil"/>
              <w:left w:val="nil"/>
              <w:bottom w:val="nil"/>
              <w:right w:val="nil"/>
            </w:tcBorders>
            <w:shd w:val="clear" w:color="auto" w:fill="auto"/>
            <w:vAlign w:val="center"/>
          </w:tcPr>
          <w:p w14:paraId="541B379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799.62</w:t>
            </w:r>
          </w:p>
        </w:tc>
        <w:tc>
          <w:tcPr>
            <w:tcW w:w="1151" w:type="dxa"/>
            <w:tcBorders>
              <w:top w:val="nil"/>
              <w:left w:val="nil"/>
              <w:bottom w:val="nil"/>
              <w:right w:val="nil"/>
            </w:tcBorders>
            <w:shd w:val="clear" w:color="auto" w:fill="auto"/>
            <w:vAlign w:val="center"/>
          </w:tcPr>
          <w:p w14:paraId="333185C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798.14</w:t>
            </w:r>
          </w:p>
        </w:tc>
        <w:tc>
          <w:tcPr>
            <w:tcW w:w="1206" w:type="dxa"/>
            <w:tcBorders>
              <w:top w:val="nil"/>
              <w:left w:val="nil"/>
              <w:bottom w:val="nil"/>
              <w:right w:val="nil"/>
            </w:tcBorders>
            <w:shd w:val="clear" w:color="auto" w:fill="auto"/>
            <w:vAlign w:val="center"/>
          </w:tcPr>
          <w:p w14:paraId="0DE549C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756.35</w:t>
            </w:r>
          </w:p>
        </w:tc>
        <w:tc>
          <w:tcPr>
            <w:tcW w:w="1151" w:type="dxa"/>
            <w:tcBorders>
              <w:top w:val="nil"/>
              <w:left w:val="nil"/>
              <w:bottom w:val="nil"/>
              <w:right w:val="single" w:sz="4" w:space="0" w:color="auto"/>
            </w:tcBorders>
            <w:shd w:val="clear" w:color="auto" w:fill="auto"/>
            <w:vAlign w:val="center"/>
          </w:tcPr>
          <w:p w14:paraId="304B48A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748.26</w:t>
            </w:r>
          </w:p>
        </w:tc>
      </w:tr>
      <w:tr w:rsidR="0085272D" w14:paraId="3FCDDEDC" w14:textId="77777777">
        <w:trPr>
          <w:trHeight w:val="801"/>
        </w:trPr>
        <w:tc>
          <w:tcPr>
            <w:tcW w:w="1176" w:type="dxa"/>
            <w:tcBorders>
              <w:top w:val="nil"/>
              <w:left w:val="single" w:sz="4" w:space="0" w:color="auto"/>
              <w:bottom w:val="nil"/>
              <w:right w:val="nil"/>
            </w:tcBorders>
            <w:shd w:val="clear" w:color="auto" w:fill="auto"/>
            <w:vAlign w:val="center"/>
          </w:tcPr>
          <w:p w14:paraId="2CCDB7D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0.3077</w:t>
            </w:r>
          </w:p>
        </w:tc>
        <w:tc>
          <w:tcPr>
            <w:tcW w:w="1206" w:type="dxa"/>
            <w:tcBorders>
              <w:top w:val="nil"/>
              <w:left w:val="nil"/>
              <w:bottom w:val="nil"/>
              <w:right w:val="nil"/>
            </w:tcBorders>
            <w:shd w:val="clear" w:color="auto" w:fill="auto"/>
            <w:vAlign w:val="center"/>
          </w:tcPr>
          <w:p w14:paraId="6B129C1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1001.14</w:t>
            </w:r>
          </w:p>
        </w:tc>
        <w:tc>
          <w:tcPr>
            <w:tcW w:w="1151" w:type="dxa"/>
            <w:tcBorders>
              <w:top w:val="nil"/>
              <w:left w:val="nil"/>
              <w:bottom w:val="nil"/>
              <w:right w:val="nil"/>
            </w:tcBorders>
            <w:shd w:val="clear" w:color="auto" w:fill="auto"/>
            <w:vAlign w:val="center"/>
          </w:tcPr>
          <w:p w14:paraId="43FA977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999.7</w:t>
            </w:r>
          </w:p>
        </w:tc>
        <w:tc>
          <w:tcPr>
            <w:tcW w:w="1206" w:type="dxa"/>
            <w:tcBorders>
              <w:top w:val="nil"/>
              <w:left w:val="nil"/>
              <w:bottom w:val="nil"/>
              <w:right w:val="nil"/>
            </w:tcBorders>
            <w:shd w:val="clear" w:color="auto" w:fill="auto"/>
            <w:vAlign w:val="center"/>
          </w:tcPr>
          <w:p w14:paraId="7F916EC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995.45</w:t>
            </w:r>
          </w:p>
        </w:tc>
        <w:tc>
          <w:tcPr>
            <w:tcW w:w="1151" w:type="dxa"/>
            <w:tcBorders>
              <w:top w:val="nil"/>
              <w:left w:val="nil"/>
              <w:bottom w:val="nil"/>
              <w:right w:val="nil"/>
            </w:tcBorders>
            <w:shd w:val="clear" w:color="auto" w:fill="auto"/>
            <w:vAlign w:val="center"/>
          </w:tcPr>
          <w:p w14:paraId="0954554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996.57</w:t>
            </w:r>
          </w:p>
        </w:tc>
        <w:tc>
          <w:tcPr>
            <w:tcW w:w="1206" w:type="dxa"/>
            <w:tcBorders>
              <w:top w:val="nil"/>
              <w:left w:val="nil"/>
              <w:bottom w:val="nil"/>
              <w:right w:val="nil"/>
            </w:tcBorders>
            <w:shd w:val="clear" w:color="auto" w:fill="auto"/>
            <w:vAlign w:val="center"/>
          </w:tcPr>
          <w:p w14:paraId="0358AEF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946.49</w:t>
            </w:r>
          </w:p>
        </w:tc>
        <w:tc>
          <w:tcPr>
            <w:tcW w:w="1151" w:type="dxa"/>
            <w:tcBorders>
              <w:top w:val="nil"/>
              <w:left w:val="nil"/>
              <w:bottom w:val="nil"/>
              <w:right w:val="single" w:sz="4" w:space="0" w:color="auto"/>
            </w:tcBorders>
            <w:shd w:val="clear" w:color="auto" w:fill="auto"/>
            <w:vAlign w:val="center"/>
          </w:tcPr>
          <w:p w14:paraId="7C3CB3E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934.78</w:t>
            </w:r>
          </w:p>
        </w:tc>
      </w:tr>
      <w:tr w:rsidR="0085272D" w14:paraId="757CE126" w14:textId="77777777">
        <w:trPr>
          <w:trHeight w:val="801"/>
        </w:trPr>
        <w:tc>
          <w:tcPr>
            <w:tcW w:w="1176" w:type="dxa"/>
            <w:tcBorders>
              <w:top w:val="nil"/>
              <w:left w:val="single" w:sz="4" w:space="0" w:color="auto"/>
              <w:bottom w:val="nil"/>
              <w:right w:val="nil"/>
            </w:tcBorders>
            <w:shd w:val="clear" w:color="auto" w:fill="auto"/>
            <w:vAlign w:val="center"/>
          </w:tcPr>
          <w:p w14:paraId="57EB7E3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0.3748</w:t>
            </w:r>
          </w:p>
        </w:tc>
        <w:tc>
          <w:tcPr>
            <w:tcW w:w="1206" w:type="dxa"/>
            <w:tcBorders>
              <w:top w:val="nil"/>
              <w:left w:val="nil"/>
              <w:bottom w:val="nil"/>
              <w:right w:val="nil"/>
            </w:tcBorders>
            <w:shd w:val="clear" w:color="auto" w:fill="auto"/>
            <w:vAlign w:val="center"/>
          </w:tcPr>
          <w:p w14:paraId="00557A6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1238.58</w:t>
            </w:r>
          </w:p>
        </w:tc>
        <w:tc>
          <w:tcPr>
            <w:tcW w:w="1151" w:type="dxa"/>
            <w:tcBorders>
              <w:top w:val="nil"/>
              <w:left w:val="nil"/>
              <w:bottom w:val="nil"/>
              <w:right w:val="nil"/>
            </w:tcBorders>
            <w:shd w:val="clear" w:color="auto" w:fill="auto"/>
            <w:vAlign w:val="center"/>
          </w:tcPr>
          <w:p w14:paraId="6A451E9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1244.32</w:t>
            </w:r>
          </w:p>
        </w:tc>
        <w:tc>
          <w:tcPr>
            <w:tcW w:w="1206" w:type="dxa"/>
            <w:tcBorders>
              <w:top w:val="nil"/>
              <w:left w:val="nil"/>
              <w:bottom w:val="nil"/>
              <w:right w:val="nil"/>
            </w:tcBorders>
            <w:shd w:val="clear" w:color="auto" w:fill="auto"/>
            <w:vAlign w:val="center"/>
          </w:tcPr>
          <w:p w14:paraId="78B2DBD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1232.26</w:t>
            </w:r>
          </w:p>
        </w:tc>
        <w:tc>
          <w:tcPr>
            <w:tcW w:w="1151" w:type="dxa"/>
            <w:tcBorders>
              <w:top w:val="nil"/>
              <w:left w:val="nil"/>
              <w:bottom w:val="nil"/>
              <w:right w:val="nil"/>
            </w:tcBorders>
            <w:shd w:val="clear" w:color="auto" w:fill="auto"/>
            <w:vAlign w:val="center"/>
          </w:tcPr>
          <w:p w14:paraId="00A8F20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1240.55</w:t>
            </w:r>
          </w:p>
        </w:tc>
        <w:tc>
          <w:tcPr>
            <w:tcW w:w="1206" w:type="dxa"/>
            <w:tcBorders>
              <w:top w:val="nil"/>
              <w:left w:val="nil"/>
              <w:bottom w:val="nil"/>
              <w:right w:val="nil"/>
            </w:tcBorders>
            <w:shd w:val="clear" w:color="auto" w:fill="auto"/>
            <w:vAlign w:val="center"/>
          </w:tcPr>
          <w:p w14:paraId="6C5969B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1178.04</w:t>
            </w:r>
          </w:p>
        </w:tc>
        <w:tc>
          <w:tcPr>
            <w:tcW w:w="1151" w:type="dxa"/>
            <w:tcBorders>
              <w:top w:val="nil"/>
              <w:left w:val="nil"/>
              <w:bottom w:val="nil"/>
              <w:right w:val="single" w:sz="4" w:space="0" w:color="auto"/>
            </w:tcBorders>
            <w:shd w:val="clear" w:color="auto" w:fill="auto"/>
            <w:vAlign w:val="center"/>
          </w:tcPr>
          <w:p w14:paraId="3D3A027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1164.02</w:t>
            </w:r>
          </w:p>
        </w:tc>
      </w:tr>
      <w:tr w:rsidR="0085272D" w14:paraId="358EB37C" w14:textId="77777777">
        <w:trPr>
          <w:trHeight w:val="801"/>
        </w:trPr>
        <w:tc>
          <w:tcPr>
            <w:tcW w:w="1176" w:type="dxa"/>
            <w:tcBorders>
              <w:top w:val="nil"/>
              <w:left w:val="single" w:sz="4" w:space="0" w:color="auto"/>
              <w:bottom w:val="nil"/>
              <w:right w:val="nil"/>
            </w:tcBorders>
            <w:shd w:val="clear" w:color="auto" w:fill="auto"/>
            <w:vAlign w:val="center"/>
          </w:tcPr>
          <w:p w14:paraId="52D653CF"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0.439</w:t>
            </w:r>
          </w:p>
        </w:tc>
        <w:tc>
          <w:tcPr>
            <w:tcW w:w="1206" w:type="dxa"/>
            <w:tcBorders>
              <w:top w:val="nil"/>
              <w:left w:val="nil"/>
              <w:bottom w:val="nil"/>
              <w:right w:val="nil"/>
            </w:tcBorders>
            <w:shd w:val="clear" w:color="auto" w:fill="auto"/>
            <w:vAlign w:val="center"/>
          </w:tcPr>
          <w:p w14:paraId="035A005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1468.08</w:t>
            </w:r>
          </w:p>
        </w:tc>
        <w:tc>
          <w:tcPr>
            <w:tcW w:w="1151" w:type="dxa"/>
            <w:tcBorders>
              <w:top w:val="nil"/>
              <w:left w:val="nil"/>
              <w:bottom w:val="nil"/>
              <w:right w:val="nil"/>
            </w:tcBorders>
            <w:shd w:val="clear" w:color="auto" w:fill="auto"/>
            <w:vAlign w:val="center"/>
          </w:tcPr>
          <w:p w14:paraId="2ECC092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1487.03</w:t>
            </w:r>
          </w:p>
        </w:tc>
        <w:tc>
          <w:tcPr>
            <w:tcW w:w="1206" w:type="dxa"/>
            <w:tcBorders>
              <w:top w:val="nil"/>
              <w:left w:val="nil"/>
              <w:bottom w:val="nil"/>
              <w:right w:val="nil"/>
            </w:tcBorders>
            <w:shd w:val="clear" w:color="auto" w:fill="auto"/>
            <w:vAlign w:val="center"/>
          </w:tcPr>
          <w:p w14:paraId="64873D0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1461.97</w:t>
            </w:r>
          </w:p>
        </w:tc>
        <w:tc>
          <w:tcPr>
            <w:tcW w:w="1151" w:type="dxa"/>
            <w:tcBorders>
              <w:top w:val="nil"/>
              <w:left w:val="nil"/>
              <w:bottom w:val="nil"/>
              <w:right w:val="nil"/>
            </w:tcBorders>
            <w:shd w:val="clear" w:color="auto" w:fill="auto"/>
            <w:vAlign w:val="center"/>
          </w:tcPr>
          <w:p w14:paraId="333D5A6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1482.32</w:t>
            </w:r>
          </w:p>
        </w:tc>
        <w:tc>
          <w:tcPr>
            <w:tcW w:w="1206" w:type="dxa"/>
            <w:tcBorders>
              <w:top w:val="nil"/>
              <w:left w:val="nil"/>
              <w:bottom w:val="nil"/>
              <w:right w:val="nil"/>
            </w:tcBorders>
            <w:shd w:val="clear" w:color="auto" w:fill="auto"/>
            <w:vAlign w:val="center"/>
          </w:tcPr>
          <w:p w14:paraId="53C152D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1409.52</w:t>
            </w:r>
          </w:p>
        </w:tc>
        <w:tc>
          <w:tcPr>
            <w:tcW w:w="1151" w:type="dxa"/>
            <w:tcBorders>
              <w:top w:val="nil"/>
              <w:left w:val="nil"/>
              <w:bottom w:val="nil"/>
              <w:right w:val="single" w:sz="4" w:space="0" w:color="auto"/>
            </w:tcBorders>
            <w:shd w:val="clear" w:color="auto" w:fill="auto"/>
            <w:vAlign w:val="center"/>
          </w:tcPr>
          <w:p w14:paraId="3A930760"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1392.3</w:t>
            </w:r>
          </w:p>
        </w:tc>
      </w:tr>
      <w:tr w:rsidR="0085272D" w14:paraId="7AFD6919" w14:textId="77777777">
        <w:trPr>
          <w:trHeight w:val="801"/>
        </w:trPr>
        <w:tc>
          <w:tcPr>
            <w:tcW w:w="1176" w:type="dxa"/>
            <w:tcBorders>
              <w:top w:val="nil"/>
              <w:left w:val="single" w:sz="4" w:space="0" w:color="auto"/>
              <w:bottom w:val="nil"/>
              <w:right w:val="nil"/>
            </w:tcBorders>
            <w:shd w:val="clear" w:color="auto" w:fill="auto"/>
            <w:vAlign w:val="center"/>
          </w:tcPr>
          <w:p w14:paraId="3E886C1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0.5041</w:t>
            </w:r>
          </w:p>
        </w:tc>
        <w:tc>
          <w:tcPr>
            <w:tcW w:w="1206" w:type="dxa"/>
            <w:tcBorders>
              <w:top w:val="nil"/>
              <w:left w:val="nil"/>
              <w:bottom w:val="nil"/>
              <w:right w:val="nil"/>
            </w:tcBorders>
            <w:shd w:val="clear" w:color="auto" w:fill="auto"/>
            <w:vAlign w:val="center"/>
          </w:tcPr>
          <w:p w14:paraId="12A6C81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1697.94</w:t>
            </w:r>
          </w:p>
        </w:tc>
        <w:tc>
          <w:tcPr>
            <w:tcW w:w="1151" w:type="dxa"/>
            <w:tcBorders>
              <w:top w:val="nil"/>
              <w:left w:val="nil"/>
              <w:bottom w:val="nil"/>
              <w:right w:val="nil"/>
            </w:tcBorders>
            <w:shd w:val="clear" w:color="auto" w:fill="auto"/>
            <w:vAlign w:val="center"/>
          </w:tcPr>
          <w:p w14:paraId="2356836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1738.41</w:t>
            </w:r>
          </w:p>
        </w:tc>
        <w:tc>
          <w:tcPr>
            <w:tcW w:w="1206" w:type="dxa"/>
            <w:tcBorders>
              <w:top w:val="nil"/>
              <w:left w:val="nil"/>
              <w:bottom w:val="nil"/>
              <w:right w:val="nil"/>
            </w:tcBorders>
            <w:shd w:val="clear" w:color="auto" w:fill="auto"/>
            <w:vAlign w:val="center"/>
          </w:tcPr>
          <w:p w14:paraId="48FCD67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1691.69</w:t>
            </w:r>
          </w:p>
        </w:tc>
        <w:tc>
          <w:tcPr>
            <w:tcW w:w="1151" w:type="dxa"/>
            <w:tcBorders>
              <w:top w:val="nil"/>
              <w:left w:val="nil"/>
              <w:bottom w:val="nil"/>
              <w:right w:val="nil"/>
            </w:tcBorders>
            <w:shd w:val="clear" w:color="auto" w:fill="auto"/>
            <w:vAlign w:val="center"/>
          </w:tcPr>
          <w:p w14:paraId="26BCACAF"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1733.08</w:t>
            </w:r>
          </w:p>
        </w:tc>
        <w:tc>
          <w:tcPr>
            <w:tcW w:w="1206" w:type="dxa"/>
            <w:tcBorders>
              <w:top w:val="nil"/>
              <w:left w:val="nil"/>
              <w:bottom w:val="nil"/>
              <w:right w:val="nil"/>
            </w:tcBorders>
            <w:shd w:val="clear" w:color="auto" w:fill="auto"/>
            <w:vAlign w:val="center"/>
          </w:tcPr>
          <w:p w14:paraId="2F398F6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1638.18</w:t>
            </w:r>
          </w:p>
        </w:tc>
        <w:tc>
          <w:tcPr>
            <w:tcW w:w="1151" w:type="dxa"/>
            <w:tcBorders>
              <w:top w:val="nil"/>
              <w:left w:val="nil"/>
              <w:bottom w:val="nil"/>
              <w:right w:val="single" w:sz="4" w:space="0" w:color="auto"/>
            </w:tcBorders>
            <w:shd w:val="clear" w:color="auto" w:fill="auto"/>
            <w:vAlign w:val="center"/>
          </w:tcPr>
          <w:p w14:paraId="4E3FA72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1629.89</w:t>
            </w:r>
          </w:p>
        </w:tc>
      </w:tr>
      <w:tr w:rsidR="0085272D" w14:paraId="4B50BB50" w14:textId="77777777">
        <w:trPr>
          <w:trHeight w:val="801"/>
        </w:trPr>
        <w:tc>
          <w:tcPr>
            <w:tcW w:w="1176" w:type="dxa"/>
            <w:tcBorders>
              <w:top w:val="nil"/>
              <w:left w:val="single" w:sz="4" w:space="0" w:color="auto"/>
              <w:bottom w:val="single" w:sz="4" w:space="0" w:color="auto"/>
              <w:right w:val="nil"/>
            </w:tcBorders>
            <w:shd w:val="clear" w:color="auto" w:fill="auto"/>
            <w:vAlign w:val="center"/>
          </w:tcPr>
          <w:p w14:paraId="66B5D8A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0.5788</w:t>
            </w:r>
          </w:p>
        </w:tc>
        <w:tc>
          <w:tcPr>
            <w:tcW w:w="1206" w:type="dxa"/>
            <w:tcBorders>
              <w:top w:val="nil"/>
              <w:left w:val="nil"/>
              <w:bottom w:val="single" w:sz="4" w:space="0" w:color="auto"/>
              <w:right w:val="nil"/>
            </w:tcBorders>
            <w:shd w:val="clear" w:color="auto" w:fill="auto"/>
            <w:vAlign w:val="center"/>
          </w:tcPr>
          <w:p w14:paraId="69460A3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1960.32</w:t>
            </w:r>
          </w:p>
        </w:tc>
        <w:tc>
          <w:tcPr>
            <w:tcW w:w="1151" w:type="dxa"/>
            <w:tcBorders>
              <w:top w:val="nil"/>
              <w:left w:val="nil"/>
              <w:bottom w:val="single" w:sz="4" w:space="0" w:color="auto"/>
              <w:right w:val="nil"/>
            </w:tcBorders>
            <w:shd w:val="clear" w:color="auto" w:fill="auto"/>
            <w:vAlign w:val="center"/>
          </w:tcPr>
          <w:p w14:paraId="3F03922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2026.49</w:t>
            </w:r>
          </w:p>
        </w:tc>
        <w:tc>
          <w:tcPr>
            <w:tcW w:w="1206" w:type="dxa"/>
            <w:tcBorders>
              <w:top w:val="nil"/>
              <w:left w:val="nil"/>
              <w:bottom w:val="single" w:sz="4" w:space="0" w:color="auto"/>
              <w:right w:val="nil"/>
            </w:tcBorders>
            <w:shd w:val="clear" w:color="auto" w:fill="auto"/>
            <w:vAlign w:val="center"/>
          </w:tcPr>
          <w:p w14:paraId="070A299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1955.06</w:t>
            </w:r>
          </w:p>
        </w:tc>
        <w:tc>
          <w:tcPr>
            <w:tcW w:w="1151" w:type="dxa"/>
            <w:tcBorders>
              <w:top w:val="nil"/>
              <w:left w:val="nil"/>
              <w:bottom w:val="single" w:sz="4" w:space="0" w:color="auto"/>
              <w:right w:val="nil"/>
            </w:tcBorders>
            <w:shd w:val="clear" w:color="auto" w:fill="auto"/>
            <w:vAlign w:val="center"/>
          </w:tcPr>
          <w:p w14:paraId="2BEAA71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2020.22</w:t>
            </w:r>
          </w:p>
        </w:tc>
        <w:tc>
          <w:tcPr>
            <w:tcW w:w="1206" w:type="dxa"/>
            <w:tcBorders>
              <w:top w:val="nil"/>
              <w:left w:val="nil"/>
              <w:bottom w:val="single" w:sz="4" w:space="0" w:color="auto"/>
              <w:right w:val="nil"/>
            </w:tcBorders>
            <w:shd w:val="clear" w:color="auto" w:fill="auto"/>
            <w:vAlign w:val="center"/>
          </w:tcPr>
          <w:p w14:paraId="6419661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1913.11</w:t>
            </w:r>
          </w:p>
        </w:tc>
        <w:tc>
          <w:tcPr>
            <w:tcW w:w="1151" w:type="dxa"/>
            <w:tcBorders>
              <w:top w:val="nil"/>
              <w:left w:val="nil"/>
              <w:bottom w:val="single" w:sz="4" w:space="0" w:color="auto"/>
              <w:right w:val="single" w:sz="4" w:space="0" w:color="auto"/>
            </w:tcBorders>
            <w:shd w:val="clear" w:color="auto" w:fill="auto"/>
            <w:vAlign w:val="center"/>
          </w:tcPr>
          <w:p w14:paraId="3D6E4B6F"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1904.48</w:t>
            </w:r>
          </w:p>
        </w:tc>
      </w:tr>
    </w:tbl>
    <w:p w14:paraId="732ECBAB" w14:textId="77777777" w:rsidR="0085272D" w:rsidRDefault="0085272D">
      <w:pPr>
        <w:rPr>
          <w:b/>
        </w:rPr>
      </w:pPr>
    </w:p>
    <w:p w14:paraId="654856A1" w14:textId="77777777" w:rsidR="00764EEC" w:rsidRDefault="00764EEC"/>
    <w:tbl>
      <w:tblPr>
        <w:tblW w:w="8321" w:type="dxa"/>
        <w:tblInd w:w="198" w:type="dxa"/>
        <w:tblLayout w:type="fixed"/>
        <w:tblLook w:val="04A0" w:firstRow="1" w:lastRow="0" w:firstColumn="1" w:lastColumn="0" w:noHBand="0" w:noVBand="1"/>
      </w:tblPr>
      <w:tblGrid>
        <w:gridCol w:w="1187"/>
        <w:gridCol w:w="1217"/>
        <w:gridCol w:w="1161"/>
        <w:gridCol w:w="1217"/>
        <w:gridCol w:w="1161"/>
        <w:gridCol w:w="1217"/>
        <w:gridCol w:w="1161"/>
      </w:tblGrid>
      <w:tr w:rsidR="0085272D" w14:paraId="100F9099" w14:textId="77777777">
        <w:trPr>
          <w:trHeight w:val="775"/>
        </w:trPr>
        <w:tc>
          <w:tcPr>
            <w:tcW w:w="8321" w:type="dxa"/>
            <w:gridSpan w:val="7"/>
            <w:tcBorders>
              <w:top w:val="single" w:sz="4" w:space="0" w:color="auto"/>
              <w:left w:val="single" w:sz="4" w:space="0" w:color="auto"/>
              <w:bottom w:val="nil"/>
              <w:right w:val="single" w:sz="4" w:space="0" w:color="auto"/>
            </w:tcBorders>
            <w:shd w:val="clear" w:color="auto" w:fill="auto"/>
            <w:vAlign w:val="center"/>
          </w:tcPr>
          <w:p w14:paraId="233053E7" w14:textId="77777777" w:rsidR="0085272D" w:rsidRDefault="0096367E">
            <w:pPr>
              <w:spacing w:line="240" w:lineRule="auto"/>
              <w:jc w:val="center"/>
              <w:rPr>
                <w:rFonts w:ascii="Times New Roman" w:eastAsia="Times New Roman" w:hAnsi="Times New Roman"/>
                <w:color w:val="000000"/>
                <w:lang w:bidi="ar-SA"/>
              </w:rPr>
            </w:pPr>
            <w:r>
              <w:rPr>
                <w:rFonts w:ascii="Times New Roman" w:hAnsi="Times New Roman"/>
                <w:b/>
                <w:sz w:val="22"/>
                <w:szCs w:val="22"/>
              </w:rPr>
              <w:t>T</w:t>
            </w:r>
            <w:r>
              <w:rPr>
                <w:rFonts w:ascii="Times New Roman" w:hAnsi="Times New Roman" w:hint="eastAsia"/>
                <w:b/>
                <w:sz w:val="22"/>
                <w:szCs w:val="22"/>
                <w:lang w:eastAsia="zh-CN"/>
              </w:rPr>
              <w:t>ABEL</w:t>
            </w:r>
            <w:r>
              <w:rPr>
                <w:rFonts w:ascii="Times New Roman" w:hAnsi="Times New Roman"/>
                <w:b/>
                <w:sz w:val="22"/>
                <w:szCs w:val="22"/>
                <w:lang w:eastAsia="zh-CN"/>
              </w:rPr>
              <w:t xml:space="preserve"> </w:t>
            </w:r>
            <w:r>
              <w:rPr>
                <w:rFonts w:ascii="Times New Roman" w:hAnsi="Times New Roman"/>
                <w:b/>
                <w:sz w:val="22"/>
                <w:szCs w:val="22"/>
              </w:rPr>
              <w:t>4.2—Comparison of Simulation Results from Modified PR-EOS Model and Experimental Data from Sigmund et al. (1973) --- Corrected BIPs</w:t>
            </w:r>
          </w:p>
        </w:tc>
      </w:tr>
      <w:tr w:rsidR="0085272D" w14:paraId="6AC50149" w14:textId="77777777">
        <w:trPr>
          <w:trHeight w:val="775"/>
        </w:trPr>
        <w:tc>
          <w:tcPr>
            <w:tcW w:w="1187" w:type="dxa"/>
            <w:tcBorders>
              <w:top w:val="single" w:sz="4" w:space="0" w:color="auto"/>
              <w:left w:val="single" w:sz="4" w:space="0" w:color="auto"/>
              <w:bottom w:val="nil"/>
              <w:right w:val="nil"/>
            </w:tcBorders>
            <w:shd w:val="clear" w:color="auto" w:fill="auto"/>
            <w:vAlign w:val="center"/>
          </w:tcPr>
          <w:p w14:paraId="402B029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w:t>
            </w:r>
          </w:p>
        </w:tc>
        <w:tc>
          <w:tcPr>
            <w:tcW w:w="2378" w:type="dxa"/>
            <w:gridSpan w:val="2"/>
            <w:tcBorders>
              <w:top w:val="single" w:sz="4" w:space="0" w:color="auto"/>
              <w:left w:val="nil"/>
              <w:bottom w:val="nil"/>
              <w:right w:val="nil"/>
            </w:tcBorders>
            <w:shd w:val="clear" w:color="auto" w:fill="auto"/>
            <w:vAlign w:val="center"/>
          </w:tcPr>
          <w:p w14:paraId="4D0F3FD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Bulk</w:t>
            </w:r>
          </w:p>
        </w:tc>
        <w:tc>
          <w:tcPr>
            <w:tcW w:w="2378" w:type="dxa"/>
            <w:gridSpan w:val="2"/>
            <w:tcBorders>
              <w:top w:val="single" w:sz="4" w:space="0" w:color="auto"/>
              <w:left w:val="nil"/>
              <w:bottom w:val="nil"/>
              <w:right w:val="nil"/>
            </w:tcBorders>
            <w:shd w:val="clear" w:color="auto" w:fill="auto"/>
            <w:vAlign w:val="center"/>
          </w:tcPr>
          <w:p w14:paraId="5D11AF1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100 nm</w:t>
            </w:r>
          </w:p>
        </w:tc>
        <w:tc>
          <w:tcPr>
            <w:tcW w:w="2378" w:type="dxa"/>
            <w:gridSpan w:val="2"/>
            <w:tcBorders>
              <w:top w:val="single" w:sz="4" w:space="0" w:color="auto"/>
              <w:left w:val="nil"/>
              <w:bottom w:val="nil"/>
              <w:right w:val="single" w:sz="4" w:space="0" w:color="000000"/>
            </w:tcBorders>
            <w:shd w:val="clear" w:color="auto" w:fill="auto"/>
            <w:vAlign w:val="center"/>
          </w:tcPr>
          <w:p w14:paraId="0A75F85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10 nm</w:t>
            </w:r>
          </w:p>
        </w:tc>
      </w:tr>
      <w:tr w:rsidR="0085272D" w14:paraId="6D051B59" w14:textId="77777777">
        <w:trPr>
          <w:trHeight w:val="775"/>
        </w:trPr>
        <w:tc>
          <w:tcPr>
            <w:tcW w:w="1187" w:type="dxa"/>
            <w:tcBorders>
              <w:top w:val="nil"/>
              <w:left w:val="single" w:sz="4" w:space="0" w:color="auto"/>
              <w:bottom w:val="nil"/>
              <w:right w:val="nil"/>
            </w:tcBorders>
            <w:shd w:val="clear" w:color="auto" w:fill="auto"/>
            <w:vAlign w:val="center"/>
          </w:tcPr>
          <w:p w14:paraId="22CF4C00"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xCH4</w:t>
            </w:r>
          </w:p>
        </w:tc>
        <w:tc>
          <w:tcPr>
            <w:tcW w:w="1217" w:type="dxa"/>
            <w:tcBorders>
              <w:top w:val="nil"/>
              <w:left w:val="nil"/>
              <w:bottom w:val="nil"/>
              <w:right w:val="nil"/>
            </w:tcBorders>
            <w:shd w:val="clear" w:color="auto" w:fill="auto"/>
            <w:vAlign w:val="center"/>
          </w:tcPr>
          <w:p w14:paraId="05A366DB"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Sigmund</w:t>
            </w:r>
          </w:p>
        </w:tc>
        <w:tc>
          <w:tcPr>
            <w:tcW w:w="1161" w:type="dxa"/>
            <w:tcBorders>
              <w:top w:val="nil"/>
              <w:left w:val="nil"/>
              <w:bottom w:val="nil"/>
              <w:right w:val="nil"/>
            </w:tcBorders>
            <w:shd w:val="clear" w:color="auto" w:fill="auto"/>
            <w:vAlign w:val="center"/>
          </w:tcPr>
          <w:p w14:paraId="68ADA4A4"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mPR-EOS</w:t>
            </w:r>
          </w:p>
        </w:tc>
        <w:tc>
          <w:tcPr>
            <w:tcW w:w="1217" w:type="dxa"/>
            <w:tcBorders>
              <w:top w:val="nil"/>
              <w:left w:val="nil"/>
              <w:bottom w:val="nil"/>
              <w:right w:val="nil"/>
            </w:tcBorders>
            <w:shd w:val="clear" w:color="auto" w:fill="auto"/>
            <w:vAlign w:val="center"/>
          </w:tcPr>
          <w:p w14:paraId="6892138C"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Sigmund</w:t>
            </w:r>
          </w:p>
        </w:tc>
        <w:tc>
          <w:tcPr>
            <w:tcW w:w="1161" w:type="dxa"/>
            <w:tcBorders>
              <w:top w:val="nil"/>
              <w:left w:val="nil"/>
              <w:bottom w:val="nil"/>
              <w:right w:val="nil"/>
            </w:tcBorders>
            <w:shd w:val="clear" w:color="auto" w:fill="auto"/>
            <w:vAlign w:val="center"/>
          </w:tcPr>
          <w:p w14:paraId="4704D83F"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mPR-EOS</w:t>
            </w:r>
          </w:p>
        </w:tc>
        <w:tc>
          <w:tcPr>
            <w:tcW w:w="1217" w:type="dxa"/>
            <w:tcBorders>
              <w:top w:val="nil"/>
              <w:left w:val="nil"/>
              <w:bottom w:val="nil"/>
              <w:right w:val="nil"/>
            </w:tcBorders>
            <w:shd w:val="clear" w:color="auto" w:fill="auto"/>
            <w:vAlign w:val="center"/>
          </w:tcPr>
          <w:p w14:paraId="1FE8C26E"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Sigmund</w:t>
            </w:r>
          </w:p>
        </w:tc>
        <w:tc>
          <w:tcPr>
            <w:tcW w:w="1161" w:type="dxa"/>
            <w:tcBorders>
              <w:top w:val="nil"/>
              <w:left w:val="nil"/>
              <w:bottom w:val="nil"/>
              <w:right w:val="single" w:sz="4" w:space="0" w:color="auto"/>
            </w:tcBorders>
            <w:shd w:val="clear" w:color="auto" w:fill="auto"/>
            <w:vAlign w:val="center"/>
          </w:tcPr>
          <w:p w14:paraId="3F77ABC3" w14:textId="77777777" w:rsidR="0085272D" w:rsidRDefault="0096367E">
            <w:pPr>
              <w:spacing w:line="240" w:lineRule="auto"/>
              <w:jc w:val="center"/>
              <w:rPr>
                <w:rFonts w:ascii="Times New Roman" w:eastAsia="Times New Roman" w:hAnsi="Times New Roman"/>
                <w:color w:val="000000"/>
                <w:u w:val="single"/>
                <w:lang w:bidi="ar-SA"/>
              </w:rPr>
            </w:pPr>
            <w:r>
              <w:rPr>
                <w:rFonts w:ascii="Times New Roman" w:eastAsia="Times New Roman" w:hAnsi="Times New Roman"/>
                <w:color w:val="000000"/>
                <w:u w:val="single"/>
                <w:lang w:bidi="ar-SA"/>
              </w:rPr>
              <w:t>mPR-EOS</w:t>
            </w:r>
          </w:p>
        </w:tc>
      </w:tr>
      <w:tr w:rsidR="0085272D" w14:paraId="23FA9602" w14:textId="77777777">
        <w:trPr>
          <w:trHeight w:val="775"/>
        </w:trPr>
        <w:tc>
          <w:tcPr>
            <w:tcW w:w="1187" w:type="dxa"/>
            <w:tcBorders>
              <w:top w:val="nil"/>
              <w:left w:val="single" w:sz="4" w:space="0" w:color="auto"/>
              <w:bottom w:val="nil"/>
              <w:right w:val="nil"/>
            </w:tcBorders>
            <w:shd w:val="clear" w:color="auto" w:fill="auto"/>
            <w:vAlign w:val="center"/>
          </w:tcPr>
          <w:p w14:paraId="77F7186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0.0288</w:t>
            </w:r>
          </w:p>
        </w:tc>
        <w:tc>
          <w:tcPr>
            <w:tcW w:w="1217" w:type="dxa"/>
            <w:tcBorders>
              <w:top w:val="nil"/>
              <w:left w:val="nil"/>
              <w:bottom w:val="nil"/>
              <w:right w:val="nil"/>
            </w:tcBorders>
            <w:shd w:val="clear" w:color="auto" w:fill="auto"/>
            <w:vAlign w:val="center"/>
          </w:tcPr>
          <w:p w14:paraId="5D70C11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99.53</w:t>
            </w:r>
          </w:p>
        </w:tc>
        <w:tc>
          <w:tcPr>
            <w:tcW w:w="1161" w:type="dxa"/>
            <w:tcBorders>
              <w:top w:val="nil"/>
              <w:left w:val="nil"/>
              <w:bottom w:val="nil"/>
              <w:right w:val="nil"/>
            </w:tcBorders>
            <w:shd w:val="clear" w:color="auto" w:fill="auto"/>
            <w:vAlign w:val="center"/>
          </w:tcPr>
          <w:p w14:paraId="49ABC7A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98.14</w:t>
            </w:r>
          </w:p>
        </w:tc>
        <w:tc>
          <w:tcPr>
            <w:tcW w:w="1217" w:type="dxa"/>
            <w:tcBorders>
              <w:top w:val="nil"/>
              <w:left w:val="nil"/>
              <w:bottom w:val="nil"/>
              <w:right w:val="nil"/>
            </w:tcBorders>
            <w:shd w:val="clear" w:color="auto" w:fill="auto"/>
            <w:vAlign w:val="center"/>
          </w:tcPr>
          <w:p w14:paraId="5E170BA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98.62</w:t>
            </w:r>
          </w:p>
        </w:tc>
        <w:tc>
          <w:tcPr>
            <w:tcW w:w="1161" w:type="dxa"/>
            <w:tcBorders>
              <w:top w:val="nil"/>
              <w:left w:val="nil"/>
              <w:bottom w:val="nil"/>
              <w:right w:val="nil"/>
            </w:tcBorders>
            <w:shd w:val="clear" w:color="auto" w:fill="auto"/>
            <w:vAlign w:val="center"/>
          </w:tcPr>
          <w:p w14:paraId="352742D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97.82</w:t>
            </w:r>
          </w:p>
        </w:tc>
        <w:tc>
          <w:tcPr>
            <w:tcW w:w="1217" w:type="dxa"/>
            <w:tcBorders>
              <w:top w:val="nil"/>
              <w:left w:val="nil"/>
              <w:bottom w:val="nil"/>
              <w:right w:val="nil"/>
            </w:tcBorders>
            <w:shd w:val="clear" w:color="auto" w:fill="auto"/>
            <w:vAlign w:val="center"/>
          </w:tcPr>
          <w:p w14:paraId="3E3CE46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90.89</w:t>
            </w:r>
          </w:p>
        </w:tc>
        <w:tc>
          <w:tcPr>
            <w:tcW w:w="1161" w:type="dxa"/>
            <w:tcBorders>
              <w:top w:val="nil"/>
              <w:left w:val="nil"/>
              <w:bottom w:val="nil"/>
              <w:right w:val="single" w:sz="4" w:space="0" w:color="auto"/>
            </w:tcBorders>
            <w:shd w:val="clear" w:color="auto" w:fill="auto"/>
            <w:vAlign w:val="center"/>
          </w:tcPr>
          <w:p w14:paraId="41137EF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93.43</w:t>
            </w:r>
          </w:p>
        </w:tc>
      </w:tr>
      <w:tr w:rsidR="0085272D" w14:paraId="5AC259D6" w14:textId="77777777">
        <w:trPr>
          <w:trHeight w:val="775"/>
        </w:trPr>
        <w:tc>
          <w:tcPr>
            <w:tcW w:w="1187" w:type="dxa"/>
            <w:tcBorders>
              <w:top w:val="nil"/>
              <w:left w:val="single" w:sz="4" w:space="0" w:color="auto"/>
              <w:bottom w:val="nil"/>
              <w:right w:val="nil"/>
            </w:tcBorders>
            <w:shd w:val="clear" w:color="auto" w:fill="auto"/>
            <w:vAlign w:val="center"/>
          </w:tcPr>
          <w:p w14:paraId="5F59A11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0.0628</w:t>
            </w:r>
          </w:p>
        </w:tc>
        <w:tc>
          <w:tcPr>
            <w:tcW w:w="1217" w:type="dxa"/>
            <w:tcBorders>
              <w:top w:val="nil"/>
              <w:left w:val="nil"/>
              <w:bottom w:val="nil"/>
              <w:right w:val="nil"/>
            </w:tcBorders>
            <w:shd w:val="clear" w:color="auto" w:fill="auto"/>
            <w:vAlign w:val="center"/>
          </w:tcPr>
          <w:p w14:paraId="0C86E64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200.75</w:t>
            </w:r>
          </w:p>
        </w:tc>
        <w:tc>
          <w:tcPr>
            <w:tcW w:w="1161" w:type="dxa"/>
            <w:tcBorders>
              <w:top w:val="nil"/>
              <w:left w:val="nil"/>
              <w:bottom w:val="nil"/>
              <w:right w:val="nil"/>
            </w:tcBorders>
            <w:shd w:val="clear" w:color="auto" w:fill="auto"/>
            <w:vAlign w:val="center"/>
          </w:tcPr>
          <w:p w14:paraId="2E3DC8C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198.34</w:t>
            </w:r>
          </w:p>
        </w:tc>
        <w:tc>
          <w:tcPr>
            <w:tcW w:w="1217" w:type="dxa"/>
            <w:tcBorders>
              <w:top w:val="nil"/>
              <w:left w:val="nil"/>
              <w:bottom w:val="nil"/>
              <w:right w:val="nil"/>
            </w:tcBorders>
            <w:shd w:val="clear" w:color="auto" w:fill="auto"/>
            <w:vAlign w:val="center"/>
          </w:tcPr>
          <w:p w14:paraId="134B511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199.09</w:t>
            </w:r>
          </w:p>
        </w:tc>
        <w:tc>
          <w:tcPr>
            <w:tcW w:w="1161" w:type="dxa"/>
            <w:tcBorders>
              <w:top w:val="nil"/>
              <w:left w:val="nil"/>
              <w:bottom w:val="nil"/>
              <w:right w:val="nil"/>
            </w:tcBorders>
            <w:shd w:val="clear" w:color="auto" w:fill="auto"/>
            <w:vAlign w:val="center"/>
          </w:tcPr>
          <w:p w14:paraId="4B734D1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197.71</w:t>
            </w:r>
          </w:p>
        </w:tc>
        <w:tc>
          <w:tcPr>
            <w:tcW w:w="1217" w:type="dxa"/>
            <w:tcBorders>
              <w:top w:val="nil"/>
              <w:left w:val="nil"/>
              <w:bottom w:val="nil"/>
              <w:right w:val="nil"/>
            </w:tcBorders>
            <w:shd w:val="clear" w:color="auto" w:fill="auto"/>
            <w:vAlign w:val="center"/>
          </w:tcPr>
          <w:p w14:paraId="2161C58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184.83</w:t>
            </w:r>
          </w:p>
        </w:tc>
        <w:tc>
          <w:tcPr>
            <w:tcW w:w="1161" w:type="dxa"/>
            <w:tcBorders>
              <w:top w:val="nil"/>
              <w:left w:val="nil"/>
              <w:bottom w:val="nil"/>
              <w:right w:val="single" w:sz="4" w:space="0" w:color="auto"/>
            </w:tcBorders>
            <w:shd w:val="clear" w:color="auto" w:fill="auto"/>
            <w:vAlign w:val="center"/>
          </w:tcPr>
          <w:p w14:paraId="3EE4634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186.73</w:t>
            </w:r>
          </w:p>
        </w:tc>
      </w:tr>
      <w:tr w:rsidR="0085272D" w14:paraId="047DB5DE" w14:textId="77777777">
        <w:trPr>
          <w:trHeight w:val="775"/>
        </w:trPr>
        <w:tc>
          <w:tcPr>
            <w:tcW w:w="1187" w:type="dxa"/>
            <w:tcBorders>
              <w:top w:val="nil"/>
              <w:left w:val="single" w:sz="4" w:space="0" w:color="auto"/>
              <w:bottom w:val="nil"/>
              <w:right w:val="nil"/>
            </w:tcBorders>
            <w:shd w:val="clear" w:color="auto" w:fill="auto"/>
            <w:vAlign w:val="center"/>
          </w:tcPr>
          <w:p w14:paraId="6CFD50E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0.0957</w:t>
            </w:r>
          </w:p>
        </w:tc>
        <w:tc>
          <w:tcPr>
            <w:tcW w:w="1217" w:type="dxa"/>
            <w:tcBorders>
              <w:top w:val="nil"/>
              <w:left w:val="nil"/>
              <w:bottom w:val="nil"/>
              <w:right w:val="nil"/>
            </w:tcBorders>
            <w:shd w:val="clear" w:color="auto" w:fill="auto"/>
            <w:vAlign w:val="center"/>
          </w:tcPr>
          <w:p w14:paraId="4D16099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301.05</w:t>
            </w:r>
          </w:p>
        </w:tc>
        <w:tc>
          <w:tcPr>
            <w:tcW w:w="1161" w:type="dxa"/>
            <w:tcBorders>
              <w:top w:val="nil"/>
              <w:left w:val="nil"/>
              <w:bottom w:val="nil"/>
              <w:right w:val="nil"/>
            </w:tcBorders>
            <w:shd w:val="clear" w:color="auto" w:fill="auto"/>
            <w:vAlign w:val="center"/>
          </w:tcPr>
          <w:p w14:paraId="617B6F0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297.47</w:t>
            </w:r>
          </w:p>
        </w:tc>
        <w:tc>
          <w:tcPr>
            <w:tcW w:w="1217" w:type="dxa"/>
            <w:tcBorders>
              <w:top w:val="nil"/>
              <w:left w:val="nil"/>
              <w:bottom w:val="nil"/>
              <w:right w:val="nil"/>
            </w:tcBorders>
            <w:shd w:val="clear" w:color="auto" w:fill="auto"/>
            <w:vAlign w:val="center"/>
          </w:tcPr>
          <w:p w14:paraId="575F32B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298.7</w:t>
            </w:r>
          </w:p>
        </w:tc>
        <w:tc>
          <w:tcPr>
            <w:tcW w:w="1161" w:type="dxa"/>
            <w:tcBorders>
              <w:top w:val="nil"/>
              <w:left w:val="nil"/>
              <w:bottom w:val="nil"/>
              <w:right w:val="nil"/>
            </w:tcBorders>
            <w:shd w:val="clear" w:color="auto" w:fill="auto"/>
            <w:vAlign w:val="center"/>
          </w:tcPr>
          <w:p w14:paraId="7A2961C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296.53</w:t>
            </w:r>
          </w:p>
        </w:tc>
        <w:tc>
          <w:tcPr>
            <w:tcW w:w="1217" w:type="dxa"/>
            <w:tcBorders>
              <w:top w:val="nil"/>
              <w:left w:val="nil"/>
              <w:bottom w:val="nil"/>
              <w:right w:val="nil"/>
            </w:tcBorders>
            <w:shd w:val="clear" w:color="auto" w:fill="auto"/>
            <w:vAlign w:val="center"/>
          </w:tcPr>
          <w:p w14:paraId="2099248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278.45</w:t>
            </w:r>
          </w:p>
        </w:tc>
        <w:tc>
          <w:tcPr>
            <w:tcW w:w="1161" w:type="dxa"/>
            <w:tcBorders>
              <w:top w:val="nil"/>
              <w:left w:val="nil"/>
              <w:bottom w:val="nil"/>
              <w:right w:val="single" w:sz="4" w:space="0" w:color="auto"/>
            </w:tcBorders>
            <w:shd w:val="clear" w:color="auto" w:fill="auto"/>
            <w:vAlign w:val="center"/>
          </w:tcPr>
          <w:p w14:paraId="2E1C087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279.28</w:t>
            </w:r>
          </w:p>
        </w:tc>
      </w:tr>
      <w:tr w:rsidR="0085272D" w14:paraId="08E4E5A8" w14:textId="77777777">
        <w:trPr>
          <w:trHeight w:val="775"/>
        </w:trPr>
        <w:tc>
          <w:tcPr>
            <w:tcW w:w="1187" w:type="dxa"/>
            <w:tcBorders>
              <w:top w:val="nil"/>
              <w:left w:val="single" w:sz="4" w:space="0" w:color="auto"/>
              <w:bottom w:val="nil"/>
              <w:right w:val="nil"/>
            </w:tcBorders>
            <w:shd w:val="clear" w:color="auto" w:fill="auto"/>
            <w:vAlign w:val="center"/>
          </w:tcPr>
          <w:p w14:paraId="65B6CA0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0.1282</w:t>
            </w:r>
          </w:p>
        </w:tc>
        <w:tc>
          <w:tcPr>
            <w:tcW w:w="1217" w:type="dxa"/>
            <w:tcBorders>
              <w:top w:val="nil"/>
              <w:left w:val="nil"/>
              <w:bottom w:val="nil"/>
              <w:right w:val="nil"/>
            </w:tcBorders>
            <w:shd w:val="clear" w:color="auto" w:fill="auto"/>
            <w:vAlign w:val="center"/>
          </w:tcPr>
          <w:p w14:paraId="30727512"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402.4</w:t>
            </w:r>
          </w:p>
        </w:tc>
        <w:tc>
          <w:tcPr>
            <w:tcW w:w="1161" w:type="dxa"/>
            <w:tcBorders>
              <w:top w:val="nil"/>
              <w:left w:val="nil"/>
              <w:bottom w:val="nil"/>
              <w:right w:val="nil"/>
            </w:tcBorders>
            <w:shd w:val="clear" w:color="auto" w:fill="auto"/>
            <w:vAlign w:val="center"/>
          </w:tcPr>
          <w:p w14:paraId="3202024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398.02</w:t>
            </w:r>
          </w:p>
        </w:tc>
        <w:tc>
          <w:tcPr>
            <w:tcW w:w="1217" w:type="dxa"/>
            <w:tcBorders>
              <w:top w:val="nil"/>
              <w:left w:val="nil"/>
              <w:bottom w:val="nil"/>
              <w:right w:val="nil"/>
            </w:tcBorders>
            <w:shd w:val="clear" w:color="auto" w:fill="auto"/>
            <w:vAlign w:val="center"/>
          </w:tcPr>
          <w:p w14:paraId="121EA70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399.41</w:t>
            </w:r>
          </w:p>
        </w:tc>
        <w:tc>
          <w:tcPr>
            <w:tcW w:w="1161" w:type="dxa"/>
            <w:tcBorders>
              <w:top w:val="nil"/>
              <w:left w:val="nil"/>
              <w:bottom w:val="nil"/>
              <w:right w:val="nil"/>
            </w:tcBorders>
            <w:shd w:val="clear" w:color="auto" w:fill="auto"/>
            <w:vAlign w:val="center"/>
          </w:tcPr>
          <w:p w14:paraId="3CFB733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396.77</w:t>
            </w:r>
          </w:p>
        </w:tc>
        <w:tc>
          <w:tcPr>
            <w:tcW w:w="1217" w:type="dxa"/>
            <w:tcBorders>
              <w:top w:val="nil"/>
              <w:left w:val="nil"/>
              <w:bottom w:val="nil"/>
              <w:right w:val="nil"/>
            </w:tcBorders>
            <w:shd w:val="clear" w:color="auto" w:fill="auto"/>
            <w:vAlign w:val="center"/>
          </w:tcPr>
          <w:p w14:paraId="157FE87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373.66</w:t>
            </w:r>
          </w:p>
        </w:tc>
        <w:tc>
          <w:tcPr>
            <w:tcW w:w="1161" w:type="dxa"/>
            <w:tcBorders>
              <w:top w:val="nil"/>
              <w:left w:val="nil"/>
              <w:bottom w:val="nil"/>
              <w:right w:val="single" w:sz="4" w:space="0" w:color="auto"/>
            </w:tcBorders>
            <w:shd w:val="clear" w:color="auto" w:fill="auto"/>
            <w:vAlign w:val="center"/>
          </w:tcPr>
          <w:p w14:paraId="6706BF4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372.93</w:t>
            </w:r>
          </w:p>
        </w:tc>
      </w:tr>
      <w:tr w:rsidR="0085272D" w14:paraId="40C53EE9" w14:textId="77777777">
        <w:trPr>
          <w:trHeight w:val="775"/>
        </w:trPr>
        <w:tc>
          <w:tcPr>
            <w:tcW w:w="1187" w:type="dxa"/>
            <w:tcBorders>
              <w:top w:val="nil"/>
              <w:left w:val="single" w:sz="4" w:space="0" w:color="auto"/>
              <w:bottom w:val="nil"/>
              <w:right w:val="nil"/>
            </w:tcBorders>
            <w:shd w:val="clear" w:color="auto" w:fill="auto"/>
            <w:vAlign w:val="center"/>
          </w:tcPr>
          <w:p w14:paraId="504B0FD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0.1911</w:t>
            </w:r>
          </w:p>
        </w:tc>
        <w:tc>
          <w:tcPr>
            <w:tcW w:w="1217" w:type="dxa"/>
            <w:tcBorders>
              <w:top w:val="nil"/>
              <w:left w:val="nil"/>
              <w:bottom w:val="nil"/>
              <w:right w:val="nil"/>
            </w:tcBorders>
            <w:shd w:val="clear" w:color="auto" w:fill="auto"/>
            <w:vAlign w:val="center"/>
          </w:tcPr>
          <w:p w14:paraId="6AAC3CB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604.93</w:t>
            </w:r>
          </w:p>
        </w:tc>
        <w:tc>
          <w:tcPr>
            <w:tcW w:w="1161" w:type="dxa"/>
            <w:tcBorders>
              <w:top w:val="nil"/>
              <w:left w:val="nil"/>
              <w:bottom w:val="nil"/>
              <w:right w:val="nil"/>
            </w:tcBorders>
            <w:shd w:val="clear" w:color="auto" w:fill="auto"/>
            <w:vAlign w:val="center"/>
          </w:tcPr>
          <w:p w14:paraId="6CA32C5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600.02</w:t>
            </w:r>
          </w:p>
        </w:tc>
        <w:tc>
          <w:tcPr>
            <w:tcW w:w="1217" w:type="dxa"/>
            <w:tcBorders>
              <w:top w:val="nil"/>
              <w:left w:val="nil"/>
              <w:bottom w:val="nil"/>
              <w:right w:val="nil"/>
            </w:tcBorders>
            <w:shd w:val="clear" w:color="auto" w:fill="auto"/>
            <w:vAlign w:val="center"/>
          </w:tcPr>
          <w:p w14:paraId="4AE93EA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600.8</w:t>
            </w:r>
          </w:p>
        </w:tc>
        <w:tc>
          <w:tcPr>
            <w:tcW w:w="1161" w:type="dxa"/>
            <w:tcBorders>
              <w:top w:val="nil"/>
              <w:left w:val="nil"/>
              <w:bottom w:val="nil"/>
              <w:right w:val="nil"/>
            </w:tcBorders>
            <w:shd w:val="clear" w:color="auto" w:fill="auto"/>
            <w:vAlign w:val="center"/>
          </w:tcPr>
          <w:p w14:paraId="711665D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598.14</w:t>
            </w:r>
          </w:p>
        </w:tc>
        <w:tc>
          <w:tcPr>
            <w:tcW w:w="1217" w:type="dxa"/>
            <w:tcBorders>
              <w:top w:val="nil"/>
              <w:left w:val="nil"/>
              <w:bottom w:val="nil"/>
              <w:right w:val="nil"/>
            </w:tcBorders>
            <w:shd w:val="clear" w:color="auto" w:fill="auto"/>
            <w:vAlign w:val="center"/>
          </w:tcPr>
          <w:p w14:paraId="034EA22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565.22</w:t>
            </w:r>
          </w:p>
        </w:tc>
        <w:tc>
          <w:tcPr>
            <w:tcW w:w="1161" w:type="dxa"/>
            <w:tcBorders>
              <w:top w:val="nil"/>
              <w:left w:val="nil"/>
              <w:bottom w:val="nil"/>
              <w:right w:val="single" w:sz="4" w:space="0" w:color="auto"/>
            </w:tcBorders>
            <w:shd w:val="clear" w:color="auto" w:fill="auto"/>
            <w:vAlign w:val="center"/>
          </w:tcPr>
          <w:p w14:paraId="7AAFAE7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561.12</w:t>
            </w:r>
          </w:p>
        </w:tc>
      </w:tr>
      <w:tr w:rsidR="0085272D" w14:paraId="065C58A9" w14:textId="77777777">
        <w:trPr>
          <w:trHeight w:val="775"/>
        </w:trPr>
        <w:tc>
          <w:tcPr>
            <w:tcW w:w="1187" w:type="dxa"/>
            <w:tcBorders>
              <w:top w:val="nil"/>
              <w:left w:val="single" w:sz="4" w:space="0" w:color="auto"/>
              <w:bottom w:val="nil"/>
              <w:right w:val="nil"/>
            </w:tcBorders>
            <w:shd w:val="clear" w:color="auto" w:fill="auto"/>
            <w:vAlign w:val="center"/>
          </w:tcPr>
          <w:p w14:paraId="6A0B513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0.2508</w:t>
            </w:r>
          </w:p>
        </w:tc>
        <w:tc>
          <w:tcPr>
            <w:tcW w:w="1217" w:type="dxa"/>
            <w:tcBorders>
              <w:top w:val="nil"/>
              <w:left w:val="nil"/>
              <w:bottom w:val="nil"/>
              <w:right w:val="nil"/>
            </w:tcBorders>
            <w:shd w:val="clear" w:color="auto" w:fill="auto"/>
            <w:vAlign w:val="center"/>
          </w:tcPr>
          <w:p w14:paraId="4F37FD1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804.65</w:t>
            </w:r>
          </w:p>
        </w:tc>
        <w:tc>
          <w:tcPr>
            <w:tcW w:w="1161" w:type="dxa"/>
            <w:tcBorders>
              <w:top w:val="nil"/>
              <w:left w:val="nil"/>
              <w:bottom w:val="nil"/>
              <w:right w:val="nil"/>
            </w:tcBorders>
            <w:shd w:val="clear" w:color="auto" w:fill="auto"/>
            <w:vAlign w:val="center"/>
          </w:tcPr>
          <w:p w14:paraId="31F4CE6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800.64</w:t>
            </w:r>
          </w:p>
        </w:tc>
        <w:tc>
          <w:tcPr>
            <w:tcW w:w="1217" w:type="dxa"/>
            <w:tcBorders>
              <w:top w:val="nil"/>
              <w:left w:val="nil"/>
              <w:bottom w:val="nil"/>
              <w:right w:val="nil"/>
            </w:tcBorders>
            <w:shd w:val="clear" w:color="auto" w:fill="auto"/>
            <w:vAlign w:val="center"/>
          </w:tcPr>
          <w:p w14:paraId="179EC24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799.62</w:t>
            </w:r>
          </w:p>
        </w:tc>
        <w:tc>
          <w:tcPr>
            <w:tcW w:w="1161" w:type="dxa"/>
            <w:tcBorders>
              <w:top w:val="nil"/>
              <w:left w:val="nil"/>
              <w:bottom w:val="nil"/>
              <w:right w:val="nil"/>
            </w:tcBorders>
            <w:shd w:val="clear" w:color="auto" w:fill="auto"/>
            <w:vAlign w:val="center"/>
          </w:tcPr>
          <w:p w14:paraId="408FB92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798.14</w:t>
            </w:r>
          </w:p>
        </w:tc>
        <w:tc>
          <w:tcPr>
            <w:tcW w:w="1217" w:type="dxa"/>
            <w:tcBorders>
              <w:top w:val="nil"/>
              <w:left w:val="nil"/>
              <w:bottom w:val="nil"/>
              <w:right w:val="nil"/>
            </w:tcBorders>
            <w:shd w:val="clear" w:color="auto" w:fill="auto"/>
            <w:vAlign w:val="center"/>
          </w:tcPr>
          <w:p w14:paraId="64BE7F6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756.35</w:t>
            </w:r>
          </w:p>
        </w:tc>
        <w:tc>
          <w:tcPr>
            <w:tcW w:w="1161" w:type="dxa"/>
            <w:tcBorders>
              <w:top w:val="nil"/>
              <w:left w:val="nil"/>
              <w:bottom w:val="nil"/>
              <w:right w:val="single" w:sz="4" w:space="0" w:color="auto"/>
            </w:tcBorders>
            <w:shd w:val="clear" w:color="auto" w:fill="auto"/>
            <w:vAlign w:val="center"/>
          </w:tcPr>
          <w:p w14:paraId="7B299C4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748.26</w:t>
            </w:r>
          </w:p>
        </w:tc>
      </w:tr>
      <w:tr w:rsidR="0085272D" w14:paraId="51C14A61" w14:textId="77777777">
        <w:trPr>
          <w:trHeight w:val="775"/>
        </w:trPr>
        <w:tc>
          <w:tcPr>
            <w:tcW w:w="1187" w:type="dxa"/>
            <w:tcBorders>
              <w:top w:val="nil"/>
              <w:left w:val="single" w:sz="4" w:space="0" w:color="auto"/>
              <w:bottom w:val="nil"/>
              <w:right w:val="nil"/>
            </w:tcBorders>
            <w:shd w:val="clear" w:color="auto" w:fill="auto"/>
            <w:vAlign w:val="center"/>
          </w:tcPr>
          <w:p w14:paraId="1FC2065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0.3077</w:t>
            </w:r>
          </w:p>
        </w:tc>
        <w:tc>
          <w:tcPr>
            <w:tcW w:w="1217" w:type="dxa"/>
            <w:tcBorders>
              <w:top w:val="nil"/>
              <w:left w:val="nil"/>
              <w:bottom w:val="nil"/>
              <w:right w:val="nil"/>
            </w:tcBorders>
            <w:shd w:val="clear" w:color="auto" w:fill="auto"/>
            <w:vAlign w:val="center"/>
          </w:tcPr>
          <w:p w14:paraId="717AF5C0"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1001.14</w:t>
            </w:r>
          </w:p>
        </w:tc>
        <w:tc>
          <w:tcPr>
            <w:tcW w:w="1161" w:type="dxa"/>
            <w:tcBorders>
              <w:top w:val="nil"/>
              <w:left w:val="nil"/>
              <w:bottom w:val="nil"/>
              <w:right w:val="nil"/>
            </w:tcBorders>
            <w:shd w:val="clear" w:color="auto" w:fill="auto"/>
            <w:vAlign w:val="center"/>
          </w:tcPr>
          <w:p w14:paraId="1532AA0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999.7</w:t>
            </w:r>
          </w:p>
        </w:tc>
        <w:tc>
          <w:tcPr>
            <w:tcW w:w="1217" w:type="dxa"/>
            <w:tcBorders>
              <w:top w:val="nil"/>
              <w:left w:val="nil"/>
              <w:bottom w:val="nil"/>
              <w:right w:val="nil"/>
            </w:tcBorders>
            <w:shd w:val="clear" w:color="auto" w:fill="auto"/>
            <w:vAlign w:val="center"/>
          </w:tcPr>
          <w:p w14:paraId="53B1C24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995.45</w:t>
            </w:r>
          </w:p>
        </w:tc>
        <w:tc>
          <w:tcPr>
            <w:tcW w:w="1161" w:type="dxa"/>
            <w:tcBorders>
              <w:top w:val="nil"/>
              <w:left w:val="nil"/>
              <w:bottom w:val="nil"/>
              <w:right w:val="nil"/>
            </w:tcBorders>
            <w:shd w:val="clear" w:color="auto" w:fill="auto"/>
            <w:vAlign w:val="center"/>
          </w:tcPr>
          <w:p w14:paraId="65781C8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996.57</w:t>
            </w:r>
          </w:p>
        </w:tc>
        <w:tc>
          <w:tcPr>
            <w:tcW w:w="1217" w:type="dxa"/>
            <w:tcBorders>
              <w:top w:val="nil"/>
              <w:left w:val="nil"/>
              <w:bottom w:val="nil"/>
              <w:right w:val="nil"/>
            </w:tcBorders>
            <w:shd w:val="clear" w:color="auto" w:fill="auto"/>
            <w:vAlign w:val="center"/>
          </w:tcPr>
          <w:p w14:paraId="4BEB39F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946.49</w:t>
            </w:r>
          </w:p>
        </w:tc>
        <w:tc>
          <w:tcPr>
            <w:tcW w:w="1161" w:type="dxa"/>
            <w:tcBorders>
              <w:top w:val="nil"/>
              <w:left w:val="nil"/>
              <w:bottom w:val="nil"/>
              <w:right w:val="single" w:sz="4" w:space="0" w:color="auto"/>
            </w:tcBorders>
            <w:shd w:val="clear" w:color="auto" w:fill="auto"/>
            <w:vAlign w:val="center"/>
          </w:tcPr>
          <w:p w14:paraId="1A1C7BA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934.78</w:t>
            </w:r>
          </w:p>
        </w:tc>
      </w:tr>
      <w:tr w:rsidR="0085272D" w14:paraId="14D9B3E0" w14:textId="77777777">
        <w:trPr>
          <w:trHeight w:val="775"/>
        </w:trPr>
        <w:tc>
          <w:tcPr>
            <w:tcW w:w="1187" w:type="dxa"/>
            <w:tcBorders>
              <w:top w:val="nil"/>
              <w:left w:val="single" w:sz="4" w:space="0" w:color="auto"/>
              <w:bottom w:val="nil"/>
              <w:right w:val="nil"/>
            </w:tcBorders>
            <w:shd w:val="clear" w:color="auto" w:fill="auto"/>
            <w:vAlign w:val="center"/>
          </w:tcPr>
          <w:p w14:paraId="7F4F3D5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0.3748</w:t>
            </w:r>
          </w:p>
        </w:tc>
        <w:tc>
          <w:tcPr>
            <w:tcW w:w="1217" w:type="dxa"/>
            <w:tcBorders>
              <w:top w:val="nil"/>
              <w:left w:val="nil"/>
              <w:bottom w:val="nil"/>
              <w:right w:val="nil"/>
            </w:tcBorders>
            <w:shd w:val="clear" w:color="auto" w:fill="auto"/>
            <w:vAlign w:val="center"/>
          </w:tcPr>
          <w:p w14:paraId="1DF1CF4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1238.58</w:t>
            </w:r>
          </w:p>
        </w:tc>
        <w:tc>
          <w:tcPr>
            <w:tcW w:w="1161" w:type="dxa"/>
            <w:tcBorders>
              <w:top w:val="nil"/>
              <w:left w:val="nil"/>
              <w:bottom w:val="nil"/>
              <w:right w:val="nil"/>
            </w:tcBorders>
            <w:shd w:val="clear" w:color="auto" w:fill="auto"/>
            <w:vAlign w:val="center"/>
          </w:tcPr>
          <w:p w14:paraId="60A8F2E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1244.32</w:t>
            </w:r>
          </w:p>
        </w:tc>
        <w:tc>
          <w:tcPr>
            <w:tcW w:w="1217" w:type="dxa"/>
            <w:tcBorders>
              <w:top w:val="nil"/>
              <w:left w:val="nil"/>
              <w:bottom w:val="nil"/>
              <w:right w:val="nil"/>
            </w:tcBorders>
            <w:shd w:val="clear" w:color="auto" w:fill="auto"/>
            <w:vAlign w:val="center"/>
          </w:tcPr>
          <w:p w14:paraId="4C7BCFF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1232.26</w:t>
            </w:r>
          </w:p>
        </w:tc>
        <w:tc>
          <w:tcPr>
            <w:tcW w:w="1161" w:type="dxa"/>
            <w:tcBorders>
              <w:top w:val="nil"/>
              <w:left w:val="nil"/>
              <w:bottom w:val="nil"/>
              <w:right w:val="nil"/>
            </w:tcBorders>
            <w:shd w:val="clear" w:color="auto" w:fill="auto"/>
            <w:vAlign w:val="center"/>
          </w:tcPr>
          <w:p w14:paraId="44E682E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1240.55</w:t>
            </w:r>
          </w:p>
        </w:tc>
        <w:tc>
          <w:tcPr>
            <w:tcW w:w="1217" w:type="dxa"/>
            <w:tcBorders>
              <w:top w:val="nil"/>
              <w:left w:val="nil"/>
              <w:bottom w:val="nil"/>
              <w:right w:val="nil"/>
            </w:tcBorders>
            <w:shd w:val="clear" w:color="auto" w:fill="auto"/>
            <w:vAlign w:val="center"/>
          </w:tcPr>
          <w:p w14:paraId="5A38FD5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1178.04</w:t>
            </w:r>
          </w:p>
        </w:tc>
        <w:tc>
          <w:tcPr>
            <w:tcW w:w="1161" w:type="dxa"/>
            <w:tcBorders>
              <w:top w:val="nil"/>
              <w:left w:val="nil"/>
              <w:bottom w:val="nil"/>
              <w:right w:val="single" w:sz="4" w:space="0" w:color="auto"/>
            </w:tcBorders>
            <w:shd w:val="clear" w:color="auto" w:fill="auto"/>
            <w:vAlign w:val="center"/>
          </w:tcPr>
          <w:p w14:paraId="575C8EA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1164.02</w:t>
            </w:r>
          </w:p>
        </w:tc>
      </w:tr>
      <w:tr w:rsidR="0085272D" w14:paraId="651967D4" w14:textId="77777777">
        <w:trPr>
          <w:trHeight w:val="775"/>
        </w:trPr>
        <w:tc>
          <w:tcPr>
            <w:tcW w:w="1187" w:type="dxa"/>
            <w:tcBorders>
              <w:top w:val="nil"/>
              <w:left w:val="single" w:sz="4" w:space="0" w:color="auto"/>
              <w:bottom w:val="nil"/>
              <w:right w:val="nil"/>
            </w:tcBorders>
            <w:shd w:val="clear" w:color="auto" w:fill="auto"/>
            <w:vAlign w:val="center"/>
          </w:tcPr>
          <w:p w14:paraId="7ED660FA"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0.439</w:t>
            </w:r>
          </w:p>
        </w:tc>
        <w:tc>
          <w:tcPr>
            <w:tcW w:w="1217" w:type="dxa"/>
            <w:tcBorders>
              <w:top w:val="nil"/>
              <w:left w:val="nil"/>
              <w:bottom w:val="nil"/>
              <w:right w:val="nil"/>
            </w:tcBorders>
            <w:shd w:val="clear" w:color="auto" w:fill="auto"/>
            <w:vAlign w:val="center"/>
          </w:tcPr>
          <w:p w14:paraId="0153576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1468.08</w:t>
            </w:r>
          </w:p>
        </w:tc>
        <w:tc>
          <w:tcPr>
            <w:tcW w:w="1161" w:type="dxa"/>
            <w:tcBorders>
              <w:top w:val="nil"/>
              <w:left w:val="nil"/>
              <w:bottom w:val="nil"/>
              <w:right w:val="nil"/>
            </w:tcBorders>
            <w:shd w:val="clear" w:color="auto" w:fill="auto"/>
            <w:vAlign w:val="center"/>
          </w:tcPr>
          <w:p w14:paraId="754CB23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1487.03</w:t>
            </w:r>
          </w:p>
        </w:tc>
        <w:tc>
          <w:tcPr>
            <w:tcW w:w="1217" w:type="dxa"/>
            <w:tcBorders>
              <w:top w:val="nil"/>
              <w:left w:val="nil"/>
              <w:bottom w:val="nil"/>
              <w:right w:val="nil"/>
            </w:tcBorders>
            <w:shd w:val="clear" w:color="auto" w:fill="auto"/>
            <w:vAlign w:val="center"/>
          </w:tcPr>
          <w:p w14:paraId="1A5D600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1461.97</w:t>
            </w:r>
          </w:p>
        </w:tc>
        <w:tc>
          <w:tcPr>
            <w:tcW w:w="1161" w:type="dxa"/>
            <w:tcBorders>
              <w:top w:val="nil"/>
              <w:left w:val="nil"/>
              <w:bottom w:val="nil"/>
              <w:right w:val="nil"/>
            </w:tcBorders>
            <w:shd w:val="clear" w:color="auto" w:fill="auto"/>
            <w:vAlign w:val="center"/>
          </w:tcPr>
          <w:p w14:paraId="0B3A3B4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1482.32</w:t>
            </w:r>
          </w:p>
        </w:tc>
        <w:tc>
          <w:tcPr>
            <w:tcW w:w="1217" w:type="dxa"/>
            <w:tcBorders>
              <w:top w:val="nil"/>
              <w:left w:val="nil"/>
              <w:bottom w:val="nil"/>
              <w:right w:val="nil"/>
            </w:tcBorders>
            <w:shd w:val="clear" w:color="auto" w:fill="auto"/>
            <w:vAlign w:val="center"/>
          </w:tcPr>
          <w:p w14:paraId="5400A586"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1409.52</w:t>
            </w:r>
          </w:p>
        </w:tc>
        <w:tc>
          <w:tcPr>
            <w:tcW w:w="1161" w:type="dxa"/>
            <w:tcBorders>
              <w:top w:val="nil"/>
              <w:left w:val="nil"/>
              <w:bottom w:val="nil"/>
              <w:right w:val="single" w:sz="4" w:space="0" w:color="auto"/>
            </w:tcBorders>
            <w:shd w:val="clear" w:color="auto" w:fill="auto"/>
            <w:vAlign w:val="center"/>
          </w:tcPr>
          <w:p w14:paraId="37DAEF41"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1392.3</w:t>
            </w:r>
          </w:p>
        </w:tc>
      </w:tr>
      <w:tr w:rsidR="0085272D" w14:paraId="2E792C74" w14:textId="77777777">
        <w:trPr>
          <w:trHeight w:val="775"/>
        </w:trPr>
        <w:tc>
          <w:tcPr>
            <w:tcW w:w="1187" w:type="dxa"/>
            <w:tcBorders>
              <w:top w:val="nil"/>
              <w:left w:val="single" w:sz="4" w:space="0" w:color="auto"/>
              <w:bottom w:val="nil"/>
              <w:right w:val="nil"/>
            </w:tcBorders>
            <w:shd w:val="clear" w:color="auto" w:fill="auto"/>
            <w:vAlign w:val="center"/>
          </w:tcPr>
          <w:p w14:paraId="1AB11A57"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0.5041</w:t>
            </w:r>
          </w:p>
        </w:tc>
        <w:tc>
          <w:tcPr>
            <w:tcW w:w="1217" w:type="dxa"/>
            <w:tcBorders>
              <w:top w:val="nil"/>
              <w:left w:val="nil"/>
              <w:bottom w:val="nil"/>
              <w:right w:val="nil"/>
            </w:tcBorders>
            <w:shd w:val="clear" w:color="auto" w:fill="auto"/>
            <w:vAlign w:val="center"/>
          </w:tcPr>
          <w:p w14:paraId="174C4BC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1697.94</w:t>
            </w:r>
          </w:p>
        </w:tc>
        <w:tc>
          <w:tcPr>
            <w:tcW w:w="1161" w:type="dxa"/>
            <w:tcBorders>
              <w:top w:val="nil"/>
              <w:left w:val="nil"/>
              <w:bottom w:val="nil"/>
              <w:right w:val="nil"/>
            </w:tcBorders>
            <w:shd w:val="clear" w:color="auto" w:fill="auto"/>
            <w:vAlign w:val="center"/>
          </w:tcPr>
          <w:p w14:paraId="6503F8C4"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1738.41</w:t>
            </w:r>
          </w:p>
        </w:tc>
        <w:tc>
          <w:tcPr>
            <w:tcW w:w="1217" w:type="dxa"/>
            <w:tcBorders>
              <w:top w:val="nil"/>
              <w:left w:val="nil"/>
              <w:bottom w:val="nil"/>
              <w:right w:val="nil"/>
            </w:tcBorders>
            <w:shd w:val="clear" w:color="auto" w:fill="auto"/>
            <w:vAlign w:val="center"/>
          </w:tcPr>
          <w:p w14:paraId="646B717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1691.69</w:t>
            </w:r>
          </w:p>
        </w:tc>
        <w:tc>
          <w:tcPr>
            <w:tcW w:w="1161" w:type="dxa"/>
            <w:tcBorders>
              <w:top w:val="nil"/>
              <w:left w:val="nil"/>
              <w:bottom w:val="nil"/>
              <w:right w:val="nil"/>
            </w:tcBorders>
            <w:shd w:val="clear" w:color="auto" w:fill="auto"/>
            <w:vAlign w:val="center"/>
          </w:tcPr>
          <w:p w14:paraId="08ED8CA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1733.08</w:t>
            </w:r>
          </w:p>
        </w:tc>
        <w:tc>
          <w:tcPr>
            <w:tcW w:w="1217" w:type="dxa"/>
            <w:tcBorders>
              <w:top w:val="nil"/>
              <w:left w:val="nil"/>
              <w:bottom w:val="nil"/>
              <w:right w:val="nil"/>
            </w:tcBorders>
            <w:shd w:val="clear" w:color="auto" w:fill="auto"/>
            <w:vAlign w:val="center"/>
          </w:tcPr>
          <w:p w14:paraId="1C3A682C"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1638.18</w:t>
            </w:r>
          </w:p>
        </w:tc>
        <w:tc>
          <w:tcPr>
            <w:tcW w:w="1161" w:type="dxa"/>
            <w:tcBorders>
              <w:top w:val="nil"/>
              <w:left w:val="nil"/>
              <w:bottom w:val="nil"/>
              <w:right w:val="single" w:sz="4" w:space="0" w:color="auto"/>
            </w:tcBorders>
            <w:shd w:val="clear" w:color="auto" w:fill="auto"/>
            <w:vAlign w:val="center"/>
          </w:tcPr>
          <w:p w14:paraId="07BB109E"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 1629.89</w:t>
            </w:r>
          </w:p>
        </w:tc>
      </w:tr>
      <w:tr w:rsidR="0085272D" w14:paraId="015BB173" w14:textId="77777777">
        <w:trPr>
          <w:trHeight w:val="775"/>
        </w:trPr>
        <w:tc>
          <w:tcPr>
            <w:tcW w:w="1187" w:type="dxa"/>
            <w:tcBorders>
              <w:top w:val="nil"/>
              <w:left w:val="single" w:sz="4" w:space="0" w:color="auto"/>
              <w:bottom w:val="single" w:sz="4" w:space="0" w:color="auto"/>
              <w:right w:val="nil"/>
            </w:tcBorders>
            <w:shd w:val="clear" w:color="auto" w:fill="auto"/>
            <w:vAlign w:val="center"/>
          </w:tcPr>
          <w:p w14:paraId="79AB3AAD"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0.5788</w:t>
            </w:r>
          </w:p>
        </w:tc>
        <w:tc>
          <w:tcPr>
            <w:tcW w:w="1217" w:type="dxa"/>
            <w:tcBorders>
              <w:top w:val="nil"/>
              <w:left w:val="nil"/>
              <w:bottom w:val="single" w:sz="4" w:space="0" w:color="auto"/>
              <w:right w:val="nil"/>
            </w:tcBorders>
            <w:shd w:val="clear" w:color="auto" w:fill="auto"/>
            <w:vAlign w:val="center"/>
          </w:tcPr>
          <w:p w14:paraId="38F6E533"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1960.32</w:t>
            </w:r>
          </w:p>
        </w:tc>
        <w:tc>
          <w:tcPr>
            <w:tcW w:w="1161" w:type="dxa"/>
            <w:tcBorders>
              <w:top w:val="nil"/>
              <w:left w:val="nil"/>
              <w:bottom w:val="single" w:sz="4" w:space="0" w:color="auto"/>
              <w:right w:val="nil"/>
            </w:tcBorders>
            <w:shd w:val="clear" w:color="auto" w:fill="auto"/>
            <w:vAlign w:val="center"/>
          </w:tcPr>
          <w:p w14:paraId="72C3B429"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2026.49</w:t>
            </w:r>
          </w:p>
        </w:tc>
        <w:tc>
          <w:tcPr>
            <w:tcW w:w="1217" w:type="dxa"/>
            <w:tcBorders>
              <w:top w:val="nil"/>
              <w:left w:val="nil"/>
              <w:bottom w:val="single" w:sz="4" w:space="0" w:color="auto"/>
              <w:right w:val="nil"/>
            </w:tcBorders>
            <w:shd w:val="clear" w:color="auto" w:fill="auto"/>
            <w:vAlign w:val="center"/>
          </w:tcPr>
          <w:p w14:paraId="58E3728B"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1955.06</w:t>
            </w:r>
          </w:p>
        </w:tc>
        <w:tc>
          <w:tcPr>
            <w:tcW w:w="1161" w:type="dxa"/>
            <w:tcBorders>
              <w:top w:val="nil"/>
              <w:left w:val="nil"/>
              <w:bottom w:val="single" w:sz="4" w:space="0" w:color="auto"/>
              <w:right w:val="nil"/>
            </w:tcBorders>
            <w:shd w:val="clear" w:color="auto" w:fill="auto"/>
            <w:vAlign w:val="center"/>
          </w:tcPr>
          <w:p w14:paraId="28AE1CD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2020.22</w:t>
            </w:r>
          </w:p>
        </w:tc>
        <w:tc>
          <w:tcPr>
            <w:tcW w:w="1217" w:type="dxa"/>
            <w:tcBorders>
              <w:top w:val="nil"/>
              <w:left w:val="nil"/>
              <w:bottom w:val="single" w:sz="4" w:space="0" w:color="auto"/>
              <w:right w:val="nil"/>
            </w:tcBorders>
            <w:shd w:val="clear" w:color="auto" w:fill="auto"/>
            <w:vAlign w:val="center"/>
          </w:tcPr>
          <w:p w14:paraId="3A94E528"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1913.11</w:t>
            </w:r>
          </w:p>
        </w:tc>
        <w:tc>
          <w:tcPr>
            <w:tcW w:w="1161" w:type="dxa"/>
            <w:tcBorders>
              <w:top w:val="nil"/>
              <w:left w:val="nil"/>
              <w:bottom w:val="single" w:sz="4" w:space="0" w:color="auto"/>
              <w:right w:val="single" w:sz="4" w:space="0" w:color="auto"/>
            </w:tcBorders>
            <w:shd w:val="clear" w:color="auto" w:fill="auto"/>
            <w:vAlign w:val="center"/>
          </w:tcPr>
          <w:p w14:paraId="7D27F7D5" w14:textId="77777777" w:rsidR="0085272D" w:rsidRDefault="0096367E">
            <w:pPr>
              <w:spacing w:line="240" w:lineRule="auto"/>
              <w:jc w:val="center"/>
              <w:rPr>
                <w:rFonts w:ascii="Times New Roman" w:eastAsia="Times New Roman" w:hAnsi="Times New Roman"/>
                <w:color w:val="000000"/>
                <w:lang w:bidi="ar-SA"/>
              </w:rPr>
            </w:pPr>
            <w:r>
              <w:rPr>
                <w:rFonts w:ascii="Times New Roman" w:eastAsia="Times New Roman" w:hAnsi="Times New Roman"/>
                <w:color w:val="000000"/>
                <w:lang w:bidi="ar-SA"/>
              </w:rPr>
              <w:t>1904.48</w:t>
            </w:r>
          </w:p>
        </w:tc>
      </w:tr>
    </w:tbl>
    <w:p w14:paraId="35B3410D" w14:textId="77777777" w:rsidR="0085272D" w:rsidRDefault="0085272D">
      <w:pPr>
        <w:rPr>
          <w:rFonts w:asciiTheme="majorHAnsi" w:hAnsiTheme="majorHAnsi"/>
          <w:bCs/>
          <w:i/>
        </w:rPr>
      </w:pPr>
    </w:p>
    <w:p w14:paraId="38D35303" w14:textId="77777777" w:rsidR="00764EEC" w:rsidRDefault="00764EEC"/>
    <w:p w14:paraId="1E245D61" w14:textId="77777777" w:rsidR="0085272D" w:rsidRDefault="0096367E">
      <w:pPr>
        <w:pStyle w:val="Heading3"/>
      </w:pPr>
      <w:bookmarkStart w:id="33" w:name="_Toc508114151"/>
      <w:r>
        <w:t>4.1.2 Validation of SLD-PR model for Density Profiles of Confined Fluid</w:t>
      </w:r>
      <w:bookmarkEnd w:id="33"/>
    </w:p>
    <w:p w14:paraId="741F0A0F" w14:textId="5B502051" w:rsidR="0085272D" w:rsidRDefault="0096367E">
      <w:pPr>
        <w:jc w:val="both"/>
      </w:pPr>
      <w:r>
        <w:t xml:space="preserve">The purpose of this section is to test the SLD-PR model against the results </w:t>
      </w:r>
      <w:r>
        <w:rPr>
          <w:rFonts w:hint="eastAsia"/>
          <w:lang w:eastAsia="zh-CN"/>
        </w:rPr>
        <w:t xml:space="preserve">available from similar scenarios </w:t>
      </w:r>
      <w:r>
        <w:t xml:space="preserve">in the literature to check the accuracy of the model. </w:t>
      </w:r>
      <w:r>
        <w:rPr>
          <w:lang w:eastAsia="zh-CN"/>
        </w:rPr>
        <w:t xml:space="preserve">Ambrose (2011) obtained pure methane density profiles for different pore widths under </w:t>
      </w:r>
      <w:r>
        <w:t xml:space="preserve">176 °F and 3043 psi using molecular dynamic techniques. The </w:t>
      </w:r>
      <w:r>
        <w:rPr>
          <w:lang w:eastAsia="zh-CN"/>
        </w:rPr>
        <w:t>density profiles obtained by Ambrose (2011) are presented in two ways: number-density profiles and discrete mass density profiles. The number-density profiles are obtained directly from molecular simulation</w:t>
      </w:r>
      <w:r>
        <w:rPr>
          <w:b/>
          <w:lang w:eastAsia="zh-CN"/>
        </w:rPr>
        <w:t xml:space="preserve"> </w:t>
      </w:r>
      <w:r>
        <w:rPr>
          <w:lang w:eastAsia="zh-CN"/>
        </w:rPr>
        <w:t xml:space="preserve">by counting the number of methane molecules for every 0.38 nm wide integral across the pore. The number density was then converted to local mass density to obtain the discrete mass density profile. </w:t>
      </w:r>
      <w:r>
        <w:rPr>
          <w:b/>
          <w:lang w:eastAsia="zh-CN"/>
        </w:rPr>
        <w:t>Figure 4.1</w:t>
      </w:r>
      <w:r>
        <w:rPr>
          <w:lang w:eastAsia="zh-CN"/>
        </w:rPr>
        <w:t xml:space="preserve"> gives the half methane density profiles in a 3.73 nm wide pore calculated from </w:t>
      </w:r>
      <w:r>
        <w:t xml:space="preserve">molecular dynamics performed </w:t>
      </w:r>
      <w:r>
        <w:rPr>
          <w:lang w:eastAsia="zh-CN"/>
        </w:rPr>
        <w:t xml:space="preserve">by Ambrose (2011) as an example to show the shape of number-density profile (left) and discrete mass density profile (right). Here, the mass density profiles from molecular simulation to those obtained from SLD model since in SLD model the number of molecules is not defined. However, the density profiles calculated from SLD model are continuous profiles rather than discrete profiles. So the first thing to do is to average the density within each 0.38 nm wide integral across the pore. </w:t>
      </w:r>
      <w:r>
        <w:rPr>
          <w:b/>
          <w:lang w:eastAsia="zh-CN"/>
        </w:rPr>
        <w:t xml:space="preserve">Figure 4.2 </w:t>
      </w:r>
      <w:r>
        <w:rPr>
          <w:lang w:eastAsia="zh-CN"/>
        </w:rPr>
        <w:t xml:space="preserve">shows the continuous methane mass density profile calculated from SLD model (left) and the equivalent discrete mass density profile (right) in a 2.31 nm pore under </w:t>
      </w:r>
      <w:r>
        <w:t xml:space="preserve">176 °F and 3043 psi. Note that in SLD model, the regions between 0-0.19 nm and 2.12-2.31 nm are inaccessible due to the size of the methane molecules. </w:t>
      </w:r>
      <w:r w:rsidR="00B2181C">
        <w:rPr>
          <w:rFonts w:hint="eastAsia"/>
        </w:rPr>
        <w:t>Therefore,</w:t>
      </w:r>
      <w:r>
        <w:t xml:space="preserve"> discrete density layers for the two 0.38-nm intervals close to either wall are averaged based on the densities within half interval length in the range between 0.19-0.38 nm and 1.93-2.12 nm, respectively, instead of the full interval length.</w:t>
      </w:r>
    </w:p>
    <w:p w14:paraId="65D1C7A6" w14:textId="77777777" w:rsidR="0085272D" w:rsidRDefault="0085272D">
      <w:pPr>
        <w:jc w:val="both"/>
      </w:pPr>
    </w:p>
    <w:p w14:paraId="3BE52237" w14:textId="77777777" w:rsidR="0085272D" w:rsidRDefault="0096367E">
      <w:pPr>
        <w:ind w:firstLine="90"/>
        <w:jc w:val="both"/>
      </w:pPr>
      <w:r>
        <w:rPr>
          <w:noProof/>
          <w:lang w:eastAsia="zh-CN" w:bidi="ar-SA"/>
        </w:rPr>
        <w:drawing>
          <wp:inline distT="0" distB="0" distL="0" distR="0" wp14:anchorId="443247C3" wp14:editId="57F7CB65">
            <wp:extent cx="5271770" cy="2296160"/>
            <wp:effectExtent l="0" t="0" r="0" b="0"/>
            <wp:docPr id="14" name="Picture 14" descr="Macintosh HD:Users:erln:Documents:Thesis:MS Thesis:Figures:Figure 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cintosh HD:Users:erln:Documents:Thesis:MS Thesis:Figures:Figure 3.4.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272215" cy="2296585"/>
                    </a:xfrm>
                    <a:prstGeom prst="rect">
                      <a:avLst/>
                    </a:prstGeom>
                    <a:noFill/>
                    <a:ln>
                      <a:noFill/>
                    </a:ln>
                  </pic:spPr>
                </pic:pic>
              </a:graphicData>
            </a:graphic>
          </wp:inline>
        </w:drawing>
      </w:r>
    </w:p>
    <w:p w14:paraId="605E7BEF" w14:textId="77777777" w:rsidR="0085272D" w:rsidRDefault="0096367E">
      <w:pPr>
        <w:tabs>
          <w:tab w:val="right" w:leader="dot" w:pos="8460"/>
        </w:tabs>
        <w:ind w:left="547" w:hanging="7"/>
        <w:contextualSpacing/>
        <w:jc w:val="center"/>
        <w:rPr>
          <w:b/>
          <w:lang w:eastAsia="zh-CN"/>
        </w:rPr>
      </w:pPr>
      <w:r>
        <w:rPr>
          <w:b/>
        </w:rPr>
        <w:t>Figure 4.1</w:t>
      </w:r>
      <w:r>
        <w:rPr>
          <w:b/>
          <w:sz w:val="22"/>
          <w:szCs w:val="22"/>
        </w:rPr>
        <w:t>—</w:t>
      </w:r>
      <w:r>
        <w:rPr>
          <w:b/>
          <w:lang w:eastAsia="zh-CN"/>
        </w:rPr>
        <w:t xml:space="preserve">Number-density profile (left) and discrete mass density profile (right) of methane under </w:t>
      </w:r>
      <w:r>
        <w:rPr>
          <w:b/>
        </w:rPr>
        <w:t xml:space="preserve">176 °F and 3043 psi obtained by </w:t>
      </w:r>
      <w:r>
        <w:rPr>
          <w:b/>
          <w:lang w:eastAsia="zh-CN"/>
        </w:rPr>
        <w:t>Ambrose (2011)</w:t>
      </w:r>
    </w:p>
    <w:p w14:paraId="23C56581" w14:textId="77777777" w:rsidR="0085272D" w:rsidRDefault="0096367E">
      <w:r>
        <w:rPr>
          <w:noProof/>
          <w:lang w:eastAsia="zh-CN" w:bidi="ar-SA"/>
        </w:rPr>
        <w:drawing>
          <wp:inline distT="0" distB="0" distL="0" distR="0" wp14:anchorId="5842CD70" wp14:editId="15D0232C">
            <wp:extent cx="2855595" cy="244157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Pr>
          <w:noProof/>
          <w:lang w:eastAsia="zh-CN" w:bidi="ar-SA"/>
        </w:rPr>
        <w:drawing>
          <wp:inline distT="0" distB="0" distL="0" distR="0" wp14:anchorId="6CE20E85" wp14:editId="375405B8">
            <wp:extent cx="2511425" cy="261048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6D3CBFE" w14:textId="77777777" w:rsidR="0085272D" w:rsidRDefault="0096367E">
      <w:pPr>
        <w:tabs>
          <w:tab w:val="right" w:leader="dot" w:pos="8460"/>
        </w:tabs>
        <w:ind w:left="547" w:hanging="7"/>
        <w:contextualSpacing/>
        <w:jc w:val="center"/>
        <w:rPr>
          <w:b/>
        </w:rPr>
      </w:pPr>
      <w:r>
        <w:rPr>
          <w:b/>
        </w:rPr>
        <w:t>Figure 4.2</w:t>
      </w:r>
      <w:r>
        <w:rPr>
          <w:b/>
          <w:sz w:val="22"/>
          <w:szCs w:val="22"/>
        </w:rPr>
        <w:t>—</w:t>
      </w:r>
      <w:r>
        <w:rPr>
          <w:b/>
          <w:lang w:eastAsia="zh-CN"/>
        </w:rPr>
        <w:t xml:space="preserve">Continuous methane mass density profile calculated from SLD model (left) and the equivalent discrete mass density profile (right) in a 2.31 nm pore under </w:t>
      </w:r>
      <w:r>
        <w:rPr>
          <w:b/>
        </w:rPr>
        <w:t>176 °F and 3043 psi</w:t>
      </w:r>
    </w:p>
    <w:p w14:paraId="6645D013" w14:textId="027F36DB" w:rsidR="0085272D" w:rsidRDefault="0096367E" w:rsidP="00764EEC">
      <w:pPr>
        <w:jc w:val="both"/>
      </w:pPr>
      <w:r>
        <w:rPr>
          <w:b/>
          <w:lang w:eastAsia="zh-CN"/>
        </w:rPr>
        <w:t xml:space="preserve">Figure 4.3 </w:t>
      </w:r>
      <w:r>
        <w:rPr>
          <w:lang w:eastAsia="zh-CN"/>
        </w:rPr>
        <w:t xml:space="preserve">and </w:t>
      </w:r>
      <w:r>
        <w:rPr>
          <w:b/>
          <w:lang w:eastAsia="zh-CN"/>
        </w:rPr>
        <w:t xml:space="preserve">Figure 4.4 </w:t>
      </w:r>
      <w:r>
        <w:rPr>
          <w:lang w:eastAsia="zh-CN"/>
        </w:rPr>
        <w:t xml:space="preserve">compare the discrete mass density profiles calculated from SLD model and Ambrose (2011) under </w:t>
      </w:r>
      <w:r>
        <w:t xml:space="preserve">176 °F and 3043 psi in 3.73-nm pore and 2.31-nm pore, respectively. Only half of the pore is shown because the density profiles are symmetric in a slit shaped pore. It is clear to see that the agreement is good between </w:t>
      </w:r>
      <w:r>
        <w:rPr>
          <w:lang w:eastAsia="zh-CN"/>
        </w:rPr>
        <w:t xml:space="preserve">molecular simulation and SLD model </w:t>
      </w:r>
      <w:r>
        <w:t xml:space="preserve">values of methane densities in each layer in both 3.73-nm pore and 2.31-nm pore. </w:t>
      </w:r>
      <w:r>
        <w:rPr>
          <w:b/>
        </w:rPr>
        <w:t>Table 4.3</w:t>
      </w:r>
      <w:r>
        <w:t xml:space="preserve"> shows the relative errors</w:t>
      </w:r>
      <w:r>
        <w:rPr>
          <w:lang w:eastAsia="zh-CN"/>
        </w:rPr>
        <w:t xml:space="preserve"> for each layer in</w:t>
      </w:r>
      <w:r>
        <w:t xml:space="preserve"> both 3.73-nm pore and 2.31-nm pore</w:t>
      </w:r>
      <w:r>
        <w:rPr>
          <w:lang w:eastAsia="zh-CN"/>
        </w:rPr>
        <w:t xml:space="preserve">. Note that layer 1 represents the interval that is closest to the wall on the left. It shows that the </w:t>
      </w:r>
      <w:r>
        <w:t>relative errors are within 5% for all the layers except layer 1 in 2.31-nm pore (6.85%). From the results, it may be concluded that the results calculated from SLD model are validated and in agreement with the results obtained from molecular dynamics performed by Ambrose (2011).</w:t>
      </w:r>
      <w:r>
        <w:rPr>
          <w:noProof/>
          <w:lang w:eastAsia="zh-CN" w:bidi="ar-SA"/>
        </w:rPr>
        <w:drawing>
          <wp:inline distT="0" distB="0" distL="0" distR="0" wp14:anchorId="2D6C31FF" wp14:editId="51B264EC">
            <wp:extent cx="5200650" cy="313436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F30DE10" w14:textId="77777777" w:rsidR="0037292B" w:rsidRDefault="0096367E" w:rsidP="00764EEC">
      <w:pPr>
        <w:spacing w:after="240"/>
        <w:contextualSpacing/>
        <w:jc w:val="center"/>
        <w:rPr>
          <w:b/>
        </w:rPr>
      </w:pPr>
      <w:r>
        <w:rPr>
          <w:b/>
        </w:rPr>
        <w:t>Figure 4.3—Comparison of d</w:t>
      </w:r>
      <w:r>
        <w:rPr>
          <w:rFonts w:hint="eastAsia"/>
          <w:b/>
        </w:rPr>
        <w:t xml:space="preserve">ensity profiles of methane in a 3.73 nm-width slit pore at </w:t>
      </w:r>
      <w:r>
        <w:rPr>
          <w:b/>
        </w:rPr>
        <w:t>1</w:t>
      </w:r>
      <w:r>
        <w:rPr>
          <w:rFonts w:hint="eastAsia"/>
          <w:b/>
        </w:rPr>
        <w:t>76</w:t>
      </w:r>
      <w:r>
        <w:rPr>
          <w:b/>
        </w:rPr>
        <w:t xml:space="preserve"> °F and </w:t>
      </w:r>
      <w:r>
        <w:rPr>
          <w:rFonts w:hint="eastAsia"/>
          <w:b/>
        </w:rPr>
        <w:t xml:space="preserve">3043 </w:t>
      </w:r>
      <w:r>
        <w:rPr>
          <w:b/>
        </w:rPr>
        <w:t>psi</w:t>
      </w:r>
      <w:r>
        <w:rPr>
          <w:rFonts w:hint="eastAsia"/>
          <w:b/>
        </w:rPr>
        <w:t xml:space="preserve"> </w:t>
      </w:r>
      <w:r>
        <w:rPr>
          <w:b/>
        </w:rPr>
        <w:t>obtained from both SLD model and molecular</w:t>
      </w:r>
      <w:r w:rsidR="0037292B">
        <w:rPr>
          <w:b/>
        </w:rPr>
        <w:t xml:space="preserve"> </w:t>
      </w:r>
      <w:r>
        <w:rPr>
          <w:b/>
        </w:rPr>
        <w:t>dynamics performed by Ambrose (2011)</w:t>
      </w:r>
    </w:p>
    <w:p w14:paraId="1F4C4BF6" w14:textId="50C3DEC2" w:rsidR="0085272D" w:rsidRPr="00764EEC" w:rsidRDefault="0096367E" w:rsidP="00764EEC">
      <w:pPr>
        <w:spacing w:after="240"/>
        <w:contextualSpacing/>
        <w:jc w:val="center"/>
        <w:rPr>
          <w:b/>
        </w:rPr>
      </w:pPr>
      <w:r>
        <w:rPr>
          <w:noProof/>
          <w:lang w:eastAsia="zh-CN" w:bidi="ar-SA"/>
        </w:rPr>
        <w:drawing>
          <wp:inline distT="0" distB="0" distL="0" distR="0" wp14:anchorId="2703A756" wp14:editId="52374863">
            <wp:extent cx="5273040" cy="320611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4D0AD4CA" w14:textId="77777777" w:rsidR="0085272D" w:rsidRDefault="0096367E">
      <w:pPr>
        <w:spacing w:after="240"/>
        <w:contextualSpacing/>
        <w:jc w:val="center"/>
        <w:rPr>
          <w:b/>
        </w:rPr>
      </w:pPr>
      <w:r>
        <w:rPr>
          <w:b/>
        </w:rPr>
        <w:t>Figure 4.4—Comparison of d</w:t>
      </w:r>
      <w:r>
        <w:rPr>
          <w:rFonts w:hint="eastAsia"/>
          <w:b/>
        </w:rPr>
        <w:t xml:space="preserve">ensity profiles of methane in a 2.31 nm-width slit pore at </w:t>
      </w:r>
      <w:r>
        <w:rPr>
          <w:b/>
        </w:rPr>
        <w:t>1</w:t>
      </w:r>
      <w:r>
        <w:rPr>
          <w:rFonts w:hint="eastAsia"/>
          <w:b/>
        </w:rPr>
        <w:t>76</w:t>
      </w:r>
      <w:r>
        <w:rPr>
          <w:b/>
        </w:rPr>
        <w:t xml:space="preserve"> °F and </w:t>
      </w:r>
      <w:r>
        <w:rPr>
          <w:rFonts w:hint="eastAsia"/>
          <w:b/>
        </w:rPr>
        <w:t xml:space="preserve">3043 </w:t>
      </w:r>
      <w:r>
        <w:rPr>
          <w:b/>
        </w:rPr>
        <w:t>psi</w:t>
      </w:r>
      <w:r>
        <w:rPr>
          <w:rFonts w:hint="eastAsia"/>
          <w:b/>
        </w:rPr>
        <w:t xml:space="preserve"> </w:t>
      </w:r>
      <w:r>
        <w:rPr>
          <w:b/>
        </w:rPr>
        <w:t>obtained from both SLD model and molecular dynamics performed by Ambrose (2011)</w:t>
      </w:r>
    </w:p>
    <w:p w14:paraId="33921A9B" w14:textId="77777777" w:rsidR="0085272D" w:rsidRDefault="0085272D">
      <w:pPr>
        <w:spacing w:after="240"/>
        <w:contextualSpacing/>
        <w:jc w:val="center"/>
        <w:rPr>
          <w:b/>
        </w:rPr>
      </w:pPr>
    </w:p>
    <w:tbl>
      <w:tblPr>
        <w:tblStyle w:val="TableGrid"/>
        <w:tblW w:w="8347" w:type="dxa"/>
        <w:tblInd w:w="198" w:type="dxa"/>
        <w:tblLayout w:type="fixed"/>
        <w:tblLook w:val="04A0" w:firstRow="1" w:lastRow="0" w:firstColumn="1" w:lastColumn="0" w:noHBand="0" w:noVBand="1"/>
      </w:tblPr>
      <w:tblGrid>
        <w:gridCol w:w="2083"/>
        <w:gridCol w:w="2089"/>
        <w:gridCol w:w="2083"/>
        <w:gridCol w:w="2092"/>
      </w:tblGrid>
      <w:tr w:rsidR="0085272D" w14:paraId="1278B834" w14:textId="77777777">
        <w:trPr>
          <w:trHeight w:val="939"/>
        </w:trPr>
        <w:tc>
          <w:tcPr>
            <w:tcW w:w="8347" w:type="dxa"/>
            <w:gridSpan w:val="4"/>
            <w:tcBorders>
              <w:bottom w:val="single" w:sz="4" w:space="0" w:color="auto"/>
            </w:tcBorders>
            <w:vAlign w:val="center"/>
          </w:tcPr>
          <w:p w14:paraId="07138241" w14:textId="696DA6EA" w:rsidR="0085272D" w:rsidRDefault="0096367E">
            <w:pPr>
              <w:jc w:val="center"/>
              <w:rPr>
                <w:rFonts w:ascii="Times" w:eastAsia="Times New Roman" w:hAnsi="Times"/>
                <w:sz w:val="20"/>
                <w:szCs w:val="20"/>
              </w:rPr>
            </w:pPr>
            <w:r>
              <w:rPr>
                <w:rFonts w:ascii="Times New Roman" w:hAnsi="Times New Roman"/>
                <w:b/>
                <w:sz w:val="22"/>
                <w:szCs w:val="22"/>
              </w:rPr>
              <w:t>T</w:t>
            </w:r>
            <w:r>
              <w:rPr>
                <w:rFonts w:ascii="Times New Roman" w:hAnsi="Times New Roman" w:hint="eastAsia"/>
                <w:b/>
                <w:sz w:val="22"/>
                <w:szCs w:val="22"/>
                <w:lang w:eastAsia="zh-CN"/>
              </w:rPr>
              <w:t>ABEL</w:t>
            </w:r>
            <w:r>
              <w:rPr>
                <w:rFonts w:ascii="Times New Roman" w:hAnsi="Times New Roman"/>
                <w:b/>
                <w:sz w:val="22"/>
                <w:szCs w:val="22"/>
                <w:lang w:eastAsia="zh-CN"/>
              </w:rPr>
              <w:t xml:space="preserve"> </w:t>
            </w:r>
            <w:r>
              <w:rPr>
                <w:rFonts w:ascii="Times New Roman" w:hAnsi="Times New Roman"/>
                <w:b/>
                <w:sz w:val="22"/>
                <w:szCs w:val="22"/>
              </w:rPr>
              <w:t xml:space="preserve">4.3— Relative Errors of Methane Densities Calculated </w:t>
            </w:r>
            <w:r w:rsidR="00B2181C">
              <w:rPr>
                <w:rFonts w:ascii="Times New Roman" w:hAnsi="Times New Roman"/>
                <w:b/>
                <w:sz w:val="22"/>
                <w:szCs w:val="22"/>
              </w:rPr>
              <w:t>from</w:t>
            </w:r>
            <w:r>
              <w:rPr>
                <w:rFonts w:ascii="Times New Roman" w:hAnsi="Times New Roman"/>
                <w:b/>
                <w:sz w:val="22"/>
                <w:szCs w:val="22"/>
              </w:rPr>
              <w:t xml:space="preserve"> SLD Model Compare to Ambrose (2011)</w:t>
            </w:r>
          </w:p>
        </w:tc>
      </w:tr>
      <w:tr w:rsidR="0085272D" w14:paraId="3340F9ED" w14:textId="77777777">
        <w:trPr>
          <w:trHeight w:val="531"/>
        </w:trPr>
        <w:tc>
          <w:tcPr>
            <w:tcW w:w="2083" w:type="dxa"/>
            <w:tcBorders>
              <w:bottom w:val="nil"/>
              <w:right w:val="nil"/>
            </w:tcBorders>
            <w:vAlign w:val="center"/>
          </w:tcPr>
          <w:p w14:paraId="3C3F6C65" w14:textId="77777777" w:rsidR="0085272D" w:rsidRDefault="0096367E">
            <w:pPr>
              <w:jc w:val="center"/>
              <w:rPr>
                <w:rFonts w:ascii="Times" w:eastAsia="Times New Roman" w:hAnsi="Times"/>
                <w:sz w:val="20"/>
                <w:szCs w:val="20"/>
              </w:rPr>
            </w:pPr>
            <w:r>
              <w:t>3.73-nm Pore</w:t>
            </w:r>
          </w:p>
        </w:tc>
        <w:tc>
          <w:tcPr>
            <w:tcW w:w="2089" w:type="dxa"/>
            <w:tcBorders>
              <w:left w:val="nil"/>
              <w:bottom w:val="nil"/>
              <w:right w:val="single" w:sz="4" w:space="0" w:color="auto"/>
            </w:tcBorders>
            <w:vAlign w:val="center"/>
          </w:tcPr>
          <w:p w14:paraId="682E3FCC" w14:textId="77777777" w:rsidR="0085272D" w:rsidRDefault="0096367E">
            <w:pPr>
              <w:jc w:val="center"/>
              <w:rPr>
                <w:rFonts w:ascii="Times" w:eastAsia="Times New Roman" w:hAnsi="Times"/>
                <w:sz w:val="20"/>
                <w:szCs w:val="20"/>
              </w:rPr>
            </w:pPr>
            <w:r>
              <w:t>Relative Error</w:t>
            </w:r>
          </w:p>
        </w:tc>
        <w:tc>
          <w:tcPr>
            <w:tcW w:w="2083" w:type="dxa"/>
            <w:tcBorders>
              <w:left w:val="single" w:sz="4" w:space="0" w:color="auto"/>
              <w:bottom w:val="nil"/>
              <w:right w:val="nil"/>
            </w:tcBorders>
            <w:vAlign w:val="center"/>
          </w:tcPr>
          <w:p w14:paraId="51525E88" w14:textId="77777777" w:rsidR="0085272D" w:rsidRDefault="0096367E">
            <w:pPr>
              <w:jc w:val="center"/>
              <w:rPr>
                <w:rFonts w:ascii="Times" w:eastAsia="Times New Roman" w:hAnsi="Times"/>
                <w:sz w:val="20"/>
                <w:szCs w:val="20"/>
              </w:rPr>
            </w:pPr>
            <w:r>
              <w:t>2.31-nm Pore</w:t>
            </w:r>
          </w:p>
        </w:tc>
        <w:tc>
          <w:tcPr>
            <w:tcW w:w="2092" w:type="dxa"/>
            <w:tcBorders>
              <w:left w:val="nil"/>
              <w:bottom w:val="nil"/>
            </w:tcBorders>
            <w:vAlign w:val="center"/>
          </w:tcPr>
          <w:p w14:paraId="6001770C" w14:textId="77777777" w:rsidR="0085272D" w:rsidRDefault="0096367E">
            <w:pPr>
              <w:jc w:val="center"/>
              <w:rPr>
                <w:rFonts w:ascii="Times" w:eastAsia="Times New Roman" w:hAnsi="Times"/>
                <w:sz w:val="20"/>
                <w:szCs w:val="20"/>
              </w:rPr>
            </w:pPr>
            <w:r>
              <w:t>Relative Error</w:t>
            </w:r>
          </w:p>
        </w:tc>
      </w:tr>
      <w:tr w:rsidR="0085272D" w14:paraId="4D4A2458" w14:textId="77777777">
        <w:trPr>
          <w:trHeight w:val="510"/>
        </w:trPr>
        <w:tc>
          <w:tcPr>
            <w:tcW w:w="2083" w:type="dxa"/>
            <w:tcBorders>
              <w:top w:val="nil"/>
              <w:bottom w:val="nil"/>
              <w:right w:val="nil"/>
            </w:tcBorders>
            <w:vAlign w:val="center"/>
          </w:tcPr>
          <w:p w14:paraId="5EC0C885" w14:textId="77777777" w:rsidR="0085272D" w:rsidRDefault="0096367E">
            <w:pPr>
              <w:jc w:val="center"/>
              <w:rPr>
                <w:rFonts w:eastAsiaTheme="minorEastAsia" w:cstheme="minorBidi"/>
              </w:rPr>
            </w:pPr>
            <w:r>
              <w:t>Layer 1</w:t>
            </w:r>
          </w:p>
        </w:tc>
        <w:tc>
          <w:tcPr>
            <w:tcW w:w="2089" w:type="dxa"/>
            <w:tcBorders>
              <w:top w:val="nil"/>
              <w:left w:val="nil"/>
              <w:bottom w:val="nil"/>
              <w:right w:val="single" w:sz="4" w:space="0" w:color="auto"/>
            </w:tcBorders>
            <w:vAlign w:val="center"/>
          </w:tcPr>
          <w:p w14:paraId="24D984D6" w14:textId="77777777" w:rsidR="0085272D" w:rsidRDefault="0096367E">
            <w:pPr>
              <w:jc w:val="center"/>
              <w:rPr>
                <w:rFonts w:eastAsiaTheme="minorEastAsia" w:cstheme="minorBidi"/>
              </w:rPr>
            </w:pPr>
            <w:r>
              <w:rPr>
                <w:rFonts w:eastAsiaTheme="minorEastAsia" w:cstheme="minorBidi"/>
              </w:rPr>
              <w:t>4.25 %</w:t>
            </w:r>
          </w:p>
        </w:tc>
        <w:tc>
          <w:tcPr>
            <w:tcW w:w="2083" w:type="dxa"/>
            <w:tcBorders>
              <w:top w:val="nil"/>
              <w:left w:val="single" w:sz="4" w:space="0" w:color="auto"/>
              <w:bottom w:val="nil"/>
              <w:right w:val="nil"/>
            </w:tcBorders>
            <w:vAlign w:val="center"/>
          </w:tcPr>
          <w:p w14:paraId="47C9DC82" w14:textId="77777777" w:rsidR="0085272D" w:rsidRDefault="0096367E">
            <w:pPr>
              <w:jc w:val="center"/>
              <w:rPr>
                <w:rFonts w:eastAsiaTheme="minorEastAsia" w:cstheme="minorBidi"/>
              </w:rPr>
            </w:pPr>
            <w:r>
              <w:t>Layer 1</w:t>
            </w:r>
          </w:p>
        </w:tc>
        <w:tc>
          <w:tcPr>
            <w:tcW w:w="2092" w:type="dxa"/>
            <w:tcBorders>
              <w:top w:val="nil"/>
              <w:left w:val="nil"/>
              <w:bottom w:val="nil"/>
            </w:tcBorders>
            <w:vAlign w:val="center"/>
          </w:tcPr>
          <w:p w14:paraId="261D4E1B" w14:textId="77777777" w:rsidR="0085272D" w:rsidRDefault="0096367E">
            <w:pPr>
              <w:jc w:val="center"/>
              <w:rPr>
                <w:rFonts w:eastAsiaTheme="minorEastAsia" w:cstheme="minorBidi"/>
              </w:rPr>
            </w:pPr>
            <w:r>
              <w:rPr>
                <w:rFonts w:eastAsiaTheme="minorEastAsia" w:cstheme="minorBidi"/>
              </w:rPr>
              <w:t>6.85 %</w:t>
            </w:r>
          </w:p>
        </w:tc>
      </w:tr>
      <w:tr w:rsidR="0085272D" w14:paraId="2B7BCDC8" w14:textId="77777777">
        <w:trPr>
          <w:trHeight w:val="531"/>
        </w:trPr>
        <w:tc>
          <w:tcPr>
            <w:tcW w:w="2083" w:type="dxa"/>
            <w:tcBorders>
              <w:top w:val="nil"/>
              <w:bottom w:val="nil"/>
              <w:right w:val="nil"/>
            </w:tcBorders>
            <w:vAlign w:val="center"/>
          </w:tcPr>
          <w:p w14:paraId="30612933" w14:textId="77777777" w:rsidR="0085272D" w:rsidRDefault="0096367E">
            <w:pPr>
              <w:jc w:val="center"/>
              <w:rPr>
                <w:rFonts w:eastAsiaTheme="minorEastAsia" w:cstheme="minorBidi"/>
              </w:rPr>
            </w:pPr>
            <w:r>
              <w:t>Layer 2</w:t>
            </w:r>
          </w:p>
        </w:tc>
        <w:tc>
          <w:tcPr>
            <w:tcW w:w="2089" w:type="dxa"/>
            <w:tcBorders>
              <w:top w:val="nil"/>
              <w:left w:val="nil"/>
              <w:bottom w:val="nil"/>
              <w:right w:val="single" w:sz="4" w:space="0" w:color="auto"/>
            </w:tcBorders>
            <w:vAlign w:val="center"/>
          </w:tcPr>
          <w:p w14:paraId="1A764C37" w14:textId="77777777" w:rsidR="0085272D" w:rsidRDefault="0096367E">
            <w:pPr>
              <w:jc w:val="center"/>
              <w:rPr>
                <w:rFonts w:eastAsiaTheme="minorEastAsia" w:cstheme="minorBidi"/>
              </w:rPr>
            </w:pPr>
            <w:r>
              <w:rPr>
                <w:rFonts w:eastAsiaTheme="minorEastAsia" w:cstheme="minorBidi"/>
              </w:rPr>
              <w:t>0.61 %</w:t>
            </w:r>
          </w:p>
        </w:tc>
        <w:tc>
          <w:tcPr>
            <w:tcW w:w="2083" w:type="dxa"/>
            <w:tcBorders>
              <w:top w:val="nil"/>
              <w:left w:val="single" w:sz="4" w:space="0" w:color="auto"/>
              <w:bottom w:val="nil"/>
              <w:right w:val="nil"/>
            </w:tcBorders>
            <w:vAlign w:val="center"/>
          </w:tcPr>
          <w:p w14:paraId="4756A6C8" w14:textId="77777777" w:rsidR="0085272D" w:rsidRDefault="0096367E">
            <w:pPr>
              <w:jc w:val="center"/>
              <w:rPr>
                <w:rFonts w:eastAsiaTheme="minorEastAsia" w:cstheme="minorBidi"/>
              </w:rPr>
            </w:pPr>
            <w:r>
              <w:t>Layer 2</w:t>
            </w:r>
          </w:p>
        </w:tc>
        <w:tc>
          <w:tcPr>
            <w:tcW w:w="2092" w:type="dxa"/>
            <w:tcBorders>
              <w:top w:val="nil"/>
              <w:left w:val="nil"/>
              <w:bottom w:val="nil"/>
            </w:tcBorders>
            <w:vAlign w:val="center"/>
          </w:tcPr>
          <w:p w14:paraId="62492776" w14:textId="77777777" w:rsidR="0085272D" w:rsidRDefault="0096367E">
            <w:pPr>
              <w:jc w:val="center"/>
              <w:rPr>
                <w:rFonts w:eastAsiaTheme="minorEastAsia" w:cstheme="minorBidi"/>
              </w:rPr>
            </w:pPr>
            <w:r>
              <w:rPr>
                <w:rFonts w:eastAsiaTheme="minorEastAsia" w:cstheme="minorBidi"/>
              </w:rPr>
              <w:t>1.75 %</w:t>
            </w:r>
          </w:p>
        </w:tc>
      </w:tr>
      <w:tr w:rsidR="0085272D" w14:paraId="7BE33302" w14:textId="77777777">
        <w:trPr>
          <w:trHeight w:val="531"/>
        </w:trPr>
        <w:tc>
          <w:tcPr>
            <w:tcW w:w="2083" w:type="dxa"/>
            <w:tcBorders>
              <w:top w:val="nil"/>
              <w:bottom w:val="nil"/>
              <w:right w:val="nil"/>
            </w:tcBorders>
            <w:vAlign w:val="center"/>
          </w:tcPr>
          <w:p w14:paraId="47924B6C" w14:textId="77777777" w:rsidR="0085272D" w:rsidRDefault="0096367E">
            <w:pPr>
              <w:jc w:val="center"/>
              <w:rPr>
                <w:rFonts w:eastAsiaTheme="minorEastAsia" w:cstheme="minorBidi"/>
              </w:rPr>
            </w:pPr>
            <w:r>
              <w:t>Layer 3</w:t>
            </w:r>
          </w:p>
        </w:tc>
        <w:tc>
          <w:tcPr>
            <w:tcW w:w="2089" w:type="dxa"/>
            <w:tcBorders>
              <w:top w:val="nil"/>
              <w:left w:val="nil"/>
              <w:bottom w:val="nil"/>
              <w:right w:val="single" w:sz="4" w:space="0" w:color="auto"/>
            </w:tcBorders>
            <w:vAlign w:val="center"/>
          </w:tcPr>
          <w:p w14:paraId="526438F0" w14:textId="77777777" w:rsidR="0085272D" w:rsidRDefault="0096367E">
            <w:pPr>
              <w:jc w:val="center"/>
              <w:rPr>
                <w:rFonts w:eastAsiaTheme="minorEastAsia" w:cstheme="minorBidi"/>
              </w:rPr>
            </w:pPr>
            <w:r>
              <w:rPr>
                <w:rFonts w:eastAsiaTheme="minorEastAsia" w:cstheme="minorBidi"/>
              </w:rPr>
              <w:t>1.36 %</w:t>
            </w:r>
          </w:p>
        </w:tc>
        <w:tc>
          <w:tcPr>
            <w:tcW w:w="2083" w:type="dxa"/>
            <w:tcBorders>
              <w:top w:val="nil"/>
              <w:left w:val="single" w:sz="4" w:space="0" w:color="auto"/>
              <w:bottom w:val="nil"/>
              <w:right w:val="nil"/>
            </w:tcBorders>
            <w:vAlign w:val="center"/>
          </w:tcPr>
          <w:p w14:paraId="69E92CB2" w14:textId="77777777" w:rsidR="0085272D" w:rsidRDefault="0096367E">
            <w:pPr>
              <w:jc w:val="center"/>
              <w:rPr>
                <w:rFonts w:eastAsiaTheme="minorEastAsia" w:cstheme="minorBidi"/>
              </w:rPr>
            </w:pPr>
            <w:r>
              <w:t>Layer 3</w:t>
            </w:r>
          </w:p>
        </w:tc>
        <w:tc>
          <w:tcPr>
            <w:tcW w:w="2092" w:type="dxa"/>
            <w:tcBorders>
              <w:top w:val="nil"/>
              <w:left w:val="nil"/>
              <w:bottom w:val="nil"/>
            </w:tcBorders>
            <w:vAlign w:val="center"/>
          </w:tcPr>
          <w:p w14:paraId="31649CE1" w14:textId="77777777" w:rsidR="0085272D" w:rsidRDefault="0096367E">
            <w:pPr>
              <w:jc w:val="center"/>
              <w:rPr>
                <w:rFonts w:eastAsiaTheme="minorEastAsia" w:cstheme="minorBidi"/>
              </w:rPr>
            </w:pPr>
            <w:r>
              <w:rPr>
                <w:rFonts w:eastAsiaTheme="minorEastAsia" w:cstheme="minorBidi"/>
              </w:rPr>
              <w:t>2.22 %</w:t>
            </w:r>
          </w:p>
        </w:tc>
      </w:tr>
      <w:tr w:rsidR="0085272D" w14:paraId="01861D6B" w14:textId="77777777">
        <w:trPr>
          <w:trHeight w:val="531"/>
        </w:trPr>
        <w:tc>
          <w:tcPr>
            <w:tcW w:w="2083" w:type="dxa"/>
            <w:tcBorders>
              <w:top w:val="nil"/>
              <w:bottom w:val="nil"/>
              <w:right w:val="nil"/>
            </w:tcBorders>
            <w:vAlign w:val="center"/>
          </w:tcPr>
          <w:p w14:paraId="5628DAAC" w14:textId="77777777" w:rsidR="0085272D" w:rsidRDefault="0096367E">
            <w:pPr>
              <w:jc w:val="center"/>
              <w:rPr>
                <w:rFonts w:eastAsiaTheme="minorEastAsia" w:cstheme="minorBidi"/>
              </w:rPr>
            </w:pPr>
            <w:r>
              <w:t>Layer 4</w:t>
            </w:r>
          </w:p>
        </w:tc>
        <w:tc>
          <w:tcPr>
            <w:tcW w:w="2089" w:type="dxa"/>
            <w:tcBorders>
              <w:top w:val="nil"/>
              <w:left w:val="nil"/>
              <w:bottom w:val="nil"/>
              <w:right w:val="single" w:sz="4" w:space="0" w:color="auto"/>
            </w:tcBorders>
            <w:vAlign w:val="center"/>
          </w:tcPr>
          <w:p w14:paraId="7859D791" w14:textId="77777777" w:rsidR="0085272D" w:rsidRDefault="0096367E">
            <w:pPr>
              <w:jc w:val="center"/>
              <w:rPr>
                <w:rFonts w:eastAsiaTheme="minorEastAsia" w:cstheme="minorBidi"/>
              </w:rPr>
            </w:pPr>
            <w:r>
              <w:rPr>
                <w:rFonts w:eastAsiaTheme="minorEastAsia" w:cstheme="minorBidi"/>
              </w:rPr>
              <w:t>2.96 %</w:t>
            </w:r>
          </w:p>
        </w:tc>
        <w:tc>
          <w:tcPr>
            <w:tcW w:w="2083" w:type="dxa"/>
            <w:tcBorders>
              <w:top w:val="nil"/>
              <w:left w:val="single" w:sz="4" w:space="0" w:color="auto"/>
              <w:bottom w:val="nil"/>
              <w:right w:val="nil"/>
            </w:tcBorders>
            <w:vAlign w:val="center"/>
          </w:tcPr>
          <w:p w14:paraId="29AFC2C6" w14:textId="77777777" w:rsidR="0085272D" w:rsidRDefault="0085272D">
            <w:pPr>
              <w:jc w:val="center"/>
              <w:rPr>
                <w:rFonts w:eastAsiaTheme="minorEastAsia" w:cstheme="minorBidi"/>
              </w:rPr>
            </w:pPr>
          </w:p>
        </w:tc>
        <w:tc>
          <w:tcPr>
            <w:tcW w:w="2092" w:type="dxa"/>
            <w:tcBorders>
              <w:top w:val="nil"/>
              <w:left w:val="nil"/>
              <w:bottom w:val="nil"/>
            </w:tcBorders>
            <w:vAlign w:val="center"/>
          </w:tcPr>
          <w:p w14:paraId="56CFEB63" w14:textId="77777777" w:rsidR="0085272D" w:rsidRDefault="0085272D">
            <w:pPr>
              <w:jc w:val="center"/>
              <w:rPr>
                <w:rFonts w:eastAsiaTheme="minorEastAsia" w:cstheme="minorBidi"/>
              </w:rPr>
            </w:pPr>
          </w:p>
        </w:tc>
      </w:tr>
      <w:tr w:rsidR="0085272D" w14:paraId="5C7866B9" w14:textId="77777777">
        <w:trPr>
          <w:trHeight w:val="531"/>
        </w:trPr>
        <w:tc>
          <w:tcPr>
            <w:tcW w:w="2083" w:type="dxa"/>
            <w:tcBorders>
              <w:top w:val="nil"/>
              <w:right w:val="nil"/>
            </w:tcBorders>
            <w:vAlign w:val="center"/>
          </w:tcPr>
          <w:p w14:paraId="11234D4B" w14:textId="77777777" w:rsidR="0085272D" w:rsidRDefault="0096367E">
            <w:pPr>
              <w:jc w:val="center"/>
              <w:rPr>
                <w:rFonts w:eastAsiaTheme="minorEastAsia" w:cstheme="minorBidi"/>
              </w:rPr>
            </w:pPr>
            <w:r>
              <w:t>Layer 5</w:t>
            </w:r>
          </w:p>
        </w:tc>
        <w:tc>
          <w:tcPr>
            <w:tcW w:w="2089" w:type="dxa"/>
            <w:tcBorders>
              <w:top w:val="nil"/>
              <w:left w:val="nil"/>
              <w:right w:val="single" w:sz="4" w:space="0" w:color="auto"/>
            </w:tcBorders>
            <w:vAlign w:val="center"/>
          </w:tcPr>
          <w:p w14:paraId="1258EB4D" w14:textId="77777777" w:rsidR="0085272D" w:rsidRDefault="0096367E">
            <w:pPr>
              <w:jc w:val="center"/>
              <w:rPr>
                <w:rFonts w:eastAsiaTheme="minorEastAsia" w:cstheme="minorBidi"/>
              </w:rPr>
            </w:pPr>
            <w:r>
              <w:rPr>
                <w:rFonts w:eastAsiaTheme="minorEastAsia" w:cstheme="minorBidi"/>
              </w:rPr>
              <w:t>2.82 %</w:t>
            </w:r>
          </w:p>
        </w:tc>
        <w:tc>
          <w:tcPr>
            <w:tcW w:w="2083" w:type="dxa"/>
            <w:tcBorders>
              <w:top w:val="nil"/>
              <w:left w:val="single" w:sz="4" w:space="0" w:color="auto"/>
              <w:right w:val="nil"/>
            </w:tcBorders>
            <w:vAlign w:val="center"/>
          </w:tcPr>
          <w:p w14:paraId="784798A9" w14:textId="77777777" w:rsidR="0085272D" w:rsidRDefault="0085272D">
            <w:pPr>
              <w:jc w:val="center"/>
              <w:rPr>
                <w:rFonts w:eastAsiaTheme="minorEastAsia" w:cstheme="minorBidi"/>
              </w:rPr>
            </w:pPr>
          </w:p>
        </w:tc>
        <w:tc>
          <w:tcPr>
            <w:tcW w:w="2092" w:type="dxa"/>
            <w:tcBorders>
              <w:top w:val="nil"/>
              <w:left w:val="nil"/>
            </w:tcBorders>
            <w:vAlign w:val="center"/>
          </w:tcPr>
          <w:p w14:paraId="6DB88FFA" w14:textId="77777777" w:rsidR="0085272D" w:rsidRDefault="0085272D">
            <w:pPr>
              <w:jc w:val="center"/>
              <w:rPr>
                <w:rFonts w:eastAsiaTheme="minorEastAsia" w:cstheme="minorBidi"/>
              </w:rPr>
            </w:pPr>
          </w:p>
        </w:tc>
      </w:tr>
    </w:tbl>
    <w:p w14:paraId="1209BF9F" w14:textId="77777777" w:rsidR="0085272D" w:rsidRDefault="0085272D"/>
    <w:p w14:paraId="1B08E645" w14:textId="77777777" w:rsidR="0085272D" w:rsidRDefault="0096367E">
      <w:pPr>
        <w:pStyle w:val="Heading2"/>
      </w:pPr>
      <w:bookmarkStart w:id="34" w:name="_Toc508114152"/>
      <w:r>
        <w:t>4.2 Vapor-Liquid Equilibrium Calculations for Confined Fluid</w:t>
      </w:r>
      <w:bookmarkEnd w:id="34"/>
    </w:p>
    <w:p w14:paraId="3F769EB0" w14:textId="77777777" w:rsidR="0085272D" w:rsidRDefault="0096367E">
      <w:pPr>
        <w:pStyle w:val="Heading3"/>
      </w:pPr>
      <w:bookmarkStart w:id="35" w:name="_Toc508114153"/>
      <w:r>
        <w:t>4.2.1 Flash Calculations</w:t>
      </w:r>
      <w:bookmarkEnd w:id="35"/>
    </w:p>
    <w:p w14:paraId="44B29390" w14:textId="77777777" w:rsidR="0085272D" w:rsidRDefault="0096367E">
      <w:pPr>
        <w:spacing w:after="240"/>
        <w:jc w:val="both"/>
      </w:pPr>
      <w:r>
        <w:t xml:space="preserve">Flash calculations determine the number of equilibrium phases as well as the phase properties in a system with given temperature, pressure and overall composition. For a gas-condensate reservoir, where gas and oil are presented, flash calculations can be used to process with Vapor-Liquid Equilibrium (VLE) calculations. With known reservoir properties (temperature, pressure and overall composition), the composition of each component in both liquid phase and vapor phase and the mole fractions of liquid and vapor phases in the reservoir are calculated by performing flash calculations. </w:t>
      </w:r>
    </w:p>
    <w:p w14:paraId="11D3DC0C" w14:textId="77777777" w:rsidR="0085272D" w:rsidRDefault="0096367E">
      <w:pPr>
        <w:spacing w:after="240"/>
        <w:jc w:val="both"/>
      </w:pPr>
      <w:r>
        <w:t xml:space="preserve">As mentioned previously, the fluid phase behavior will change when the fluids are confined inside nanopores in shale formations.  This phase behavior change includes the shift in VLE. Thus, conventional flash calculation is no longer valid for confined fluids. In order to account for the confinement effects, the EOS used in conventional flash calculation is replaced by the modified PR EOS developed in Chapter 2.2.2. A flash calculation simulator using the modified PR EOS was developed and discussed. </w:t>
      </w:r>
    </w:p>
    <w:p w14:paraId="07AD7EF2" w14:textId="77777777" w:rsidR="0085272D" w:rsidRDefault="0096367E">
      <w:pPr>
        <w:spacing w:after="240"/>
        <w:jc w:val="both"/>
      </w:pPr>
      <w:r>
        <w:rPr>
          <w:rFonts w:ascii="Times" w:hAnsi="Times" w:cs="Times"/>
        </w:rPr>
        <w:t>Before the flash calculations, one needs to determine whether the fluid will actually split into multiple phases or remain as a single phase at specified composition, pressure and temperature. If the fluid is stable in single phase, there will be no meaning for the flash calculations. Li and Nghiem (1982) and Nghiem (1983) showed that the Gibbs tangent-plane criterion could be used to establish the thermodynamic stability of a given phase. Whitson and Brulé (2000) mentioned that for a fluid with a given composition, pressure and temperature</w:t>
      </w:r>
      <w:r>
        <w:t xml:space="preserve">, </w:t>
      </w:r>
      <w:r>
        <w:rPr>
          <w:rFonts w:hint="eastAsia"/>
          <w:lang w:eastAsia="zh-CN"/>
        </w:rPr>
        <w:t>it</w:t>
      </w:r>
      <w:r>
        <w:rPr>
          <w:lang w:eastAsia="zh-CN"/>
        </w:rPr>
        <w:t xml:space="preserve"> favors the state </w:t>
      </w:r>
      <w:r>
        <w:rPr>
          <w:rFonts w:hint="eastAsia"/>
          <w:lang w:eastAsia="zh-CN"/>
        </w:rPr>
        <w:t>that gives the</w:t>
      </w:r>
      <w:r>
        <w:rPr>
          <w:lang w:eastAsia="zh-CN"/>
        </w:rPr>
        <w:t xml:space="preserve"> minimum </w:t>
      </w:r>
      <w:r>
        <w:rPr>
          <w:rFonts w:ascii="Times" w:hAnsi="Times" w:cs="Times"/>
        </w:rPr>
        <w:t>Gibbs energy</w:t>
      </w:r>
      <w:r>
        <w:rPr>
          <w:rFonts w:ascii="Times" w:hAnsi="Times" w:cs="Times" w:hint="eastAsia"/>
          <w:lang w:eastAsia="zh-CN"/>
        </w:rPr>
        <w:t xml:space="preserve">. That is, the fluid will either remain as </w:t>
      </w:r>
      <w:r>
        <w:rPr>
          <w:rFonts w:ascii="Times" w:hAnsi="Times" w:cs="Times"/>
          <w:lang w:eastAsia="zh-CN"/>
        </w:rPr>
        <w:t xml:space="preserve">a </w:t>
      </w:r>
      <w:r>
        <w:rPr>
          <w:rFonts w:ascii="Times" w:hAnsi="Times" w:cs="Times" w:hint="eastAsia"/>
          <w:lang w:eastAsia="zh-CN"/>
        </w:rPr>
        <w:t xml:space="preserve">single phase or split to more than one phases, depending on the </w:t>
      </w:r>
      <w:r>
        <w:rPr>
          <w:rFonts w:ascii="Times" w:hAnsi="Times" w:cs="Times"/>
        </w:rPr>
        <w:t>Gibbs energy</w:t>
      </w:r>
      <w:r>
        <w:rPr>
          <w:rFonts w:ascii="Times" w:hAnsi="Times" w:cs="Times" w:hint="eastAsia"/>
          <w:lang w:eastAsia="zh-CN"/>
        </w:rPr>
        <w:t xml:space="preserve"> of the system that gives a lower value.</w:t>
      </w:r>
      <w:r>
        <w:rPr>
          <w:rFonts w:ascii="Times" w:hAnsi="Times" w:cs="Times"/>
          <w:lang w:eastAsia="zh-CN"/>
        </w:rPr>
        <w:t xml:space="preserve"> Therefore, it is necessary to check the stability of the fluid at given composition, temperature and pressure before performing the flash calculations.</w:t>
      </w:r>
    </w:p>
    <w:p w14:paraId="25EBC170" w14:textId="77777777" w:rsidR="0085272D" w:rsidRDefault="0096367E">
      <w:pPr>
        <w:widowControl w:val="0"/>
        <w:autoSpaceDE w:val="0"/>
        <w:autoSpaceDN w:val="0"/>
        <w:adjustRightInd w:val="0"/>
        <w:spacing w:after="240"/>
        <w:jc w:val="both"/>
        <w:rPr>
          <w:rFonts w:ascii="Times" w:hAnsi="Times" w:cs="Times"/>
        </w:rPr>
      </w:pPr>
      <w:r>
        <w:rPr>
          <w:rFonts w:ascii="Times" w:hAnsi="Times" w:cs="Times"/>
        </w:rPr>
        <w:t xml:space="preserve">The stability test that involved a successive-substitution algorithm was first developed by Michelsen (1982), known as Michelsen stability test. A step-by-step algorithm of the Michelsen stability test can be found in Whitson and Brulé (2000) and was adopted here. If the results show that the fluid has two phases under certain temperature and pressure, an initial guess of the K-values will be generated. Note that the K-value represents the ratio of composition of one component in the vapor phase to the composition of that component in the liquid phase at equilibrium. Once the initial guess of the K-values is obtained, one can perform the flash calculations by equating the fugacities of each component in the two phases. </w:t>
      </w:r>
      <w:r>
        <w:rPr>
          <w:rFonts w:ascii="Times" w:hAnsi="Times" w:cs="Times"/>
          <w:b/>
        </w:rPr>
        <w:t>Figure 4.5</w:t>
      </w:r>
      <w:r>
        <w:rPr>
          <w:rFonts w:ascii="Times" w:hAnsi="Times" w:cs="Times"/>
        </w:rPr>
        <w:t xml:space="preserve"> shows the flow chart of the flash calculations using successive substitution algorithm (more details about the flash calculation algorithms can be found in Jamili, 2010). The modified PR EOS was used in the flash calculations. Such flash calculations will be sensitive to pore sizes and is able to capture the composition change under confinement. In this section, first the results of the new flash calculations simulator are compared to other calculations as well as experimental measurements at bulk conditions in the literature. Then the effects of pore size on the flash calculation results were investigated to show the VLE shift of the confined fluids.</w:t>
      </w:r>
    </w:p>
    <w:p w14:paraId="6068B004" w14:textId="77777777" w:rsidR="0085272D" w:rsidRDefault="0096367E">
      <w:pPr>
        <w:ind w:firstLine="270"/>
      </w:pPr>
      <w:r>
        <w:rPr>
          <w:noProof/>
          <w:lang w:eastAsia="zh-CN" w:bidi="ar-SA"/>
        </w:rPr>
        <w:drawing>
          <wp:inline distT="0" distB="0" distL="0" distR="0" wp14:anchorId="2DE0D602" wp14:editId="257ECE9D">
            <wp:extent cx="4917440" cy="3514090"/>
            <wp:effectExtent l="0" t="0" r="0" b="0"/>
            <wp:docPr id="19" name="Picture 19" descr="Macintosh HD:Users:erln:Documents:Thesis:MS Thesis:Figures:Figure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cintosh HD:Users:erln:Documents:Thesis:MS Thesis:Figures:Figure 4.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4919218" cy="3515383"/>
                    </a:xfrm>
                    <a:prstGeom prst="rect">
                      <a:avLst/>
                    </a:prstGeom>
                    <a:noFill/>
                    <a:ln>
                      <a:noFill/>
                    </a:ln>
                  </pic:spPr>
                </pic:pic>
              </a:graphicData>
            </a:graphic>
          </wp:inline>
        </w:drawing>
      </w:r>
    </w:p>
    <w:p w14:paraId="2B356A7D" w14:textId="77777777" w:rsidR="0085272D" w:rsidRDefault="0096367E">
      <w:pPr>
        <w:jc w:val="center"/>
        <w:rPr>
          <w:b/>
        </w:rPr>
      </w:pPr>
      <w:r>
        <w:rPr>
          <w:b/>
        </w:rPr>
        <w:t>Figure 4.5—Flow chart of the flash calculation</w:t>
      </w:r>
    </w:p>
    <w:p w14:paraId="3B42F981" w14:textId="77777777" w:rsidR="0085272D" w:rsidRDefault="0085272D">
      <w:pPr>
        <w:jc w:val="center"/>
        <w:rPr>
          <w:b/>
        </w:rPr>
      </w:pPr>
    </w:p>
    <w:p w14:paraId="136A9744" w14:textId="77777777" w:rsidR="0085272D" w:rsidRDefault="0085272D">
      <w:pPr>
        <w:jc w:val="center"/>
        <w:rPr>
          <w:b/>
        </w:rPr>
      </w:pPr>
    </w:p>
    <w:p w14:paraId="7B39D787" w14:textId="35D2589A" w:rsidR="0085272D" w:rsidRDefault="0096367E">
      <w:pPr>
        <w:jc w:val="both"/>
      </w:pPr>
      <w:r>
        <w:t xml:space="preserve">The flash calculation simulator was validated against the flash calculation results from McCain (1990) and the experimental data from Sage et al. (1950). A ternary mixture contains methane, n-butane and decane was flashed under the pressure of 1000 psi and the temperature of 160 °F. </w:t>
      </w:r>
      <w:r>
        <w:rPr>
          <w:b/>
        </w:rPr>
        <w:t>Table 4.4</w:t>
      </w:r>
      <w:r>
        <w:t xml:space="preserve"> shows the mixture composition and critical properties reported in McCain (1990).  </w:t>
      </w:r>
      <w:r>
        <w:rPr>
          <w:b/>
        </w:rPr>
        <w:t>Table 4.5</w:t>
      </w:r>
      <w:r>
        <w:t xml:space="preserve"> gives the BIPs of the mixture from McCain (1990).  The BIPs are assumed to be independent of pressure, temperature and composition and are treated as fixed values for simplicity. </w:t>
      </w:r>
      <w:r>
        <w:rPr>
          <w:b/>
        </w:rPr>
        <w:t>Table 4.6</w:t>
      </w:r>
      <w:r>
        <w:t xml:space="preserve"> shows the gas mole fraction, gas and oil compressibility factors calculated from this work and McCain (1990).  </w:t>
      </w:r>
      <w:r>
        <w:rPr>
          <w:b/>
        </w:rPr>
        <w:t>Table 4.7</w:t>
      </w:r>
      <w:r>
        <w:t xml:space="preserve"> shows the gas and oil compositions from this work and experimental data from Sage et al. (1950). Note that the pore size in the modified PR-EOS is set to be infinity in the calculation so that the fluid-wall interactions are zero. From the </w:t>
      </w:r>
      <w:r w:rsidR="00B2181C">
        <w:t>comparison,</w:t>
      </w:r>
      <w:r>
        <w:t xml:space="preserve"> it is clear to see that the results from this work are in good agreement with the flash calculation results from McCain (1990) and experimental data from Sage et al. (1950) in the bulk state. </w:t>
      </w:r>
    </w:p>
    <w:p w14:paraId="750E4F59" w14:textId="77777777" w:rsidR="0085272D" w:rsidRDefault="0085272D">
      <w:pPr>
        <w:jc w:val="both"/>
      </w:pPr>
    </w:p>
    <w:tbl>
      <w:tblPr>
        <w:tblStyle w:val="TableGrid1"/>
        <w:tblW w:w="8472" w:type="dxa"/>
        <w:jc w:val="center"/>
        <w:tblLayout w:type="fixed"/>
        <w:tblLook w:val="04A0" w:firstRow="1" w:lastRow="0" w:firstColumn="1" w:lastColumn="0" w:noHBand="0" w:noVBand="1"/>
      </w:tblPr>
      <w:tblGrid>
        <w:gridCol w:w="1243"/>
        <w:gridCol w:w="1353"/>
        <w:gridCol w:w="1299"/>
        <w:gridCol w:w="1441"/>
        <w:gridCol w:w="1869"/>
        <w:gridCol w:w="1027"/>
        <w:gridCol w:w="240"/>
      </w:tblGrid>
      <w:tr w:rsidR="0085272D" w14:paraId="46789958" w14:textId="77777777">
        <w:trPr>
          <w:trHeight w:val="688"/>
          <w:jc w:val="center"/>
        </w:trPr>
        <w:tc>
          <w:tcPr>
            <w:tcW w:w="8472" w:type="dxa"/>
            <w:gridSpan w:val="7"/>
            <w:tcBorders>
              <w:bottom w:val="single" w:sz="4" w:space="0" w:color="auto"/>
            </w:tcBorders>
            <w:vAlign w:val="center"/>
          </w:tcPr>
          <w:p w14:paraId="41070C88" w14:textId="77777777" w:rsidR="0085272D" w:rsidRDefault="0096367E">
            <w:pPr>
              <w:spacing w:after="240"/>
              <w:jc w:val="center"/>
              <w:rPr>
                <w:rFonts w:ascii="Times New Roman" w:hAnsi="Times New Roman"/>
                <w:b/>
                <w:sz w:val="22"/>
                <w:szCs w:val="22"/>
              </w:rPr>
            </w:pPr>
            <w:r>
              <w:rPr>
                <w:rFonts w:ascii="Times New Roman" w:hAnsi="Times New Roman"/>
                <w:b/>
                <w:sz w:val="22"/>
                <w:szCs w:val="22"/>
              </w:rPr>
              <w:t>Table 4.4—Compositions and Physical Properties of C1-nC4-C10 (McCain, 1990)</w:t>
            </w:r>
          </w:p>
        </w:tc>
      </w:tr>
      <w:tr w:rsidR="0085272D" w14:paraId="44B7F06C" w14:textId="77777777">
        <w:trPr>
          <w:trHeight w:val="1121"/>
          <w:jc w:val="center"/>
        </w:trPr>
        <w:tc>
          <w:tcPr>
            <w:tcW w:w="1243" w:type="dxa"/>
            <w:tcBorders>
              <w:bottom w:val="nil"/>
              <w:right w:val="nil"/>
            </w:tcBorders>
            <w:vAlign w:val="center"/>
          </w:tcPr>
          <w:p w14:paraId="1B9F99F1" w14:textId="77777777" w:rsidR="0085272D" w:rsidRDefault="0096367E">
            <w:pPr>
              <w:spacing w:after="240"/>
              <w:jc w:val="center"/>
              <w:rPr>
                <w:sz w:val="22"/>
                <w:szCs w:val="22"/>
              </w:rPr>
            </w:pPr>
            <w:r>
              <w:rPr>
                <w:rFonts w:ascii="Times New Roman" w:hAnsi="Times New Roman"/>
                <w:sz w:val="22"/>
                <w:szCs w:val="22"/>
              </w:rPr>
              <w:t>Component</w:t>
            </w:r>
          </w:p>
        </w:tc>
        <w:tc>
          <w:tcPr>
            <w:tcW w:w="1353" w:type="dxa"/>
            <w:tcBorders>
              <w:left w:val="nil"/>
              <w:bottom w:val="nil"/>
              <w:right w:val="nil"/>
            </w:tcBorders>
            <w:vAlign w:val="center"/>
          </w:tcPr>
          <w:p w14:paraId="54E16547" w14:textId="77777777" w:rsidR="0085272D" w:rsidRDefault="0096367E">
            <w:pPr>
              <w:spacing w:after="240"/>
              <w:jc w:val="center"/>
              <w:rPr>
                <w:sz w:val="22"/>
                <w:szCs w:val="22"/>
              </w:rPr>
            </w:pPr>
            <w:r>
              <w:rPr>
                <w:rFonts w:ascii="Times New Roman" w:hAnsi="Times New Roman"/>
                <w:sz w:val="22"/>
                <w:szCs w:val="22"/>
                <w:lang w:eastAsia="zh-CN"/>
              </w:rPr>
              <w:t>Composition</w:t>
            </w:r>
          </w:p>
        </w:tc>
        <w:tc>
          <w:tcPr>
            <w:tcW w:w="1299" w:type="dxa"/>
            <w:tcBorders>
              <w:left w:val="nil"/>
              <w:bottom w:val="nil"/>
              <w:right w:val="nil"/>
            </w:tcBorders>
            <w:vAlign w:val="center"/>
          </w:tcPr>
          <w:p w14:paraId="65F72D82"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Critical Temp. (°F)</w:t>
            </w:r>
          </w:p>
        </w:tc>
        <w:tc>
          <w:tcPr>
            <w:tcW w:w="1441" w:type="dxa"/>
            <w:tcBorders>
              <w:left w:val="nil"/>
              <w:bottom w:val="nil"/>
              <w:right w:val="nil"/>
            </w:tcBorders>
            <w:vAlign w:val="center"/>
          </w:tcPr>
          <w:p w14:paraId="5699B076"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Critical Pressure (psi)</w:t>
            </w:r>
          </w:p>
        </w:tc>
        <w:tc>
          <w:tcPr>
            <w:tcW w:w="1869" w:type="dxa"/>
            <w:tcBorders>
              <w:left w:val="nil"/>
              <w:bottom w:val="nil"/>
              <w:right w:val="nil"/>
            </w:tcBorders>
            <w:vAlign w:val="center"/>
          </w:tcPr>
          <w:p w14:paraId="61138FB5"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Molecular Weight (lb</w:t>
            </w:r>
            <w:r>
              <w:rPr>
                <w:rFonts w:ascii="Times New Roman" w:hAnsi="Times New Roman"/>
                <w:sz w:val="22"/>
                <w:szCs w:val="22"/>
                <w:vertAlign w:val="subscript"/>
                <w:lang w:eastAsia="zh-CN"/>
              </w:rPr>
              <w:t>m</w:t>
            </w:r>
            <w:r>
              <w:rPr>
                <w:rFonts w:ascii="Times New Roman" w:hAnsi="Times New Roman"/>
                <w:sz w:val="22"/>
                <w:szCs w:val="22"/>
                <w:lang w:eastAsia="zh-CN"/>
              </w:rPr>
              <w:t>/lb-mol)</w:t>
            </w:r>
          </w:p>
        </w:tc>
        <w:tc>
          <w:tcPr>
            <w:tcW w:w="1267" w:type="dxa"/>
            <w:gridSpan w:val="2"/>
            <w:tcBorders>
              <w:left w:val="nil"/>
              <w:bottom w:val="nil"/>
            </w:tcBorders>
            <w:vAlign w:val="center"/>
          </w:tcPr>
          <w:p w14:paraId="467D01B9"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Acentric Factor</w:t>
            </w:r>
          </w:p>
        </w:tc>
      </w:tr>
      <w:tr w:rsidR="0085272D" w14:paraId="2968F302" w14:textId="77777777">
        <w:trPr>
          <w:trHeight w:val="688"/>
          <w:jc w:val="center"/>
        </w:trPr>
        <w:tc>
          <w:tcPr>
            <w:tcW w:w="1243" w:type="dxa"/>
            <w:tcBorders>
              <w:top w:val="nil"/>
              <w:bottom w:val="nil"/>
              <w:right w:val="nil"/>
            </w:tcBorders>
            <w:vAlign w:val="center"/>
          </w:tcPr>
          <w:p w14:paraId="5F8F2D62" w14:textId="77777777" w:rsidR="0085272D" w:rsidRDefault="0096367E">
            <w:pPr>
              <w:spacing w:after="240"/>
              <w:jc w:val="center"/>
              <w:rPr>
                <w:sz w:val="22"/>
                <w:szCs w:val="22"/>
              </w:rPr>
            </w:pPr>
            <w:r>
              <w:rPr>
                <w:rFonts w:ascii="Times New Roman" w:hAnsi="Times New Roman"/>
                <w:sz w:val="22"/>
                <w:szCs w:val="22"/>
              </w:rPr>
              <w:t>CH</w:t>
            </w:r>
            <w:r>
              <w:rPr>
                <w:rFonts w:ascii="Times New Roman" w:hAnsi="Times New Roman"/>
                <w:sz w:val="22"/>
                <w:szCs w:val="22"/>
                <w:vertAlign w:val="subscript"/>
              </w:rPr>
              <w:t>4</w:t>
            </w:r>
          </w:p>
        </w:tc>
        <w:tc>
          <w:tcPr>
            <w:tcW w:w="1353" w:type="dxa"/>
            <w:tcBorders>
              <w:top w:val="nil"/>
              <w:left w:val="nil"/>
              <w:bottom w:val="nil"/>
              <w:right w:val="nil"/>
            </w:tcBorders>
            <w:vAlign w:val="center"/>
          </w:tcPr>
          <w:p w14:paraId="12CCF3C1" w14:textId="77777777" w:rsidR="0085272D" w:rsidRDefault="0096367E">
            <w:pPr>
              <w:spacing w:after="240"/>
              <w:jc w:val="center"/>
              <w:rPr>
                <w:sz w:val="22"/>
                <w:szCs w:val="22"/>
              </w:rPr>
            </w:pPr>
            <w:r>
              <w:rPr>
                <w:rFonts w:ascii="Times New Roman" w:hAnsi="Times New Roman"/>
                <w:sz w:val="22"/>
                <w:szCs w:val="22"/>
              </w:rPr>
              <w:t>0.5301</w:t>
            </w:r>
          </w:p>
        </w:tc>
        <w:tc>
          <w:tcPr>
            <w:tcW w:w="1299" w:type="dxa"/>
            <w:tcBorders>
              <w:top w:val="nil"/>
              <w:left w:val="nil"/>
              <w:bottom w:val="nil"/>
              <w:right w:val="nil"/>
            </w:tcBorders>
            <w:vAlign w:val="center"/>
          </w:tcPr>
          <w:p w14:paraId="5BAFDCD9"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-116.67</w:t>
            </w:r>
          </w:p>
        </w:tc>
        <w:tc>
          <w:tcPr>
            <w:tcW w:w="1441" w:type="dxa"/>
            <w:tcBorders>
              <w:top w:val="nil"/>
              <w:left w:val="nil"/>
              <w:bottom w:val="nil"/>
              <w:right w:val="nil"/>
            </w:tcBorders>
            <w:vAlign w:val="center"/>
          </w:tcPr>
          <w:p w14:paraId="04B85158"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666.4</w:t>
            </w:r>
          </w:p>
        </w:tc>
        <w:tc>
          <w:tcPr>
            <w:tcW w:w="1869" w:type="dxa"/>
            <w:tcBorders>
              <w:top w:val="nil"/>
              <w:left w:val="nil"/>
              <w:bottom w:val="nil"/>
              <w:right w:val="nil"/>
            </w:tcBorders>
            <w:vAlign w:val="center"/>
          </w:tcPr>
          <w:p w14:paraId="2E154EA6"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16.043</w:t>
            </w:r>
          </w:p>
        </w:tc>
        <w:tc>
          <w:tcPr>
            <w:tcW w:w="1267" w:type="dxa"/>
            <w:gridSpan w:val="2"/>
            <w:tcBorders>
              <w:top w:val="nil"/>
              <w:left w:val="nil"/>
              <w:bottom w:val="nil"/>
            </w:tcBorders>
            <w:vAlign w:val="center"/>
          </w:tcPr>
          <w:p w14:paraId="0276FA32" w14:textId="77777777" w:rsidR="0085272D" w:rsidRDefault="0096367E">
            <w:pPr>
              <w:spacing w:after="240"/>
              <w:rPr>
                <w:rFonts w:ascii="Times New Roman" w:hAnsi="Times New Roman"/>
                <w:sz w:val="22"/>
                <w:szCs w:val="22"/>
              </w:rPr>
            </w:pPr>
            <w:r>
              <w:rPr>
                <w:rFonts w:ascii="Times New Roman" w:hAnsi="Times New Roman"/>
                <w:sz w:val="22"/>
                <w:szCs w:val="22"/>
                <w:lang w:eastAsia="zh-CN"/>
              </w:rPr>
              <w:t xml:space="preserve">   0.0104</w:t>
            </w:r>
          </w:p>
        </w:tc>
      </w:tr>
      <w:tr w:rsidR="0085272D" w14:paraId="2D7F96DE" w14:textId="77777777">
        <w:trPr>
          <w:trHeight w:val="688"/>
          <w:jc w:val="center"/>
        </w:trPr>
        <w:tc>
          <w:tcPr>
            <w:tcW w:w="1243" w:type="dxa"/>
            <w:tcBorders>
              <w:top w:val="nil"/>
              <w:bottom w:val="nil"/>
              <w:right w:val="nil"/>
            </w:tcBorders>
            <w:vAlign w:val="center"/>
          </w:tcPr>
          <w:p w14:paraId="3A3F58F7" w14:textId="77777777" w:rsidR="0085272D" w:rsidRDefault="0096367E">
            <w:pPr>
              <w:spacing w:after="240"/>
              <w:jc w:val="center"/>
              <w:rPr>
                <w:rFonts w:ascii="Times New Roman" w:hAnsi="Times New Roman"/>
                <w:sz w:val="22"/>
                <w:szCs w:val="22"/>
              </w:rPr>
            </w:pPr>
            <w:r>
              <w:rPr>
                <w:rFonts w:ascii="Times New Roman" w:hAnsi="Times New Roman"/>
                <w:sz w:val="22"/>
                <w:szCs w:val="22"/>
              </w:rPr>
              <w:t>n-C</w:t>
            </w:r>
            <w:r>
              <w:rPr>
                <w:rFonts w:ascii="Times New Roman" w:hAnsi="Times New Roman"/>
                <w:sz w:val="22"/>
                <w:szCs w:val="22"/>
                <w:vertAlign w:val="subscript"/>
              </w:rPr>
              <w:t>4</w:t>
            </w:r>
            <w:r>
              <w:rPr>
                <w:rFonts w:ascii="Times New Roman" w:hAnsi="Times New Roman"/>
                <w:sz w:val="22"/>
                <w:szCs w:val="22"/>
              </w:rPr>
              <w:t>H</w:t>
            </w:r>
            <w:r>
              <w:rPr>
                <w:rFonts w:ascii="Times New Roman" w:hAnsi="Times New Roman"/>
                <w:sz w:val="22"/>
                <w:szCs w:val="22"/>
                <w:vertAlign w:val="subscript"/>
              </w:rPr>
              <w:t>10</w:t>
            </w:r>
          </w:p>
        </w:tc>
        <w:tc>
          <w:tcPr>
            <w:tcW w:w="1353" w:type="dxa"/>
            <w:tcBorders>
              <w:top w:val="nil"/>
              <w:left w:val="nil"/>
              <w:bottom w:val="nil"/>
              <w:right w:val="nil"/>
            </w:tcBorders>
            <w:vAlign w:val="center"/>
          </w:tcPr>
          <w:p w14:paraId="2B44BFEB" w14:textId="77777777" w:rsidR="0085272D" w:rsidRDefault="0096367E">
            <w:pPr>
              <w:spacing w:after="240"/>
              <w:jc w:val="center"/>
              <w:rPr>
                <w:rFonts w:ascii="Times New Roman" w:hAnsi="Times New Roman"/>
                <w:sz w:val="22"/>
                <w:szCs w:val="22"/>
              </w:rPr>
            </w:pPr>
            <w:r>
              <w:rPr>
                <w:rFonts w:ascii="Times New Roman" w:hAnsi="Times New Roman"/>
                <w:sz w:val="22"/>
                <w:szCs w:val="22"/>
              </w:rPr>
              <w:t>0.1055</w:t>
            </w:r>
          </w:p>
        </w:tc>
        <w:tc>
          <w:tcPr>
            <w:tcW w:w="1299" w:type="dxa"/>
            <w:tcBorders>
              <w:top w:val="nil"/>
              <w:left w:val="nil"/>
              <w:bottom w:val="nil"/>
              <w:right w:val="nil"/>
            </w:tcBorders>
            <w:vAlign w:val="center"/>
          </w:tcPr>
          <w:p w14:paraId="07835917" w14:textId="77777777" w:rsidR="0085272D" w:rsidRDefault="0096367E">
            <w:pPr>
              <w:spacing w:after="240"/>
              <w:jc w:val="center"/>
              <w:rPr>
                <w:rFonts w:ascii="Times New Roman" w:hAnsi="Times New Roman"/>
                <w:sz w:val="22"/>
                <w:szCs w:val="22"/>
                <w:lang w:eastAsia="zh-CN"/>
              </w:rPr>
            </w:pPr>
            <w:r>
              <w:rPr>
                <w:rFonts w:ascii="Times New Roman" w:hAnsi="Times New Roman"/>
                <w:sz w:val="22"/>
                <w:szCs w:val="22"/>
                <w:lang w:eastAsia="zh-CN"/>
              </w:rPr>
              <w:t>305.63</w:t>
            </w:r>
          </w:p>
        </w:tc>
        <w:tc>
          <w:tcPr>
            <w:tcW w:w="1441" w:type="dxa"/>
            <w:tcBorders>
              <w:top w:val="nil"/>
              <w:left w:val="nil"/>
              <w:bottom w:val="nil"/>
              <w:right w:val="nil"/>
            </w:tcBorders>
            <w:vAlign w:val="center"/>
          </w:tcPr>
          <w:p w14:paraId="54FD7C1B" w14:textId="77777777" w:rsidR="0085272D" w:rsidRDefault="0096367E">
            <w:pPr>
              <w:spacing w:after="240"/>
              <w:jc w:val="center"/>
              <w:rPr>
                <w:rFonts w:ascii="Times New Roman" w:hAnsi="Times New Roman"/>
                <w:sz w:val="22"/>
                <w:szCs w:val="22"/>
                <w:lang w:eastAsia="zh-CN"/>
              </w:rPr>
            </w:pPr>
            <w:r>
              <w:rPr>
                <w:rFonts w:ascii="Times New Roman" w:hAnsi="Times New Roman"/>
                <w:sz w:val="22"/>
                <w:szCs w:val="22"/>
                <w:lang w:eastAsia="zh-CN"/>
              </w:rPr>
              <w:t>550.6</w:t>
            </w:r>
          </w:p>
        </w:tc>
        <w:tc>
          <w:tcPr>
            <w:tcW w:w="1869" w:type="dxa"/>
            <w:tcBorders>
              <w:top w:val="nil"/>
              <w:left w:val="nil"/>
              <w:bottom w:val="nil"/>
              <w:right w:val="nil"/>
            </w:tcBorders>
            <w:vAlign w:val="center"/>
          </w:tcPr>
          <w:p w14:paraId="1B8EECDB" w14:textId="77777777" w:rsidR="0085272D" w:rsidRDefault="0096367E">
            <w:pPr>
              <w:spacing w:after="240"/>
              <w:jc w:val="center"/>
              <w:rPr>
                <w:rFonts w:ascii="Times New Roman" w:hAnsi="Times New Roman"/>
                <w:sz w:val="22"/>
                <w:szCs w:val="22"/>
                <w:lang w:eastAsia="zh-CN"/>
              </w:rPr>
            </w:pPr>
            <w:r>
              <w:rPr>
                <w:rFonts w:ascii="Times New Roman" w:hAnsi="Times New Roman"/>
                <w:sz w:val="22"/>
                <w:szCs w:val="22"/>
                <w:lang w:eastAsia="zh-CN"/>
              </w:rPr>
              <w:t>58.12</w:t>
            </w:r>
          </w:p>
        </w:tc>
        <w:tc>
          <w:tcPr>
            <w:tcW w:w="1027" w:type="dxa"/>
            <w:tcBorders>
              <w:top w:val="nil"/>
              <w:left w:val="nil"/>
              <w:bottom w:val="nil"/>
              <w:right w:val="nil"/>
            </w:tcBorders>
            <w:vAlign w:val="center"/>
          </w:tcPr>
          <w:p w14:paraId="55214741" w14:textId="77777777" w:rsidR="0085272D" w:rsidRDefault="0096367E">
            <w:pPr>
              <w:spacing w:after="240"/>
              <w:jc w:val="center"/>
              <w:rPr>
                <w:rFonts w:ascii="Times New Roman" w:hAnsi="Times New Roman"/>
                <w:sz w:val="22"/>
                <w:szCs w:val="22"/>
                <w:lang w:eastAsia="zh-CN"/>
              </w:rPr>
            </w:pPr>
            <w:r>
              <w:rPr>
                <w:rFonts w:ascii="Times New Roman" w:hAnsi="Times New Roman"/>
                <w:sz w:val="22"/>
                <w:szCs w:val="22"/>
                <w:lang w:eastAsia="zh-CN"/>
              </w:rPr>
              <w:t xml:space="preserve">   0.1995</w:t>
            </w:r>
          </w:p>
        </w:tc>
        <w:tc>
          <w:tcPr>
            <w:tcW w:w="240" w:type="dxa"/>
            <w:tcBorders>
              <w:top w:val="nil"/>
              <w:left w:val="nil"/>
              <w:bottom w:val="nil"/>
            </w:tcBorders>
            <w:vAlign w:val="center"/>
          </w:tcPr>
          <w:p w14:paraId="78B75D34" w14:textId="77777777" w:rsidR="0085272D" w:rsidRDefault="0085272D">
            <w:pPr>
              <w:spacing w:after="240"/>
              <w:jc w:val="center"/>
              <w:rPr>
                <w:rFonts w:ascii="Times New Roman" w:hAnsi="Times New Roman"/>
                <w:sz w:val="22"/>
                <w:szCs w:val="22"/>
                <w:lang w:eastAsia="zh-CN"/>
              </w:rPr>
            </w:pPr>
          </w:p>
        </w:tc>
      </w:tr>
      <w:tr w:rsidR="0085272D" w14:paraId="315EB988" w14:textId="77777777">
        <w:trPr>
          <w:trHeight w:val="688"/>
          <w:jc w:val="center"/>
        </w:trPr>
        <w:tc>
          <w:tcPr>
            <w:tcW w:w="1243" w:type="dxa"/>
            <w:tcBorders>
              <w:top w:val="nil"/>
              <w:bottom w:val="single" w:sz="4" w:space="0" w:color="auto"/>
              <w:right w:val="nil"/>
            </w:tcBorders>
            <w:vAlign w:val="center"/>
          </w:tcPr>
          <w:p w14:paraId="12CB899C" w14:textId="77777777" w:rsidR="0085272D" w:rsidRDefault="0096367E">
            <w:pPr>
              <w:spacing w:after="240"/>
              <w:jc w:val="center"/>
              <w:rPr>
                <w:sz w:val="22"/>
                <w:szCs w:val="22"/>
              </w:rPr>
            </w:pPr>
            <w:r>
              <w:rPr>
                <w:rFonts w:ascii="Times New Roman" w:hAnsi="Times New Roman"/>
                <w:sz w:val="22"/>
                <w:szCs w:val="22"/>
              </w:rPr>
              <w:t>C</w:t>
            </w:r>
            <w:r>
              <w:rPr>
                <w:rFonts w:ascii="Times New Roman" w:hAnsi="Times New Roman"/>
                <w:sz w:val="22"/>
                <w:szCs w:val="22"/>
                <w:vertAlign w:val="subscript"/>
              </w:rPr>
              <w:t>10</w:t>
            </w:r>
            <w:r>
              <w:rPr>
                <w:rFonts w:ascii="Times New Roman" w:hAnsi="Times New Roman"/>
                <w:sz w:val="22"/>
                <w:szCs w:val="22"/>
              </w:rPr>
              <w:t>H</w:t>
            </w:r>
            <w:r>
              <w:rPr>
                <w:rFonts w:ascii="Times New Roman" w:hAnsi="Times New Roman"/>
                <w:sz w:val="22"/>
                <w:szCs w:val="22"/>
                <w:vertAlign w:val="subscript"/>
              </w:rPr>
              <w:t>22</w:t>
            </w:r>
          </w:p>
        </w:tc>
        <w:tc>
          <w:tcPr>
            <w:tcW w:w="1353" w:type="dxa"/>
            <w:tcBorders>
              <w:top w:val="nil"/>
              <w:left w:val="nil"/>
              <w:bottom w:val="single" w:sz="4" w:space="0" w:color="auto"/>
              <w:right w:val="nil"/>
            </w:tcBorders>
            <w:vAlign w:val="center"/>
          </w:tcPr>
          <w:p w14:paraId="256AD9AD" w14:textId="77777777" w:rsidR="0085272D" w:rsidRDefault="0096367E">
            <w:pPr>
              <w:spacing w:after="240"/>
              <w:jc w:val="center"/>
              <w:rPr>
                <w:sz w:val="22"/>
                <w:szCs w:val="22"/>
              </w:rPr>
            </w:pPr>
            <w:r>
              <w:rPr>
                <w:rFonts w:ascii="Times New Roman" w:hAnsi="Times New Roman"/>
                <w:sz w:val="22"/>
                <w:szCs w:val="22"/>
              </w:rPr>
              <w:t>0.3644</w:t>
            </w:r>
          </w:p>
        </w:tc>
        <w:tc>
          <w:tcPr>
            <w:tcW w:w="1299" w:type="dxa"/>
            <w:tcBorders>
              <w:top w:val="nil"/>
              <w:left w:val="nil"/>
              <w:bottom w:val="single" w:sz="4" w:space="0" w:color="auto"/>
              <w:right w:val="nil"/>
            </w:tcBorders>
            <w:vAlign w:val="center"/>
          </w:tcPr>
          <w:p w14:paraId="0F2D7793"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652.03</w:t>
            </w:r>
          </w:p>
        </w:tc>
        <w:tc>
          <w:tcPr>
            <w:tcW w:w="1441" w:type="dxa"/>
            <w:tcBorders>
              <w:top w:val="nil"/>
              <w:left w:val="nil"/>
              <w:bottom w:val="single" w:sz="4" w:space="0" w:color="auto"/>
              <w:right w:val="nil"/>
            </w:tcBorders>
            <w:vAlign w:val="center"/>
          </w:tcPr>
          <w:p w14:paraId="5E50FEF1"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305.2</w:t>
            </w:r>
          </w:p>
        </w:tc>
        <w:tc>
          <w:tcPr>
            <w:tcW w:w="1869" w:type="dxa"/>
            <w:tcBorders>
              <w:top w:val="nil"/>
              <w:left w:val="nil"/>
              <w:bottom w:val="single" w:sz="4" w:space="0" w:color="auto"/>
              <w:right w:val="nil"/>
            </w:tcBorders>
            <w:vAlign w:val="center"/>
          </w:tcPr>
          <w:p w14:paraId="64515AC3" w14:textId="77777777" w:rsidR="0085272D" w:rsidRDefault="0096367E">
            <w:pPr>
              <w:spacing w:after="240"/>
              <w:jc w:val="center"/>
              <w:rPr>
                <w:rFonts w:ascii="Times New Roman" w:hAnsi="Times New Roman"/>
                <w:sz w:val="22"/>
                <w:szCs w:val="22"/>
              </w:rPr>
            </w:pPr>
            <w:r>
              <w:rPr>
                <w:rFonts w:ascii="Times New Roman" w:hAnsi="Times New Roman"/>
                <w:sz w:val="22"/>
                <w:szCs w:val="22"/>
                <w:lang w:eastAsia="zh-CN"/>
              </w:rPr>
              <w:t>142.285</w:t>
            </w:r>
          </w:p>
        </w:tc>
        <w:tc>
          <w:tcPr>
            <w:tcW w:w="1267" w:type="dxa"/>
            <w:gridSpan w:val="2"/>
            <w:tcBorders>
              <w:top w:val="nil"/>
              <w:left w:val="nil"/>
              <w:bottom w:val="single" w:sz="4" w:space="0" w:color="auto"/>
            </w:tcBorders>
            <w:vAlign w:val="center"/>
          </w:tcPr>
          <w:p w14:paraId="2013C44E" w14:textId="77777777" w:rsidR="0085272D" w:rsidRDefault="0096367E">
            <w:pPr>
              <w:spacing w:after="240"/>
              <w:rPr>
                <w:rFonts w:ascii="Times New Roman" w:hAnsi="Times New Roman"/>
                <w:sz w:val="22"/>
                <w:szCs w:val="22"/>
              </w:rPr>
            </w:pPr>
            <w:r>
              <w:rPr>
                <w:rFonts w:ascii="Times New Roman" w:hAnsi="Times New Roman"/>
                <w:sz w:val="22"/>
                <w:szCs w:val="22"/>
                <w:lang w:eastAsia="zh-CN"/>
              </w:rPr>
              <w:t xml:space="preserve">   0.4898</w:t>
            </w:r>
          </w:p>
        </w:tc>
      </w:tr>
    </w:tbl>
    <w:p w14:paraId="1A005E0A" w14:textId="77777777" w:rsidR="0085272D" w:rsidRDefault="0085272D"/>
    <w:p w14:paraId="1B2471FD" w14:textId="77777777" w:rsidR="0085272D" w:rsidRDefault="0085272D"/>
    <w:p w14:paraId="6035ADE8" w14:textId="77777777" w:rsidR="0085272D" w:rsidRDefault="0085272D"/>
    <w:tbl>
      <w:tblPr>
        <w:tblStyle w:val="TableGrid"/>
        <w:tblW w:w="5704" w:type="dxa"/>
        <w:jc w:val="center"/>
        <w:tblLayout w:type="fixed"/>
        <w:tblLook w:val="04A0" w:firstRow="1" w:lastRow="0" w:firstColumn="1" w:lastColumn="0" w:noHBand="0" w:noVBand="1"/>
      </w:tblPr>
      <w:tblGrid>
        <w:gridCol w:w="1615"/>
        <w:gridCol w:w="1060"/>
        <w:gridCol w:w="1614"/>
        <w:gridCol w:w="1415"/>
      </w:tblGrid>
      <w:tr w:rsidR="0085272D" w14:paraId="52F2A110" w14:textId="77777777">
        <w:trPr>
          <w:jc w:val="center"/>
        </w:trPr>
        <w:tc>
          <w:tcPr>
            <w:tcW w:w="5704" w:type="dxa"/>
            <w:gridSpan w:val="4"/>
            <w:tcBorders>
              <w:bottom w:val="single" w:sz="4" w:space="0" w:color="auto"/>
            </w:tcBorders>
            <w:vAlign w:val="center"/>
          </w:tcPr>
          <w:p w14:paraId="065D8390" w14:textId="77777777" w:rsidR="0085272D" w:rsidRDefault="0096367E">
            <w:pPr>
              <w:jc w:val="center"/>
              <w:rPr>
                <w:rFonts w:ascii="Times New Roman" w:hAnsi="Times New Roman"/>
                <w:b/>
                <w:sz w:val="22"/>
                <w:szCs w:val="22"/>
              </w:rPr>
            </w:pPr>
            <w:r>
              <w:rPr>
                <w:rFonts w:ascii="Times New Roman" w:hAnsi="Times New Roman"/>
                <w:b/>
                <w:sz w:val="22"/>
                <w:szCs w:val="22"/>
              </w:rPr>
              <w:t>Table 4.5—Binary Interaction Coefficients of C1-nC4-C10</w:t>
            </w:r>
          </w:p>
          <w:p w14:paraId="4C8CDC77" w14:textId="77777777" w:rsidR="0085272D" w:rsidRDefault="0096367E">
            <w:pPr>
              <w:jc w:val="center"/>
            </w:pPr>
            <w:r>
              <w:rPr>
                <w:rFonts w:ascii="Times New Roman" w:hAnsi="Times New Roman"/>
                <w:b/>
                <w:sz w:val="22"/>
                <w:szCs w:val="22"/>
              </w:rPr>
              <w:t>(McCain, 1990)</w:t>
            </w:r>
          </w:p>
        </w:tc>
      </w:tr>
      <w:tr w:rsidR="0085272D" w14:paraId="6A07A52F" w14:textId="77777777">
        <w:trPr>
          <w:jc w:val="center"/>
        </w:trPr>
        <w:tc>
          <w:tcPr>
            <w:tcW w:w="1615" w:type="dxa"/>
            <w:tcBorders>
              <w:top w:val="single" w:sz="4" w:space="0" w:color="auto"/>
              <w:bottom w:val="nil"/>
              <w:right w:val="nil"/>
            </w:tcBorders>
            <w:vAlign w:val="center"/>
          </w:tcPr>
          <w:p w14:paraId="4119C8DD" w14:textId="77777777" w:rsidR="0085272D" w:rsidRDefault="0085272D">
            <w:pPr>
              <w:jc w:val="center"/>
            </w:pPr>
          </w:p>
        </w:tc>
        <w:tc>
          <w:tcPr>
            <w:tcW w:w="1060" w:type="dxa"/>
            <w:tcBorders>
              <w:top w:val="single" w:sz="4" w:space="0" w:color="auto"/>
              <w:left w:val="nil"/>
              <w:bottom w:val="nil"/>
              <w:right w:val="nil"/>
            </w:tcBorders>
            <w:vAlign w:val="center"/>
          </w:tcPr>
          <w:p w14:paraId="153BAF43" w14:textId="77777777" w:rsidR="0085272D" w:rsidRDefault="0096367E">
            <w:pPr>
              <w:jc w:val="center"/>
            </w:pPr>
            <w:r>
              <w:rPr>
                <w:rFonts w:ascii="Times New Roman" w:hAnsi="Times New Roman"/>
                <w:sz w:val="22"/>
                <w:szCs w:val="22"/>
              </w:rPr>
              <w:t>CH</w:t>
            </w:r>
            <w:r>
              <w:rPr>
                <w:rFonts w:ascii="Times New Roman" w:hAnsi="Times New Roman"/>
                <w:sz w:val="22"/>
                <w:szCs w:val="22"/>
                <w:vertAlign w:val="subscript"/>
              </w:rPr>
              <w:t>4</w:t>
            </w:r>
          </w:p>
        </w:tc>
        <w:tc>
          <w:tcPr>
            <w:tcW w:w="1614" w:type="dxa"/>
            <w:tcBorders>
              <w:top w:val="single" w:sz="4" w:space="0" w:color="auto"/>
              <w:left w:val="nil"/>
              <w:bottom w:val="nil"/>
              <w:right w:val="nil"/>
            </w:tcBorders>
            <w:vAlign w:val="center"/>
          </w:tcPr>
          <w:p w14:paraId="2DBF632D" w14:textId="77777777" w:rsidR="0085272D" w:rsidRDefault="0096367E">
            <w:pPr>
              <w:jc w:val="center"/>
            </w:pPr>
            <w:r>
              <w:rPr>
                <w:rFonts w:ascii="Times New Roman" w:hAnsi="Times New Roman"/>
                <w:sz w:val="22"/>
                <w:szCs w:val="22"/>
              </w:rPr>
              <w:t>n-C</w:t>
            </w:r>
            <w:r>
              <w:rPr>
                <w:rFonts w:ascii="Times New Roman" w:hAnsi="Times New Roman"/>
                <w:sz w:val="22"/>
                <w:szCs w:val="22"/>
                <w:vertAlign w:val="subscript"/>
              </w:rPr>
              <w:t>4</w:t>
            </w:r>
            <w:r>
              <w:rPr>
                <w:rFonts w:ascii="Times New Roman" w:hAnsi="Times New Roman"/>
                <w:sz w:val="22"/>
                <w:szCs w:val="22"/>
              </w:rPr>
              <w:t>H</w:t>
            </w:r>
            <w:r>
              <w:rPr>
                <w:rFonts w:ascii="Times New Roman" w:hAnsi="Times New Roman"/>
                <w:sz w:val="22"/>
                <w:szCs w:val="22"/>
                <w:vertAlign w:val="subscript"/>
              </w:rPr>
              <w:t>10</w:t>
            </w:r>
          </w:p>
        </w:tc>
        <w:tc>
          <w:tcPr>
            <w:tcW w:w="1415" w:type="dxa"/>
            <w:tcBorders>
              <w:top w:val="single" w:sz="4" w:space="0" w:color="auto"/>
              <w:left w:val="nil"/>
              <w:bottom w:val="nil"/>
            </w:tcBorders>
            <w:vAlign w:val="center"/>
          </w:tcPr>
          <w:p w14:paraId="224C73EA" w14:textId="77777777" w:rsidR="0085272D" w:rsidRDefault="0096367E">
            <w:pPr>
              <w:jc w:val="center"/>
            </w:pPr>
            <w:r>
              <w:rPr>
                <w:rFonts w:ascii="Times New Roman" w:hAnsi="Times New Roman"/>
                <w:sz w:val="22"/>
                <w:szCs w:val="22"/>
              </w:rPr>
              <w:t>C</w:t>
            </w:r>
            <w:r>
              <w:rPr>
                <w:rFonts w:ascii="Times New Roman" w:hAnsi="Times New Roman"/>
                <w:sz w:val="22"/>
                <w:szCs w:val="22"/>
                <w:vertAlign w:val="subscript"/>
              </w:rPr>
              <w:t>10</w:t>
            </w:r>
            <w:r>
              <w:rPr>
                <w:rFonts w:ascii="Times New Roman" w:hAnsi="Times New Roman"/>
                <w:sz w:val="22"/>
                <w:szCs w:val="22"/>
              </w:rPr>
              <w:t>H</w:t>
            </w:r>
            <w:r>
              <w:rPr>
                <w:rFonts w:ascii="Times New Roman" w:hAnsi="Times New Roman"/>
                <w:sz w:val="22"/>
                <w:szCs w:val="22"/>
                <w:vertAlign w:val="subscript"/>
              </w:rPr>
              <w:t>22</w:t>
            </w:r>
          </w:p>
        </w:tc>
      </w:tr>
      <w:tr w:rsidR="0085272D" w14:paraId="5C12CBDC" w14:textId="77777777">
        <w:trPr>
          <w:jc w:val="center"/>
        </w:trPr>
        <w:tc>
          <w:tcPr>
            <w:tcW w:w="1615" w:type="dxa"/>
            <w:tcBorders>
              <w:top w:val="nil"/>
              <w:bottom w:val="nil"/>
              <w:right w:val="nil"/>
            </w:tcBorders>
            <w:vAlign w:val="center"/>
          </w:tcPr>
          <w:p w14:paraId="4258D95C" w14:textId="77777777" w:rsidR="0085272D" w:rsidRDefault="0096367E">
            <w:pPr>
              <w:jc w:val="center"/>
            </w:pPr>
            <w:r>
              <w:rPr>
                <w:rFonts w:ascii="Times New Roman" w:hAnsi="Times New Roman"/>
                <w:sz w:val="22"/>
                <w:szCs w:val="22"/>
              </w:rPr>
              <w:t>CH</w:t>
            </w:r>
            <w:r>
              <w:rPr>
                <w:rFonts w:ascii="Times New Roman" w:hAnsi="Times New Roman"/>
                <w:sz w:val="22"/>
                <w:szCs w:val="22"/>
                <w:vertAlign w:val="subscript"/>
              </w:rPr>
              <w:t>4</w:t>
            </w:r>
          </w:p>
        </w:tc>
        <w:tc>
          <w:tcPr>
            <w:tcW w:w="1060" w:type="dxa"/>
            <w:tcBorders>
              <w:top w:val="nil"/>
              <w:left w:val="nil"/>
              <w:bottom w:val="nil"/>
              <w:right w:val="nil"/>
            </w:tcBorders>
            <w:vAlign w:val="center"/>
          </w:tcPr>
          <w:p w14:paraId="65977DBB" w14:textId="77777777" w:rsidR="0085272D" w:rsidRDefault="0096367E">
            <w:pPr>
              <w:jc w:val="center"/>
              <w:rPr>
                <w:rFonts w:ascii="Times New Roman" w:hAnsi="Times New Roman"/>
                <w:sz w:val="22"/>
                <w:szCs w:val="22"/>
              </w:rPr>
            </w:pPr>
            <w:r>
              <w:rPr>
                <w:rFonts w:ascii="Times New Roman" w:hAnsi="Times New Roman"/>
                <w:sz w:val="22"/>
                <w:szCs w:val="22"/>
              </w:rPr>
              <w:t>0</w:t>
            </w:r>
          </w:p>
        </w:tc>
        <w:tc>
          <w:tcPr>
            <w:tcW w:w="1614" w:type="dxa"/>
            <w:tcBorders>
              <w:top w:val="nil"/>
              <w:left w:val="nil"/>
              <w:bottom w:val="nil"/>
              <w:right w:val="nil"/>
            </w:tcBorders>
            <w:vAlign w:val="center"/>
          </w:tcPr>
          <w:p w14:paraId="7FBF4A91" w14:textId="77777777" w:rsidR="0085272D" w:rsidRDefault="0096367E">
            <w:pPr>
              <w:jc w:val="center"/>
              <w:rPr>
                <w:rFonts w:ascii="Times New Roman" w:hAnsi="Times New Roman"/>
                <w:sz w:val="22"/>
                <w:szCs w:val="22"/>
              </w:rPr>
            </w:pPr>
            <w:r>
              <w:rPr>
                <w:rFonts w:ascii="Times New Roman" w:hAnsi="Times New Roman"/>
                <w:sz w:val="22"/>
                <w:szCs w:val="22"/>
              </w:rPr>
              <w:t>0.02</w:t>
            </w:r>
          </w:p>
        </w:tc>
        <w:tc>
          <w:tcPr>
            <w:tcW w:w="1415" w:type="dxa"/>
            <w:tcBorders>
              <w:top w:val="nil"/>
              <w:left w:val="nil"/>
              <w:bottom w:val="nil"/>
            </w:tcBorders>
            <w:vAlign w:val="center"/>
          </w:tcPr>
          <w:p w14:paraId="689CA27F" w14:textId="77777777" w:rsidR="0085272D" w:rsidRDefault="0096367E">
            <w:pPr>
              <w:jc w:val="center"/>
              <w:rPr>
                <w:rFonts w:ascii="Times New Roman" w:hAnsi="Times New Roman"/>
                <w:sz w:val="22"/>
                <w:szCs w:val="22"/>
              </w:rPr>
            </w:pPr>
            <w:r>
              <w:rPr>
                <w:rFonts w:ascii="Times New Roman" w:hAnsi="Times New Roman"/>
                <w:sz w:val="22"/>
                <w:szCs w:val="22"/>
              </w:rPr>
              <w:t>0.04</w:t>
            </w:r>
          </w:p>
        </w:tc>
      </w:tr>
      <w:tr w:rsidR="0085272D" w14:paraId="0F5AFB9E" w14:textId="77777777">
        <w:trPr>
          <w:jc w:val="center"/>
        </w:trPr>
        <w:tc>
          <w:tcPr>
            <w:tcW w:w="1615" w:type="dxa"/>
            <w:tcBorders>
              <w:top w:val="nil"/>
              <w:bottom w:val="nil"/>
              <w:right w:val="nil"/>
            </w:tcBorders>
            <w:vAlign w:val="center"/>
          </w:tcPr>
          <w:p w14:paraId="58239C13" w14:textId="77777777" w:rsidR="0085272D" w:rsidRDefault="0096367E">
            <w:pPr>
              <w:jc w:val="center"/>
            </w:pPr>
            <w:r>
              <w:rPr>
                <w:rFonts w:ascii="Times New Roman" w:hAnsi="Times New Roman"/>
                <w:sz w:val="22"/>
                <w:szCs w:val="22"/>
              </w:rPr>
              <w:t>n-C</w:t>
            </w:r>
            <w:r>
              <w:rPr>
                <w:rFonts w:ascii="Times New Roman" w:hAnsi="Times New Roman"/>
                <w:sz w:val="22"/>
                <w:szCs w:val="22"/>
                <w:vertAlign w:val="subscript"/>
              </w:rPr>
              <w:t>4</w:t>
            </w:r>
            <w:r>
              <w:rPr>
                <w:rFonts w:ascii="Times New Roman" w:hAnsi="Times New Roman"/>
                <w:sz w:val="22"/>
                <w:szCs w:val="22"/>
              </w:rPr>
              <w:t>H</w:t>
            </w:r>
            <w:r>
              <w:rPr>
                <w:rFonts w:ascii="Times New Roman" w:hAnsi="Times New Roman"/>
                <w:sz w:val="22"/>
                <w:szCs w:val="22"/>
                <w:vertAlign w:val="subscript"/>
              </w:rPr>
              <w:t>10</w:t>
            </w:r>
          </w:p>
        </w:tc>
        <w:tc>
          <w:tcPr>
            <w:tcW w:w="1060" w:type="dxa"/>
            <w:tcBorders>
              <w:top w:val="nil"/>
              <w:left w:val="nil"/>
              <w:bottom w:val="nil"/>
              <w:right w:val="nil"/>
            </w:tcBorders>
            <w:vAlign w:val="center"/>
          </w:tcPr>
          <w:p w14:paraId="692766FB" w14:textId="77777777" w:rsidR="0085272D" w:rsidRDefault="0096367E">
            <w:pPr>
              <w:jc w:val="center"/>
              <w:rPr>
                <w:rFonts w:ascii="Times New Roman" w:hAnsi="Times New Roman"/>
                <w:sz w:val="22"/>
                <w:szCs w:val="22"/>
              </w:rPr>
            </w:pPr>
            <w:r>
              <w:rPr>
                <w:rFonts w:ascii="Times New Roman" w:hAnsi="Times New Roman"/>
                <w:sz w:val="22"/>
                <w:szCs w:val="22"/>
              </w:rPr>
              <w:t>0.02</w:t>
            </w:r>
          </w:p>
        </w:tc>
        <w:tc>
          <w:tcPr>
            <w:tcW w:w="1614" w:type="dxa"/>
            <w:tcBorders>
              <w:top w:val="nil"/>
              <w:left w:val="nil"/>
              <w:bottom w:val="nil"/>
              <w:right w:val="nil"/>
            </w:tcBorders>
            <w:vAlign w:val="center"/>
          </w:tcPr>
          <w:p w14:paraId="27A6A279" w14:textId="77777777" w:rsidR="0085272D" w:rsidRDefault="0096367E">
            <w:pPr>
              <w:jc w:val="center"/>
              <w:rPr>
                <w:rFonts w:ascii="Times New Roman" w:hAnsi="Times New Roman"/>
                <w:sz w:val="22"/>
                <w:szCs w:val="22"/>
              </w:rPr>
            </w:pPr>
            <w:r>
              <w:rPr>
                <w:rFonts w:ascii="Times New Roman" w:hAnsi="Times New Roman"/>
                <w:sz w:val="22"/>
                <w:szCs w:val="22"/>
              </w:rPr>
              <w:t>0</w:t>
            </w:r>
          </w:p>
        </w:tc>
        <w:tc>
          <w:tcPr>
            <w:tcW w:w="1415" w:type="dxa"/>
            <w:tcBorders>
              <w:top w:val="nil"/>
              <w:left w:val="nil"/>
              <w:bottom w:val="nil"/>
            </w:tcBorders>
            <w:vAlign w:val="center"/>
          </w:tcPr>
          <w:p w14:paraId="3EB3B607" w14:textId="77777777" w:rsidR="0085272D" w:rsidRDefault="0096367E">
            <w:pPr>
              <w:jc w:val="center"/>
              <w:rPr>
                <w:rFonts w:ascii="Times New Roman" w:hAnsi="Times New Roman"/>
                <w:sz w:val="22"/>
                <w:szCs w:val="22"/>
              </w:rPr>
            </w:pPr>
            <w:r>
              <w:rPr>
                <w:rFonts w:ascii="Times New Roman" w:hAnsi="Times New Roman"/>
                <w:sz w:val="22"/>
                <w:szCs w:val="22"/>
              </w:rPr>
              <w:t>0</w:t>
            </w:r>
          </w:p>
        </w:tc>
      </w:tr>
      <w:tr w:rsidR="0085272D" w14:paraId="31B667D4" w14:textId="77777777">
        <w:trPr>
          <w:jc w:val="center"/>
        </w:trPr>
        <w:tc>
          <w:tcPr>
            <w:tcW w:w="1615" w:type="dxa"/>
            <w:tcBorders>
              <w:top w:val="nil"/>
              <w:right w:val="nil"/>
            </w:tcBorders>
            <w:vAlign w:val="center"/>
          </w:tcPr>
          <w:p w14:paraId="3073A468" w14:textId="77777777" w:rsidR="0085272D" w:rsidRDefault="0096367E">
            <w:pPr>
              <w:jc w:val="center"/>
            </w:pPr>
            <w:r>
              <w:rPr>
                <w:rFonts w:ascii="Times New Roman" w:hAnsi="Times New Roman"/>
                <w:sz w:val="22"/>
                <w:szCs w:val="22"/>
              </w:rPr>
              <w:t>C</w:t>
            </w:r>
            <w:r>
              <w:rPr>
                <w:rFonts w:ascii="Times New Roman" w:hAnsi="Times New Roman"/>
                <w:sz w:val="22"/>
                <w:szCs w:val="22"/>
                <w:vertAlign w:val="subscript"/>
              </w:rPr>
              <w:t>10</w:t>
            </w:r>
            <w:r>
              <w:rPr>
                <w:rFonts w:ascii="Times New Roman" w:hAnsi="Times New Roman"/>
                <w:sz w:val="22"/>
                <w:szCs w:val="22"/>
              </w:rPr>
              <w:t>H</w:t>
            </w:r>
            <w:r>
              <w:rPr>
                <w:rFonts w:ascii="Times New Roman" w:hAnsi="Times New Roman"/>
                <w:sz w:val="22"/>
                <w:szCs w:val="22"/>
                <w:vertAlign w:val="subscript"/>
              </w:rPr>
              <w:t>22</w:t>
            </w:r>
          </w:p>
        </w:tc>
        <w:tc>
          <w:tcPr>
            <w:tcW w:w="1060" w:type="dxa"/>
            <w:tcBorders>
              <w:top w:val="nil"/>
              <w:left w:val="nil"/>
              <w:right w:val="nil"/>
            </w:tcBorders>
            <w:vAlign w:val="center"/>
          </w:tcPr>
          <w:p w14:paraId="5F76F29C" w14:textId="77777777" w:rsidR="0085272D" w:rsidRDefault="0096367E">
            <w:pPr>
              <w:jc w:val="center"/>
              <w:rPr>
                <w:rFonts w:ascii="Times New Roman" w:hAnsi="Times New Roman"/>
                <w:sz w:val="22"/>
                <w:szCs w:val="22"/>
              </w:rPr>
            </w:pPr>
            <w:r>
              <w:rPr>
                <w:rFonts w:ascii="Times New Roman" w:hAnsi="Times New Roman"/>
                <w:sz w:val="22"/>
                <w:szCs w:val="22"/>
              </w:rPr>
              <w:t>0.04</w:t>
            </w:r>
          </w:p>
        </w:tc>
        <w:tc>
          <w:tcPr>
            <w:tcW w:w="1614" w:type="dxa"/>
            <w:tcBorders>
              <w:top w:val="nil"/>
              <w:left w:val="nil"/>
              <w:right w:val="nil"/>
            </w:tcBorders>
            <w:vAlign w:val="center"/>
          </w:tcPr>
          <w:p w14:paraId="714639CA" w14:textId="77777777" w:rsidR="0085272D" w:rsidRDefault="0096367E">
            <w:pPr>
              <w:jc w:val="center"/>
              <w:rPr>
                <w:rFonts w:ascii="Times New Roman" w:hAnsi="Times New Roman"/>
                <w:sz w:val="22"/>
                <w:szCs w:val="22"/>
              </w:rPr>
            </w:pPr>
            <w:r>
              <w:rPr>
                <w:rFonts w:ascii="Times New Roman" w:hAnsi="Times New Roman"/>
                <w:sz w:val="22"/>
                <w:szCs w:val="22"/>
              </w:rPr>
              <w:t>0</w:t>
            </w:r>
          </w:p>
        </w:tc>
        <w:tc>
          <w:tcPr>
            <w:tcW w:w="1415" w:type="dxa"/>
            <w:tcBorders>
              <w:top w:val="nil"/>
              <w:left w:val="nil"/>
            </w:tcBorders>
            <w:vAlign w:val="center"/>
          </w:tcPr>
          <w:p w14:paraId="2E23E289" w14:textId="77777777" w:rsidR="0085272D" w:rsidRDefault="0096367E">
            <w:pPr>
              <w:jc w:val="center"/>
              <w:rPr>
                <w:rFonts w:ascii="Times New Roman" w:hAnsi="Times New Roman"/>
                <w:sz w:val="22"/>
                <w:szCs w:val="22"/>
              </w:rPr>
            </w:pPr>
            <w:r>
              <w:rPr>
                <w:rFonts w:ascii="Times New Roman" w:hAnsi="Times New Roman"/>
                <w:sz w:val="22"/>
                <w:szCs w:val="22"/>
              </w:rPr>
              <w:t>0</w:t>
            </w:r>
          </w:p>
        </w:tc>
      </w:tr>
    </w:tbl>
    <w:p w14:paraId="3DBA037C" w14:textId="77777777" w:rsidR="0085272D" w:rsidRDefault="0085272D"/>
    <w:p w14:paraId="2424933A" w14:textId="77777777" w:rsidR="0085272D" w:rsidRDefault="0085272D"/>
    <w:p w14:paraId="2A30D01E" w14:textId="77777777" w:rsidR="0085272D" w:rsidRDefault="0085272D"/>
    <w:tbl>
      <w:tblPr>
        <w:tblStyle w:val="TableGrid"/>
        <w:tblW w:w="7751" w:type="dxa"/>
        <w:jc w:val="center"/>
        <w:tblLayout w:type="fixed"/>
        <w:tblLook w:val="04A0" w:firstRow="1" w:lastRow="0" w:firstColumn="1" w:lastColumn="0" w:noHBand="0" w:noVBand="1"/>
      </w:tblPr>
      <w:tblGrid>
        <w:gridCol w:w="3734"/>
        <w:gridCol w:w="2305"/>
        <w:gridCol w:w="1712"/>
      </w:tblGrid>
      <w:tr w:rsidR="0085272D" w14:paraId="65B9B1B4" w14:textId="77777777">
        <w:trPr>
          <w:jc w:val="center"/>
        </w:trPr>
        <w:tc>
          <w:tcPr>
            <w:tcW w:w="7751" w:type="dxa"/>
            <w:gridSpan w:val="3"/>
            <w:tcBorders>
              <w:bottom w:val="single" w:sz="4" w:space="0" w:color="auto"/>
            </w:tcBorders>
            <w:vAlign w:val="center"/>
          </w:tcPr>
          <w:p w14:paraId="2DACE3A5" w14:textId="77777777" w:rsidR="0085272D" w:rsidRDefault="0096367E">
            <w:pPr>
              <w:jc w:val="center"/>
              <w:rPr>
                <w:rFonts w:ascii="Times New Roman" w:hAnsi="Times New Roman"/>
                <w:b/>
                <w:sz w:val="22"/>
                <w:szCs w:val="22"/>
              </w:rPr>
            </w:pPr>
            <w:r>
              <w:rPr>
                <w:rFonts w:ascii="Times New Roman" w:hAnsi="Times New Roman"/>
                <w:b/>
                <w:sz w:val="22"/>
                <w:szCs w:val="22"/>
              </w:rPr>
              <w:t>Table 4.6—Comparison of Fluid Properties from This Work and McCain (1990)</w:t>
            </w:r>
          </w:p>
          <w:p w14:paraId="5CA5F520" w14:textId="77777777" w:rsidR="0085272D" w:rsidRDefault="0096367E">
            <w:pPr>
              <w:jc w:val="center"/>
              <w:rPr>
                <w:rFonts w:ascii="Times New Roman" w:hAnsi="Times New Roman"/>
                <w:b/>
                <w:sz w:val="22"/>
                <w:szCs w:val="22"/>
              </w:rPr>
            </w:pPr>
            <w:r>
              <w:rPr>
                <w:rFonts w:ascii="Times New Roman" w:hAnsi="Times New Roman"/>
                <w:sz w:val="22"/>
                <w:szCs w:val="22"/>
              </w:rPr>
              <w:t>Pressure=1000 psi, Temperature=160 °F</w:t>
            </w:r>
          </w:p>
        </w:tc>
      </w:tr>
      <w:tr w:rsidR="0085272D" w14:paraId="737D4832" w14:textId="77777777">
        <w:trPr>
          <w:jc w:val="center"/>
        </w:trPr>
        <w:tc>
          <w:tcPr>
            <w:tcW w:w="3734" w:type="dxa"/>
            <w:tcBorders>
              <w:bottom w:val="nil"/>
              <w:right w:val="nil"/>
            </w:tcBorders>
            <w:vAlign w:val="center"/>
          </w:tcPr>
          <w:p w14:paraId="1FE32181" w14:textId="77777777" w:rsidR="0085272D" w:rsidRDefault="0096367E">
            <w:pPr>
              <w:jc w:val="center"/>
              <w:rPr>
                <w:rFonts w:ascii="Times New Roman" w:hAnsi="Times New Roman"/>
                <w:sz w:val="22"/>
                <w:szCs w:val="22"/>
              </w:rPr>
            </w:pPr>
            <w:r>
              <w:rPr>
                <w:rFonts w:ascii="Times New Roman" w:hAnsi="Times New Roman"/>
                <w:sz w:val="22"/>
                <w:szCs w:val="22"/>
              </w:rPr>
              <w:t>Fluid Properties</w:t>
            </w:r>
          </w:p>
        </w:tc>
        <w:tc>
          <w:tcPr>
            <w:tcW w:w="2305" w:type="dxa"/>
            <w:tcBorders>
              <w:left w:val="nil"/>
              <w:bottom w:val="nil"/>
              <w:right w:val="nil"/>
            </w:tcBorders>
            <w:vAlign w:val="center"/>
          </w:tcPr>
          <w:p w14:paraId="678926E8" w14:textId="77777777" w:rsidR="0085272D" w:rsidRDefault="0096367E">
            <w:pPr>
              <w:jc w:val="center"/>
              <w:rPr>
                <w:rFonts w:ascii="Times New Roman" w:hAnsi="Times New Roman"/>
                <w:sz w:val="22"/>
                <w:szCs w:val="22"/>
              </w:rPr>
            </w:pPr>
            <w:r>
              <w:rPr>
                <w:rFonts w:ascii="Times New Roman" w:hAnsi="Times New Roman"/>
                <w:sz w:val="22"/>
                <w:szCs w:val="22"/>
              </w:rPr>
              <w:t>McCain (1990)</w:t>
            </w:r>
          </w:p>
        </w:tc>
        <w:tc>
          <w:tcPr>
            <w:tcW w:w="1712" w:type="dxa"/>
            <w:tcBorders>
              <w:left w:val="nil"/>
              <w:bottom w:val="nil"/>
            </w:tcBorders>
            <w:vAlign w:val="center"/>
          </w:tcPr>
          <w:p w14:paraId="13A67258" w14:textId="77777777" w:rsidR="0085272D" w:rsidRDefault="0096367E">
            <w:pPr>
              <w:jc w:val="center"/>
              <w:rPr>
                <w:rFonts w:ascii="Times New Roman" w:hAnsi="Times New Roman"/>
                <w:sz w:val="22"/>
                <w:szCs w:val="22"/>
              </w:rPr>
            </w:pPr>
            <w:r>
              <w:rPr>
                <w:rFonts w:ascii="Times New Roman" w:hAnsi="Times New Roman"/>
                <w:sz w:val="22"/>
                <w:szCs w:val="22"/>
              </w:rPr>
              <w:t>This Work</w:t>
            </w:r>
          </w:p>
        </w:tc>
      </w:tr>
      <w:tr w:rsidR="0085272D" w14:paraId="1B0E82F1" w14:textId="77777777">
        <w:trPr>
          <w:jc w:val="center"/>
        </w:trPr>
        <w:tc>
          <w:tcPr>
            <w:tcW w:w="3734" w:type="dxa"/>
            <w:tcBorders>
              <w:top w:val="nil"/>
              <w:bottom w:val="nil"/>
              <w:right w:val="nil"/>
            </w:tcBorders>
            <w:vAlign w:val="center"/>
          </w:tcPr>
          <w:p w14:paraId="2847A924" w14:textId="77777777" w:rsidR="0085272D" w:rsidRDefault="0096367E">
            <w:pPr>
              <w:jc w:val="center"/>
              <w:rPr>
                <w:rFonts w:ascii="Times New Roman" w:hAnsi="Times New Roman"/>
                <w:sz w:val="22"/>
                <w:szCs w:val="22"/>
              </w:rPr>
            </w:pPr>
            <w:r>
              <w:rPr>
                <w:rFonts w:ascii="Times New Roman" w:hAnsi="Times New Roman"/>
                <w:sz w:val="22"/>
                <w:szCs w:val="22"/>
              </w:rPr>
              <w:t>Gas mole fraction</w:t>
            </w:r>
          </w:p>
        </w:tc>
        <w:tc>
          <w:tcPr>
            <w:tcW w:w="2305" w:type="dxa"/>
            <w:tcBorders>
              <w:top w:val="nil"/>
              <w:left w:val="nil"/>
              <w:bottom w:val="nil"/>
              <w:right w:val="nil"/>
            </w:tcBorders>
            <w:vAlign w:val="center"/>
          </w:tcPr>
          <w:p w14:paraId="60309109" w14:textId="77777777" w:rsidR="0085272D" w:rsidRDefault="0096367E">
            <w:pPr>
              <w:jc w:val="center"/>
              <w:rPr>
                <w:rFonts w:ascii="Times New Roman" w:hAnsi="Times New Roman"/>
                <w:sz w:val="22"/>
                <w:szCs w:val="22"/>
              </w:rPr>
            </w:pPr>
            <w:r>
              <w:rPr>
                <w:rFonts w:ascii="Times New Roman" w:hAnsi="Times New Roman"/>
                <w:sz w:val="22"/>
                <w:szCs w:val="22"/>
              </w:rPr>
              <w:t>0.4015</w:t>
            </w:r>
          </w:p>
        </w:tc>
        <w:tc>
          <w:tcPr>
            <w:tcW w:w="1712" w:type="dxa"/>
            <w:tcBorders>
              <w:top w:val="nil"/>
              <w:left w:val="nil"/>
              <w:bottom w:val="nil"/>
            </w:tcBorders>
            <w:vAlign w:val="center"/>
          </w:tcPr>
          <w:p w14:paraId="4238E0A2" w14:textId="77777777" w:rsidR="0085272D" w:rsidRDefault="0096367E">
            <w:pPr>
              <w:jc w:val="center"/>
              <w:rPr>
                <w:rFonts w:ascii="Times New Roman" w:hAnsi="Times New Roman"/>
                <w:sz w:val="22"/>
                <w:szCs w:val="22"/>
              </w:rPr>
            </w:pPr>
            <w:r>
              <w:rPr>
                <w:rFonts w:ascii="Times New Roman" w:hAnsi="Times New Roman"/>
                <w:sz w:val="22"/>
                <w:szCs w:val="22"/>
              </w:rPr>
              <w:t>0.4011</w:t>
            </w:r>
          </w:p>
        </w:tc>
      </w:tr>
      <w:tr w:rsidR="0085272D" w14:paraId="5A6BD345" w14:textId="77777777">
        <w:trPr>
          <w:jc w:val="center"/>
        </w:trPr>
        <w:tc>
          <w:tcPr>
            <w:tcW w:w="3734" w:type="dxa"/>
            <w:tcBorders>
              <w:top w:val="nil"/>
              <w:bottom w:val="nil"/>
              <w:right w:val="nil"/>
            </w:tcBorders>
            <w:vAlign w:val="center"/>
          </w:tcPr>
          <w:p w14:paraId="16C21418" w14:textId="77777777" w:rsidR="0085272D" w:rsidRDefault="0096367E">
            <w:pPr>
              <w:jc w:val="center"/>
              <w:rPr>
                <w:rFonts w:ascii="Times New Roman" w:hAnsi="Times New Roman"/>
                <w:sz w:val="22"/>
                <w:szCs w:val="22"/>
              </w:rPr>
            </w:pPr>
            <w:r>
              <w:rPr>
                <w:rFonts w:ascii="Times New Roman" w:hAnsi="Times New Roman"/>
                <w:sz w:val="22"/>
                <w:szCs w:val="22"/>
              </w:rPr>
              <w:t>Gas compressibility factor</w:t>
            </w:r>
          </w:p>
        </w:tc>
        <w:tc>
          <w:tcPr>
            <w:tcW w:w="2305" w:type="dxa"/>
            <w:tcBorders>
              <w:top w:val="nil"/>
              <w:left w:val="nil"/>
              <w:bottom w:val="nil"/>
              <w:right w:val="nil"/>
            </w:tcBorders>
            <w:vAlign w:val="center"/>
          </w:tcPr>
          <w:p w14:paraId="2E89AD91" w14:textId="77777777" w:rsidR="0085272D" w:rsidRDefault="0096367E">
            <w:pPr>
              <w:jc w:val="center"/>
              <w:rPr>
                <w:rFonts w:ascii="Times New Roman" w:hAnsi="Times New Roman"/>
                <w:sz w:val="22"/>
                <w:szCs w:val="22"/>
              </w:rPr>
            </w:pPr>
            <w:r>
              <w:rPr>
                <w:rFonts w:ascii="Times New Roman" w:hAnsi="Times New Roman"/>
                <w:sz w:val="22"/>
                <w:szCs w:val="22"/>
              </w:rPr>
              <w:t>0.3922</w:t>
            </w:r>
          </w:p>
        </w:tc>
        <w:tc>
          <w:tcPr>
            <w:tcW w:w="1712" w:type="dxa"/>
            <w:tcBorders>
              <w:top w:val="nil"/>
              <w:left w:val="nil"/>
              <w:bottom w:val="nil"/>
            </w:tcBorders>
            <w:vAlign w:val="center"/>
          </w:tcPr>
          <w:p w14:paraId="72D46D23" w14:textId="77777777" w:rsidR="0085272D" w:rsidRDefault="0096367E">
            <w:pPr>
              <w:jc w:val="center"/>
              <w:rPr>
                <w:rFonts w:ascii="Times New Roman" w:hAnsi="Times New Roman"/>
                <w:sz w:val="22"/>
                <w:szCs w:val="22"/>
              </w:rPr>
            </w:pPr>
            <w:r>
              <w:rPr>
                <w:rFonts w:ascii="Times New Roman" w:hAnsi="Times New Roman"/>
                <w:sz w:val="22"/>
                <w:szCs w:val="22"/>
              </w:rPr>
              <w:t>0.3921</w:t>
            </w:r>
          </w:p>
        </w:tc>
      </w:tr>
      <w:tr w:rsidR="0085272D" w14:paraId="397749F4" w14:textId="77777777">
        <w:trPr>
          <w:jc w:val="center"/>
        </w:trPr>
        <w:tc>
          <w:tcPr>
            <w:tcW w:w="3734" w:type="dxa"/>
            <w:tcBorders>
              <w:top w:val="nil"/>
              <w:right w:val="nil"/>
            </w:tcBorders>
            <w:vAlign w:val="center"/>
          </w:tcPr>
          <w:p w14:paraId="7594EC22" w14:textId="77777777" w:rsidR="0085272D" w:rsidRDefault="0096367E">
            <w:pPr>
              <w:jc w:val="center"/>
              <w:rPr>
                <w:rFonts w:ascii="Times New Roman" w:hAnsi="Times New Roman"/>
                <w:sz w:val="22"/>
                <w:szCs w:val="22"/>
              </w:rPr>
            </w:pPr>
            <w:r>
              <w:rPr>
                <w:rFonts w:ascii="Times New Roman" w:hAnsi="Times New Roman"/>
                <w:sz w:val="22"/>
                <w:szCs w:val="22"/>
              </w:rPr>
              <w:t>Oil compressibility factor</w:t>
            </w:r>
          </w:p>
        </w:tc>
        <w:tc>
          <w:tcPr>
            <w:tcW w:w="2305" w:type="dxa"/>
            <w:tcBorders>
              <w:top w:val="nil"/>
              <w:left w:val="nil"/>
              <w:right w:val="nil"/>
            </w:tcBorders>
            <w:vAlign w:val="center"/>
          </w:tcPr>
          <w:p w14:paraId="6D33CE08" w14:textId="77777777" w:rsidR="0085272D" w:rsidRDefault="0096367E">
            <w:pPr>
              <w:jc w:val="center"/>
              <w:rPr>
                <w:rFonts w:ascii="Times New Roman" w:hAnsi="Times New Roman"/>
                <w:sz w:val="22"/>
                <w:szCs w:val="22"/>
              </w:rPr>
            </w:pPr>
            <w:r>
              <w:rPr>
                <w:rFonts w:ascii="Times New Roman" w:hAnsi="Times New Roman"/>
                <w:sz w:val="22"/>
                <w:szCs w:val="22"/>
              </w:rPr>
              <w:t>0.9051</w:t>
            </w:r>
          </w:p>
        </w:tc>
        <w:tc>
          <w:tcPr>
            <w:tcW w:w="1712" w:type="dxa"/>
            <w:tcBorders>
              <w:top w:val="nil"/>
              <w:left w:val="nil"/>
            </w:tcBorders>
            <w:vAlign w:val="center"/>
          </w:tcPr>
          <w:p w14:paraId="77740882" w14:textId="77777777" w:rsidR="0085272D" w:rsidRDefault="0096367E">
            <w:pPr>
              <w:jc w:val="center"/>
              <w:rPr>
                <w:rFonts w:ascii="Times New Roman" w:hAnsi="Times New Roman"/>
                <w:sz w:val="22"/>
                <w:szCs w:val="22"/>
              </w:rPr>
            </w:pPr>
            <w:r>
              <w:rPr>
                <w:rFonts w:ascii="Times New Roman" w:hAnsi="Times New Roman"/>
                <w:sz w:val="22"/>
                <w:szCs w:val="22"/>
              </w:rPr>
              <w:t>0.9048</w:t>
            </w:r>
          </w:p>
        </w:tc>
      </w:tr>
    </w:tbl>
    <w:p w14:paraId="305CF0AE" w14:textId="77777777" w:rsidR="0085272D" w:rsidRDefault="0085272D"/>
    <w:p w14:paraId="788A1148" w14:textId="77777777" w:rsidR="0085272D" w:rsidRDefault="0085272D"/>
    <w:tbl>
      <w:tblPr>
        <w:tblStyle w:val="TableGrid"/>
        <w:tblW w:w="8470" w:type="dxa"/>
        <w:jc w:val="center"/>
        <w:tblLayout w:type="fixed"/>
        <w:tblLook w:val="04A0" w:firstRow="1" w:lastRow="0" w:firstColumn="1" w:lastColumn="0" w:noHBand="0" w:noVBand="1"/>
      </w:tblPr>
      <w:tblGrid>
        <w:gridCol w:w="1243"/>
        <w:gridCol w:w="1688"/>
        <w:gridCol w:w="1950"/>
        <w:gridCol w:w="1664"/>
        <w:gridCol w:w="1925"/>
      </w:tblGrid>
      <w:tr w:rsidR="0085272D" w14:paraId="1F7EA4E5" w14:textId="77777777">
        <w:trPr>
          <w:trHeight w:val="994"/>
          <w:jc w:val="center"/>
        </w:trPr>
        <w:tc>
          <w:tcPr>
            <w:tcW w:w="8470" w:type="dxa"/>
            <w:gridSpan w:val="5"/>
            <w:tcBorders>
              <w:bottom w:val="single" w:sz="4" w:space="0" w:color="auto"/>
            </w:tcBorders>
            <w:vAlign w:val="center"/>
          </w:tcPr>
          <w:p w14:paraId="63C601B2" w14:textId="77777777" w:rsidR="0085272D" w:rsidRDefault="0096367E">
            <w:pPr>
              <w:jc w:val="center"/>
              <w:rPr>
                <w:rFonts w:ascii="Times New Roman" w:hAnsi="Times New Roman"/>
                <w:b/>
                <w:sz w:val="22"/>
                <w:szCs w:val="22"/>
              </w:rPr>
            </w:pPr>
            <w:r>
              <w:rPr>
                <w:rFonts w:ascii="Times New Roman" w:hAnsi="Times New Roman"/>
                <w:b/>
                <w:sz w:val="22"/>
                <w:szCs w:val="22"/>
              </w:rPr>
              <w:t>Table 4.7—Compositions of Oil and Gas from This Work and Sage et al. (1950)</w:t>
            </w:r>
          </w:p>
          <w:p w14:paraId="3E3C0452" w14:textId="77777777" w:rsidR="0085272D" w:rsidRDefault="0096367E">
            <w:pPr>
              <w:jc w:val="center"/>
            </w:pPr>
            <w:r>
              <w:rPr>
                <w:rFonts w:ascii="Times New Roman" w:hAnsi="Times New Roman"/>
                <w:sz w:val="22"/>
                <w:szCs w:val="22"/>
              </w:rPr>
              <w:t>Pressure=1000 psi, Temperature=160 °F</w:t>
            </w:r>
          </w:p>
        </w:tc>
      </w:tr>
      <w:tr w:rsidR="0085272D" w14:paraId="4660824F" w14:textId="77777777">
        <w:trPr>
          <w:trHeight w:val="1511"/>
          <w:jc w:val="center"/>
        </w:trPr>
        <w:tc>
          <w:tcPr>
            <w:tcW w:w="1243" w:type="dxa"/>
            <w:tcBorders>
              <w:bottom w:val="nil"/>
              <w:right w:val="nil"/>
            </w:tcBorders>
            <w:vAlign w:val="center"/>
          </w:tcPr>
          <w:p w14:paraId="58889645" w14:textId="77777777" w:rsidR="0085272D" w:rsidRDefault="0096367E">
            <w:pPr>
              <w:jc w:val="center"/>
            </w:pPr>
            <w:r>
              <w:rPr>
                <w:rFonts w:ascii="Times New Roman" w:hAnsi="Times New Roman"/>
                <w:sz w:val="22"/>
                <w:szCs w:val="22"/>
              </w:rPr>
              <w:t>Component</w:t>
            </w:r>
          </w:p>
        </w:tc>
        <w:tc>
          <w:tcPr>
            <w:tcW w:w="1688" w:type="dxa"/>
            <w:tcBorders>
              <w:left w:val="nil"/>
              <w:bottom w:val="nil"/>
              <w:right w:val="nil"/>
            </w:tcBorders>
            <w:vAlign w:val="center"/>
          </w:tcPr>
          <w:p w14:paraId="0AF9ADEF" w14:textId="77777777" w:rsidR="0085272D" w:rsidRDefault="0096367E">
            <w:pPr>
              <w:jc w:val="center"/>
              <w:rPr>
                <w:rFonts w:ascii="Times New Roman" w:hAnsi="Times New Roman"/>
                <w:sz w:val="22"/>
                <w:szCs w:val="22"/>
              </w:rPr>
            </w:pPr>
            <w:r>
              <w:rPr>
                <w:rFonts w:ascii="Times New Roman" w:hAnsi="Times New Roman"/>
                <w:sz w:val="22"/>
                <w:szCs w:val="22"/>
              </w:rPr>
              <w:t>Gas mole fraction (this work)</w:t>
            </w:r>
          </w:p>
        </w:tc>
        <w:tc>
          <w:tcPr>
            <w:tcW w:w="1950" w:type="dxa"/>
            <w:tcBorders>
              <w:left w:val="nil"/>
              <w:bottom w:val="nil"/>
              <w:right w:val="nil"/>
            </w:tcBorders>
            <w:vAlign w:val="center"/>
          </w:tcPr>
          <w:p w14:paraId="27926DA3" w14:textId="77777777" w:rsidR="0085272D" w:rsidRDefault="0096367E">
            <w:pPr>
              <w:jc w:val="center"/>
              <w:rPr>
                <w:rFonts w:ascii="Times New Roman" w:hAnsi="Times New Roman"/>
                <w:sz w:val="22"/>
                <w:szCs w:val="22"/>
              </w:rPr>
            </w:pPr>
            <w:r>
              <w:rPr>
                <w:rFonts w:ascii="Times New Roman" w:hAnsi="Times New Roman"/>
                <w:sz w:val="22"/>
                <w:szCs w:val="22"/>
              </w:rPr>
              <w:t>Gas mole fraction (Sage et al., 1950)</w:t>
            </w:r>
          </w:p>
        </w:tc>
        <w:tc>
          <w:tcPr>
            <w:tcW w:w="1664" w:type="dxa"/>
            <w:tcBorders>
              <w:left w:val="nil"/>
              <w:bottom w:val="nil"/>
              <w:right w:val="nil"/>
            </w:tcBorders>
            <w:vAlign w:val="center"/>
          </w:tcPr>
          <w:p w14:paraId="3784C874" w14:textId="77777777" w:rsidR="0085272D" w:rsidRDefault="0096367E">
            <w:pPr>
              <w:jc w:val="center"/>
              <w:rPr>
                <w:rFonts w:ascii="Times New Roman" w:hAnsi="Times New Roman"/>
                <w:sz w:val="22"/>
                <w:szCs w:val="22"/>
              </w:rPr>
            </w:pPr>
            <w:r>
              <w:rPr>
                <w:rFonts w:ascii="Times New Roman" w:hAnsi="Times New Roman"/>
                <w:sz w:val="22"/>
                <w:szCs w:val="22"/>
              </w:rPr>
              <w:t>Oil mole fraction (this work)</w:t>
            </w:r>
          </w:p>
        </w:tc>
        <w:tc>
          <w:tcPr>
            <w:tcW w:w="1925" w:type="dxa"/>
            <w:tcBorders>
              <w:left w:val="nil"/>
              <w:bottom w:val="nil"/>
            </w:tcBorders>
            <w:vAlign w:val="center"/>
          </w:tcPr>
          <w:p w14:paraId="7C0AD37E" w14:textId="77777777" w:rsidR="0085272D" w:rsidRDefault="0096367E">
            <w:pPr>
              <w:jc w:val="center"/>
              <w:rPr>
                <w:rFonts w:ascii="Times New Roman" w:hAnsi="Times New Roman"/>
                <w:sz w:val="22"/>
                <w:szCs w:val="22"/>
              </w:rPr>
            </w:pPr>
            <w:r>
              <w:rPr>
                <w:rFonts w:ascii="Times New Roman" w:hAnsi="Times New Roman"/>
                <w:sz w:val="22"/>
                <w:szCs w:val="22"/>
              </w:rPr>
              <w:t>Oil mole fraction (Sage et al., 1950)</w:t>
            </w:r>
          </w:p>
        </w:tc>
      </w:tr>
      <w:tr w:rsidR="0085272D" w14:paraId="29A1A0E0" w14:textId="77777777">
        <w:trPr>
          <w:trHeight w:val="519"/>
          <w:jc w:val="center"/>
        </w:trPr>
        <w:tc>
          <w:tcPr>
            <w:tcW w:w="1243" w:type="dxa"/>
            <w:tcBorders>
              <w:top w:val="nil"/>
              <w:bottom w:val="nil"/>
              <w:right w:val="nil"/>
            </w:tcBorders>
            <w:vAlign w:val="center"/>
          </w:tcPr>
          <w:p w14:paraId="7F73DC26" w14:textId="77777777" w:rsidR="0085272D" w:rsidRDefault="0096367E">
            <w:pPr>
              <w:jc w:val="center"/>
            </w:pPr>
            <w:r>
              <w:rPr>
                <w:rFonts w:ascii="Times New Roman" w:hAnsi="Times New Roman"/>
                <w:sz w:val="22"/>
                <w:szCs w:val="22"/>
              </w:rPr>
              <w:t>CH</w:t>
            </w:r>
            <w:r>
              <w:rPr>
                <w:rFonts w:ascii="Times New Roman" w:hAnsi="Times New Roman"/>
                <w:sz w:val="22"/>
                <w:szCs w:val="22"/>
                <w:vertAlign w:val="subscript"/>
              </w:rPr>
              <w:t>4</w:t>
            </w:r>
          </w:p>
        </w:tc>
        <w:tc>
          <w:tcPr>
            <w:tcW w:w="1688" w:type="dxa"/>
            <w:tcBorders>
              <w:top w:val="nil"/>
              <w:left w:val="nil"/>
              <w:bottom w:val="nil"/>
              <w:right w:val="nil"/>
            </w:tcBorders>
            <w:vAlign w:val="center"/>
          </w:tcPr>
          <w:p w14:paraId="1AD19AA3" w14:textId="77777777" w:rsidR="0085272D" w:rsidRDefault="0096367E">
            <w:pPr>
              <w:jc w:val="center"/>
              <w:rPr>
                <w:rFonts w:ascii="Times New Roman" w:hAnsi="Times New Roman"/>
                <w:sz w:val="22"/>
                <w:szCs w:val="22"/>
              </w:rPr>
            </w:pPr>
            <w:r>
              <w:rPr>
                <w:rFonts w:ascii="Times New Roman" w:hAnsi="Times New Roman"/>
                <w:sz w:val="22"/>
                <w:szCs w:val="22"/>
              </w:rPr>
              <w:t>0.9613</w:t>
            </w:r>
          </w:p>
        </w:tc>
        <w:tc>
          <w:tcPr>
            <w:tcW w:w="1950" w:type="dxa"/>
            <w:tcBorders>
              <w:top w:val="nil"/>
              <w:left w:val="nil"/>
              <w:bottom w:val="nil"/>
              <w:right w:val="nil"/>
            </w:tcBorders>
            <w:vAlign w:val="center"/>
          </w:tcPr>
          <w:p w14:paraId="76262A5D" w14:textId="77777777" w:rsidR="0085272D" w:rsidRDefault="0096367E">
            <w:pPr>
              <w:jc w:val="center"/>
              <w:rPr>
                <w:rFonts w:ascii="Times New Roman" w:hAnsi="Times New Roman"/>
                <w:sz w:val="22"/>
                <w:szCs w:val="22"/>
              </w:rPr>
            </w:pPr>
            <w:r>
              <w:rPr>
                <w:rFonts w:ascii="Times New Roman" w:hAnsi="Times New Roman"/>
                <w:sz w:val="22"/>
                <w:szCs w:val="22"/>
              </w:rPr>
              <w:t>0.963</w:t>
            </w:r>
          </w:p>
        </w:tc>
        <w:tc>
          <w:tcPr>
            <w:tcW w:w="1664" w:type="dxa"/>
            <w:tcBorders>
              <w:top w:val="nil"/>
              <w:left w:val="nil"/>
              <w:bottom w:val="nil"/>
              <w:right w:val="nil"/>
            </w:tcBorders>
            <w:vAlign w:val="center"/>
          </w:tcPr>
          <w:p w14:paraId="3134391B" w14:textId="77777777" w:rsidR="0085272D" w:rsidRDefault="0096367E">
            <w:pPr>
              <w:jc w:val="center"/>
              <w:rPr>
                <w:rFonts w:ascii="Times New Roman" w:hAnsi="Times New Roman"/>
                <w:sz w:val="22"/>
                <w:szCs w:val="22"/>
              </w:rPr>
            </w:pPr>
            <w:r>
              <w:rPr>
                <w:rFonts w:ascii="Times New Roman" w:hAnsi="Times New Roman"/>
                <w:sz w:val="22"/>
                <w:szCs w:val="22"/>
              </w:rPr>
              <w:t>0.2413</w:t>
            </w:r>
          </w:p>
        </w:tc>
        <w:tc>
          <w:tcPr>
            <w:tcW w:w="1925" w:type="dxa"/>
            <w:tcBorders>
              <w:top w:val="nil"/>
              <w:left w:val="nil"/>
              <w:bottom w:val="nil"/>
            </w:tcBorders>
            <w:vAlign w:val="center"/>
          </w:tcPr>
          <w:p w14:paraId="3B7F9C72" w14:textId="77777777" w:rsidR="0085272D" w:rsidRDefault="0096367E">
            <w:pPr>
              <w:jc w:val="center"/>
              <w:rPr>
                <w:rFonts w:ascii="Times New Roman" w:hAnsi="Times New Roman"/>
                <w:sz w:val="22"/>
                <w:szCs w:val="22"/>
              </w:rPr>
            </w:pPr>
            <w:r>
              <w:rPr>
                <w:rFonts w:ascii="Times New Roman" w:hAnsi="Times New Roman"/>
                <w:sz w:val="22"/>
                <w:szCs w:val="22"/>
              </w:rPr>
              <w:t>0.242</w:t>
            </w:r>
          </w:p>
        </w:tc>
      </w:tr>
      <w:tr w:rsidR="0085272D" w14:paraId="0E994D2E" w14:textId="77777777">
        <w:trPr>
          <w:trHeight w:val="519"/>
          <w:jc w:val="center"/>
        </w:trPr>
        <w:tc>
          <w:tcPr>
            <w:tcW w:w="1243" w:type="dxa"/>
            <w:tcBorders>
              <w:top w:val="nil"/>
              <w:bottom w:val="nil"/>
              <w:right w:val="nil"/>
            </w:tcBorders>
            <w:vAlign w:val="center"/>
          </w:tcPr>
          <w:p w14:paraId="38A57496" w14:textId="77777777" w:rsidR="0085272D" w:rsidRDefault="0096367E">
            <w:pPr>
              <w:jc w:val="center"/>
            </w:pPr>
            <w:r>
              <w:rPr>
                <w:rFonts w:ascii="Times New Roman" w:hAnsi="Times New Roman"/>
                <w:sz w:val="22"/>
                <w:szCs w:val="22"/>
              </w:rPr>
              <w:t>n-C</w:t>
            </w:r>
            <w:r>
              <w:rPr>
                <w:rFonts w:ascii="Times New Roman" w:hAnsi="Times New Roman"/>
                <w:sz w:val="22"/>
                <w:szCs w:val="22"/>
                <w:vertAlign w:val="subscript"/>
              </w:rPr>
              <w:t>4</w:t>
            </w:r>
            <w:r>
              <w:rPr>
                <w:rFonts w:ascii="Times New Roman" w:hAnsi="Times New Roman"/>
                <w:sz w:val="22"/>
                <w:szCs w:val="22"/>
              </w:rPr>
              <w:t>H</w:t>
            </w:r>
            <w:r>
              <w:rPr>
                <w:rFonts w:ascii="Times New Roman" w:hAnsi="Times New Roman"/>
                <w:sz w:val="22"/>
                <w:szCs w:val="22"/>
                <w:vertAlign w:val="subscript"/>
              </w:rPr>
              <w:t>10</w:t>
            </w:r>
          </w:p>
        </w:tc>
        <w:tc>
          <w:tcPr>
            <w:tcW w:w="1688" w:type="dxa"/>
            <w:tcBorders>
              <w:top w:val="nil"/>
              <w:left w:val="nil"/>
              <w:bottom w:val="nil"/>
              <w:right w:val="nil"/>
            </w:tcBorders>
            <w:vAlign w:val="center"/>
          </w:tcPr>
          <w:p w14:paraId="3E7675B6" w14:textId="77777777" w:rsidR="0085272D" w:rsidRDefault="0096367E">
            <w:pPr>
              <w:jc w:val="center"/>
              <w:rPr>
                <w:rFonts w:ascii="Times New Roman" w:hAnsi="Times New Roman"/>
                <w:sz w:val="22"/>
                <w:szCs w:val="22"/>
              </w:rPr>
            </w:pPr>
            <w:r>
              <w:rPr>
                <w:rFonts w:ascii="Times New Roman" w:hAnsi="Times New Roman"/>
                <w:sz w:val="22"/>
                <w:szCs w:val="22"/>
              </w:rPr>
              <w:t>0.0367</w:t>
            </w:r>
          </w:p>
        </w:tc>
        <w:tc>
          <w:tcPr>
            <w:tcW w:w="1950" w:type="dxa"/>
            <w:tcBorders>
              <w:top w:val="nil"/>
              <w:left w:val="nil"/>
              <w:bottom w:val="nil"/>
              <w:right w:val="nil"/>
            </w:tcBorders>
            <w:vAlign w:val="center"/>
          </w:tcPr>
          <w:p w14:paraId="618E8B13" w14:textId="77777777" w:rsidR="0085272D" w:rsidRDefault="0096367E">
            <w:pPr>
              <w:jc w:val="center"/>
              <w:rPr>
                <w:rFonts w:ascii="Times New Roman" w:hAnsi="Times New Roman"/>
                <w:sz w:val="22"/>
                <w:szCs w:val="22"/>
              </w:rPr>
            </w:pPr>
            <w:r>
              <w:rPr>
                <w:rFonts w:ascii="Times New Roman" w:hAnsi="Times New Roman"/>
                <w:sz w:val="22"/>
                <w:szCs w:val="22"/>
              </w:rPr>
              <w:t>0.036</w:t>
            </w:r>
          </w:p>
        </w:tc>
        <w:tc>
          <w:tcPr>
            <w:tcW w:w="1664" w:type="dxa"/>
            <w:tcBorders>
              <w:top w:val="nil"/>
              <w:left w:val="nil"/>
              <w:bottom w:val="nil"/>
              <w:right w:val="nil"/>
            </w:tcBorders>
            <w:vAlign w:val="center"/>
          </w:tcPr>
          <w:p w14:paraId="347A4E71" w14:textId="77777777" w:rsidR="0085272D" w:rsidRDefault="0096367E">
            <w:pPr>
              <w:jc w:val="center"/>
              <w:rPr>
                <w:rFonts w:ascii="Times New Roman" w:hAnsi="Times New Roman"/>
                <w:sz w:val="22"/>
                <w:szCs w:val="22"/>
              </w:rPr>
            </w:pPr>
            <w:r>
              <w:rPr>
                <w:rFonts w:ascii="Times New Roman" w:hAnsi="Times New Roman"/>
                <w:sz w:val="22"/>
                <w:szCs w:val="22"/>
              </w:rPr>
              <w:t>0.1516</w:t>
            </w:r>
          </w:p>
        </w:tc>
        <w:tc>
          <w:tcPr>
            <w:tcW w:w="1925" w:type="dxa"/>
            <w:tcBorders>
              <w:top w:val="nil"/>
              <w:left w:val="nil"/>
              <w:bottom w:val="nil"/>
            </w:tcBorders>
            <w:vAlign w:val="center"/>
          </w:tcPr>
          <w:p w14:paraId="5320062A" w14:textId="77777777" w:rsidR="0085272D" w:rsidRDefault="0096367E">
            <w:pPr>
              <w:jc w:val="center"/>
              <w:rPr>
                <w:rFonts w:ascii="Times New Roman" w:hAnsi="Times New Roman"/>
                <w:sz w:val="22"/>
                <w:szCs w:val="22"/>
              </w:rPr>
            </w:pPr>
            <w:r>
              <w:rPr>
                <w:rFonts w:ascii="Times New Roman" w:hAnsi="Times New Roman"/>
                <w:sz w:val="22"/>
                <w:szCs w:val="22"/>
              </w:rPr>
              <w:t>0.152</w:t>
            </w:r>
          </w:p>
        </w:tc>
      </w:tr>
      <w:tr w:rsidR="0085272D" w14:paraId="372C9360" w14:textId="77777777">
        <w:trPr>
          <w:trHeight w:val="519"/>
          <w:jc w:val="center"/>
        </w:trPr>
        <w:tc>
          <w:tcPr>
            <w:tcW w:w="1243" w:type="dxa"/>
            <w:tcBorders>
              <w:top w:val="nil"/>
              <w:right w:val="nil"/>
            </w:tcBorders>
            <w:vAlign w:val="center"/>
          </w:tcPr>
          <w:p w14:paraId="2A32A1F9" w14:textId="77777777" w:rsidR="0085272D" w:rsidRDefault="0096367E">
            <w:pPr>
              <w:jc w:val="center"/>
            </w:pPr>
            <w:r>
              <w:rPr>
                <w:rFonts w:ascii="Times New Roman" w:hAnsi="Times New Roman"/>
                <w:sz w:val="22"/>
                <w:szCs w:val="22"/>
              </w:rPr>
              <w:t>C</w:t>
            </w:r>
            <w:r>
              <w:rPr>
                <w:rFonts w:ascii="Times New Roman" w:hAnsi="Times New Roman"/>
                <w:sz w:val="22"/>
                <w:szCs w:val="22"/>
                <w:vertAlign w:val="subscript"/>
              </w:rPr>
              <w:t>10</w:t>
            </w:r>
            <w:r>
              <w:rPr>
                <w:rFonts w:ascii="Times New Roman" w:hAnsi="Times New Roman"/>
                <w:sz w:val="22"/>
                <w:szCs w:val="22"/>
              </w:rPr>
              <w:t>H</w:t>
            </w:r>
            <w:r>
              <w:rPr>
                <w:rFonts w:ascii="Times New Roman" w:hAnsi="Times New Roman"/>
                <w:sz w:val="22"/>
                <w:szCs w:val="22"/>
                <w:vertAlign w:val="subscript"/>
              </w:rPr>
              <w:t>22</w:t>
            </w:r>
          </w:p>
        </w:tc>
        <w:tc>
          <w:tcPr>
            <w:tcW w:w="1688" w:type="dxa"/>
            <w:tcBorders>
              <w:top w:val="nil"/>
              <w:left w:val="nil"/>
              <w:right w:val="nil"/>
            </w:tcBorders>
            <w:vAlign w:val="center"/>
          </w:tcPr>
          <w:p w14:paraId="737C9323" w14:textId="77777777" w:rsidR="0085272D" w:rsidRDefault="0096367E">
            <w:pPr>
              <w:jc w:val="center"/>
              <w:rPr>
                <w:rFonts w:ascii="Times New Roman" w:hAnsi="Times New Roman"/>
                <w:sz w:val="22"/>
                <w:szCs w:val="22"/>
              </w:rPr>
            </w:pPr>
            <w:r>
              <w:rPr>
                <w:rFonts w:ascii="Times New Roman" w:hAnsi="Times New Roman"/>
                <w:sz w:val="22"/>
                <w:szCs w:val="22"/>
              </w:rPr>
              <w:t>0.0021</w:t>
            </w:r>
          </w:p>
        </w:tc>
        <w:tc>
          <w:tcPr>
            <w:tcW w:w="1950" w:type="dxa"/>
            <w:tcBorders>
              <w:top w:val="nil"/>
              <w:left w:val="nil"/>
              <w:right w:val="nil"/>
            </w:tcBorders>
            <w:vAlign w:val="center"/>
          </w:tcPr>
          <w:p w14:paraId="0D25A313" w14:textId="77777777" w:rsidR="0085272D" w:rsidRDefault="0096367E">
            <w:pPr>
              <w:jc w:val="center"/>
              <w:rPr>
                <w:rFonts w:ascii="Times New Roman" w:hAnsi="Times New Roman"/>
                <w:sz w:val="22"/>
                <w:szCs w:val="22"/>
              </w:rPr>
            </w:pPr>
            <w:r>
              <w:rPr>
                <w:rFonts w:ascii="Times New Roman" w:hAnsi="Times New Roman"/>
                <w:sz w:val="22"/>
                <w:szCs w:val="22"/>
              </w:rPr>
              <w:t>0.0021</w:t>
            </w:r>
          </w:p>
        </w:tc>
        <w:tc>
          <w:tcPr>
            <w:tcW w:w="1664" w:type="dxa"/>
            <w:tcBorders>
              <w:top w:val="nil"/>
              <w:left w:val="nil"/>
              <w:right w:val="nil"/>
            </w:tcBorders>
            <w:vAlign w:val="center"/>
          </w:tcPr>
          <w:p w14:paraId="77EDBF07" w14:textId="77777777" w:rsidR="0085272D" w:rsidRDefault="0096367E">
            <w:pPr>
              <w:jc w:val="center"/>
              <w:rPr>
                <w:rFonts w:ascii="Times New Roman" w:hAnsi="Times New Roman"/>
                <w:sz w:val="22"/>
                <w:szCs w:val="22"/>
              </w:rPr>
            </w:pPr>
            <w:r>
              <w:rPr>
                <w:rFonts w:ascii="Times New Roman" w:hAnsi="Times New Roman"/>
                <w:sz w:val="22"/>
                <w:szCs w:val="22"/>
              </w:rPr>
              <w:t>0.6071</w:t>
            </w:r>
          </w:p>
        </w:tc>
        <w:tc>
          <w:tcPr>
            <w:tcW w:w="1925" w:type="dxa"/>
            <w:tcBorders>
              <w:top w:val="nil"/>
              <w:left w:val="nil"/>
            </w:tcBorders>
            <w:vAlign w:val="center"/>
          </w:tcPr>
          <w:p w14:paraId="76C67968" w14:textId="77777777" w:rsidR="0085272D" w:rsidRDefault="0096367E">
            <w:pPr>
              <w:jc w:val="center"/>
              <w:rPr>
                <w:rFonts w:ascii="Times New Roman" w:hAnsi="Times New Roman"/>
                <w:sz w:val="22"/>
                <w:szCs w:val="22"/>
              </w:rPr>
            </w:pPr>
            <w:r>
              <w:rPr>
                <w:rFonts w:ascii="Times New Roman" w:hAnsi="Times New Roman"/>
                <w:sz w:val="22"/>
                <w:szCs w:val="22"/>
              </w:rPr>
              <w:t>0.606</w:t>
            </w:r>
          </w:p>
        </w:tc>
      </w:tr>
    </w:tbl>
    <w:p w14:paraId="441EA8CF" w14:textId="77777777" w:rsidR="0085272D" w:rsidRDefault="0085272D"/>
    <w:p w14:paraId="673EEC5B" w14:textId="77777777" w:rsidR="0085272D" w:rsidRDefault="0085272D"/>
    <w:p w14:paraId="73FE531F" w14:textId="5E393D59" w:rsidR="0085272D" w:rsidRDefault="0096367E">
      <w:pPr>
        <w:widowControl w:val="0"/>
        <w:autoSpaceDE w:val="0"/>
        <w:autoSpaceDN w:val="0"/>
        <w:adjustRightInd w:val="0"/>
        <w:spacing w:after="240"/>
        <w:jc w:val="both"/>
        <w:rPr>
          <w:rFonts w:ascii="Times New Roman" w:hAnsi="Times New Roman"/>
          <w:lang w:eastAsia="zh-CN"/>
        </w:rPr>
      </w:pPr>
      <w:r>
        <w:t xml:space="preserve">Now we change the pore size to investigate the confinement effects on fluid phase behavior. For the same ternary mixture containing methane, n-butane and decane under the pressure of 1000 psi and the temperature of 160 °F, the pore size is decreased from 1000 nm (considered as bulk) </w:t>
      </w:r>
      <w:r>
        <w:rPr>
          <w:lang w:eastAsia="zh-CN"/>
        </w:rPr>
        <w:t>to</w:t>
      </w:r>
      <w:r>
        <w:rPr>
          <w:rFonts w:hint="eastAsia"/>
          <w:lang w:eastAsia="zh-CN"/>
        </w:rPr>
        <w:t xml:space="preserve"> </w:t>
      </w:r>
      <w:r>
        <w:t xml:space="preserve">2 nm. </w:t>
      </w:r>
      <w:r>
        <w:rPr>
          <w:rFonts w:hint="eastAsia"/>
          <w:b/>
          <w:lang w:eastAsia="zh-CN"/>
        </w:rPr>
        <w:t>Table</w:t>
      </w:r>
      <w:r>
        <w:rPr>
          <w:b/>
          <w:lang w:eastAsia="zh-CN"/>
        </w:rPr>
        <w:t xml:space="preserve"> 4.8</w:t>
      </w:r>
      <w:r>
        <w:rPr>
          <w:lang w:eastAsia="zh-CN"/>
        </w:rPr>
        <w:t xml:space="preserve"> and </w:t>
      </w:r>
      <w:r>
        <w:rPr>
          <w:b/>
          <w:lang w:eastAsia="zh-CN"/>
        </w:rPr>
        <w:t>Table 4.9</w:t>
      </w:r>
      <w:r>
        <w:rPr>
          <w:lang w:eastAsia="zh-CN"/>
        </w:rPr>
        <w:t xml:space="preserve"> show the</w:t>
      </w:r>
      <w:r>
        <w:t xml:space="preserve"> gas and oil compositions in different pore sizes, respectively. </w:t>
      </w:r>
      <w:r>
        <w:rPr>
          <w:b/>
        </w:rPr>
        <w:t>Table 4.10</w:t>
      </w:r>
      <w:r>
        <w:t xml:space="preserve"> gives gas mole fraction, gas and oil compressibility factors in different pore sizes. </w:t>
      </w:r>
      <w:r>
        <w:rPr>
          <w:rFonts w:hint="eastAsia"/>
          <w:lang w:eastAsia="zh-CN"/>
        </w:rPr>
        <w:t>If</w:t>
      </w:r>
      <w:r>
        <w:rPr>
          <w:lang w:eastAsia="zh-CN"/>
        </w:rPr>
        <w:t xml:space="preserve"> we plot </w:t>
      </w:r>
      <w:r>
        <w:t xml:space="preserve">gas mole fraction against pore size, as shown in </w:t>
      </w:r>
      <w:r>
        <w:rPr>
          <w:b/>
        </w:rPr>
        <w:t>Figure 4.6</w:t>
      </w:r>
      <w:r>
        <w:t>, we can see that the gas mole fraction increases with decreasing pore size. Such changes become much more rapid when the pore diameter is less than 10 nm. This shows that the confinement effects</w:t>
      </w:r>
      <w:r>
        <w:rPr>
          <w:rFonts w:hint="eastAsia"/>
          <w:lang w:eastAsia="zh-CN"/>
        </w:rPr>
        <w:t xml:space="preserve"> </w:t>
      </w:r>
      <w:r>
        <w:rPr>
          <w:rFonts w:ascii="Times New Roman" w:hAnsi="Times New Roman"/>
        </w:rPr>
        <w:t>make th</w:t>
      </w:r>
      <w:r>
        <w:rPr>
          <w:rFonts w:ascii="Times New Roman" w:hAnsi="Times New Roman" w:hint="eastAsia"/>
          <w:lang w:eastAsia="zh-CN"/>
        </w:rPr>
        <w:t>is</w:t>
      </w:r>
      <w:r>
        <w:rPr>
          <w:rFonts w:ascii="Times New Roman" w:hAnsi="Times New Roman"/>
        </w:rPr>
        <w:t xml:space="preserve"> </w:t>
      </w:r>
      <w:r>
        <w:t>ternary mixture</w:t>
      </w:r>
      <w:r>
        <w:rPr>
          <w:rFonts w:ascii="Times New Roman" w:hAnsi="Times New Roman"/>
        </w:rPr>
        <w:t xml:space="preserve"> behaves more like a dry gas.</w:t>
      </w:r>
      <w:r>
        <w:rPr>
          <w:rFonts w:ascii="Times New Roman" w:hAnsi="Times New Roman" w:hint="eastAsia"/>
          <w:lang w:eastAsia="zh-CN"/>
        </w:rPr>
        <w:t xml:space="preserve"> </w:t>
      </w:r>
      <w:r>
        <w:rPr>
          <w:rFonts w:ascii="Times New Roman" w:hAnsi="Times New Roman" w:hint="eastAsia"/>
          <w:b/>
          <w:lang w:eastAsia="zh-CN"/>
        </w:rPr>
        <w:t>Figure</w:t>
      </w:r>
      <w:r>
        <w:rPr>
          <w:rFonts w:ascii="Times New Roman" w:hAnsi="Times New Roman"/>
          <w:b/>
          <w:lang w:eastAsia="zh-CN"/>
        </w:rPr>
        <w:t xml:space="preserve"> 4.7</w:t>
      </w:r>
      <w:r>
        <w:rPr>
          <w:rFonts w:ascii="Times New Roman" w:hAnsi="Times New Roman"/>
          <w:lang w:eastAsia="zh-CN"/>
        </w:rPr>
        <w:t xml:space="preserve"> </w:t>
      </w:r>
      <w:r>
        <w:rPr>
          <w:rFonts w:ascii="Times New Roman" w:hAnsi="Times New Roman"/>
        </w:rPr>
        <w:t xml:space="preserve">shows the K-values for each component in different pore sizes. From the </w:t>
      </w:r>
      <w:r w:rsidR="00B2181C">
        <w:rPr>
          <w:rFonts w:ascii="Times New Roman" w:hAnsi="Times New Roman"/>
        </w:rPr>
        <w:t>figure,</w:t>
      </w:r>
      <w:r>
        <w:rPr>
          <w:rFonts w:ascii="Times New Roman" w:hAnsi="Times New Roman"/>
        </w:rPr>
        <w:t xml:space="preserve"> we can observe that the K-value of methane is almost constant </w:t>
      </w:r>
      <w:r>
        <w:rPr>
          <w:rFonts w:ascii="Times New Roman" w:hAnsi="Times New Roman" w:hint="eastAsia"/>
          <w:lang w:eastAsia="zh-CN"/>
        </w:rPr>
        <w:t xml:space="preserve">at any pore sizes </w:t>
      </w:r>
      <w:r>
        <w:rPr>
          <w:rFonts w:ascii="Times New Roman" w:hAnsi="Times New Roman"/>
        </w:rPr>
        <w:t xml:space="preserve">regardless of the pore size, while the K-values for n-butane and decane tend to increase in smaller pores, especially when the pore diameter is less than 10 nm. The K-value of n-butane increased from 0.24 at bulk to 0.38 when the pore size is decreased to 2 nm. While, the K-value of decane increased from 0.0035 at bulk to 0.014 when confined in 2 nm pores, </w:t>
      </w:r>
      <w:r>
        <w:rPr>
          <w:rFonts w:ascii="Times New Roman" w:hAnsi="Times New Roman" w:hint="eastAsia"/>
          <w:lang w:eastAsia="zh-CN"/>
        </w:rPr>
        <w:t xml:space="preserve">with 4 times increase. </w:t>
      </w:r>
      <w:r>
        <w:rPr>
          <w:rFonts w:ascii="Times New Roman" w:hAnsi="Times New Roman"/>
        </w:rPr>
        <w:t>The</w:t>
      </w:r>
      <w:r>
        <w:rPr>
          <w:rFonts w:ascii="Times New Roman" w:hAnsi="Times New Roman" w:hint="eastAsia"/>
          <w:lang w:eastAsia="zh-CN"/>
        </w:rPr>
        <w:t>se</w:t>
      </w:r>
      <w:r>
        <w:rPr>
          <w:rFonts w:ascii="Times New Roman" w:hAnsi="Times New Roman"/>
        </w:rPr>
        <w:t xml:space="preserve"> </w:t>
      </w:r>
      <w:r>
        <w:rPr>
          <w:rFonts w:ascii="Times New Roman" w:hAnsi="Times New Roman" w:hint="eastAsia"/>
          <w:lang w:eastAsia="zh-CN"/>
        </w:rPr>
        <w:t>results show that</w:t>
      </w:r>
      <w:r>
        <w:rPr>
          <w:rFonts w:ascii="Times New Roman" w:hAnsi="Times New Roman"/>
        </w:rPr>
        <w:t xml:space="preserve"> heavier components, such as n-butane and decane have more tendencies to go to the </w:t>
      </w:r>
      <w:r>
        <w:rPr>
          <w:rFonts w:ascii="Times New Roman" w:hAnsi="Times New Roman" w:hint="eastAsia"/>
          <w:lang w:eastAsia="zh-CN"/>
        </w:rPr>
        <w:t>vapor</w:t>
      </w:r>
      <w:r>
        <w:rPr>
          <w:rFonts w:ascii="Times New Roman" w:hAnsi="Times New Roman"/>
        </w:rPr>
        <w:t xml:space="preserve"> phase in smaller pores than lighter component, such as methane.</w:t>
      </w:r>
    </w:p>
    <w:p w14:paraId="7EC7B3F5" w14:textId="77777777" w:rsidR="0085272D" w:rsidRDefault="0096367E">
      <w:pPr>
        <w:jc w:val="both"/>
      </w:pPr>
      <w:r>
        <w:rPr>
          <w:rFonts w:ascii="Times New Roman" w:hAnsi="Times New Roman" w:hint="eastAsia"/>
          <w:lang w:eastAsia="zh-CN"/>
        </w:rPr>
        <w:t xml:space="preserve">Based on the results of the flash calculations for the confined fluids, we can see that the confinement effects have strong impact on fluid </w:t>
      </w:r>
      <w:r>
        <w:rPr>
          <w:rFonts w:ascii="Times New Roman" w:hAnsi="Times New Roman"/>
          <w:lang w:eastAsia="zh-CN"/>
        </w:rPr>
        <w:t>phase behavior</w:t>
      </w:r>
      <w:r>
        <w:rPr>
          <w:rFonts w:ascii="Times New Roman" w:hAnsi="Times New Roman" w:hint="eastAsia"/>
          <w:lang w:eastAsia="zh-CN"/>
        </w:rPr>
        <w:t xml:space="preserve"> especially when the pore size is less than 10 nm. If the fluid has both vapor and liquid phase at equilibrium at given temperature and pressure, the confinement effects will shift the fluid more to the vapor phase. If the fluid has more than one </w:t>
      </w:r>
      <w:r>
        <w:rPr>
          <w:rFonts w:ascii="Times New Roman" w:hAnsi="Times New Roman"/>
          <w:lang w:eastAsia="zh-CN"/>
        </w:rPr>
        <w:t>component</w:t>
      </w:r>
      <w:r>
        <w:rPr>
          <w:rFonts w:ascii="Times New Roman" w:hAnsi="Times New Roman" w:hint="eastAsia"/>
          <w:lang w:eastAsia="zh-CN"/>
        </w:rPr>
        <w:t xml:space="preserve">, the confinement effects have larger impact on </w:t>
      </w:r>
      <w:r>
        <w:rPr>
          <w:rFonts w:ascii="Times New Roman" w:hAnsi="Times New Roman"/>
          <w:lang w:eastAsia="zh-CN"/>
        </w:rPr>
        <w:t>heavier</w:t>
      </w:r>
      <w:r>
        <w:rPr>
          <w:rFonts w:ascii="Times New Roman" w:hAnsi="Times New Roman" w:hint="eastAsia"/>
          <w:lang w:eastAsia="zh-CN"/>
        </w:rPr>
        <w:t xml:space="preserve"> component, that is, </w:t>
      </w:r>
      <w:r>
        <w:rPr>
          <w:rFonts w:ascii="Times New Roman" w:hAnsi="Times New Roman"/>
        </w:rPr>
        <w:t>the K-value</w:t>
      </w:r>
      <w:r>
        <w:rPr>
          <w:rFonts w:ascii="Times New Roman" w:hAnsi="Times New Roman" w:hint="eastAsia"/>
          <w:lang w:eastAsia="zh-CN"/>
        </w:rPr>
        <w:t xml:space="preserve"> of </w:t>
      </w:r>
      <w:r>
        <w:rPr>
          <w:rFonts w:ascii="Times New Roman" w:hAnsi="Times New Roman"/>
          <w:lang w:eastAsia="zh-CN"/>
        </w:rPr>
        <w:t>heavier</w:t>
      </w:r>
      <w:r>
        <w:rPr>
          <w:rFonts w:ascii="Times New Roman" w:hAnsi="Times New Roman" w:hint="eastAsia"/>
          <w:lang w:eastAsia="zh-CN"/>
        </w:rPr>
        <w:t xml:space="preserve"> component</w:t>
      </w:r>
      <w:r>
        <w:rPr>
          <w:rFonts w:ascii="Times New Roman" w:hAnsi="Times New Roman"/>
          <w:lang w:eastAsia="zh-CN"/>
        </w:rPr>
        <w:t>s</w:t>
      </w:r>
      <w:r>
        <w:rPr>
          <w:rFonts w:ascii="Times New Roman" w:hAnsi="Times New Roman" w:hint="eastAsia"/>
          <w:lang w:eastAsia="zh-CN"/>
        </w:rPr>
        <w:t xml:space="preserve"> increase much more rapidly than the other components when the pore size </w:t>
      </w:r>
      <w:r>
        <w:rPr>
          <w:rFonts w:ascii="Times New Roman" w:hAnsi="Times New Roman"/>
          <w:lang w:eastAsia="zh-CN"/>
        </w:rPr>
        <w:t>decreases</w:t>
      </w:r>
      <w:r>
        <w:rPr>
          <w:rFonts w:ascii="Times New Roman" w:hAnsi="Times New Roman" w:hint="eastAsia"/>
          <w:lang w:eastAsia="zh-CN"/>
        </w:rPr>
        <w:t>.</w:t>
      </w:r>
    </w:p>
    <w:p w14:paraId="4E4FCD31" w14:textId="77777777" w:rsidR="0085272D" w:rsidRDefault="0085272D"/>
    <w:p w14:paraId="667FAF22" w14:textId="77777777" w:rsidR="0085272D" w:rsidRDefault="0085272D"/>
    <w:p w14:paraId="4B6E9F7D" w14:textId="77777777" w:rsidR="0085272D" w:rsidRDefault="0085272D">
      <w:pPr>
        <w:rPr>
          <w:lang w:eastAsia="zh-CN"/>
        </w:rPr>
      </w:pPr>
    </w:p>
    <w:tbl>
      <w:tblPr>
        <w:tblStyle w:val="TableGrid"/>
        <w:tblW w:w="8348" w:type="dxa"/>
        <w:jc w:val="center"/>
        <w:tblLayout w:type="fixed"/>
        <w:tblLook w:val="04A0" w:firstRow="1" w:lastRow="0" w:firstColumn="1" w:lastColumn="0" w:noHBand="0" w:noVBand="1"/>
      </w:tblPr>
      <w:tblGrid>
        <w:gridCol w:w="2090"/>
        <w:gridCol w:w="2088"/>
        <w:gridCol w:w="2084"/>
        <w:gridCol w:w="2086"/>
      </w:tblGrid>
      <w:tr w:rsidR="0085272D" w14:paraId="2F0A7CF8" w14:textId="77777777">
        <w:trPr>
          <w:trHeight w:val="1193"/>
          <w:jc w:val="center"/>
        </w:trPr>
        <w:tc>
          <w:tcPr>
            <w:tcW w:w="8348" w:type="dxa"/>
            <w:gridSpan w:val="4"/>
            <w:vAlign w:val="center"/>
          </w:tcPr>
          <w:p w14:paraId="6DE96D1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b/>
                <w:sz w:val="22"/>
                <w:szCs w:val="22"/>
              </w:rPr>
              <w:t>Table 4.8—Gas Composition of Each Component in the Mixture in Different Pore Sizes</w:t>
            </w:r>
            <w:r>
              <w:rPr>
                <w:rFonts w:ascii="Times New Roman" w:hAnsi="Times New Roman"/>
                <w:sz w:val="22"/>
                <w:szCs w:val="22"/>
              </w:rPr>
              <w:t xml:space="preserve"> Pressure=1000 psi, Temperature=160 °F</w:t>
            </w:r>
          </w:p>
        </w:tc>
      </w:tr>
      <w:tr w:rsidR="0085272D" w14:paraId="1900FB88" w14:textId="77777777">
        <w:trPr>
          <w:trHeight w:val="732"/>
          <w:jc w:val="center"/>
        </w:trPr>
        <w:tc>
          <w:tcPr>
            <w:tcW w:w="2090" w:type="dxa"/>
            <w:vMerge w:val="restart"/>
            <w:vAlign w:val="center"/>
          </w:tcPr>
          <w:p w14:paraId="406914B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Pore Diameter, nm</w:t>
            </w:r>
          </w:p>
        </w:tc>
        <w:tc>
          <w:tcPr>
            <w:tcW w:w="6258" w:type="dxa"/>
            <w:gridSpan w:val="3"/>
            <w:tcBorders>
              <w:bottom w:val="nil"/>
            </w:tcBorders>
            <w:vAlign w:val="center"/>
          </w:tcPr>
          <w:p w14:paraId="1A4D0D3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Gas Composition, fraction</w:t>
            </w:r>
          </w:p>
        </w:tc>
      </w:tr>
      <w:tr w:rsidR="0085272D" w14:paraId="10E4838F" w14:textId="77777777">
        <w:trPr>
          <w:trHeight w:val="141"/>
          <w:jc w:val="center"/>
        </w:trPr>
        <w:tc>
          <w:tcPr>
            <w:tcW w:w="2090" w:type="dxa"/>
            <w:vMerge/>
            <w:tcBorders>
              <w:bottom w:val="single" w:sz="4" w:space="0" w:color="auto"/>
            </w:tcBorders>
            <w:vAlign w:val="center"/>
          </w:tcPr>
          <w:p w14:paraId="55BE503F" w14:textId="77777777" w:rsidR="0085272D" w:rsidRDefault="0085272D">
            <w:pPr>
              <w:widowControl w:val="0"/>
              <w:autoSpaceDE w:val="0"/>
              <w:autoSpaceDN w:val="0"/>
              <w:adjustRightInd w:val="0"/>
              <w:spacing w:after="240"/>
              <w:jc w:val="center"/>
              <w:rPr>
                <w:rFonts w:ascii="Times New Roman" w:hAnsi="Times New Roman"/>
                <w:sz w:val="22"/>
                <w:szCs w:val="22"/>
              </w:rPr>
            </w:pPr>
          </w:p>
        </w:tc>
        <w:tc>
          <w:tcPr>
            <w:tcW w:w="2088" w:type="dxa"/>
            <w:tcBorders>
              <w:top w:val="nil"/>
              <w:bottom w:val="single" w:sz="4" w:space="0" w:color="auto"/>
              <w:right w:val="nil"/>
            </w:tcBorders>
            <w:vAlign w:val="center"/>
          </w:tcPr>
          <w:p w14:paraId="0119517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Methane</w:t>
            </w:r>
          </w:p>
        </w:tc>
        <w:tc>
          <w:tcPr>
            <w:tcW w:w="2084" w:type="dxa"/>
            <w:tcBorders>
              <w:top w:val="nil"/>
              <w:left w:val="nil"/>
              <w:bottom w:val="single" w:sz="4" w:space="0" w:color="auto"/>
              <w:right w:val="nil"/>
            </w:tcBorders>
            <w:vAlign w:val="center"/>
          </w:tcPr>
          <w:p w14:paraId="4355F34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n-Butane</w:t>
            </w:r>
          </w:p>
        </w:tc>
        <w:tc>
          <w:tcPr>
            <w:tcW w:w="2086" w:type="dxa"/>
            <w:tcBorders>
              <w:top w:val="nil"/>
              <w:left w:val="nil"/>
              <w:bottom w:val="single" w:sz="4" w:space="0" w:color="auto"/>
            </w:tcBorders>
            <w:vAlign w:val="center"/>
          </w:tcPr>
          <w:p w14:paraId="5362D07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Decane</w:t>
            </w:r>
          </w:p>
        </w:tc>
      </w:tr>
      <w:tr w:rsidR="0085272D" w14:paraId="0C527129" w14:textId="77777777">
        <w:trPr>
          <w:trHeight w:val="712"/>
          <w:jc w:val="center"/>
        </w:trPr>
        <w:tc>
          <w:tcPr>
            <w:tcW w:w="2090" w:type="dxa"/>
            <w:tcBorders>
              <w:bottom w:val="nil"/>
              <w:right w:val="nil"/>
            </w:tcBorders>
            <w:vAlign w:val="center"/>
          </w:tcPr>
          <w:p w14:paraId="2997B10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1000</w:t>
            </w:r>
          </w:p>
        </w:tc>
        <w:tc>
          <w:tcPr>
            <w:tcW w:w="2088" w:type="dxa"/>
            <w:tcBorders>
              <w:left w:val="nil"/>
              <w:bottom w:val="nil"/>
              <w:right w:val="nil"/>
            </w:tcBorders>
            <w:vAlign w:val="center"/>
          </w:tcPr>
          <w:p w14:paraId="3B6E6C1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0.9612</w:t>
            </w:r>
          </w:p>
        </w:tc>
        <w:tc>
          <w:tcPr>
            <w:tcW w:w="2084" w:type="dxa"/>
            <w:tcBorders>
              <w:left w:val="nil"/>
              <w:bottom w:val="nil"/>
              <w:right w:val="nil"/>
            </w:tcBorders>
            <w:vAlign w:val="center"/>
          </w:tcPr>
          <w:p w14:paraId="1634E04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0.0367</w:t>
            </w:r>
          </w:p>
        </w:tc>
        <w:tc>
          <w:tcPr>
            <w:tcW w:w="2086" w:type="dxa"/>
            <w:tcBorders>
              <w:left w:val="nil"/>
              <w:bottom w:val="nil"/>
            </w:tcBorders>
            <w:vAlign w:val="center"/>
          </w:tcPr>
          <w:p w14:paraId="058CF9A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0.0021</w:t>
            </w:r>
          </w:p>
        </w:tc>
      </w:tr>
      <w:tr w:rsidR="0085272D" w14:paraId="382306D5" w14:textId="77777777">
        <w:trPr>
          <w:trHeight w:val="732"/>
          <w:jc w:val="center"/>
        </w:trPr>
        <w:tc>
          <w:tcPr>
            <w:tcW w:w="2090" w:type="dxa"/>
            <w:tcBorders>
              <w:top w:val="nil"/>
              <w:bottom w:val="nil"/>
              <w:right w:val="nil"/>
            </w:tcBorders>
            <w:vAlign w:val="center"/>
          </w:tcPr>
          <w:p w14:paraId="51CBDE2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100</w:t>
            </w:r>
          </w:p>
        </w:tc>
        <w:tc>
          <w:tcPr>
            <w:tcW w:w="2088" w:type="dxa"/>
            <w:tcBorders>
              <w:top w:val="nil"/>
              <w:left w:val="nil"/>
              <w:bottom w:val="nil"/>
              <w:right w:val="nil"/>
            </w:tcBorders>
            <w:vAlign w:val="center"/>
          </w:tcPr>
          <w:p w14:paraId="15174B9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0.9612</w:t>
            </w:r>
          </w:p>
        </w:tc>
        <w:tc>
          <w:tcPr>
            <w:tcW w:w="2084" w:type="dxa"/>
            <w:tcBorders>
              <w:top w:val="nil"/>
              <w:left w:val="nil"/>
              <w:bottom w:val="nil"/>
              <w:right w:val="nil"/>
            </w:tcBorders>
            <w:vAlign w:val="center"/>
          </w:tcPr>
          <w:p w14:paraId="39BC11F6"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0.0367</w:t>
            </w:r>
          </w:p>
        </w:tc>
        <w:tc>
          <w:tcPr>
            <w:tcW w:w="2086" w:type="dxa"/>
            <w:tcBorders>
              <w:top w:val="nil"/>
              <w:left w:val="nil"/>
              <w:bottom w:val="nil"/>
            </w:tcBorders>
            <w:vAlign w:val="center"/>
          </w:tcPr>
          <w:p w14:paraId="7F09DAF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0.0021</w:t>
            </w:r>
          </w:p>
        </w:tc>
      </w:tr>
      <w:tr w:rsidR="0085272D" w14:paraId="4C66E5CB" w14:textId="77777777">
        <w:trPr>
          <w:trHeight w:val="712"/>
          <w:jc w:val="center"/>
        </w:trPr>
        <w:tc>
          <w:tcPr>
            <w:tcW w:w="2090" w:type="dxa"/>
            <w:tcBorders>
              <w:top w:val="nil"/>
              <w:bottom w:val="nil"/>
              <w:right w:val="nil"/>
            </w:tcBorders>
            <w:vAlign w:val="center"/>
          </w:tcPr>
          <w:p w14:paraId="32C9FB0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50</w:t>
            </w:r>
          </w:p>
        </w:tc>
        <w:tc>
          <w:tcPr>
            <w:tcW w:w="2088" w:type="dxa"/>
            <w:tcBorders>
              <w:top w:val="nil"/>
              <w:left w:val="nil"/>
              <w:bottom w:val="nil"/>
              <w:right w:val="nil"/>
            </w:tcBorders>
            <w:vAlign w:val="center"/>
          </w:tcPr>
          <w:p w14:paraId="09AF6F9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0.961</w:t>
            </w:r>
          </w:p>
        </w:tc>
        <w:tc>
          <w:tcPr>
            <w:tcW w:w="2084" w:type="dxa"/>
            <w:tcBorders>
              <w:top w:val="nil"/>
              <w:left w:val="nil"/>
              <w:bottom w:val="nil"/>
              <w:right w:val="nil"/>
            </w:tcBorders>
            <w:vAlign w:val="center"/>
          </w:tcPr>
          <w:p w14:paraId="2A57E07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0.0369</w:t>
            </w:r>
          </w:p>
        </w:tc>
        <w:tc>
          <w:tcPr>
            <w:tcW w:w="2086" w:type="dxa"/>
            <w:tcBorders>
              <w:top w:val="nil"/>
              <w:left w:val="nil"/>
              <w:bottom w:val="nil"/>
            </w:tcBorders>
            <w:vAlign w:val="center"/>
          </w:tcPr>
          <w:p w14:paraId="084B50C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0.0021</w:t>
            </w:r>
          </w:p>
        </w:tc>
      </w:tr>
      <w:tr w:rsidR="0085272D" w14:paraId="49D66876" w14:textId="77777777">
        <w:trPr>
          <w:trHeight w:val="732"/>
          <w:jc w:val="center"/>
        </w:trPr>
        <w:tc>
          <w:tcPr>
            <w:tcW w:w="2090" w:type="dxa"/>
            <w:tcBorders>
              <w:top w:val="nil"/>
              <w:bottom w:val="nil"/>
              <w:right w:val="nil"/>
            </w:tcBorders>
            <w:vAlign w:val="center"/>
          </w:tcPr>
          <w:p w14:paraId="228A6E1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30</w:t>
            </w:r>
          </w:p>
        </w:tc>
        <w:tc>
          <w:tcPr>
            <w:tcW w:w="2088" w:type="dxa"/>
            <w:tcBorders>
              <w:top w:val="nil"/>
              <w:left w:val="nil"/>
              <w:bottom w:val="nil"/>
              <w:right w:val="nil"/>
            </w:tcBorders>
            <w:vAlign w:val="center"/>
          </w:tcPr>
          <w:p w14:paraId="33AF58C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0.9608</w:t>
            </w:r>
          </w:p>
        </w:tc>
        <w:tc>
          <w:tcPr>
            <w:tcW w:w="2084" w:type="dxa"/>
            <w:tcBorders>
              <w:top w:val="nil"/>
              <w:left w:val="nil"/>
              <w:bottom w:val="nil"/>
              <w:right w:val="nil"/>
            </w:tcBorders>
            <w:vAlign w:val="center"/>
          </w:tcPr>
          <w:p w14:paraId="68EDA90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0.0371</w:t>
            </w:r>
          </w:p>
        </w:tc>
        <w:tc>
          <w:tcPr>
            <w:tcW w:w="2086" w:type="dxa"/>
            <w:tcBorders>
              <w:top w:val="nil"/>
              <w:left w:val="nil"/>
              <w:bottom w:val="nil"/>
            </w:tcBorders>
            <w:vAlign w:val="center"/>
          </w:tcPr>
          <w:p w14:paraId="0079559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0.0022</w:t>
            </w:r>
          </w:p>
        </w:tc>
      </w:tr>
      <w:tr w:rsidR="0085272D" w14:paraId="55ABF938" w14:textId="77777777">
        <w:trPr>
          <w:trHeight w:val="732"/>
          <w:jc w:val="center"/>
        </w:trPr>
        <w:tc>
          <w:tcPr>
            <w:tcW w:w="2090" w:type="dxa"/>
            <w:tcBorders>
              <w:top w:val="nil"/>
              <w:bottom w:val="nil"/>
              <w:right w:val="nil"/>
            </w:tcBorders>
            <w:vAlign w:val="center"/>
          </w:tcPr>
          <w:p w14:paraId="41725D7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15</w:t>
            </w:r>
          </w:p>
        </w:tc>
        <w:tc>
          <w:tcPr>
            <w:tcW w:w="2088" w:type="dxa"/>
            <w:tcBorders>
              <w:top w:val="nil"/>
              <w:left w:val="nil"/>
              <w:bottom w:val="nil"/>
              <w:right w:val="nil"/>
            </w:tcBorders>
            <w:vAlign w:val="center"/>
          </w:tcPr>
          <w:p w14:paraId="5B77B6E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0.96</w:t>
            </w:r>
          </w:p>
        </w:tc>
        <w:tc>
          <w:tcPr>
            <w:tcW w:w="2084" w:type="dxa"/>
            <w:tcBorders>
              <w:top w:val="nil"/>
              <w:left w:val="nil"/>
              <w:bottom w:val="nil"/>
              <w:right w:val="nil"/>
            </w:tcBorders>
            <w:vAlign w:val="center"/>
          </w:tcPr>
          <w:p w14:paraId="1AB0A99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0.0377</w:t>
            </w:r>
          </w:p>
        </w:tc>
        <w:tc>
          <w:tcPr>
            <w:tcW w:w="2086" w:type="dxa"/>
            <w:tcBorders>
              <w:top w:val="nil"/>
              <w:left w:val="nil"/>
              <w:bottom w:val="nil"/>
            </w:tcBorders>
            <w:vAlign w:val="center"/>
          </w:tcPr>
          <w:p w14:paraId="0667C2E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0.0023</w:t>
            </w:r>
          </w:p>
        </w:tc>
      </w:tr>
      <w:tr w:rsidR="0085272D" w14:paraId="2EDD54F2" w14:textId="77777777">
        <w:trPr>
          <w:trHeight w:val="712"/>
          <w:jc w:val="center"/>
        </w:trPr>
        <w:tc>
          <w:tcPr>
            <w:tcW w:w="2090" w:type="dxa"/>
            <w:tcBorders>
              <w:top w:val="nil"/>
              <w:bottom w:val="nil"/>
              <w:right w:val="nil"/>
            </w:tcBorders>
            <w:vAlign w:val="center"/>
          </w:tcPr>
          <w:p w14:paraId="4184BE1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w:t>
            </w:r>
          </w:p>
        </w:tc>
        <w:tc>
          <w:tcPr>
            <w:tcW w:w="2088" w:type="dxa"/>
            <w:tcBorders>
              <w:top w:val="nil"/>
              <w:left w:val="nil"/>
              <w:bottom w:val="nil"/>
              <w:right w:val="nil"/>
            </w:tcBorders>
            <w:vAlign w:val="center"/>
          </w:tcPr>
          <w:p w14:paraId="1C7E90D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0.9591</w:t>
            </w:r>
          </w:p>
        </w:tc>
        <w:tc>
          <w:tcPr>
            <w:tcW w:w="2084" w:type="dxa"/>
            <w:tcBorders>
              <w:top w:val="nil"/>
              <w:left w:val="nil"/>
              <w:bottom w:val="nil"/>
              <w:right w:val="nil"/>
            </w:tcBorders>
            <w:vAlign w:val="center"/>
          </w:tcPr>
          <w:p w14:paraId="3E8853D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0.0384</w:t>
            </w:r>
          </w:p>
        </w:tc>
        <w:tc>
          <w:tcPr>
            <w:tcW w:w="2086" w:type="dxa"/>
            <w:tcBorders>
              <w:top w:val="nil"/>
              <w:left w:val="nil"/>
              <w:bottom w:val="nil"/>
            </w:tcBorders>
            <w:vAlign w:val="center"/>
          </w:tcPr>
          <w:p w14:paraId="0F04312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0.0025</w:t>
            </w:r>
          </w:p>
        </w:tc>
      </w:tr>
      <w:tr w:rsidR="0085272D" w14:paraId="6533C1EC" w14:textId="77777777">
        <w:trPr>
          <w:trHeight w:val="732"/>
          <w:jc w:val="center"/>
        </w:trPr>
        <w:tc>
          <w:tcPr>
            <w:tcW w:w="2090" w:type="dxa"/>
            <w:tcBorders>
              <w:top w:val="nil"/>
              <w:bottom w:val="nil"/>
              <w:right w:val="nil"/>
            </w:tcBorders>
            <w:vAlign w:val="center"/>
          </w:tcPr>
          <w:p w14:paraId="7C1083D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8</w:t>
            </w:r>
          </w:p>
        </w:tc>
        <w:tc>
          <w:tcPr>
            <w:tcW w:w="2088" w:type="dxa"/>
            <w:tcBorders>
              <w:top w:val="nil"/>
              <w:left w:val="nil"/>
              <w:bottom w:val="nil"/>
              <w:right w:val="nil"/>
            </w:tcBorders>
            <w:vAlign w:val="center"/>
          </w:tcPr>
          <w:p w14:paraId="209F4E6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0.9583</w:t>
            </w:r>
          </w:p>
        </w:tc>
        <w:tc>
          <w:tcPr>
            <w:tcW w:w="2084" w:type="dxa"/>
            <w:tcBorders>
              <w:top w:val="nil"/>
              <w:left w:val="nil"/>
              <w:bottom w:val="nil"/>
              <w:right w:val="nil"/>
            </w:tcBorders>
            <w:vAlign w:val="center"/>
          </w:tcPr>
          <w:p w14:paraId="1A8F001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0.0391</w:t>
            </w:r>
          </w:p>
        </w:tc>
        <w:tc>
          <w:tcPr>
            <w:tcW w:w="2086" w:type="dxa"/>
            <w:tcBorders>
              <w:top w:val="nil"/>
              <w:left w:val="nil"/>
              <w:bottom w:val="nil"/>
            </w:tcBorders>
            <w:vAlign w:val="center"/>
          </w:tcPr>
          <w:p w14:paraId="7B040B5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0.0026</w:t>
            </w:r>
          </w:p>
        </w:tc>
      </w:tr>
      <w:tr w:rsidR="0085272D" w14:paraId="4D6FBA84" w14:textId="77777777">
        <w:trPr>
          <w:trHeight w:val="732"/>
          <w:jc w:val="center"/>
        </w:trPr>
        <w:tc>
          <w:tcPr>
            <w:tcW w:w="2090" w:type="dxa"/>
            <w:tcBorders>
              <w:top w:val="nil"/>
              <w:bottom w:val="nil"/>
              <w:right w:val="nil"/>
            </w:tcBorders>
            <w:vAlign w:val="center"/>
          </w:tcPr>
          <w:p w14:paraId="0DA3794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6</w:t>
            </w:r>
          </w:p>
        </w:tc>
        <w:tc>
          <w:tcPr>
            <w:tcW w:w="2088" w:type="dxa"/>
            <w:tcBorders>
              <w:top w:val="nil"/>
              <w:left w:val="nil"/>
              <w:bottom w:val="nil"/>
              <w:right w:val="nil"/>
            </w:tcBorders>
            <w:vAlign w:val="center"/>
          </w:tcPr>
          <w:p w14:paraId="5370DDB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0.9569</w:t>
            </w:r>
          </w:p>
        </w:tc>
        <w:tc>
          <w:tcPr>
            <w:tcW w:w="2084" w:type="dxa"/>
            <w:tcBorders>
              <w:top w:val="nil"/>
              <w:left w:val="nil"/>
              <w:bottom w:val="nil"/>
              <w:right w:val="nil"/>
            </w:tcBorders>
            <w:vAlign w:val="center"/>
          </w:tcPr>
          <w:p w14:paraId="2BF629B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0.0402</w:t>
            </w:r>
          </w:p>
        </w:tc>
        <w:tc>
          <w:tcPr>
            <w:tcW w:w="2086" w:type="dxa"/>
            <w:tcBorders>
              <w:top w:val="nil"/>
              <w:left w:val="nil"/>
              <w:bottom w:val="nil"/>
            </w:tcBorders>
            <w:vAlign w:val="center"/>
          </w:tcPr>
          <w:p w14:paraId="1DAB3DD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0.0029</w:t>
            </w:r>
          </w:p>
        </w:tc>
      </w:tr>
      <w:tr w:rsidR="0085272D" w14:paraId="3F5C4968" w14:textId="77777777">
        <w:trPr>
          <w:trHeight w:val="732"/>
          <w:jc w:val="center"/>
        </w:trPr>
        <w:tc>
          <w:tcPr>
            <w:tcW w:w="2090" w:type="dxa"/>
            <w:tcBorders>
              <w:top w:val="nil"/>
              <w:bottom w:val="nil"/>
              <w:right w:val="nil"/>
            </w:tcBorders>
            <w:vAlign w:val="center"/>
          </w:tcPr>
          <w:p w14:paraId="5253454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5</w:t>
            </w:r>
          </w:p>
        </w:tc>
        <w:tc>
          <w:tcPr>
            <w:tcW w:w="2088" w:type="dxa"/>
            <w:tcBorders>
              <w:top w:val="nil"/>
              <w:left w:val="nil"/>
              <w:bottom w:val="nil"/>
              <w:right w:val="nil"/>
            </w:tcBorders>
            <w:vAlign w:val="center"/>
          </w:tcPr>
          <w:p w14:paraId="5F94864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0.9556</w:t>
            </w:r>
          </w:p>
        </w:tc>
        <w:tc>
          <w:tcPr>
            <w:tcW w:w="2084" w:type="dxa"/>
            <w:tcBorders>
              <w:top w:val="nil"/>
              <w:left w:val="nil"/>
              <w:bottom w:val="nil"/>
              <w:right w:val="nil"/>
            </w:tcBorders>
            <w:vAlign w:val="center"/>
          </w:tcPr>
          <w:p w14:paraId="5FF076C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0.0413</w:t>
            </w:r>
          </w:p>
        </w:tc>
        <w:tc>
          <w:tcPr>
            <w:tcW w:w="2086" w:type="dxa"/>
            <w:tcBorders>
              <w:top w:val="nil"/>
              <w:left w:val="nil"/>
              <w:bottom w:val="nil"/>
            </w:tcBorders>
            <w:vAlign w:val="center"/>
          </w:tcPr>
          <w:p w14:paraId="2709D5D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0.0031</w:t>
            </w:r>
          </w:p>
        </w:tc>
      </w:tr>
      <w:tr w:rsidR="0085272D" w14:paraId="2F855891" w14:textId="77777777">
        <w:trPr>
          <w:trHeight w:val="712"/>
          <w:jc w:val="center"/>
        </w:trPr>
        <w:tc>
          <w:tcPr>
            <w:tcW w:w="2090" w:type="dxa"/>
            <w:tcBorders>
              <w:top w:val="nil"/>
              <w:bottom w:val="nil"/>
              <w:right w:val="nil"/>
            </w:tcBorders>
            <w:vAlign w:val="center"/>
          </w:tcPr>
          <w:p w14:paraId="5278E12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4</w:t>
            </w:r>
          </w:p>
        </w:tc>
        <w:tc>
          <w:tcPr>
            <w:tcW w:w="2088" w:type="dxa"/>
            <w:tcBorders>
              <w:top w:val="nil"/>
              <w:left w:val="nil"/>
              <w:bottom w:val="nil"/>
              <w:right w:val="nil"/>
            </w:tcBorders>
            <w:vAlign w:val="center"/>
          </w:tcPr>
          <w:p w14:paraId="0261EB1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0.9534</w:t>
            </w:r>
          </w:p>
        </w:tc>
        <w:tc>
          <w:tcPr>
            <w:tcW w:w="2084" w:type="dxa"/>
            <w:tcBorders>
              <w:top w:val="nil"/>
              <w:left w:val="nil"/>
              <w:bottom w:val="nil"/>
              <w:right w:val="nil"/>
            </w:tcBorders>
            <w:vAlign w:val="center"/>
          </w:tcPr>
          <w:p w14:paraId="0183752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0.0429</w:t>
            </w:r>
          </w:p>
        </w:tc>
        <w:tc>
          <w:tcPr>
            <w:tcW w:w="2086" w:type="dxa"/>
            <w:tcBorders>
              <w:top w:val="nil"/>
              <w:left w:val="nil"/>
              <w:bottom w:val="nil"/>
            </w:tcBorders>
            <w:vAlign w:val="center"/>
          </w:tcPr>
          <w:p w14:paraId="2B31C5F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0.0036</w:t>
            </w:r>
          </w:p>
        </w:tc>
      </w:tr>
      <w:tr w:rsidR="0085272D" w14:paraId="2DB37F37" w14:textId="77777777">
        <w:trPr>
          <w:trHeight w:val="732"/>
          <w:jc w:val="center"/>
        </w:trPr>
        <w:tc>
          <w:tcPr>
            <w:tcW w:w="2090" w:type="dxa"/>
            <w:tcBorders>
              <w:top w:val="nil"/>
              <w:bottom w:val="nil"/>
              <w:right w:val="nil"/>
            </w:tcBorders>
            <w:vAlign w:val="center"/>
          </w:tcPr>
          <w:p w14:paraId="29A37B5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3</w:t>
            </w:r>
          </w:p>
        </w:tc>
        <w:tc>
          <w:tcPr>
            <w:tcW w:w="2088" w:type="dxa"/>
            <w:tcBorders>
              <w:top w:val="nil"/>
              <w:left w:val="nil"/>
              <w:bottom w:val="nil"/>
              <w:right w:val="nil"/>
            </w:tcBorders>
            <w:vAlign w:val="center"/>
          </w:tcPr>
          <w:p w14:paraId="7FBEC34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0.9492</w:t>
            </w:r>
          </w:p>
        </w:tc>
        <w:tc>
          <w:tcPr>
            <w:tcW w:w="2084" w:type="dxa"/>
            <w:tcBorders>
              <w:top w:val="nil"/>
              <w:left w:val="nil"/>
              <w:bottom w:val="nil"/>
              <w:right w:val="nil"/>
            </w:tcBorders>
            <w:vAlign w:val="center"/>
          </w:tcPr>
          <w:p w14:paraId="5457669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0.0461</w:t>
            </w:r>
          </w:p>
        </w:tc>
        <w:tc>
          <w:tcPr>
            <w:tcW w:w="2086" w:type="dxa"/>
            <w:tcBorders>
              <w:top w:val="nil"/>
              <w:left w:val="nil"/>
              <w:bottom w:val="nil"/>
            </w:tcBorders>
            <w:vAlign w:val="center"/>
          </w:tcPr>
          <w:p w14:paraId="380833A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0.0047</w:t>
            </w:r>
          </w:p>
        </w:tc>
      </w:tr>
      <w:tr w:rsidR="0085272D" w14:paraId="4712E219" w14:textId="77777777">
        <w:trPr>
          <w:trHeight w:val="732"/>
          <w:jc w:val="center"/>
        </w:trPr>
        <w:tc>
          <w:tcPr>
            <w:tcW w:w="2090" w:type="dxa"/>
            <w:tcBorders>
              <w:top w:val="nil"/>
              <w:bottom w:val="single" w:sz="4" w:space="0" w:color="auto"/>
              <w:right w:val="nil"/>
            </w:tcBorders>
            <w:vAlign w:val="center"/>
          </w:tcPr>
          <w:p w14:paraId="5A24352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2</w:t>
            </w:r>
          </w:p>
        </w:tc>
        <w:tc>
          <w:tcPr>
            <w:tcW w:w="2088" w:type="dxa"/>
            <w:tcBorders>
              <w:top w:val="nil"/>
              <w:left w:val="nil"/>
              <w:bottom w:val="single" w:sz="4" w:space="0" w:color="auto"/>
              <w:right w:val="nil"/>
            </w:tcBorders>
            <w:vAlign w:val="center"/>
          </w:tcPr>
          <w:p w14:paraId="3A16E5C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0.9377</w:t>
            </w:r>
          </w:p>
        </w:tc>
        <w:tc>
          <w:tcPr>
            <w:tcW w:w="2084" w:type="dxa"/>
            <w:tcBorders>
              <w:top w:val="nil"/>
              <w:left w:val="nil"/>
              <w:bottom w:val="single" w:sz="4" w:space="0" w:color="auto"/>
              <w:right w:val="nil"/>
            </w:tcBorders>
            <w:vAlign w:val="center"/>
          </w:tcPr>
          <w:p w14:paraId="1B7A561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0.0537</w:t>
            </w:r>
          </w:p>
        </w:tc>
        <w:tc>
          <w:tcPr>
            <w:tcW w:w="2086" w:type="dxa"/>
            <w:tcBorders>
              <w:top w:val="nil"/>
              <w:left w:val="nil"/>
              <w:bottom w:val="single" w:sz="4" w:space="0" w:color="auto"/>
            </w:tcBorders>
            <w:vAlign w:val="center"/>
          </w:tcPr>
          <w:p w14:paraId="3F44A24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0.0086</w:t>
            </w:r>
          </w:p>
        </w:tc>
      </w:tr>
    </w:tbl>
    <w:p w14:paraId="3A78C488" w14:textId="77777777" w:rsidR="0085272D" w:rsidRDefault="0085272D"/>
    <w:p w14:paraId="46185B04" w14:textId="77777777" w:rsidR="0085272D" w:rsidRDefault="0085272D"/>
    <w:tbl>
      <w:tblPr>
        <w:tblStyle w:val="TableGrid"/>
        <w:tblW w:w="8348" w:type="dxa"/>
        <w:jc w:val="center"/>
        <w:tblLayout w:type="fixed"/>
        <w:tblLook w:val="04A0" w:firstRow="1" w:lastRow="0" w:firstColumn="1" w:lastColumn="0" w:noHBand="0" w:noVBand="1"/>
      </w:tblPr>
      <w:tblGrid>
        <w:gridCol w:w="2090"/>
        <w:gridCol w:w="2088"/>
        <w:gridCol w:w="2084"/>
        <w:gridCol w:w="2086"/>
      </w:tblGrid>
      <w:tr w:rsidR="0085272D" w14:paraId="55E2B9DC" w14:textId="77777777">
        <w:trPr>
          <w:trHeight w:val="750"/>
          <w:jc w:val="center"/>
        </w:trPr>
        <w:tc>
          <w:tcPr>
            <w:tcW w:w="8348" w:type="dxa"/>
            <w:gridSpan w:val="4"/>
            <w:vAlign w:val="center"/>
          </w:tcPr>
          <w:p w14:paraId="2F68787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b/>
                <w:sz w:val="22"/>
                <w:szCs w:val="22"/>
              </w:rPr>
              <w:t>Table 4.9—Oil Composition of Each Component in the Mixture in Different Pore Sizes</w:t>
            </w:r>
            <w:r>
              <w:rPr>
                <w:rFonts w:ascii="Times New Roman" w:hAnsi="Times New Roman"/>
                <w:sz w:val="22"/>
                <w:szCs w:val="22"/>
              </w:rPr>
              <w:t xml:space="preserve"> Pressure=1000 psi, Temperature=160 °F</w:t>
            </w:r>
          </w:p>
        </w:tc>
      </w:tr>
      <w:tr w:rsidR="0085272D" w14:paraId="0E744B92" w14:textId="77777777">
        <w:trPr>
          <w:trHeight w:val="750"/>
          <w:jc w:val="center"/>
        </w:trPr>
        <w:tc>
          <w:tcPr>
            <w:tcW w:w="2090" w:type="dxa"/>
            <w:vMerge w:val="restart"/>
            <w:vAlign w:val="center"/>
          </w:tcPr>
          <w:p w14:paraId="76010915" w14:textId="77777777" w:rsidR="0085272D" w:rsidRDefault="0085272D">
            <w:pPr>
              <w:widowControl w:val="0"/>
              <w:autoSpaceDE w:val="0"/>
              <w:autoSpaceDN w:val="0"/>
              <w:adjustRightInd w:val="0"/>
              <w:spacing w:after="240"/>
              <w:jc w:val="center"/>
              <w:rPr>
                <w:rFonts w:ascii="Times New Roman" w:hAnsi="Times New Roman"/>
                <w:sz w:val="22"/>
                <w:szCs w:val="22"/>
              </w:rPr>
            </w:pPr>
          </w:p>
          <w:p w14:paraId="20C6548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Pore Diameter, nm</w:t>
            </w:r>
          </w:p>
        </w:tc>
        <w:tc>
          <w:tcPr>
            <w:tcW w:w="6258" w:type="dxa"/>
            <w:gridSpan w:val="3"/>
            <w:tcBorders>
              <w:bottom w:val="nil"/>
            </w:tcBorders>
            <w:vAlign w:val="center"/>
          </w:tcPr>
          <w:p w14:paraId="73A4A5A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Oil Composition, fraction</w:t>
            </w:r>
          </w:p>
        </w:tc>
      </w:tr>
      <w:tr w:rsidR="0085272D" w14:paraId="678420F2" w14:textId="77777777">
        <w:trPr>
          <w:trHeight w:val="750"/>
          <w:jc w:val="center"/>
        </w:trPr>
        <w:tc>
          <w:tcPr>
            <w:tcW w:w="2090" w:type="dxa"/>
            <w:vMerge/>
            <w:tcBorders>
              <w:bottom w:val="single" w:sz="4" w:space="0" w:color="auto"/>
            </w:tcBorders>
            <w:vAlign w:val="center"/>
          </w:tcPr>
          <w:p w14:paraId="1E83C73B" w14:textId="77777777" w:rsidR="0085272D" w:rsidRDefault="0085272D">
            <w:pPr>
              <w:widowControl w:val="0"/>
              <w:autoSpaceDE w:val="0"/>
              <w:autoSpaceDN w:val="0"/>
              <w:adjustRightInd w:val="0"/>
              <w:spacing w:after="240"/>
              <w:jc w:val="center"/>
              <w:rPr>
                <w:rFonts w:ascii="Times New Roman" w:hAnsi="Times New Roman"/>
                <w:sz w:val="22"/>
                <w:szCs w:val="22"/>
              </w:rPr>
            </w:pPr>
          </w:p>
        </w:tc>
        <w:tc>
          <w:tcPr>
            <w:tcW w:w="2088" w:type="dxa"/>
            <w:tcBorders>
              <w:top w:val="nil"/>
              <w:bottom w:val="single" w:sz="4" w:space="0" w:color="auto"/>
              <w:right w:val="nil"/>
            </w:tcBorders>
            <w:vAlign w:val="center"/>
          </w:tcPr>
          <w:p w14:paraId="407ED5D6"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Methane</w:t>
            </w:r>
          </w:p>
        </w:tc>
        <w:tc>
          <w:tcPr>
            <w:tcW w:w="2084" w:type="dxa"/>
            <w:tcBorders>
              <w:top w:val="nil"/>
              <w:left w:val="nil"/>
              <w:bottom w:val="single" w:sz="4" w:space="0" w:color="auto"/>
              <w:right w:val="nil"/>
            </w:tcBorders>
            <w:vAlign w:val="center"/>
          </w:tcPr>
          <w:p w14:paraId="5CDE3D7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n-Butane</w:t>
            </w:r>
          </w:p>
        </w:tc>
        <w:tc>
          <w:tcPr>
            <w:tcW w:w="2086" w:type="dxa"/>
            <w:tcBorders>
              <w:top w:val="nil"/>
              <w:left w:val="nil"/>
              <w:bottom w:val="single" w:sz="4" w:space="0" w:color="auto"/>
            </w:tcBorders>
            <w:vAlign w:val="center"/>
          </w:tcPr>
          <w:p w14:paraId="54E81BE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Decane</w:t>
            </w:r>
          </w:p>
        </w:tc>
      </w:tr>
      <w:tr w:rsidR="0085272D" w14:paraId="7EEFFE28" w14:textId="77777777">
        <w:trPr>
          <w:trHeight w:val="750"/>
          <w:jc w:val="center"/>
        </w:trPr>
        <w:tc>
          <w:tcPr>
            <w:tcW w:w="2090" w:type="dxa"/>
            <w:tcBorders>
              <w:bottom w:val="nil"/>
              <w:right w:val="nil"/>
            </w:tcBorders>
            <w:vAlign w:val="center"/>
          </w:tcPr>
          <w:p w14:paraId="52F0D98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1000</w:t>
            </w:r>
          </w:p>
        </w:tc>
        <w:tc>
          <w:tcPr>
            <w:tcW w:w="2088" w:type="dxa"/>
            <w:tcBorders>
              <w:left w:val="nil"/>
              <w:bottom w:val="nil"/>
              <w:right w:val="nil"/>
            </w:tcBorders>
            <w:vAlign w:val="bottom"/>
          </w:tcPr>
          <w:p w14:paraId="7CD6D6C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0.2413</w:t>
            </w:r>
          </w:p>
        </w:tc>
        <w:tc>
          <w:tcPr>
            <w:tcW w:w="2084" w:type="dxa"/>
            <w:tcBorders>
              <w:left w:val="nil"/>
              <w:bottom w:val="nil"/>
              <w:right w:val="nil"/>
            </w:tcBorders>
            <w:vAlign w:val="bottom"/>
          </w:tcPr>
          <w:p w14:paraId="58FB7BD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0.1516</w:t>
            </w:r>
          </w:p>
        </w:tc>
        <w:tc>
          <w:tcPr>
            <w:tcW w:w="2086" w:type="dxa"/>
            <w:tcBorders>
              <w:left w:val="nil"/>
              <w:bottom w:val="nil"/>
            </w:tcBorders>
            <w:vAlign w:val="bottom"/>
          </w:tcPr>
          <w:p w14:paraId="42CAF39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0.6071</w:t>
            </w:r>
          </w:p>
        </w:tc>
      </w:tr>
      <w:tr w:rsidR="0085272D" w14:paraId="0A36387F" w14:textId="77777777">
        <w:trPr>
          <w:trHeight w:val="750"/>
          <w:jc w:val="center"/>
        </w:trPr>
        <w:tc>
          <w:tcPr>
            <w:tcW w:w="2090" w:type="dxa"/>
            <w:tcBorders>
              <w:top w:val="nil"/>
              <w:bottom w:val="nil"/>
              <w:right w:val="nil"/>
            </w:tcBorders>
            <w:vAlign w:val="center"/>
          </w:tcPr>
          <w:p w14:paraId="57F652F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100</w:t>
            </w:r>
          </w:p>
        </w:tc>
        <w:tc>
          <w:tcPr>
            <w:tcW w:w="2088" w:type="dxa"/>
            <w:tcBorders>
              <w:top w:val="nil"/>
              <w:left w:val="nil"/>
              <w:bottom w:val="nil"/>
              <w:right w:val="nil"/>
            </w:tcBorders>
            <w:vAlign w:val="bottom"/>
          </w:tcPr>
          <w:p w14:paraId="1FD9D97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0.2413</w:t>
            </w:r>
          </w:p>
        </w:tc>
        <w:tc>
          <w:tcPr>
            <w:tcW w:w="2084" w:type="dxa"/>
            <w:tcBorders>
              <w:top w:val="nil"/>
              <w:left w:val="nil"/>
              <w:bottom w:val="nil"/>
              <w:right w:val="nil"/>
            </w:tcBorders>
            <w:vAlign w:val="bottom"/>
          </w:tcPr>
          <w:p w14:paraId="0378C79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0.1516</w:t>
            </w:r>
          </w:p>
        </w:tc>
        <w:tc>
          <w:tcPr>
            <w:tcW w:w="2086" w:type="dxa"/>
            <w:tcBorders>
              <w:top w:val="nil"/>
              <w:left w:val="nil"/>
              <w:bottom w:val="nil"/>
            </w:tcBorders>
            <w:vAlign w:val="bottom"/>
          </w:tcPr>
          <w:p w14:paraId="4B8D63B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0.6071</w:t>
            </w:r>
          </w:p>
        </w:tc>
      </w:tr>
      <w:tr w:rsidR="0085272D" w14:paraId="6CC04399" w14:textId="77777777">
        <w:trPr>
          <w:trHeight w:val="750"/>
          <w:jc w:val="center"/>
        </w:trPr>
        <w:tc>
          <w:tcPr>
            <w:tcW w:w="2090" w:type="dxa"/>
            <w:tcBorders>
              <w:top w:val="nil"/>
              <w:bottom w:val="nil"/>
              <w:right w:val="nil"/>
            </w:tcBorders>
            <w:vAlign w:val="center"/>
          </w:tcPr>
          <w:p w14:paraId="5D2226A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50</w:t>
            </w:r>
          </w:p>
        </w:tc>
        <w:tc>
          <w:tcPr>
            <w:tcW w:w="2088" w:type="dxa"/>
            <w:tcBorders>
              <w:top w:val="nil"/>
              <w:left w:val="nil"/>
              <w:bottom w:val="nil"/>
              <w:right w:val="nil"/>
            </w:tcBorders>
            <w:vAlign w:val="bottom"/>
          </w:tcPr>
          <w:p w14:paraId="02315ED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0.2413</w:t>
            </w:r>
          </w:p>
        </w:tc>
        <w:tc>
          <w:tcPr>
            <w:tcW w:w="2084" w:type="dxa"/>
            <w:tcBorders>
              <w:top w:val="nil"/>
              <w:left w:val="nil"/>
              <w:bottom w:val="nil"/>
              <w:right w:val="nil"/>
            </w:tcBorders>
            <w:vAlign w:val="bottom"/>
          </w:tcPr>
          <w:p w14:paraId="3B10EC5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0.1515</w:t>
            </w:r>
          </w:p>
        </w:tc>
        <w:tc>
          <w:tcPr>
            <w:tcW w:w="2086" w:type="dxa"/>
            <w:tcBorders>
              <w:top w:val="nil"/>
              <w:left w:val="nil"/>
              <w:bottom w:val="nil"/>
            </w:tcBorders>
            <w:vAlign w:val="bottom"/>
          </w:tcPr>
          <w:p w14:paraId="1348D92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0.6072</w:t>
            </w:r>
          </w:p>
        </w:tc>
      </w:tr>
      <w:tr w:rsidR="0085272D" w14:paraId="4FE98D92" w14:textId="77777777">
        <w:trPr>
          <w:trHeight w:val="750"/>
          <w:jc w:val="center"/>
        </w:trPr>
        <w:tc>
          <w:tcPr>
            <w:tcW w:w="2090" w:type="dxa"/>
            <w:tcBorders>
              <w:top w:val="nil"/>
              <w:bottom w:val="nil"/>
              <w:right w:val="nil"/>
            </w:tcBorders>
            <w:vAlign w:val="center"/>
          </w:tcPr>
          <w:p w14:paraId="26EE43E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30</w:t>
            </w:r>
          </w:p>
        </w:tc>
        <w:tc>
          <w:tcPr>
            <w:tcW w:w="2088" w:type="dxa"/>
            <w:tcBorders>
              <w:top w:val="nil"/>
              <w:left w:val="nil"/>
              <w:bottom w:val="nil"/>
              <w:right w:val="nil"/>
            </w:tcBorders>
            <w:vAlign w:val="bottom"/>
          </w:tcPr>
          <w:p w14:paraId="1DAF265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0.2413</w:t>
            </w:r>
          </w:p>
        </w:tc>
        <w:tc>
          <w:tcPr>
            <w:tcW w:w="2084" w:type="dxa"/>
            <w:tcBorders>
              <w:top w:val="nil"/>
              <w:left w:val="nil"/>
              <w:bottom w:val="nil"/>
              <w:right w:val="nil"/>
            </w:tcBorders>
            <w:vAlign w:val="bottom"/>
          </w:tcPr>
          <w:p w14:paraId="635DDCD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0.1514</w:t>
            </w:r>
          </w:p>
        </w:tc>
        <w:tc>
          <w:tcPr>
            <w:tcW w:w="2086" w:type="dxa"/>
            <w:tcBorders>
              <w:top w:val="nil"/>
              <w:left w:val="nil"/>
              <w:bottom w:val="nil"/>
            </w:tcBorders>
            <w:vAlign w:val="bottom"/>
          </w:tcPr>
          <w:p w14:paraId="22EF42F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0.6073</w:t>
            </w:r>
          </w:p>
        </w:tc>
      </w:tr>
      <w:tr w:rsidR="0085272D" w14:paraId="5FC272C8" w14:textId="77777777">
        <w:trPr>
          <w:trHeight w:val="750"/>
          <w:jc w:val="center"/>
        </w:trPr>
        <w:tc>
          <w:tcPr>
            <w:tcW w:w="2090" w:type="dxa"/>
            <w:tcBorders>
              <w:top w:val="nil"/>
              <w:bottom w:val="nil"/>
              <w:right w:val="nil"/>
            </w:tcBorders>
            <w:vAlign w:val="center"/>
          </w:tcPr>
          <w:p w14:paraId="4DE8F39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15</w:t>
            </w:r>
          </w:p>
        </w:tc>
        <w:tc>
          <w:tcPr>
            <w:tcW w:w="2088" w:type="dxa"/>
            <w:tcBorders>
              <w:top w:val="nil"/>
              <w:left w:val="nil"/>
              <w:bottom w:val="nil"/>
              <w:right w:val="nil"/>
            </w:tcBorders>
            <w:vAlign w:val="bottom"/>
          </w:tcPr>
          <w:p w14:paraId="7CD550E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0.2414</w:t>
            </w:r>
          </w:p>
        </w:tc>
        <w:tc>
          <w:tcPr>
            <w:tcW w:w="2084" w:type="dxa"/>
            <w:tcBorders>
              <w:top w:val="nil"/>
              <w:left w:val="nil"/>
              <w:bottom w:val="nil"/>
              <w:right w:val="nil"/>
            </w:tcBorders>
            <w:vAlign w:val="bottom"/>
          </w:tcPr>
          <w:p w14:paraId="1E8E7DF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0.151</w:t>
            </w:r>
          </w:p>
        </w:tc>
        <w:tc>
          <w:tcPr>
            <w:tcW w:w="2086" w:type="dxa"/>
            <w:tcBorders>
              <w:top w:val="nil"/>
              <w:left w:val="nil"/>
              <w:bottom w:val="nil"/>
            </w:tcBorders>
            <w:vAlign w:val="bottom"/>
          </w:tcPr>
          <w:p w14:paraId="5B83864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0.6076</w:t>
            </w:r>
          </w:p>
        </w:tc>
      </w:tr>
      <w:tr w:rsidR="0085272D" w14:paraId="71BB8FCA" w14:textId="77777777">
        <w:trPr>
          <w:trHeight w:val="750"/>
          <w:jc w:val="center"/>
        </w:trPr>
        <w:tc>
          <w:tcPr>
            <w:tcW w:w="2090" w:type="dxa"/>
            <w:tcBorders>
              <w:top w:val="nil"/>
              <w:bottom w:val="nil"/>
              <w:right w:val="nil"/>
            </w:tcBorders>
            <w:vAlign w:val="center"/>
          </w:tcPr>
          <w:p w14:paraId="41BA569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w:t>
            </w:r>
          </w:p>
        </w:tc>
        <w:tc>
          <w:tcPr>
            <w:tcW w:w="2088" w:type="dxa"/>
            <w:tcBorders>
              <w:top w:val="nil"/>
              <w:left w:val="nil"/>
              <w:bottom w:val="nil"/>
              <w:right w:val="nil"/>
            </w:tcBorders>
            <w:vAlign w:val="bottom"/>
          </w:tcPr>
          <w:p w14:paraId="2497F8C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0.2414</w:t>
            </w:r>
          </w:p>
        </w:tc>
        <w:tc>
          <w:tcPr>
            <w:tcW w:w="2084" w:type="dxa"/>
            <w:tcBorders>
              <w:top w:val="nil"/>
              <w:left w:val="nil"/>
              <w:bottom w:val="nil"/>
              <w:right w:val="nil"/>
            </w:tcBorders>
            <w:vAlign w:val="bottom"/>
          </w:tcPr>
          <w:p w14:paraId="7530C18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0.1506</w:t>
            </w:r>
          </w:p>
        </w:tc>
        <w:tc>
          <w:tcPr>
            <w:tcW w:w="2086" w:type="dxa"/>
            <w:tcBorders>
              <w:top w:val="nil"/>
              <w:left w:val="nil"/>
              <w:bottom w:val="nil"/>
            </w:tcBorders>
            <w:vAlign w:val="bottom"/>
          </w:tcPr>
          <w:p w14:paraId="6A7DA8A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0.608</w:t>
            </w:r>
          </w:p>
        </w:tc>
      </w:tr>
      <w:tr w:rsidR="0085272D" w14:paraId="5F10DC89" w14:textId="77777777">
        <w:trPr>
          <w:trHeight w:val="750"/>
          <w:jc w:val="center"/>
        </w:trPr>
        <w:tc>
          <w:tcPr>
            <w:tcW w:w="2090" w:type="dxa"/>
            <w:tcBorders>
              <w:top w:val="nil"/>
              <w:bottom w:val="nil"/>
              <w:right w:val="nil"/>
            </w:tcBorders>
            <w:vAlign w:val="center"/>
          </w:tcPr>
          <w:p w14:paraId="43882E0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8</w:t>
            </w:r>
          </w:p>
        </w:tc>
        <w:tc>
          <w:tcPr>
            <w:tcW w:w="2088" w:type="dxa"/>
            <w:tcBorders>
              <w:top w:val="nil"/>
              <w:left w:val="nil"/>
              <w:bottom w:val="nil"/>
              <w:right w:val="nil"/>
            </w:tcBorders>
            <w:vAlign w:val="bottom"/>
          </w:tcPr>
          <w:p w14:paraId="5A5A568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0.2415</w:t>
            </w:r>
          </w:p>
        </w:tc>
        <w:tc>
          <w:tcPr>
            <w:tcW w:w="2084" w:type="dxa"/>
            <w:tcBorders>
              <w:top w:val="nil"/>
              <w:left w:val="nil"/>
              <w:bottom w:val="nil"/>
              <w:right w:val="nil"/>
            </w:tcBorders>
            <w:vAlign w:val="bottom"/>
          </w:tcPr>
          <w:p w14:paraId="56B725C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0.1503</w:t>
            </w:r>
          </w:p>
        </w:tc>
        <w:tc>
          <w:tcPr>
            <w:tcW w:w="2086" w:type="dxa"/>
            <w:tcBorders>
              <w:top w:val="nil"/>
              <w:left w:val="nil"/>
              <w:bottom w:val="nil"/>
            </w:tcBorders>
            <w:vAlign w:val="bottom"/>
          </w:tcPr>
          <w:p w14:paraId="4B322DB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0.6083</w:t>
            </w:r>
          </w:p>
        </w:tc>
      </w:tr>
      <w:tr w:rsidR="0085272D" w14:paraId="3ED7327B" w14:textId="77777777">
        <w:trPr>
          <w:trHeight w:val="750"/>
          <w:jc w:val="center"/>
        </w:trPr>
        <w:tc>
          <w:tcPr>
            <w:tcW w:w="2090" w:type="dxa"/>
            <w:tcBorders>
              <w:top w:val="nil"/>
              <w:bottom w:val="nil"/>
              <w:right w:val="nil"/>
            </w:tcBorders>
            <w:vAlign w:val="center"/>
          </w:tcPr>
          <w:p w14:paraId="24E954C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6</w:t>
            </w:r>
          </w:p>
        </w:tc>
        <w:tc>
          <w:tcPr>
            <w:tcW w:w="2088" w:type="dxa"/>
            <w:tcBorders>
              <w:top w:val="nil"/>
              <w:left w:val="nil"/>
              <w:bottom w:val="nil"/>
              <w:right w:val="nil"/>
            </w:tcBorders>
            <w:vAlign w:val="bottom"/>
          </w:tcPr>
          <w:p w14:paraId="26671EE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0.2416</w:t>
            </w:r>
          </w:p>
        </w:tc>
        <w:tc>
          <w:tcPr>
            <w:tcW w:w="2084" w:type="dxa"/>
            <w:tcBorders>
              <w:top w:val="nil"/>
              <w:left w:val="nil"/>
              <w:bottom w:val="nil"/>
              <w:right w:val="nil"/>
            </w:tcBorders>
            <w:vAlign w:val="bottom"/>
          </w:tcPr>
          <w:p w14:paraId="5D1A5DD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0.1496</w:t>
            </w:r>
          </w:p>
        </w:tc>
        <w:tc>
          <w:tcPr>
            <w:tcW w:w="2086" w:type="dxa"/>
            <w:tcBorders>
              <w:top w:val="nil"/>
              <w:left w:val="nil"/>
              <w:bottom w:val="nil"/>
            </w:tcBorders>
            <w:vAlign w:val="bottom"/>
          </w:tcPr>
          <w:p w14:paraId="578FB31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0.6088</w:t>
            </w:r>
          </w:p>
        </w:tc>
      </w:tr>
      <w:tr w:rsidR="0085272D" w14:paraId="733E877C" w14:textId="77777777">
        <w:trPr>
          <w:trHeight w:val="750"/>
          <w:jc w:val="center"/>
        </w:trPr>
        <w:tc>
          <w:tcPr>
            <w:tcW w:w="2090" w:type="dxa"/>
            <w:tcBorders>
              <w:top w:val="nil"/>
              <w:bottom w:val="nil"/>
              <w:right w:val="nil"/>
            </w:tcBorders>
            <w:vAlign w:val="center"/>
          </w:tcPr>
          <w:p w14:paraId="60B8757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5</w:t>
            </w:r>
          </w:p>
        </w:tc>
        <w:tc>
          <w:tcPr>
            <w:tcW w:w="2088" w:type="dxa"/>
            <w:tcBorders>
              <w:top w:val="nil"/>
              <w:left w:val="nil"/>
              <w:bottom w:val="nil"/>
              <w:right w:val="nil"/>
            </w:tcBorders>
            <w:vAlign w:val="bottom"/>
          </w:tcPr>
          <w:p w14:paraId="1F7E6B4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0.2418</w:t>
            </w:r>
          </w:p>
        </w:tc>
        <w:tc>
          <w:tcPr>
            <w:tcW w:w="2084" w:type="dxa"/>
            <w:tcBorders>
              <w:top w:val="nil"/>
              <w:left w:val="nil"/>
              <w:bottom w:val="nil"/>
              <w:right w:val="nil"/>
            </w:tcBorders>
            <w:vAlign w:val="bottom"/>
          </w:tcPr>
          <w:p w14:paraId="4FE787D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0.149</w:t>
            </w:r>
          </w:p>
        </w:tc>
        <w:tc>
          <w:tcPr>
            <w:tcW w:w="2086" w:type="dxa"/>
            <w:tcBorders>
              <w:top w:val="nil"/>
              <w:left w:val="nil"/>
              <w:bottom w:val="nil"/>
            </w:tcBorders>
            <w:vAlign w:val="bottom"/>
          </w:tcPr>
          <w:p w14:paraId="0052602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0.6091</w:t>
            </w:r>
          </w:p>
        </w:tc>
      </w:tr>
      <w:tr w:rsidR="0085272D" w14:paraId="057484CA" w14:textId="77777777">
        <w:trPr>
          <w:trHeight w:val="750"/>
          <w:jc w:val="center"/>
        </w:trPr>
        <w:tc>
          <w:tcPr>
            <w:tcW w:w="2090" w:type="dxa"/>
            <w:tcBorders>
              <w:top w:val="nil"/>
              <w:bottom w:val="nil"/>
              <w:right w:val="nil"/>
            </w:tcBorders>
            <w:vAlign w:val="center"/>
          </w:tcPr>
          <w:p w14:paraId="40E0946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4</w:t>
            </w:r>
          </w:p>
        </w:tc>
        <w:tc>
          <w:tcPr>
            <w:tcW w:w="2088" w:type="dxa"/>
            <w:tcBorders>
              <w:top w:val="nil"/>
              <w:left w:val="nil"/>
              <w:bottom w:val="nil"/>
              <w:right w:val="nil"/>
            </w:tcBorders>
            <w:vAlign w:val="bottom"/>
          </w:tcPr>
          <w:p w14:paraId="02AA6BD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0.2423</w:t>
            </w:r>
          </w:p>
        </w:tc>
        <w:tc>
          <w:tcPr>
            <w:tcW w:w="2084" w:type="dxa"/>
            <w:tcBorders>
              <w:top w:val="nil"/>
              <w:left w:val="nil"/>
              <w:bottom w:val="nil"/>
              <w:right w:val="nil"/>
            </w:tcBorders>
            <w:vAlign w:val="bottom"/>
          </w:tcPr>
          <w:p w14:paraId="5EF70B7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0.148</w:t>
            </w:r>
          </w:p>
        </w:tc>
        <w:tc>
          <w:tcPr>
            <w:tcW w:w="2086" w:type="dxa"/>
            <w:tcBorders>
              <w:top w:val="nil"/>
              <w:left w:val="nil"/>
              <w:bottom w:val="nil"/>
            </w:tcBorders>
            <w:vAlign w:val="bottom"/>
          </w:tcPr>
          <w:p w14:paraId="467EB1B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0.6097</w:t>
            </w:r>
          </w:p>
        </w:tc>
      </w:tr>
      <w:tr w:rsidR="0085272D" w14:paraId="1CB5DC12" w14:textId="77777777">
        <w:trPr>
          <w:trHeight w:val="750"/>
          <w:jc w:val="center"/>
        </w:trPr>
        <w:tc>
          <w:tcPr>
            <w:tcW w:w="2090" w:type="dxa"/>
            <w:tcBorders>
              <w:top w:val="nil"/>
              <w:bottom w:val="nil"/>
              <w:right w:val="nil"/>
            </w:tcBorders>
            <w:vAlign w:val="center"/>
          </w:tcPr>
          <w:p w14:paraId="6216DB8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3</w:t>
            </w:r>
          </w:p>
        </w:tc>
        <w:tc>
          <w:tcPr>
            <w:tcW w:w="2088" w:type="dxa"/>
            <w:tcBorders>
              <w:top w:val="nil"/>
              <w:left w:val="nil"/>
              <w:bottom w:val="nil"/>
              <w:right w:val="nil"/>
            </w:tcBorders>
            <w:vAlign w:val="bottom"/>
          </w:tcPr>
          <w:p w14:paraId="21F1837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0.2434</w:t>
            </w:r>
          </w:p>
        </w:tc>
        <w:tc>
          <w:tcPr>
            <w:tcW w:w="2084" w:type="dxa"/>
            <w:tcBorders>
              <w:top w:val="nil"/>
              <w:left w:val="nil"/>
              <w:bottom w:val="nil"/>
              <w:right w:val="nil"/>
            </w:tcBorders>
            <w:vAlign w:val="bottom"/>
          </w:tcPr>
          <w:p w14:paraId="494D64D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0.1461</w:t>
            </w:r>
          </w:p>
        </w:tc>
        <w:tc>
          <w:tcPr>
            <w:tcW w:w="2086" w:type="dxa"/>
            <w:tcBorders>
              <w:top w:val="nil"/>
              <w:left w:val="nil"/>
              <w:bottom w:val="nil"/>
            </w:tcBorders>
            <w:vAlign w:val="bottom"/>
          </w:tcPr>
          <w:p w14:paraId="39235D0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0.6104</w:t>
            </w:r>
          </w:p>
        </w:tc>
      </w:tr>
      <w:tr w:rsidR="0085272D" w14:paraId="23111A48" w14:textId="77777777">
        <w:trPr>
          <w:trHeight w:val="750"/>
          <w:jc w:val="center"/>
        </w:trPr>
        <w:tc>
          <w:tcPr>
            <w:tcW w:w="2090" w:type="dxa"/>
            <w:tcBorders>
              <w:top w:val="nil"/>
              <w:bottom w:val="single" w:sz="4" w:space="0" w:color="auto"/>
              <w:right w:val="nil"/>
            </w:tcBorders>
            <w:vAlign w:val="center"/>
          </w:tcPr>
          <w:p w14:paraId="07C86D4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2</w:t>
            </w:r>
          </w:p>
        </w:tc>
        <w:tc>
          <w:tcPr>
            <w:tcW w:w="2088" w:type="dxa"/>
            <w:tcBorders>
              <w:top w:val="nil"/>
              <w:left w:val="nil"/>
              <w:bottom w:val="single" w:sz="4" w:space="0" w:color="auto"/>
              <w:right w:val="nil"/>
            </w:tcBorders>
            <w:vAlign w:val="bottom"/>
          </w:tcPr>
          <w:p w14:paraId="2F15860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0.2482</w:t>
            </w:r>
          </w:p>
        </w:tc>
        <w:tc>
          <w:tcPr>
            <w:tcW w:w="2084" w:type="dxa"/>
            <w:tcBorders>
              <w:top w:val="nil"/>
              <w:left w:val="nil"/>
              <w:bottom w:val="single" w:sz="4" w:space="0" w:color="auto"/>
              <w:right w:val="nil"/>
            </w:tcBorders>
            <w:vAlign w:val="bottom"/>
          </w:tcPr>
          <w:p w14:paraId="67C4763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0.1413</w:t>
            </w:r>
          </w:p>
        </w:tc>
        <w:tc>
          <w:tcPr>
            <w:tcW w:w="2086" w:type="dxa"/>
            <w:tcBorders>
              <w:top w:val="nil"/>
              <w:left w:val="nil"/>
              <w:bottom w:val="single" w:sz="4" w:space="0" w:color="auto"/>
            </w:tcBorders>
            <w:vAlign w:val="bottom"/>
          </w:tcPr>
          <w:p w14:paraId="76F7FF7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0.6105</w:t>
            </w:r>
          </w:p>
        </w:tc>
      </w:tr>
    </w:tbl>
    <w:p w14:paraId="6229F4BA" w14:textId="77777777" w:rsidR="0085272D" w:rsidRDefault="0085272D">
      <w:pPr>
        <w:rPr>
          <w:rFonts w:ascii="Times New Roman" w:hAnsi="Times New Roman"/>
          <w:sz w:val="22"/>
          <w:szCs w:val="22"/>
        </w:rPr>
      </w:pPr>
    </w:p>
    <w:p w14:paraId="7E9E62BA" w14:textId="77777777" w:rsidR="0085272D" w:rsidRDefault="0085272D">
      <w:pPr>
        <w:rPr>
          <w:rFonts w:ascii="Times New Roman" w:hAnsi="Times New Roman"/>
          <w:sz w:val="22"/>
          <w:szCs w:val="22"/>
        </w:rPr>
      </w:pPr>
    </w:p>
    <w:tbl>
      <w:tblPr>
        <w:tblStyle w:val="TableGrid"/>
        <w:tblW w:w="8350" w:type="dxa"/>
        <w:tblInd w:w="198" w:type="dxa"/>
        <w:tblLayout w:type="fixed"/>
        <w:tblLook w:val="04A0" w:firstRow="1" w:lastRow="0" w:firstColumn="1" w:lastColumn="0" w:noHBand="0" w:noVBand="1"/>
      </w:tblPr>
      <w:tblGrid>
        <w:gridCol w:w="2079"/>
        <w:gridCol w:w="2073"/>
        <w:gridCol w:w="2098"/>
        <w:gridCol w:w="2100"/>
      </w:tblGrid>
      <w:tr w:rsidR="0085272D" w14:paraId="7F00C7A0" w14:textId="77777777">
        <w:trPr>
          <w:trHeight w:val="1254"/>
        </w:trPr>
        <w:tc>
          <w:tcPr>
            <w:tcW w:w="8350" w:type="dxa"/>
            <w:gridSpan w:val="4"/>
            <w:tcBorders>
              <w:bottom w:val="single" w:sz="4" w:space="0" w:color="auto"/>
            </w:tcBorders>
            <w:vAlign w:val="center"/>
          </w:tcPr>
          <w:p w14:paraId="1D3E6DA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b/>
                <w:sz w:val="22"/>
                <w:szCs w:val="22"/>
              </w:rPr>
              <w:t>Table 4.10—Gas Mole Fraction, Gas and Oil Compressibility Factors Against Pore Sizes</w:t>
            </w:r>
            <w:r>
              <w:rPr>
                <w:rFonts w:ascii="Times New Roman" w:hAnsi="Times New Roman"/>
                <w:sz w:val="22"/>
                <w:szCs w:val="22"/>
              </w:rPr>
              <w:t xml:space="preserve"> Pressure=1000 psi, Temperature=160 °F</w:t>
            </w:r>
          </w:p>
        </w:tc>
      </w:tr>
      <w:tr w:rsidR="0085272D" w14:paraId="3B007677" w14:textId="77777777">
        <w:trPr>
          <w:trHeight w:val="1254"/>
        </w:trPr>
        <w:tc>
          <w:tcPr>
            <w:tcW w:w="2079" w:type="dxa"/>
            <w:tcBorders>
              <w:bottom w:val="nil"/>
              <w:right w:val="nil"/>
            </w:tcBorders>
            <w:vAlign w:val="center"/>
          </w:tcPr>
          <w:p w14:paraId="5BF734E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Pore Diameter, nm</w:t>
            </w:r>
          </w:p>
        </w:tc>
        <w:tc>
          <w:tcPr>
            <w:tcW w:w="2073" w:type="dxa"/>
            <w:tcBorders>
              <w:left w:val="nil"/>
              <w:bottom w:val="nil"/>
              <w:right w:val="nil"/>
            </w:tcBorders>
            <w:vAlign w:val="center"/>
          </w:tcPr>
          <w:p w14:paraId="35B5F58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Gas Fraction</w:t>
            </w:r>
          </w:p>
        </w:tc>
        <w:tc>
          <w:tcPr>
            <w:tcW w:w="2098" w:type="dxa"/>
            <w:tcBorders>
              <w:left w:val="nil"/>
              <w:bottom w:val="nil"/>
              <w:right w:val="nil"/>
            </w:tcBorders>
            <w:vAlign w:val="center"/>
          </w:tcPr>
          <w:p w14:paraId="209869C6"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Gas Compressibility Factor</w:t>
            </w:r>
          </w:p>
        </w:tc>
        <w:tc>
          <w:tcPr>
            <w:tcW w:w="2100" w:type="dxa"/>
            <w:tcBorders>
              <w:left w:val="nil"/>
              <w:bottom w:val="nil"/>
            </w:tcBorders>
            <w:vAlign w:val="center"/>
          </w:tcPr>
          <w:p w14:paraId="121E99D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Oil Compressibility Factor</w:t>
            </w:r>
          </w:p>
        </w:tc>
      </w:tr>
      <w:tr w:rsidR="0085272D" w14:paraId="67992293" w14:textId="77777777">
        <w:trPr>
          <w:trHeight w:val="735"/>
        </w:trPr>
        <w:tc>
          <w:tcPr>
            <w:tcW w:w="2079" w:type="dxa"/>
            <w:tcBorders>
              <w:top w:val="nil"/>
              <w:bottom w:val="nil"/>
              <w:right w:val="nil"/>
            </w:tcBorders>
            <w:vAlign w:val="center"/>
          </w:tcPr>
          <w:p w14:paraId="1BCD974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1000</w:t>
            </w:r>
          </w:p>
        </w:tc>
        <w:tc>
          <w:tcPr>
            <w:tcW w:w="2073" w:type="dxa"/>
            <w:tcBorders>
              <w:top w:val="nil"/>
              <w:left w:val="nil"/>
              <w:bottom w:val="nil"/>
              <w:right w:val="nil"/>
            </w:tcBorders>
            <w:vAlign w:val="center"/>
          </w:tcPr>
          <w:p w14:paraId="3930ABA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0.4011</w:t>
            </w:r>
          </w:p>
        </w:tc>
        <w:tc>
          <w:tcPr>
            <w:tcW w:w="2098" w:type="dxa"/>
            <w:tcBorders>
              <w:top w:val="nil"/>
              <w:left w:val="nil"/>
              <w:bottom w:val="nil"/>
              <w:right w:val="nil"/>
            </w:tcBorders>
            <w:vAlign w:val="center"/>
          </w:tcPr>
          <w:p w14:paraId="1B34DB2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0.9048</w:t>
            </w:r>
          </w:p>
        </w:tc>
        <w:tc>
          <w:tcPr>
            <w:tcW w:w="2100" w:type="dxa"/>
            <w:tcBorders>
              <w:top w:val="nil"/>
              <w:left w:val="nil"/>
              <w:bottom w:val="nil"/>
            </w:tcBorders>
            <w:vAlign w:val="center"/>
          </w:tcPr>
          <w:p w14:paraId="55C7A88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0.3921</w:t>
            </w:r>
          </w:p>
        </w:tc>
      </w:tr>
      <w:tr w:rsidR="0085272D" w14:paraId="2792D0E2" w14:textId="77777777">
        <w:trPr>
          <w:trHeight w:val="756"/>
        </w:trPr>
        <w:tc>
          <w:tcPr>
            <w:tcW w:w="2079" w:type="dxa"/>
            <w:tcBorders>
              <w:top w:val="nil"/>
              <w:bottom w:val="nil"/>
              <w:right w:val="nil"/>
            </w:tcBorders>
            <w:vAlign w:val="center"/>
          </w:tcPr>
          <w:p w14:paraId="78D051F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100</w:t>
            </w:r>
          </w:p>
        </w:tc>
        <w:tc>
          <w:tcPr>
            <w:tcW w:w="2073" w:type="dxa"/>
            <w:tcBorders>
              <w:top w:val="nil"/>
              <w:left w:val="nil"/>
              <w:bottom w:val="nil"/>
              <w:right w:val="nil"/>
            </w:tcBorders>
            <w:vAlign w:val="center"/>
          </w:tcPr>
          <w:p w14:paraId="6AE4840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0.4012</w:t>
            </w:r>
          </w:p>
        </w:tc>
        <w:tc>
          <w:tcPr>
            <w:tcW w:w="2098" w:type="dxa"/>
            <w:tcBorders>
              <w:top w:val="nil"/>
              <w:left w:val="nil"/>
              <w:bottom w:val="nil"/>
              <w:right w:val="nil"/>
            </w:tcBorders>
            <w:vAlign w:val="center"/>
          </w:tcPr>
          <w:p w14:paraId="5BA92B7F"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0.9049</w:t>
            </w:r>
          </w:p>
        </w:tc>
        <w:tc>
          <w:tcPr>
            <w:tcW w:w="2100" w:type="dxa"/>
            <w:tcBorders>
              <w:top w:val="nil"/>
              <w:left w:val="nil"/>
              <w:bottom w:val="nil"/>
            </w:tcBorders>
            <w:vAlign w:val="center"/>
          </w:tcPr>
          <w:p w14:paraId="03F6A133"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0.3922</w:t>
            </w:r>
          </w:p>
        </w:tc>
      </w:tr>
      <w:tr w:rsidR="0085272D" w14:paraId="4E6D8313" w14:textId="77777777">
        <w:trPr>
          <w:trHeight w:val="756"/>
        </w:trPr>
        <w:tc>
          <w:tcPr>
            <w:tcW w:w="2079" w:type="dxa"/>
            <w:tcBorders>
              <w:top w:val="nil"/>
              <w:bottom w:val="nil"/>
              <w:right w:val="nil"/>
            </w:tcBorders>
            <w:vAlign w:val="center"/>
          </w:tcPr>
          <w:p w14:paraId="46644026"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50</w:t>
            </w:r>
          </w:p>
        </w:tc>
        <w:tc>
          <w:tcPr>
            <w:tcW w:w="2073" w:type="dxa"/>
            <w:tcBorders>
              <w:top w:val="nil"/>
              <w:left w:val="nil"/>
              <w:bottom w:val="nil"/>
              <w:right w:val="nil"/>
            </w:tcBorders>
            <w:vAlign w:val="center"/>
          </w:tcPr>
          <w:p w14:paraId="0EFDC7A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0.4012</w:t>
            </w:r>
          </w:p>
        </w:tc>
        <w:tc>
          <w:tcPr>
            <w:tcW w:w="2098" w:type="dxa"/>
            <w:tcBorders>
              <w:top w:val="nil"/>
              <w:left w:val="nil"/>
              <w:bottom w:val="nil"/>
              <w:right w:val="nil"/>
            </w:tcBorders>
            <w:vAlign w:val="center"/>
          </w:tcPr>
          <w:p w14:paraId="38E1F17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0.9051</w:t>
            </w:r>
          </w:p>
        </w:tc>
        <w:tc>
          <w:tcPr>
            <w:tcW w:w="2100" w:type="dxa"/>
            <w:tcBorders>
              <w:top w:val="nil"/>
              <w:left w:val="nil"/>
              <w:bottom w:val="nil"/>
            </w:tcBorders>
            <w:vAlign w:val="center"/>
          </w:tcPr>
          <w:p w14:paraId="4EF9563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0.3924</w:t>
            </w:r>
          </w:p>
        </w:tc>
      </w:tr>
      <w:tr w:rsidR="0085272D" w14:paraId="3B9C7BE9" w14:textId="77777777">
        <w:trPr>
          <w:trHeight w:val="735"/>
        </w:trPr>
        <w:tc>
          <w:tcPr>
            <w:tcW w:w="2079" w:type="dxa"/>
            <w:tcBorders>
              <w:top w:val="nil"/>
              <w:bottom w:val="nil"/>
              <w:right w:val="nil"/>
            </w:tcBorders>
            <w:vAlign w:val="center"/>
          </w:tcPr>
          <w:p w14:paraId="5A4A5CD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30</w:t>
            </w:r>
          </w:p>
        </w:tc>
        <w:tc>
          <w:tcPr>
            <w:tcW w:w="2073" w:type="dxa"/>
            <w:tcBorders>
              <w:top w:val="nil"/>
              <w:left w:val="nil"/>
              <w:bottom w:val="nil"/>
              <w:right w:val="nil"/>
            </w:tcBorders>
            <w:vAlign w:val="center"/>
          </w:tcPr>
          <w:p w14:paraId="71D8CEB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0.4014</w:t>
            </w:r>
          </w:p>
        </w:tc>
        <w:tc>
          <w:tcPr>
            <w:tcW w:w="2098" w:type="dxa"/>
            <w:tcBorders>
              <w:top w:val="nil"/>
              <w:left w:val="nil"/>
              <w:bottom w:val="nil"/>
              <w:right w:val="nil"/>
            </w:tcBorders>
            <w:vAlign w:val="center"/>
          </w:tcPr>
          <w:p w14:paraId="257F332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0.9053</w:t>
            </w:r>
          </w:p>
        </w:tc>
        <w:tc>
          <w:tcPr>
            <w:tcW w:w="2100" w:type="dxa"/>
            <w:tcBorders>
              <w:top w:val="nil"/>
              <w:left w:val="nil"/>
              <w:bottom w:val="nil"/>
            </w:tcBorders>
            <w:vAlign w:val="center"/>
          </w:tcPr>
          <w:p w14:paraId="1BDB000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0.3926</w:t>
            </w:r>
          </w:p>
        </w:tc>
      </w:tr>
      <w:tr w:rsidR="0085272D" w14:paraId="5FC7D3AD" w14:textId="77777777">
        <w:trPr>
          <w:trHeight w:val="735"/>
        </w:trPr>
        <w:tc>
          <w:tcPr>
            <w:tcW w:w="2079" w:type="dxa"/>
            <w:tcBorders>
              <w:top w:val="nil"/>
              <w:bottom w:val="nil"/>
              <w:right w:val="nil"/>
            </w:tcBorders>
            <w:vAlign w:val="center"/>
          </w:tcPr>
          <w:p w14:paraId="7D4A670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15</w:t>
            </w:r>
          </w:p>
        </w:tc>
        <w:tc>
          <w:tcPr>
            <w:tcW w:w="2073" w:type="dxa"/>
            <w:tcBorders>
              <w:top w:val="nil"/>
              <w:left w:val="nil"/>
              <w:bottom w:val="nil"/>
              <w:right w:val="nil"/>
            </w:tcBorders>
            <w:vAlign w:val="center"/>
          </w:tcPr>
          <w:p w14:paraId="2A60033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0.4018</w:t>
            </w:r>
          </w:p>
        </w:tc>
        <w:tc>
          <w:tcPr>
            <w:tcW w:w="2098" w:type="dxa"/>
            <w:tcBorders>
              <w:top w:val="nil"/>
              <w:left w:val="nil"/>
              <w:bottom w:val="nil"/>
              <w:right w:val="nil"/>
            </w:tcBorders>
            <w:vAlign w:val="center"/>
          </w:tcPr>
          <w:p w14:paraId="40671B62"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0.9062</w:t>
            </w:r>
          </w:p>
        </w:tc>
        <w:tc>
          <w:tcPr>
            <w:tcW w:w="2100" w:type="dxa"/>
            <w:tcBorders>
              <w:top w:val="nil"/>
              <w:left w:val="nil"/>
              <w:bottom w:val="nil"/>
            </w:tcBorders>
            <w:vAlign w:val="center"/>
          </w:tcPr>
          <w:p w14:paraId="4E925B5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0.3934</w:t>
            </w:r>
          </w:p>
        </w:tc>
      </w:tr>
      <w:tr w:rsidR="0085272D" w14:paraId="7ED7C14D" w14:textId="77777777">
        <w:trPr>
          <w:trHeight w:val="756"/>
        </w:trPr>
        <w:tc>
          <w:tcPr>
            <w:tcW w:w="2079" w:type="dxa"/>
            <w:tcBorders>
              <w:top w:val="nil"/>
              <w:bottom w:val="nil"/>
              <w:right w:val="nil"/>
            </w:tcBorders>
            <w:vAlign w:val="center"/>
          </w:tcPr>
          <w:p w14:paraId="10108C56"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10</w:t>
            </w:r>
          </w:p>
        </w:tc>
        <w:tc>
          <w:tcPr>
            <w:tcW w:w="2073" w:type="dxa"/>
            <w:tcBorders>
              <w:top w:val="nil"/>
              <w:left w:val="nil"/>
              <w:bottom w:val="nil"/>
              <w:right w:val="nil"/>
            </w:tcBorders>
            <w:vAlign w:val="center"/>
          </w:tcPr>
          <w:p w14:paraId="65E475B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0.4022</w:t>
            </w:r>
          </w:p>
        </w:tc>
        <w:tc>
          <w:tcPr>
            <w:tcW w:w="2098" w:type="dxa"/>
            <w:tcBorders>
              <w:top w:val="nil"/>
              <w:left w:val="nil"/>
              <w:bottom w:val="nil"/>
              <w:right w:val="nil"/>
            </w:tcBorders>
            <w:vAlign w:val="center"/>
          </w:tcPr>
          <w:p w14:paraId="0884C959"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0.9071</w:t>
            </w:r>
          </w:p>
        </w:tc>
        <w:tc>
          <w:tcPr>
            <w:tcW w:w="2100" w:type="dxa"/>
            <w:tcBorders>
              <w:top w:val="nil"/>
              <w:left w:val="nil"/>
              <w:bottom w:val="nil"/>
            </w:tcBorders>
            <w:vAlign w:val="center"/>
          </w:tcPr>
          <w:p w14:paraId="692D02F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0.3944</w:t>
            </w:r>
          </w:p>
        </w:tc>
      </w:tr>
      <w:tr w:rsidR="0085272D" w14:paraId="3F502200" w14:textId="77777777">
        <w:trPr>
          <w:trHeight w:val="756"/>
        </w:trPr>
        <w:tc>
          <w:tcPr>
            <w:tcW w:w="2079" w:type="dxa"/>
            <w:tcBorders>
              <w:top w:val="nil"/>
              <w:bottom w:val="nil"/>
              <w:right w:val="nil"/>
            </w:tcBorders>
            <w:vAlign w:val="center"/>
          </w:tcPr>
          <w:p w14:paraId="361FA5AD"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8</w:t>
            </w:r>
          </w:p>
        </w:tc>
        <w:tc>
          <w:tcPr>
            <w:tcW w:w="2073" w:type="dxa"/>
            <w:tcBorders>
              <w:top w:val="nil"/>
              <w:left w:val="nil"/>
              <w:bottom w:val="nil"/>
              <w:right w:val="nil"/>
            </w:tcBorders>
            <w:vAlign w:val="center"/>
          </w:tcPr>
          <w:p w14:paraId="7723BDA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0.4026</w:t>
            </w:r>
          </w:p>
        </w:tc>
        <w:tc>
          <w:tcPr>
            <w:tcW w:w="2098" w:type="dxa"/>
            <w:tcBorders>
              <w:top w:val="nil"/>
              <w:left w:val="nil"/>
              <w:bottom w:val="nil"/>
              <w:right w:val="nil"/>
            </w:tcBorders>
            <w:vAlign w:val="center"/>
          </w:tcPr>
          <w:p w14:paraId="3130A244"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0.9079</w:t>
            </w:r>
          </w:p>
        </w:tc>
        <w:tc>
          <w:tcPr>
            <w:tcW w:w="2100" w:type="dxa"/>
            <w:tcBorders>
              <w:top w:val="nil"/>
              <w:left w:val="nil"/>
              <w:bottom w:val="nil"/>
            </w:tcBorders>
            <w:vAlign w:val="center"/>
          </w:tcPr>
          <w:p w14:paraId="31CDCD77"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0.3952</w:t>
            </w:r>
          </w:p>
        </w:tc>
      </w:tr>
      <w:tr w:rsidR="0085272D" w14:paraId="40064973" w14:textId="77777777">
        <w:trPr>
          <w:trHeight w:val="735"/>
        </w:trPr>
        <w:tc>
          <w:tcPr>
            <w:tcW w:w="2079" w:type="dxa"/>
            <w:tcBorders>
              <w:top w:val="nil"/>
              <w:bottom w:val="nil"/>
              <w:right w:val="nil"/>
            </w:tcBorders>
            <w:vAlign w:val="center"/>
          </w:tcPr>
          <w:p w14:paraId="003536B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6</w:t>
            </w:r>
          </w:p>
        </w:tc>
        <w:tc>
          <w:tcPr>
            <w:tcW w:w="2073" w:type="dxa"/>
            <w:tcBorders>
              <w:top w:val="nil"/>
              <w:left w:val="nil"/>
              <w:bottom w:val="nil"/>
              <w:right w:val="nil"/>
            </w:tcBorders>
            <w:vAlign w:val="center"/>
          </w:tcPr>
          <w:p w14:paraId="147FCBD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0.4033</w:t>
            </w:r>
          </w:p>
        </w:tc>
        <w:tc>
          <w:tcPr>
            <w:tcW w:w="2098" w:type="dxa"/>
            <w:tcBorders>
              <w:top w:val="nil"/>
              <w:left w:val="nil"/>
              <w:bottom w:val="nil"/>
              <w:right w:val="nil"/>
            </w:tcBorders>
            <w:vAlign w:val="center"/>
          </w:tcPr>
          <w:p w14:paraId="05BCB388"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0.9093</w:t>
            </w:r>
          </w:p>
        </w:tc>
        <w:tc>
          <w:tcPr>
            <w:tcW w:w="2100" w:type="dxa"/>
            <w:tcBorders>
              <w:top w:val="nil"/>
              <w:left w:val="nil"/>
              <w:bottom w:val="nil"/>
            </w:tcBorders>
            <w:vAlign w:val="center"/>
          </w:tcPr>
          <w:p w14:paraId="33402CE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0.3967</w:t>
            </w:r>
          </w:p>
        </w:tc>
      </w:tr>
      <w:tr w:rsidR="0085272D" w14:paraId="1E70CA2F" w14:textId="77777777">
        <w:trPr>
          <w:trHeight w:val="735"/>
        </w:trPr>
        <w:tc>
          <w:tcPr>
            <w:tcW w:w="2079" w:type="dxa"/>
            <w:tcBorders>
              <w:top w:val="nil"/>
              <w:bottom w:val="nil"/>
              <w:right w:val="nil"/>
            </w:tcBorders>
            <w:vAlign w:val="center"/>
          </w:tcPr>
          <w:p w14:paraId="4C3C960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5</w:t>
            </w:r>
          </w:p>
        </w:tc>
        <w:tc>
          <w:tcPr>
            <w:tcW w:w="2073" w:type="dxa"/>
            <w:tcBorders>
              <w:top w:val="nil"/>
              <w:left w:val="nil"/>
              <w:bottom w:val="nil"/>
              <w:right w:val="nil"/>
            </w:tcBorders>
            <w:vAlign w:val="center"/>
          </w:tcPr>
          <w:p w14:paraId="4B5518F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0.4039</w:t>
            </w:r>
          </w:p>
        </w:tc>
        <w:tc>
          <w:tcPr>
            <w:tcW w:w="2098" w:type="dxa"/>
            <w:tcBorders>
              <w:top w:val="nil"/>
              <w:left w:val="nil"/>
              <w:bottom w:val="nil"/>
              <w:right w:val="nil"/>
            </w:tcBorders>
            <w:vAlign w:val="center"/>
          </w:tcPr>
          <w:p w14:paraId="1AAB5D9A"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0.9105</w:t>
            </w:r>
          </w:p>
        </w:tc>
        <w:tc>
          <w:tcPr>
            <w:tcW w:w="2100" w:type="dxa"/>
            <w:tcBorders>
              <w:top w:val="nil"/>
              <w:left w:val="nil"/>
              <w:bottom w:val="nil"/>
            </w:tcBorders>
            <w:vAlign w:val="center"/>
          </w:tcPr>
          <w:p w14:paraId="3B32945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0.3981</w:t>
            </w:r>
          </w:p>
        </w:tc>
      </w:tr>
      <w:tr w:rsidR="0085272D" w14:paraId="216DEAD4" w14:textId="77777777">
        <w:trPr>
          <w:trHeight w:val="756"/>
        </w:trPr>
        <w:tc>
          <w:tcPr>
            <w:tcW w:w="2079" w:type="dxa"/>
            <w:tcBorders>
              <w:top w:val="nil"/>
              <w:bottom w:val="nil"/>
              <w:right w:val="nil"/>
            </w:tcBorders>
            <w:vAlign w:val="center"/>
          </w:tcPr>
          <w:p w14:paraId="68092FF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4</w:t>
            </w:r>
          </w:p>
        </w:tc>
        <w:tc>
          <w:tcPr>
            <w:tcW w:w="2073" w:type="dxa"/>
            <w:tcBorders>
              <w:top w:val="nil"/>
              <w:left w:val="nil"/>
              <w:bottom w:val="nil"/>
              <w:right w:val="nil"/>
            </w:tcBorders>
            <w:vAlign w:val="center"/>
          </w:tcPr>
          <w:p w14:paraId="4382B84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0.4047</w:t>
            </w:r>
          </w:p>
        </w:tc>
        <w:tc>
          <w:tcPr>
            <w:tcW w:w="2098" w:type="dxa"/>
            <w:tcBorders>
              <w:top w:val="nil"/>
              <w:left w:val="nil"/>
              <w:bottom w:val="nil"/>
              <w:right w:val="nil"/>
            </w:tcBorders>
            <w:vAlign w:val="center"/>
          </w:tcPr>
          <w:p w14:paraId="08E36A1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0.9124</w:t>
            </w:r>
          </w:p>
        </w:tc>
        <w:tc>
          <w:tcPr>
            <w:tcW w:w="2100" w:type="dxa"/>
            <w:tcBorders>
              <w:top w:val="nil"/>
              <w:left w:val="nil"/>
              <w:bottom w:val="nil"/>
            </w:tcBorders>
            <w:vAlign w:val="center"/>
          </w:tcPr>
          <w:p w14:paraId="17689020"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0.4003</w:t>
            </w:r>
          </w:p>
        </w:tc>
      </w:tr>
      <w:tr w:rsidR="0085272D" w14:paraId="75947B88" w14:textId="77777777">
        <w:trPr>
          <w:trHeight w:val="756"/>
        </w:trPr>
        <w:tc>
          <w:tcPr>
            <w:tcW w:w="2079" w:type="dxa"/>
            <w:tcBorders>
              <w:top w:val="nil"/>
              <w:bottom w:val="nil"/>
              <w:right w:val="nil"/>
            </w:tcBorders>
            <w:vAlign w:val="center"/>
          </w:tcPr>
          <w:p w14:paraId="10D67A4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3</w:t>
            </w:r>
          </w:p>
        </w:tc>
        <w:tc>
          <w:tcPr>
            <w:tcW w:w="2073" w:type="dxa"/>
            <w:tcBorders>
              <w:top w:val="nil"/>
              <w:left w:val="nil"/>
              <w:bottom w:val="nil"/>
              <w:right w:val="nil"/>
            </w:tcBorders>
            <w:vAlign w:val="center"/>
          </w:tcPr>
          <w:p w14:paraId="0F1D65D6"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0.4062</w:t>
            </w:r>
          </w:p>
        </w:tc>
        <w:tc>
          <w:tcPr>
            <w:tcW w:w="2098" w:type="dxa"/>
            <w:tcBorders>
              <w:top w:val="nil"/>
              <w:left w:val="nil"/>
              <w:bottom w:val="nil"/>
              <w:right w:val="nil"/>
            </w:tcBorders>
            <w:vAlign w:val="center"/>
          </w:tcPr>
          <w:p w14:paraId="75D88221"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0.9157</w:t>
            </w:r>
          </w:p>
        </w:tc>
        <w:tc>
          <w:tcPr>
            <w:tcW w:w="2100" w:type="dxa"/>
            <w:tcBorders>
              <w:top w:val="nil"/>
              <w:left w:val="nil"/>
              <w:bottom w:val="nil"/>
            </w:tcBorders>
            <w:vAlign w:val="center"/>
          </w:tcPr>
          <w:p w14:paraId="0E051F7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0.4045</w:t>
            </w:r>
          </w:p>
        </w:tc>
      </w:tr>
      <w:tr w:rsidR="0085272D" w14:paraId="4C4FD1C1" w14:textId="77777777">
        <w:trPr>
          <w:trHeight w:val="756"/>
        </w:trPr>
        <w:tc>
          <w:tcPr>
            <w:tcW w:w="2079" w:type="dxa"/>
            <w:tcBorders>
              <w:top w:val="nil"/>
              <w:right w:val="nil"/>
            </w:tcBorders>
            <w:vAlign w:val="center"/>
          </w:tcPr>
          <w:p w14:paraId="5C53FACE"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2</w:t>
            </w:r>
          </w:p>
        </w:tc>
        <w:tc>
          <w:tcPr>
            <w:tcW w:w="2073" w:type="dxa"/>
            <w:tcBorders>
              <w:top w:val="nil"/>
              <w:left w:val="nil"/>
              <w:right w:val="nil"/>
            </w:tcBorders>
            <w:vAlign w:val="center"/>
          </w:tcPr>
          <w:p w14:paraId="1CC987FB"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0.4088</w:t>
            </w:r>
          </w:p>
        </w:tc>
        <w:tc>
          <w:tcPr>
            <w:tcW w:w="2098" w:type="dxa"/>
            <w:tcBorders>
              <w:top w:val="nil"/>
              <w:left w:val="nil"/>
              <w:right w:val="nil"/>
            </w:tcBorders>
            <w:vAlign w:val="center"/>
          </w:tcPr>
          <w:p w14:paraId="7A72652C"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0.9221</w:t>
            </w:r>
          </w:p>
        </w:tc>
        <w:tc>
          <w:tcPr>
            <w:tcW w:w="2100" w:type="dxa"/>
            <w:tcBorders>
              <w:top w:val="nil"/>
              <w:left w:val="nil"/>
            </w:tcBorders>
            <w:vAlign w:val="center"/>
          </w:tcPr>
          <w:p w14:paraId="11A043A5" w14:textId="77777777" w:rsidR="0085272D" w:rsidRDefault="0096367E">
            <w:pPr>
              <w:widowControl w:val="0"/>
              <w:autoSpaceDE w:val="0"/>
              <w:autoSpaceDN w:val="0"/>
              <w:adjustRightInd w:val="0"/>
              <w:spacing w:after="240"/>
              <w:jc w:val="center"/>
              <w:rPr>
                <w:rFonts w:ascii="Times New Roman" w:hAnsi="Times New Roman"/>
                <w:sz w:val="22"/>
                <w:szCs w:val="22"/>
              </w:rPr>
            </w:pPr>
            <w:r>
              <w:rPr>
                <w:rFonts w:ascii="Times New Roman" w:hAnsi="Times New Roman"/>
                <w:sz w:val="22"/>
                <w:szCs w:val="22"/>
              </w:rPr>
              <w:t>0.4151</w:t>
            </w:r>
          </w:p>
        </w:tc>
      </w:tr>
    </w:tbl>
    <w:p w14:paraId="2D2EB786" w14:textId="77777777" w:rsidR="0085272D" w:rsidRDefault="0085272D">
      <w:pPr>
        <w:rPr>
          <w:rFonts w:ascii="Times New Roman" w:hAnsi="Times New Roman"/>
          <w:sz w:val="22"/>
          <w:szCs w:val="22"/>
        </w:rPr>
      </w:pPr>
    </w:p>
    <w:p w14:paraId="7443646C" w14:textId="77777777" w:rsidR="0085272D" w:rsidRDefault="0096367E">
      <w:pPr>
        <w:ind w:firstLine="540"/>
        <w:rPr>
          <w:rFonts w:ascii="Times New Roman" w:hAnsi="Times New Roman"/>
          <w:sz w:val="22"/>
          <w:szCs w:val="22"/>
        </w:rPr>
      </w:pPr>
      <w:r>
        <w:rPr>
          <w:noProof/>
          <w:lang w:eastAsia="zh-CN" w:bidi="ar-SA"/>
        </w:rPr>
        <w:drawing>
          <wp:inline distT="0" distB="0" distL="0" distR="0" wp14:anchorId="0CC9263E" wp14:editId="1BCCDDC2">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8706DC8" w14:textId="77777777" w:rsidR="0085272D" w:rsidRDefault="0096367E">
      <w:pPr>
        <w:jc w:val="center"/>
        <w:rPr>
          <w:b/>
        </w:rPr>
      </w:pPr>
      <w:r>
        <w:rPr>
          <w:b/>
        </w:rPr>
        <w:t>Figure 4.6—Gas fraction of the mixture (53.01% C1/ 10.55% nC4/ 36.44% C10) against pore sizes under 1000 psi and 160 °F</w:t>
      </w:r>
    </w:p>
    <w:p w14:paraId="6C3076E2" w14:textId="77777777" w:rsidR="0085272D" w:rsidRDefault="0085272D">
      <w:pPr>
        <w:rPr>
          <w:b/>
        </w:rPr>
      </w:pPr>
    </w:p>
    <w:p w14:paraId="1A4DA527" w14:textId="77777777" w:rsidR="0085272D" w:rsidRDefault="0096367E">
      <w:pPr>
        <w:ind w:firstLine="540"/>
        <w:rPr>
          <w:b/>
        </w:rPr>
      </w:pPr>
      <w:r>
        <w:rPr>
          <w:noProof/>
          <w:lang w:eastAsia="zh-CN" w:bidi="ar-SA"/>
        </w:rPr>
        <w:drawing>
          <wp:inline distT="0" distB="0" distL="0" distR="0" wp14:anchorId="1D642F06" wp14:editId="276CC0F6">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2FC5961F" w14:textId="77777777" w:rsidR="0085272D" w:rsidRDefault="0096367E">
      <w:pPr>
        <w:jc w:val="center"/>
        <w:rPr>
          <w:b/>
        </w:rPr>
      </w:pPr>
      <w:r>
        <w:rPr>
          <w:b/>
        </w:rPr>
        <w:t>Figure 4.7—K-values of each component in the mixture (53.01% C1/ 10.55% nC4/ 36.44% C10) versus pore sizes under 1000 psi and 160 °F</w:t>
      </w:r>
    </w:p>
    <w:p w14:paraId="4A1CEBA4" w14:textId="77777777" w:rsidR="0085272D" w:rsidRDefault="0085272D">
      <w:pPr>
        <w:jc w:val="center"/>
        <w:rPr>
          <w:b/>
        </w:rPr>
      </w:pPr>
    </w:p>
    <w:p w14:paraId="5288DE40" w14:textId="77777777" w:rsidR="0085272D" w:rsidRDefault="0096367E">
      <w:pPr>
        <w:pStyle w:val="Heading3"/>
      </w:pPr>
      <w:bookmarkStart w:id="36" w:name="_Toc508114154"/>
      <w:r>
        <w:t>4.2.2 Two-Phase Envelope Calculations</w:t>
      </w:r>
      <w:bookmarkEnd w:id="36"/>
    </w:p>
    <w:p w14:paraId="67C317C3" w14:textId="23ACD7EA" w:rsidR="0085272D" w:rsidRDefault="0096367E">
      <w:pPr>
        <w:widowControl w:val="0"/>
        <w:autoSpaceDE w:val="0"/>
        <w:autoSpaceDN w:val="0"/>
        <w:adjustRightInd w:val="0"/>
        <w:spacing w:after="240"/>
        <w:jc w:val="both"/>
        <w:rPr>
          <w:rFonts w:ascii="Times" w:hAnsi="Times" w:cs="Times"/>
          <w:lang w:eastAsia="zh-CN"/>
        </w:rPr>
      </w:pPr>
      <w:r>
        <w:rPr>
          <w:rFonts w:ascii="Times" w:hAnsi="Times" w:cs="Times"/>
          <w:lang w:eastAsia="zh-CN"/>
        </w:rPr>
        <w:t xml:space="preserve">A two-phase envelope is a temperature-pressure phase diagram generated by a series of saturation pressures, including bubble point pressures and dew point pressures, for a multi-component mixture. For a given temperature, the bubble point pressure is the pressure where the first bubble of vapor is formed from the liquid. Similarly, the dew point pressure is the pressure where the first drop of liquid is formed from the vapor at certain temperature. </w:t>
      </w:r>
      <w:r w:rsidR="00B2181C">
        <w:rPr>
          <w:rFonts w:ascii="Times" w:hAnsi="Times" w:cs="Times" w:hint="eastAsia"/>
          <w:lang w:eastAsia="zh-CN"/>
        </w:rPr>
        <w:t>Therefore,</w:t>
      </w:r>
      <w:r>
        <w:rPr>
          <w:rFonts w:ascii="Times" w:hAnsi="Times" w:cs="Times"/>
          <w:lang w:eastAsia="zh-CN"/>
        </w:rPr>
        <w:t xml:space="preserve"> a two-phase envelope separates the fluid mixture into two regions: the region inside the envelope is the two-phase region, where the mixture is presented as a combination of liquid and vapor; the other region is the region outside the envelope, where only single phase (either pure liquid or pure vapor) exists. The phase envelope calculation is important in the petroleum industry, as it can predict at what conditions the condensation or evaporation can happen. The shape of the phase envelope can determine the type of the reservoirs, such as dry gas reservoirs, gas-condensate reservoirs, retrograde reservoirs, volatile reservoirs or black oil reservoirs, as shown in </w:t>
      </w:r>
      <w:r>
        <w:rPr>
          <w:rFonts w:ascii="Times" w:hAnsi="Times" w:cs="Times"/>
          <w:b/>
          <w:lang w:eastAsia="zh-CN"/>
        </w:rPr>
        <w:t>Figure 4.8</w:t>
      </w:r>
      <w:r>
        <w:rPr>
          <w:rFonts w:ascii="Times" w:hAnsi="Times" w:cs="Times"/>
          <w:lang w:eastAsia="zh-CN"/>
        </w:rPr>
        <w:t xml:space="preserve">. </w:t>
      </w:r>
      <w:r>
        <w:rPr>
          <w:rFonts w:ascii="Times" w:hAnsi="Times" w:cs="Times" w:hint="eastAsia"/>
          <w:lang w:eastAsia="zh-CN"/>
        </w:rPr>
        <w:t xml:space="preserve">In this section, we focus on the gas-condensate </w:t>
      </w:r>
      <w:r>
        <w:rPr>
          <w:rFonts w:ascii="Times" w:hAnsi="Times" w:cs="Times"/>
          <w:lang w:eastAsia="zh-CN"/>
        </w:rPr>
        <w:t xml:space="preserve">system </w:t>
      </w:r>
      <w:r>
        <w:rPr>
          <w:rFonts w:ascii="Times" w:hAnsi="Times" w:cs="Times" w:hint="eastAsia"/>
          <w:lang w:eastAsia="zh-CN"/>
        </w:rPr>
        <w:t xml:space="preserve">and investigate the effects </w:t>
      </w:r>
      <w:r>
        <w:rPr>
          <w:rFonts w:ascii="Times" w:hAnsi="Times" w:cs="Times"/>
          <w:lang w:eastAsia="zh-CN"/>
        </w:rPr>
        <w:t xml:space="preserve">of </w:t>
      </w:r>
      <w:r>
        <w:rPr>
          <w:rFonts w:ascii="Times" w:hAnsi="Times" w:cs="Times" w:hint="eastAsia"/>
          <w:lang w:eastAsia="zh-CN"/>
        </w:rPr>
        <w:t xml:space="preserve">confinement </w:t>
      </w:r>
      <w:r>
        <w:rPr>
          <w:rFonts w:ascii="Times" w:hAnsi="Times" w:cs="Times"/>
          <w:lang w:eastAsia="zh-CN"/>
        </w:rPr>
        <w:t xml:space="preserve">on the </w:t>
      </w:r>
      <w:r>
        <w:rPr>
          <w:rFonts w:ascii="Times" w:hAnsi="Times" w:cs="Times" w:hint="eastAsia"/>
          <w:lang w:eastAsia="zh-CN"/>
        </w:rPr>
        <w:t xml:space="preserve">gas-condensate </w:t>
      </w:r>
      <w:r>
        <w:rPr>
          <w:rFonts w:ascii="Times" w:hAnsi="Times" w:cs="Times"/>
          <w:lang w:eastAsia="zh-CN"/>
        </w:rPr>
        <w:t>system in shale resources.</w:t>
      </w:r>
    </w:p>
    <w:p w14:paraId="42737DDD" w14:textId="1D9CD411" w:rsidR="0085272D" w:rsidRDefault="0096367E">
      <w:pPr>
        <w:widowControl w:val="0"/>
        <w:autoSpaceDE w:val="0"/>
        <w:autoSpaceDN w:val="0"/>
        <w:adjustRightInd w:val="0"/>
        <w:spacing w:after="240"/>
        <w:jc w:val="both"/>
      </w:pPr>
      <w:r>
        <w:t>For the same ternary mixture that contains methane, n-butane and decane, a two-</w:t>
      </w:r>
      <w:r>
        <w:rPr>
          <w:rFonts w:ascii="Times" w:hAnsi="Times" w:cs="Times"/>
          <w:lang w:eastAsia="zh-CN"/>
        </w:rPr>
        <w:t xml:space="preserve">phase envelope can be calculated based on </w:t>
      </w:r>
      <w:r>
        <w:rPr>
          <w:rFonts w:ascii="Times" w:hAnsi="Times" w:cs="Times"/>
        </w:rPr>
        <w:t xml:space="preserve">Whitson and Brulé (2000). The original PR-EOS </w:t>
      </w:r>
      <w:r>
        <w:rPr>
          <w:rFonts w:ascii="Times" w:hAnsi="Times" w:cs="Times" w:hint="eastAsia"/>
          <w:lang w:eastAsia="zh-CN"/>
        </w:rPr>
        <w:t>wa</w:t>
      </w:r>
      <w:r>
        <w:rPr>
          <w:rFonts w:ascii="Times" w:hAnsi="Times" w:cs="Times"/>
        </w:rPr>
        <w:t xml:space="preserve">s replaced by the modified PR-EOS for pore size considerations. </w:t>
      </w:r>
      <w:r>
        <w:rPr>
          <w:rFonts w:ascii="Times" w:hAnsi="Times" w:cs="Times" w:hint="eastAsia"/>
          <w:lang w:eastAsia="zh-CN"/>
        </w:rPr>
        <w:t xml:space="preserve">The </w:t>
      </w:r>
      <w:r>
        <w:rPr>
          <w:rFonts w:ascii="Times" w:hAnsi="Times" w:cs="Times"/>
          <w:lang w:eastAsia="zh-CN"/>
        </w:rPr>
        <w:t xml:space="preserve">average effects of pore size were included in the parameter c in the modified PR-EOS, shown in Equation 2.22. </w:t>
      </w:r>
      <w:r>
        <w:rPr>
          <w:rFonts w:ascii="Times" w:hAnsi="Times" w:cs="Times"/>
          <w:b/>
        </w:rPr>
        <w:t>Figure 4.9</w:t>
      </w:r>
      <w:r>
        <w:rPr>
          <w:rFonts w:ascii="Times" w:hAnsi="Times" w:cs="Times"/>
        </w:rPr>
        <w:t xml:space="preserve"> shows the </w:t>
      </w:r>
      <w:r>
        <w:t>two-</w:t>
      </w:r>
      <w:r>
        <w:rPr>
          <w:rFonts w:ascii="Times" w:hAnsi="Times" w:cs="Times"/>
          <w:lang w:eastAsia="zh-CN"/>
        </w:rPr>
        <w:t xml:space="preserve">phase envelopes in different pore sizes. </w:t>
      </w:r>
      <w:r>
        <w:t>It is clear to see that the confinement effects can</w:t>
      </w:r>
      <w:r>
        <w:rPr>
          <w:rFonts w:hint="eastAsia"/>
        </w:rPr>
        <w:t xml:space="preserve"> change </w:t>
      </w:r>
      <w:r>
        <w:t xml:space="preserve">the saturation pressures of </w:t>
      </w:r>
      <w:r>
        <w:rPr>
          <w:rFonts w:hint="eastAsia"/>
        </w:rPr>
        <w:t xml:space="preserve">the </w:t>
      </w:r>
      <w:r>
        <w:t xml:space="preserve">fluid mixtures </w:t>
      </w:r>
      <w:r>
        <w:rPr>
          <w:rFonts w:hint="eastAsia"/>
        </w:rPr>
        <w:t>in</w:t>
      </w:r>
      <w:r>
        <w:t xml:space="preserve"> nanoscale pores. The two-phase region of the fluid mixture tends to shrink in smaller pores when temperature is greater than 100 °F, resulting in behavior more like a dry gas. On the other hand, at temperature lower than around 100 °F, the saturation pressures tend to increase in smaller pores. In a two-phase envelope, the dew point line is separated into two parts by the cricondentherm point, one called upper dew point line where the pressure is higher than the cricondentherm point pressure. The other is the lower due point line, where the d</w:t>
      </w:r>
      <w:r w:rsidR="00B511C0">
        <w:t>ew</w:t>
      </w:r>
      <w:r>
        <w:t xml:space="preserve"> point pressures on the line are lower than the cricondentherm point pressure. Note that a cricondentherm point is the point with the maximum temperature at which condensation takes place.</w:t>
      </w:r>
    </w:p>
    <w:p w14:paraId="63B061F2" w14:textId="77777777" w:rsidR="0085272D" w:rsidRDefault="0096367E">
      <w:pPr>
        <w:widowControl w:val="0"/>
        <w:autoSpaceDE w:val="0"/>
        <w:autoSpaceDN w:val="0"/>
        <w:adjustRightInd w:val="0"/>
        <w:spacing w:after="240"/>
        <w:jc w:val="both"/>
        <w:rPr>
          <w:rFonts w:ascii="Times" w:hAnsi="Times" w:cs="Times"/>
          <w:lang w:eastAsia="zh-CN"/>
        </w:rPr>
      </w:pPr>
      <w:r>
        <w:t xml:space="preserve">For upper </w:t>
      </w:r>
      <w:r>
        <w:rPr>
          <w:rFonts w:hint="eastAsia"/>
          <w:lang w:eastAsia="zh-CN"/>
        </w:rPr>
        <w:t>dew</w:t>
      </w:r>
      <w:r>
        <w:rPr>
          <w:lang w:eastAsia="zh-CN"/>
        </w:rPr>
        <w:t xml:space="preserve"> point</w:t>
      </w:r>
      <w:r>
        <w:t xml:space="preserve"> line, the dew point pressures become lower in small pores where the pore size is reduced to 10 nm or even smaller. For example, the </w:t>
      </w:r>
      <w:r>
        <w:rPr>
          <w:rFonts w:hint="eastAsia"/>
          <w:lang w:eastAsia="zh-CN"/>
        </w:rPr>
        <w:t>dew</w:t>
      </w:r>
      <w:r>
        <w:rPr>
          <w:lang w:eastAsia="zh-CN"/>
        </w:rPr>
        <w:t xml:space="preserve"> point pressure at 300 </w:t>
      </w:r>
      <w:r>
        <w:t xml:space="preserve">°F at bulk is 2780 psi, and is reduced to 2720 psi, 2610 psi and 2130 psi when the pore size is equal to 10, 5, 2 nm, respectively. There is a difference of 23% between the dew point pressures for bulk and in pores that have 2 nm in size. On the contrary, the dew point pressures are higher in smaller pores for lower dew point line. The dew point </w:t>
      </w:r>
      <w:r>
        <w:rPr>
          <w:lang w:eastAsia="zh-CN"/>
        </w:rPr>
        <w:t xml:space="preserve">pressure at 400 </w:t>
      </w:r>
      <w:r>
        <w:t xml:space="preserve">°F changed from 80 psi at bulk to 400 psi for 2-nm pores, where we saw a dramatic increase. </w:t>
      </w:r>
      <w:r>
        <w:rPr>
          <w:rFonts w:ascii="Times" w:hAnsi="Times" w:cs="Times"/>
          <w:lang w:eastAsia="zh-CN"/>
        </w:rPr>
        <w:t xml:space="preserve">The change in dew point line can affect the prediction of condensate dropout. If we have a depleting path shown as the black line in </w:t>
      </w:r>
      <w:r>
        <w:rPr>
          <w:rFonts w:ascii="Times" w:hAnsi="Times" w:cs="Times"/>
          <w:b/>
          <w:lang w:eastAsia="zh-CN"/>
        </w:rPr>
        <w:t>Figure 4.9</w:t>
      </w:r>
      <w:r>
        <w:rPr>
          <w:rFonts w:ascii="Times" w:hAnsi="Times" w:cs="Times"/>
          <w:lang w:eastAsia="zh-CN"/>
        </w:rPr>
        <w:t xml:space="preserve"> that goes through the phase envelopes, it is clear that the depleting path intersects with different phase envelopes at different pressures, which means different times. Since the phase envelope shrinks for smaller pores, one can expect the condensate dropout occurs at a later time when depleting a gas-condensate shale reservoir. </w:t>
      </w:r>
    </w:p>
    <w:p w14:paraId="00AA78E1" w14:textId="77777777" w:rsidR="0085272D" w:rsidRDefault="0085272D">
      <w:pPr>
        <w:widowControl w:val="0"/>
        <w:autoSpaceDE w:val="0"/>
        <w:autoSpaceDN w:val="0"/>
        <w:adjustRightInd w:val="0"/>
        <w:spacing w:after="240"/>
        <w:jc w:val="both"/>
        <w:rPr>
          <w:rFonts w:ascii="Times" w:hAnsi="Times" w:cs="Times"/>
          <w:lang w:eastAsia="zh-CN"/>
        </w:rPr>
      </w:pPr>
    </w:p>
    <w:p w14:paraId="26EBFBCC" w14:textId="77777777" w:rsidR="0085272D" w:rsidRDefault="0096367E">
      <w:pPr>
        <w:widowControl w:val="0"/>
        <w:autoSpaceDE w:val="0"/>
        <w:autoSpaceDN w:val="0"/>
        <w:adjustRightInd w:val="0"/>
        <w:spacing w:after="240"/>
        <w:ind w:firstLine="270"/>
        <w:jc w:val="both"/>
      </w:pPr>
      <w:r>
        <w:rPr>
          <w:noProof/>
          <w:lang w:eastAsia="zh-CN" w:bidi="ar-SA"/>
        </w:rPr>
        <w:drawing>
          <wp:inline distT="0" distB="0" distL="0" distR="0" wp14:anchorId="123377A9" wp14:editId="5B823D26">
            <wp:extent cx="5064760" cy="3923665"/>
            <wp:effectExtent l="0" t="0" r="0" b="0"/>
            <wp:docPr id="11" name="Picture 11" descr="Macintosh HD:Users:erln:Documents:Thesis:MS Thesis:Figures:Black 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cintosh HD:Users:erln:Documents:Thesis:MS Thesis:Figures:Black Oil.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5067516" cy="3925683"/>
                    </a:xfrm>
                    <a:prstGeom prst="rect">
                      <a:avLst/>
                    </a:prstGeom>
                    <a:noFill/>
                    <a:ln>
                      <a:noFill/>
                    </a:ln>
                  </pic:spPr>
                </pic:pic>
              </a:graphicData>
            </a:graphic>
          </wp:inline>
        </w:drawing>
      </w:r>
    </w:p>
    <w:p w14:paraId="46279375" w14:textId="77777777" w:rsidR="0085272D" w:rsidRDefault="0096367E">
      <w:pPr>
        <w:widowControl w:val="0"/>
        <w:autoSpaceDE w:val="0"/>
        <w:autoSpaceDN w:val="0"/>
        <w:adjustRightInd w:val="0"/>
        <w:spacing w:after="240"/>
        <w:ind w:firstLine="270"/>
        <w:jc w:val="both"/>
      </w:pPr>
      <w:r>
        <w:rPr>
          <w:noProof/>
          <w:lang w:eastAsia="zh-CN" w:bidi="ar-SA"/>
        </w:rPr>
        <w:drawing>
          <wp:inline distT="0" distB="0" distL="0" distR="0" wp14:anchorId="2E70C1D5" wp14:editId="36C8D8DA">
            <wp:extent cx="5016500" cy="3886200"/>
            <wp:effectExtent l="0" t="0" r="0" b="0"/>
            <wp:docPr id="27" name="Picture 27" descr="Macintosh HD:Users:erln:Documents:Thesis:MS Thesis:Figures:Volatile 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acintosh HD:Users:erln:Documents:Thesis:MS Thesis:Figures:Volatile Oil.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5016548" cy="3886200"/>
                    </a:xfrm>
                    <a:prstGeom prst="rect">
                      <a:avLst/>
                    </a:prstGeom>
                    <a:noFill/>
                    <a:ln>
                      <a:noFill/>
                    </a:ln>
                  </pic:spPr>
                </pic:pic>
              </a:graphicData>
            </a:graphic>
          </wp:inline>
        </w:drawing>
      </w:r>
    </w:p>
    <w:p w14:paraId="7750C661" w14:textId="77777777" w:rsidR="0085272D" w:rsidRDefault="0096367E">
      <w:pPr>
        <w:widowControl w:val="0"/>
        <w:autoSpaceDE w:val="0"/>
        <w:autoSpaceDN w:val="0"/>
        <w:adjustRightInd w:val="0"/>
        <w:spacing w:after="240"/>
        <w:ind w:firstLine="270"/>
        <w:jc w:val="both"/>
      </w:pPr>
      <w:r>
        <w:rPr>
          <w:noProof/>
          <w:lang w:eastAsia="zh-CN" w:bidi="ar-SA"/>
        </w:rPr>
        <w:drawing>
          <wp:inline distT="0" distB="0" distL="0" distR="0" wp14:anchorId="5234002E" wp14:editId="2FF7CE83">
            <wp:extent cx="4917440" cy="3784600"/>
            <wp:effectExtent l="0" t="0" r="0" b="0"/>
            <wp:docPr id="29" name="Picture 29" descr="Macintosh HD:Users:erln:Documents:Thesis:MS Thesis:Figures:Wet G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acintosh HD:Users:erln:Documents:Thesis:MS Thesis:Figures:Wet Gas.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4918278" cy="3785163"/>
                    </a:xfrm>
                    <a:prstGeom prst="rect">
                      <a:avLst/>
                    </a:prstGeom>
                    <a:noFill/>
                    <a:ln>
                      <a:noFill/>
                    </a:ln>
                  </pic:spPr>
                </pic:pic>
              </a:graphicData>
            </a:graphic>
          </wp:inline>
        </w:drawing>
      </w:r>
    </w:p>
    <w:p w14:paraId="70D77BB5" w14:textId="77777777" w:rsidR="0085272D" w:rsidRDefault="0096367E">
      <w:pPr>
        <w:widowControl w:val="0"/>
        <w:autoSpaceDE w:val="0"/>
        <w:autoSpaceDN w:val="0"/>
        <w:adjustRightInd w:val="0"/>
        <w:spacing w:after="240"/>
        <w:ind w:firstLine="180"/>
        <w:jc w:val="both"/>
      </w:pPr>
      <w:r>
        <w:rPr>
          <w:noProof/>
          <w:lang w:eastAsia="zh-CN" w:bidi="ar-SA"/>
        </w:rPr>
        <w:drawing>
          <wp:inline distT="0" distB="0" distL="0" distR="0" wp14:anchorId="50BA3D59" wp14:editId="13D05D4C">
            <wp:extent cx="4850130" cy="3793490"/>
            <wp:effectExtent l="0" t="0" r="0" b="0"/>
            <wp:docPr id="28" name="Picture 28" descr="Macintosh HD:Users:erln:Documents:Thesis:MS Thesis:Figures:Condensate G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cintosh HD:Users:erln:Documents:Thesis:MS Thesis:Figures:Condensate Gas.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4850432" cy="3794078"/>
                    </a:xfrm>
                    <a:prstGeom prst="rect">
                      <a:avLst/>
                    </a:prstGeom>
                    <a:noFill/>
                    <a:ln>
                      <a:noFill/>
                    </a:ln>
                  </pic:spPr>
                </pic:pic>
              </a:graphicData>
            </a:graphic>
          </wp:inline>
        </w:drawing>
      </w:r>
    </w:p>
    <w:p w14:paraId="15B1D45B" w14:textId="77777777" w:rsidR="0085272D" w:rsidRDefault="0096367E">
      <w:pPr>
        <w:widowControl w:val="0"/>
        <w:autoSpaceDE w:val="0"/>
        <w:autoSpaceDN w:val="0"/>
        <w:adjustRightInd w:val="0"/>
        <w:ind w:left="720"/>
        <w:jc w:val="both"/>
      </w:pPr>
      <w:r>
        <w:rPr>
          <w:noProof/>
          <w:lang w:eastAsia="zh-CN" w:bidi="ar-SA"/>
        </w:rPr>
        <w:drawing>
          <wp:inline distT="0" distB="0" distL="0" distR="0" wp14:anchorId="3B97D78B" wp14:editId="4B34CC68">
            <wp:extent cx="4681855" cy="3556000"/>
            <wp:effectExtent l="0" t="0" r="0" b="0"/>
            <wp:docPr id="30" name="Picture 30" descr="Macintosh HD:Users:erln:Documents:Thesis:MS Thesis:Figures:Dry G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cintosh HD:Users:erln:Documents:Thesis:MS Thesis:Figures:Dry Gas.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4682978" cy="3556635"/>
                    </a:xfrm>
                    <a:prstGeom prst="rect">
                      <a:avLst/>
                    </a:prstGeom>
                    <a:noFill/>
                    <a:ln>
                      <a:noFill/>
                    </a:ln>
                  </pic:spPr>
                </pic:pic>
              </a:graphicData>
            </a:graphic>
          </wp:inline>
        </w:drawing>
      </w:r>
    </w:p>
    <w:p w14:paraId="622C5570" w14:textId="77777777" w:rsidR="0085272D" w:rsidRDefault="0096367E">
      <w:pPr>
        <w:widowControl w:val="0"/>
        <w:autoSpaceDE w:val="0"/>
        <w:autoSpaceDN w:val="0"/>
        <w:adjustRightInd w:val="0"/>
        <w:spacing w:after="240"/>
        <w:ind w:left="720" w:hanging="1350"/>
        <w:jc w:val="center"/>
      </w:pPr>
      <w:r>
        <w:rPr>
          <w:b/>
        </w:rPr>
        <w:t>Figure 4.8— Illustrations of five main types of reservoir fluids (after IHS, 2014)</w:t>
      </w:r>
    </w:p>
    <w:p w14:paraId="59D6943C" w14:textId="70E1DD4F" w:rsidR="0085272D" w:rsidRDefault="00FA6998">
      <w:pPr>
        <w:ind w:firstLine="180"/>
        <w:rPr>
          <w:b/>
        </w:rPr>
      </w:pPr>
      <w:r>
        <w:rPr>
          <w:noProof/>
          <w:lang w:eastAsia="zh-CN" w:bidi="ar-SA"/>
        </w:rPr>
        <mc:AlternateContent>
          <mc:Choice Requires="wps">
            <w:drawing>
              <wp:anchor distT="0" distB="0" distL="114300" distR="114300" simplePos="0" relativeHeight="251681792" behindDoc="0" locked="0" layoutInCell="1" allowOverlap="1" wp14:anchorId="4392949D" wp14:editId="4205BAF3">
                <wp:simplePos x="0" y="0"/>
                <wp:positionH relativeFrom="column">
                  <wp:posOffset>2339340</wp:posOffset>
                </wp:positionH>
                <wp:positionV relativeFrom="paragraph">
                  <wp:posOffset>342265</wp:posOffset>
                </wp:positionV>
                <wp:extent cx="114300" cy="114300"/>
                <wp:effectExtent l="91440" t="88265" r="111760" b="140335"/>
                <wp:wrapNone/>
                <wp:docPr id="15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chemeClr val="tx1">
                            <a:lumMod val="100000"/>
                            <a:lumOff val="0"/>
                          </a:schemeClr>
                        </a:solidFill>
                        <a:ln w="9525">
                          <a:solidFill>
                            <a:schemeClr val="accent1">
                              <a:lumMod val="95000"/>
                              <a:lumOff val="0"/>
                            </a:schemeClr>
                          </a:solidFill>
                          <a:round/>
                          <a:headEnd/>
                          <a:tailEnd/>
                        </a:ln>
                        <a:effectLst>
                          <a:outerShdw blurRad="63500" dist="23000" dir="5400000" rotWithShape="0">
                            <a:srgbClr val="000000">
                              <a:alpha val="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85B2625" id="Oval 32" o:spid="_x0000_s1026" style="position:absolute;margin-left:184.2pt;margin-top:26.95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" fillcolor="black [3213]" strokecolor="#4579b8 [3044]">
                <v:shadow on="t" opacity="0" origin=",.5" offset="0,23000emu"/>
              </v:oval>
            </w:pict>
          </mc:Fallback>
        </mc:AlternateContent>
      </w:r>
      <w:r>
        <w:rPr>
          <w:noProof/>
          <w:lang w:eastAsia="zh-CN" w:bidi="ar-SA"/>
        </w:rPr>
        <mc:AlternateContent>
          <mc:Choice Requires="wps">
            <w:drawing>
              <wp:anchor distT="0" distB="0" distL="114300" distR="114300" simplePos="0" relativeHeight="251683840" behindDoc="0" locked="0" layoutInCell="1" allowOverlap="1" wp14:anchorId="695C14EA" wp14:editId="5E4C667A">
                <wp:simplePos x="0" y="0"/>
                <wp:positionH relativeFrom="column">
                  <wp:posOffset>2326640</wp:posOffset>
                </wp:positionH>
                <wp:positionV relativeFrom="paragraph">
                  <wp:posOffset>354330</wp:posOffset>
                </wp:positionV>
                <wp:extent cx="114300" cy="114300"/>
                <wp:effectExtent l="91440" t="87630" r="111760" b="140970"/>
                <wp:wrapNone/>
                <wp:docPr id="151"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chemeClr val="tx1">
                            <a:lumMod val="100000"/>
                            <a:lumOff val="0"/>
                          </a:schemeClr>
                        </a:solidFill>
                        <a:ln w="9525">
                          <a:solidFill>
                            <a:schemeClr val="accent1">
                              <a:lumMod val="95000"/>
                              <a:lumOff val="0"/>
                            </a:schemeClr>
                          </a:solidFill>
                          <a:round/>
                          <a:headEnd/>
                          <a:tailEnd/>
                        </a:ln>
                        <a:effectLst>
                          <a:outerShdw blurRad="63500" dist="23000" dir="5400000" rotWithShape="0">
                            <a:srgbClr val="000000">
                              <a:alpha val="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0C97028" id="Oval 25" o:spid="_x0000_s1026" style="position:absolute;margin-left:183.2pt;margin-top:27.9pt;width:9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" fillcolor="black [3213]" strokecolor="#4579b8 [3044]">
                <v:shadow on="t" opacity="0" origin=",.5" offset="0,23000emu"/>
              </v:oval>
            </w:pict>
          </mc:Fallback>
        </mc:AlternateContent>
      </w:r>
      <w:r>
        <w:rPr>
          <w:noProof/>
          <w:lang w:eastAsia="zh-CN" w:bidi="ar-SA"/>
        </w:rPr>
        <mc:AlternateContent>
          <mc:Choice Requires="wps">
            <w:drawing>
              <wp:anchor distT="0" distB="0" distL="114300" distR="114300" simplePos="0" relativeHeight="251684864" behindDoc="0" locked="0" layoutInCell="1" allowOverlap="1" wp14:anchorId="0C9B3299" wp14:editId="69E2D72E">
                <wp:simplePos x="0" y="0"/>
                <wp:positionH relativeFrom="column">
                  <wp:posOffset>2271395</wp:posOffset>
                </wp:positionH>
                <wp:positionV relativeFrom="paragraph">
                  <wp:posOffset>427990</wp:posOffset>
                </wp:positionV>
                <wp:extent cx="114300" cy="114300"/>
                <wp:effectExtent l="86995" t="85090" r="116205" b="143510"/>
                <wp:wrapNone/>
                <wp:docPr id="150"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chemeClr val="tx1">
                            <a:lumMod val="100000"/>
                            <a:lumOff val="0"/>
                          </a:schemeClr>
                        </a:solidFill>
                        <a:ln w="9525">
                          <a:solidFill>
                            <a:schemeClr val="accent1">
                              <a:lumMod val="95000"/>
                              <a:lumOff val="0"/>
                            </a:schemeClr>
                          </a:solidFill>
                          <a:round/>
                          <a:headEnd/>
                          <a:tailEnd/>
                        </a:ln>
                        <a:effectLst>
                          <a:outerShdw blurRad="63500" dist="23000" dir="5400000" rotWithShape="0">
                            <a:srgbClr val="000000">
                              <a:alpha val="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019E10" id="Oval 26" o:spid="_x0000_s1026" style="position:absolute;margin-left:178.85pt;margin-top:33.7pt;width:9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" fillcolor="black [3213]" strokecolor="#4579b8 [3044]">
                <v:shadow on="t" opacity="0" origin=",.5" offset="0,23000emu"/>
              </v:oval>
            </w:pict>
          </mc:Fallback>
        </mc:AlternateContent>
      </w:r>
      <w:r>
        <w:rPr>
          <w:noProof/>
          <w:lang w:eastAsia="zh-CN" w:bidi="ar-SA"/>
        </w:rPr>
        <mc:AlternateContent>
          <mc:Choice Requires="wps">
            <w:drawing>
              <wp:anchor distT="0" distB="0" distL="114300" distR="114300" simplePos="0" relativeHeight="251682816" behindDoc="0" locked="0" layoutInCell="1" allowOverlap="1" wp14:anchorId="38F0C60A" wp14:editId="06F11AD8">
                <wp:simplePos x="0" y="0"/>
                <wp:positionH relativeFrom="column">
                  <wp:posOffset>2185035</wp:posOffset>
                </wp:positionH>
                <wp:positionV relativeFrom="paragraph">
                  <wp:posOffset>506730</wp:posOffset>
                </wp:positionV>
                <wp:extent cx="114300" cy="114300"/>
                <wp:effectExtent l="89535" t="87630" r="113665" b="140970"/>
                <wp:wrapNone/>
                <wp:docPr id="149"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chemeClr val="tx1">
                            <a:lumMod val="100000"/>
                            <a:lumOff val="0"/>
                          </a:schemeClr>
                        </a:solidFill>
                        <a:ln w="9525">
                          <a:solidFill>
                            <a:schemeClr val="accent1">
                              <a:lumMod val="95000"/>
                              <a:lumOff val="0"/>
                            </a:schemeClr>
                          </a:solidFill>
                          <a:round/>
                          <a:headEnd/>
                          <a:tailEnd/>
                        </a:ln>
                        <a:effectLst>
                          <a:outerShdw blurRad="63500" dist="23000" dir="5400000" rotWithShape="0">
                            <a:srgbClr val="000000">
                              <a:alpha val="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93EFE20" id="Oval 27" o:spid="_x0000_s1026" style="position:absolute;margin-left:172.05pt;margin-top:39.9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" fillcolor="black [3213]" strokecolor="#4579b8 [3044]">
                <v:shadow on="t" opacity="0" origin=",.5" offset="0,23000emu"/>
              </v:oval>
            </w:pict>
          </mc:Fallback>
        </mc:AlternateContent>
      </w:r>
      <w:r>
        <w:rPr>
          <w:noProof/>
          <w:lang w:eastAsia="zh-CN" w:bidi="ar-SA"/>
        </w:rPr>
        <mc:AlternateContent>
          <mc:Choice Requires="wps">
            <w:drawing>
              <wp:anchor distT="0" distB="0" distL="114300" distR="114300" simplePos="0" relativeHeight="251685888" behindDoc="0" locked="0" layoutInCell="1" allowOverlap="1" wp14:anchorId="07EA38CA" wp14:editId="66208B2A">
                <wp:simplePos x="0" y="0"/>
                <wp:positionH relativeFrom="column">
                  <wp:posOffset>2036445</wp:posOffset>
                </wp:positionH>
                <wp:positionV relativeFrom="paragraph">
                  <wp:posOffset>653415</wp:posOffset>
                </wp:positionV>
                <wp:extent cx="114300" cy="114300"/>
                <wp:effectExtent l="93345" t="94615" r="109855" b="133985"/>
                <wp:wrapNone/>
                <wp:docPr id="14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chemeClr val="tx1">
                            <a:lumMod val="100000"/>
                            <a:lumOff val="0"/>
                          </a:schemeClr>
                        </a:solidFill>
                        <a:ln w="9525">
                          <a:solidFill>
                            <a:schemeClr val="accent1">
                              <a:lumMod val="95000"/>
                              <a:lumOff val="0"/>
                            </a:schemeClr>
                          </a:solidFill>
                          <a:round/>
                          <a:headEnd/>
                          <a:tailEnd/>
                        </a:ln>
                        <a:effectLst>
                          <a:outerShdw blurRad="63500" dist="23000" dir="5400000" rotWithShape="0">
                            <a:srgbClr val="000000">
                              <a:alpha val="0"/>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999DADC" id="Oval 28" o:spid="_x0000_s1026" style="position:absolute;margin-left:160.35pt;margin-top:51.45pt;width:9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" fillcolor="black [3213]" strokecolor="#4579b8 [3044]">
                <v:shadow on="t" opacity="0" origin=",.5" offset="0,23000emu"/>
              </v:oval>
            </w:pict>
          </mc:Fallback>
        </mc:AlternateContent>
      </w:r>
      <w:r w:rsidR="0096367E">
        <w:rPr>
          <w:noProof/>
          <w:lang w:eastAsia="zh-CN" w:bidi="ar-SA"/>
        </w:rPr>
        <w:drawing>
          <wp:inline distT="0" distB="0" distL="0" distR="0" wp14:anchorId="3F9157FA" wp14:editId="45E8ED4F">
            <wp:extent cx="5227320" cy="33686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1801A6E1" w14:textId="77777777" w:rsidR="0085272D" w:rsidRDefault="0096367E">
      <w:pPr>
        <w:jc w:val="center"/>
        <w:rPr>
          <w:b/>
        </w:rPr>
      </w:pPr>
      <w:r>
        <w:rPr>
          <w:b/>
        </w:rPr>
        <w:t>Figure 4.9— Two-phase envelopes of a C1/nC4/C10 mixture in different pore sizes</w:t>
      </w:r>
    </w:p>
    <w:p w14:paraId="126BBA7E" w14:textId="77777777" w:rsidR="0085272D" w:rsidRDefault="0096367E">
      <w:pPr>
        <w:pStyle w:val="Heading2"/>
      </w:pPr>
      <w:bookmarkStart w:id="37" w:name="_Toc508114155"/>
      <w:r>
        <w:t>4.3 Fluid Distributions in Single Pore System</w:t>
      </w:r>
      <w:bookmarkEnd w:id="37"/>
    </w:p>
    <w:p w14:paraId="49DE2274" w14:textId="77777777" w:rsidR="0085272D" w:rsidRDefault="0096367E">
      <w:pPr>
        <w:jc w:val="both"/>
        <w:rPr>
          <w:lang w:eastAsia="zh-CN"/>
        </w:rPr>
      </w:pPr>
      <w:r>
        <w:rPr>
          <w:rFonts w:hint="eastAsia"/>
          <w:lang w:eastAsia="zh-CN"/>
        </w:rPr>
        <w:t>I</w:t>
      </w:r>
      <w:r>
        <w:rPr>
          <w:lang w:eastAsia="zh-CN"/>
        </w:rPr>
        <w:t xml:space="preserve">n Chapter 4.2 we discussed the confinement effect on fluid phase behavior. Such effect is considered to be an averaged effect for single pore system to reveal the overall fluid thermodynamic relations. However, the fluid-wall interactions are strongly dependent on the distance between the porous wall and fluid molecules, which makes the fluid </w:t>
      </w:r>
      <w:r>
        <w:rPr>
          <w:rFonts w:hint="eastAsia"/>
          <w:lang w:eastAsia="zh-CN"/>
        </w:rPr>
        <w:t>non</w:t>
      </w:r>
      <w:r>
        <w:rPr>
          <w:lang w:eastAsia="zh-CN"/>
        </w:rPr>
        <w:t xml:space="preserve">uniformly distributed across the pore. Such </w:t>
      </w:r>
      <w:r>
        <w:rPr>
          <w:rFonts w:hint="eastAsia"/>
          <w:lang w:eastAsia="zh-CN"/>
        </w:rPr>
        <w:t>non</w:t>
      </w:r>
      <w:r>
        <w:rPr>
          <w:lang w:eastAsia="zh-CN"/>
        </w:rPr>
        <w:t>uniformity is important to fluid storage mechanism as well as fluid transport modeling, and is not observed in the phase behavior studies in Chapter 4.2. In this section, we investigated the fluid distributions of a single pore system using the SLD-PR model. Both pure component fluid and mixture fluid were examined. Sensitivity analysis was performed to see the effects of pore size, temperature, pressure and fluid composition on fluid distributions.</w:t>
      </w:r>
    </w:p>
    <w:p w14:paraId="69DC9C32" w14:textId="77777777" w:rsidR="0085272D" w:rsidRDefault="0085272D">
      <w:pPr>
        <w:rPr>
          <w:lang w:eastAsia="zh-CN"/>
        </w:rPr>
      </w:pPr>
    </w:p>
    <w:p w14:paraId="4F61251F" w14:textId="77777777" w:rsidR="0085272D" w:rsidRDefault="0096367E">
      <w:pPr>
        <w:pStyle w:val="Heading3"/>
      </w:pPr>
      <w:bookmarkStart w:id="38" w:name="_Toc508114156"/>
      <w:r>
        <w:t>4.3.1 Fluid Distributions of Single Component and Mixtures in Single Pore System</w:t>
      </w:r>
      <w:bookmarkEnd w:id="38"/>
    </w:p>
    <w:p w14:paraId="5CD9F2DF" w14:textId="77777777" w:rsidR="0085272D" w:rsidRDefault="0096367E">
      <w:pPr>
        <w:spacing w:after="240"/>
        <w:jc w:val="both"/>
      </w:pPr>
      <w:r>
        <w:t>Consider pure methane in a slit-shaped pore with width of 2.4 nm under the condition of 185 °F and 2600 psi.</w:t>
      </w:r>
      <w:r>
        <w:rPr>
          <w:rFonts w:ascii="Times" w:hAnsi="Times" w:cs="Times"/>
        </w:rPr>
        <w:t xml:space="preserve"> </w:t>
      </w:r>
      <w:r>
        <w:rPr>
          <w:b/>
        </w:rPr>
        <w:t xml:space="preserve">Figure 4.10 </w:t>
      </w:r>
      <w:r>
        <w:t xml:space="preserve">shows the methane local density profile along the pore as well as the bulk density calculated from the SLD-PR model. </w:t>
      </w:r>
      <w:r>
        <w:rPr>
          <w:b/>
        </w:rPr>
        <w:t>Table 4.11</w:t>
      </w:r>
      <w:r>
        <w:t xml:space="preserve"> gives the molecular diameters, fluid-wall energy parameters, as well as fluid critical properties for methane, ethane, propane and n-butane that were adopted for the calculations. The Data was originally from Poling et al. (2001). Note that all the results in this chapter were calculated based on these data. From Figure 4.10</w:t>
      </w:r>
      <w:r>
        <w:rPr>
          <w:b/>
        </w:rPr>
        <w:t xml:space="preserve"> </w:t>
      </w:r>
      <w:r>
        <w:t xml:space="preserve">it is clear that </w:t>
      </w:r>
      <w:r>
        <w:rPr>
          <w:rFonts w:hint="eastAsia"/>
        </w:rPr>
        <w:t xml:space="preserve">the local density of methane is at its maximum near </w:t>
      </w:r>
      <w:r>
        <w:t>both</w:t>
      </w:r>
      <w:r>
        <w:rPr>
          <w:rFonts w:hint="eastAsia"/>
        </w:rPr>
        <w:t xml:space="preserve"> walls </w:t>
      </w:r>
      <w:r>
        <w:t>with the value of 0.48 g/cm</w:t>
      </w:r>
      <w:r>
        <w:rPr>
          <w:vertAlign w:val="superscript"/>
        </w:rPr>
        <w:t>3</w:t>
      </w:r>
      <w:r>
        <w:t xml:space="preserve"> </w:t>
      </w:r>
      <w:r>
        <w:rPr>
          <w:rFonts w:hint="eastAsia"/>
        </w:rPr>
        <w:t>and decrease</w:t>
      </w:r>
      <w:r>
        <w:t>s</w:t>
      </w:r>
      <w:r>
        <w:rPr>
          <w:rFonts w:hint="eastAsia"/>
        </w:rPr>
        <w:t xml:space="preserve"> as it goes further from the wall and reaches a </w:t>
      </w:r>
      <w:r>
        <w:t>minimum</w:t>
      </w:r>
      <w:r>
        <w:rPr>
          <w:rFonts w:hint="eastAsia"/>
        </w:rPr>
        <w:t xml:space="preserve"> </w:t>
      </w:r>
      <w:r>
        <w:t>value of 0.12 g/cm</w:t>
      </w:r>
      <w:r>
        <w:rPr>
          <w:vertAlign w:val="superscript"/>
        </w:rPr>
        <w:t>3</w:t>
      </w:r>
      <w:r>
        <w:t xml:space="preserve"> </w:t>
      </w:r>
      <w:r>
        <w:rPr>
          <w:rFonts w:hint="eastAsia"/>
        </w:rPr>
        <w:t xml:space="preserve">in the center </w:t>
      </w:r>
      <w:r>
        <w:t xml:space="preserve">portion </w:t>
      </w:r>
      <w:r>
        <w:rPr>
          <w:rFonts w:hint="eastAsia"/>
        </w:rPr>
        <w:t xml:space="preserve">of the pore. However, we can see that even the </w:t>
      </w:r>
      <w:r>
        <w:t>minimum</w:t>
      </w:r>
      <w:r>
        <w:rPr>
          <w:rFonts w:hint="eastAsia"/>
        </w:rPr>
        <w:t xml:space="preserve"> value of the local density is still higher than the bulk density of methane</w:t>
      </w:r>
      <w:r>
        <w:t xml:space="preserve"> (0.10 g/cm</w:t>
      </w:r>
      <w:r>
        <w:rPr>
          <w:vertAlign w:val="superscript"/>
        </w:rPr>
        <w:t>3</w:t>
      </w:r>
      <w:r>
        <w:t>)</w:t>
      </w:r>
      <w:r>
        <w:rPr>
          <w:rFonts w:hint="eastAsia"/>
        </w:rPr>
        <w:t xml:space="preserve">, which does not take into account the fluid-wall interactions. This means in a pore with 2.4 nm </w:t>
      </w:r>
      <w:r>
        <w:t>widths filled with pure methane under 185 °F and 2600 psi</w:t>
      </w:r>
      <w:r>
        <w:rPr>
          <w:rFonts w:hint="eastAsia"/>
        </w:rPr>
        <w:t>, the whole pore is under the influence of the wall</w:t>
      </w:r>
      <w:r>
        <w:t xml:space="preserve"> and there is no free gas presented inside the pore. </w:t>
      </w:r>
    </w:p>
    <w:p w14:paraId="30474255" w14:textId="77777777" w:rsidR="00764EEC" w:rsidRDefault="0096367E" w:rsidP="00764EEC">
      <w:pPr>
        <w:jc w:val="both"/>
        <w:rPr>
          <w:rFonts w:ascii="Times" w:eastAsia="Times New Roman" w:hAnsi="Times"/>
        </w:rPr>
      </w:pPr>
      <w:r>
        <w:t>The fluid density distributions were extended from methane to heavier components.</w:t>
      </w:r>
      <w:r>
        <w:rPr>
          <w:b/>
        </w:rPr>
        <w:t xml:space="preserve"> Figure 4.11</w:t>
      </w:r>
      <w:r>
        <w:t xml:space="preserve"> shows the density profiles for methane, ethane, propane and n-butane under 176 °F and 3043 psi</w:t>
      </w:r>
      <w:r>
        <w:rPr>
          <w:rFonts w:hint="eastAsia"/>
        </w:rPr>
        <w:t xml:space="preserve"> in</w:t>
      </w:r>
      <w:r>
        <w:t xml:space="preserve"> a 5-nm wide slit pore. It is clear to see the density profiles for these four different fluids are distinct from each other. Heavier fluids have higher bulk densities and adsorbed layer densities than lighter fluids. On the other hand, the density difference for lighter fluids is greater than heavier fluids. Such density difference is the </w:t>
      </w:r>
      <w:r>
        <w:rPr>
          <w:rFonts w:ascii="Times" w:eastAsia="Times New Roman" w:hAnsi="Times"/>
        </w:rPr>
        <w:t>difference between the fluid densities at the position closest to the wall compare to the density in the center of the pore where it is at the lowest value.</w:t>
      </w:r>
      <w:r>
        <w:t xml:space="preserve"> </w:t>
      </w:r>
      <w:r>
        <w:rPr>
          <w:rFonts w:ascii="Times" w:eastAsia="Times New Roman" w:hAnsi="Times"/>
        </w:rPr>
        <w:t>For example, for methane, such difference can be 0.27 g/cm</w:t>
      </w:r>
      <w:r>
        <w:rPr>
          <w:rFonts w:ascii="Times" w:eastAsia="Times New Roman" w:hAnsi="Times"/>
          <w:vertAlign w:val="superscript"/>
        </w:rPr>
        <w:t>3</w:t>
      </w:r>
      <w:r>
        <w:rPr>
          <w:rFonts w:ascii="Times" w:eastAsia="Times New Roman" w:hAnsi="Times"/>
        </w:rPr>
        <w:t>, or over 200% in terms of percentage difference. Such difference is decreased to 0.26 g/cm</w:t>
      </w:r>
      <w:r>
        <w:rPr>
          <w:rFonts w:ascii="Times" w:eastAsia="Times New Roman" w:hAnsi="Times"/>
          <w:vertAlign w:val="superscript"/>
        </w:rPr>
        <w:t>3</w:t>
      </w:r>
      <w:r>
        <w:rPr>
          <w:rFonts w:ascii="Times" w:eastAsia="Times New Roman" w:hAnsi="Times"/>
        </w:rPr>
        <w:t xml:space="preserve"> or 75% for ethane under the same conditions. And it is further decreased to 0.19 g/cm</w:t>
      </w:r>
      <w:r>
        <w:rPr>
          <w:rFonts w:ascii="Times" w:eastAsia="Times New Roman" w:hAnsi="Times"/>
          <w:vertAlign w:val="superscript"/>
        </w:rPr>
        <w:t>3</w:t>
      </w:r>
      <w:r>
        <w:rPr>
          <w:rFonts w:ascii="Times" w:eastAsia="Times New Roman" w:hAnsi="Times"/>
        </w:rPr>
        <w:t xml:space="preserve"> or 38% for propane and 0.15 g/cm</w:t>
      </w:r>
      <w:r>
        <w:rPr>
          <w:rFonts w:ascii="Times" w:eastAsia="Times New Roman" w:hAnsi="Times"/>
          <w:vertAlign w:val="superscript"/>
        </w:rPr>
        <w:t>3</w:t>
      </w:r>
      <w:r>
        <w:rPr>
          <w:rFonts w:ascii="Times" w:eastAsia="Times New Roman" w:hAnsi="Times"/>
        </w:rPr>
        <w:t xml:space="preserve"> or 25% for n-butane. This results shows that the effects of confinement </w:t>
      </w:r>
      <w:r w:rsidR="00764EEC">
        <w:rPr>
          <w:rFonts w:ascii="Times" w:eastAsia="Times New Roman" w:hAnsi="Times"/>
        </w:rPr>
        <w:t>are</w:t>
      </w:r>
      <w:r>
        <w:rPr>
          <w:rFonts w:ascii="Times" w:eastAsia="Times New Roman" w:hAnsi="Times"/>
        </w:rPr>
        <w:t xml:space="preserve"> larger for lighter components, like methane, compare to heavier components such as n-butane.</w:t>
      </w:r>
    </w:p>
    <w:p w14:paraId="38C8913E" w14:textId="77777777" w:rsidR="0085272D" w:rsidRDefault="0096367E" w:rsidP="00764EEC">
      <w:pPr>
        <w:jc w:val="both"/>
      </w:pPr>
      <w:r>
        <w:rPr>
          <w:noProof/>
          <w:lang w:eastAsia="zh-CN" w:bidi="ar-SA"/>
        </w:rPr>
        <w:drawing>
          <wp:inline distT="0" distB="0" distL="0" distR="0" wp14:anchorId="13E4C139" wp14:editId="49D57329">
            <wp:extent cx="5262245"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0178D39D" w14:textId="77777777" w:rsidR="0085272D" w:rsidRDefault="0096367E">
      <w:pPr>
        <w:jc w:val="center"/>
        <w:rPr>
          <w:b/>
        </w:rPr>
      </w:pPr>
      <w:r>
        <w:rPr>
          <w:b/>
        </w:rPr>
        <w:t>Figure 4.10— Methane local density profile along a 2.4-nm pore as well as the bulk density under 185 °F and 2600 psi calculated from the SLD-PR mode</w:t>
      </w:r>
    </w:p>
    <w:p w14:paraId="135AEA95" w14:textId="77777777" w:rsidR="0085272D" w:rsidRDefault="0085272D">
      <w:pPr>
        <w:rPr>
          <w:lang w:eastAsia="zh-CN"/>
        </w:rPr>
      </w:pPr>
    </w:p>
    <w:tbl>
      <w:tblPr>
        <w:tblStyle w:val="TableGrid1"/>
        <w:tblW w:w="8417" w:type="dxa"/>
        <w:tblInd w:w="108" w:type="dxa"/>
        <w:tblLayout w:type="fixed"/>
        <w:tblLook w:val="04A0" w:firstRow="1" w:lastRow="0" w:firstColumn="1" w:lastColumn="0" w:noHBand="0" w:noVBand="1"/>
      </w:tblPr>
      <w:tblGrid>
        <w:gridCol w:w="1260"/>
        <w:gridCol w:w="1080"/>
        <w:gridCol w:w="1350"/>
        <w:gridCol w:w="990"/>
        <w:gridCol w:w="1410"/>
        <w:gridCol w:w="1290"/>
        <w:gridCol w:w="1037"/>
      </w:tblGrid>
      <w:tr w:rsidR="00300AEF" w14:paraId="0FB26C01" w14:textId="77777777" w:rsidTr="00BE7B61">
        <w:trPr>
          <w:trHeight w:val="431"/>
        </w:trPr>
        <w:tc>
          <w:tcPr>
            <w:tcW w:w="8417" w:type="dxa"/>
            <w:gridSpan w:val="7"/>
            <w:tcBorders>
              <w:bottom w:val="single" w:sz="4" w:space="0" w:color="auto"/>
            </w:tcBorders>
            <w:vAlign w:val="center"/>
          </w:tcPr>
          <w:p w14:paraId="21E6009E" w14:textId="77777777" w:rsidR="00300AEF" w:rsidRDefault="00300AEF" w:rsidP="00BE7B61">
            <w:pPr>
              <w:spacing w:after="240"/>
              <w:jc w:val="center"/>
              <w:rPr>
                <w:rFonts w:ascii="Times New Roman" w:hAnsi="Times New Roman"/>
                <w:b/>
                <w:sz w:val="22"/>
                <w:szCs w:val="22"/>
              </w:rPr>
            </w:pPr>
            <w:r>
              <w:rPr>
                <w:rFonts w:ascii="Times New Roman" w:hAnsi="Times New Roman"/>
                <w:b/>
                <w:sz w:val="22"/>
                <w:szCs w:val="22"/>
              </w:rPr>
              <w:t>T</w:t>
            </w:r>
            <w:r>
              <w:rPr>
                <w:rFonts w:ascii="Times New Roman" w:hAnsi="Times New Roman"/>
                <w:b/>
                <w:sz w:val="22"/>
                <w:szCs w:val="22"/>
                <w:lang w:eastAsia="zh-CN"/>
              </w:rPr>
              <w:t xml:space="preserve">able </w:t>
            </w:r>
            <w:r>
              <w:rPr>
                <w:rFonts w:ascii="Times New Roman" w:hAnsi="Times New Roman"/>
                <w:b/>
                <w:sz w:val="22"/>
                <w:szCs w:val="22"/>
              </w:rPr>
              <w:t>4.11—Physical</w:t>
            </w:r>
            <w:r>
              <w:rPr>
                <w:rFonts w:ascii="Times New Roman" w:hAnsi="Times New Roman" w:hint="eastAsia"/>
                <w:b/>
                <w:sz w:val="22"/>
                <w:szCs w:val="22"/>
                <w:lang w:eastAsia="zh-CN"/>
              </w:rPr>
              <w:t xml:space="preserve"> P</w:t>
            </w:r>
            <w:r>
              <w:rPr>
                <w:rFonts w:ascii="Times New Roman" w:hAnsi="Times New Roman"/>
                <w:b/>
                <w:sz w:val="22"/>
                <w:szCs w:val="22"/>
                <w:lang w:eastAsia="zh-CN"/>
              </w:rPr>
              <w:t>roperties</w:t>
            </w:r>
            <w:r>
              <w:rPr>
                <w:rFonts w:ascii="Times New Roman" w:hAnsi="Times New Roman" w:hint="eastAsia"/>
                <w:b/>
                <w:sz w:val="22"/>
                <w:szCs w:val="22"/>
                <w:lang w:eastAsia="zh-CN"/>
              </w:rPr>
              <w:t xml:space="preserve"> of </w:t>
            </w:r>
            <w:r>
              <w:rPr>
                <w:rFonts w:ascii="Times New Roman" w:hAnsi="Times New Roman"/>
                <w:b/>
                <w:sz w:val="22"/>
                <w:szCs w:val="22"/>
                <w:lang w:eastAsia="zh-CN"/>
              </w:rPr>
              <w:t>Different Hydrocarbons</w:t>
            </w:r>
          </w:p>
        </w:tc>
      </w:tr>
      <w:tr w:rsidR="00300AEF" w14:paraId="66398811" w14:textId="77777777" w:rsidTr="00BE7B61">
        <w:trPr>
          <w:trHeight w:val="1740"/>
        </w:trPr>
        <w:tc>
          <w:tcPr>
            <w:tcW w:w="1260" w:type="dxa"/>
            <w:tcBorders>
              <w:bottom w:val="nil"/>
              <w:right w:val="nil"/>
            </w:tcBorders>
            <w:vAlign w:val="center"/>
          </w:tcPr>
          <w:p w14:paraId="4AE61FD7" w14:textId="77777777" w:rsidR="00300AEF" w:rsidRDefault="00300AEF" w:rsidP="00BE7B61">
            <w:pPr>
              <w:spacing w:after="240"/>
              <w:jc w:val="center"/>
              <w:rPr>
                <w:sz w:val="22"/>
                <w:szCs w:val="22"/>
              </w:rPr>
            </w:pPr>
            <w:r>
              <w:rPr>
                <w:rFonts w:ascii="Times New Roman" w:hAnsi="Times New Roman"/>
                <w:sz w:val="22"/>
                <w:szCs w:val="22"/>
              </w:rPr>
              <w:t>Component</w:t>
            </w:r>
          </w:p>
        </w:tc>
        <w:tc>
          <w:tcPr>
            <w:tcW w:w="1080" w:type="dxa"/>
            <w:tcBorders>
              <w:left w:val="nil"/>
              <w:bottom w:val="nil"/>
              <w:right w:val="nil"/>
            </w:tcBorders>
            <w:vAlign w:val="center"/>
          </w:tcPr>
          <w:p w14:paraId="79606982" w14:textId="77777777" w:rsidR="00300AEF" w:rsidRDefault="00300AEF" w:rsidP="00BE7B61">
            <w:pPr>
              <w:spacing w:after="240"/>
              <w:jc w:val="center"/>
              <w:rPr>
                <w:sz w:val="22"/>
                <w:szCs w:val="22"/>
              </w:rPr>
            </w:pPr>
            <w:r>
              <w:rPr>
                <w:rFonts w:ascii="Times New Roman" w:hAnsi="Times New Roman"/>
                <w:sz w:val="22"/>
                <w:szCs w:val="22"/>
                <w:lang w:eastAsia="zh-CN"/>
              </w:rPr>
              <w:t>Chemical   Formula</w:t>
            </w:r>
          </w:p>
        </w:tc>
        <w:tc>
          <w:tcPr>
            <w:tcW w:w="1350" w:type="dxa"/>
            <w:tcBorders>
              <w:left w:val="nil"/>
              <w:bottom w:val="nil"/>
              <w:right w:val="nil"/>
            </w:tcBorders>
            <w:vAlign w:val="center"/>
          </w:tcPr>
          <w:p w14:paraId="02BCA60D"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Critical Temperature (°F)</w:t>
            </w:r>
          </w:p>
        </w:tc>
        <w:tc>
          <w:tcPr>
            <w:tcW w:w="990" w:type="dxa"/>
            <w:tcBorders>
              <w:left w:val="nil"/>
              <w:bottom w:val="nil"/>
              <w:right w:val="nil"/>
            </w:tcBorders>
            <w:vAlign w:val="center"/>
          </w:tcPr>
          <w:p w14:paraId="1A3B0416"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Critical Pressure (psi)</w:t>
            </w:r>
          </w:p>
        </w:tc>
        <w:tc>
          <w:tcPr>
            <w:tcW w:w="1410" w:type="dxa"/>
            <w:tcBorders>
              <w:left w:val="nil"/>
              <w:bottom w:val="nil"/>
              <w:right w:val="nil"/>
            </w:tcBorders>
            <w:vAlign w:val="center"/>
          </w:tcPr>
          <w:p w14:paraId="65187EC8"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Energy Parameter (°</w:t>
            </w:r>
            <w:r>
              <w:rPr>
                <w:rFonts w:ascii="Times New Roman" w:hAnsi="Times New Roman" w:hint="eastAsia"/>
                <w:sz w:val="22"/>
                <w:szCs w:val="22"/>
                <w:lang w:eastAsia="zh-CN"/>
              </w:rPr>
              <w:t>F</w:t>
            </w:r>
            <w:r>
              <w:rPr>
                <w:rFonts w:ascii="Times New Roman" w:hAnsi="Times New Roman"/>
                <w:sz w:val="22"/>
                <w:szCs w:val="22"/>
                <w:lang w:eastAsia="zh-CN"/>
              </w:rPr>
              <w:t>)</w:t>
            </w:r>
          </w:p>
        </w:tc>
        <w:tc>
          <w:tcPr>
            <w:tcW w:w="1290" w:type="dxa"/>
            <w:tcBorders>
              <w:left w:val="nil"/>
              <w:bottom w:val="nil"/>
              <w:right w:val="nil"/>
            </w:tcBorders>
            <w:vAlign w:val="center"/>
          </w:tcPr>
          <w:p w14:paraId="77C4B7BD"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Molecular Diameter (nm)</w:t>
            </w:r>
          </w:p>
        </w:tc>
        <w:tc>
          <w:tcPr>
            <w:tcW w:w="1037" w:type="dxa"/>
            <w:tcBorders>
              <w:left w:val="nil"/>
              <w:bottom w:val="nil"/>
            </w:tcBorders>
            <w:vAlign w:val="center"/>
          </w:tcPr>
          <w:p w14:paraId="50C9BBE1"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Acentric Factor</w:t>
            </w:r>
          </w:p>
        </w:tc>
      </w:tr>
      <w:tr w:rsidR="00300AEF" w14:paraId="63C1553A" w14:textId="77777777" w:rsidTr="00BE7B61">
        <w:trPr>
          <w:trHeight w:val="751"/>
        </w:trPr>
        <w:tc>
          <w:tcPr>
            <w:tcW w:w="1260" w:type="dxa"/>
            <w:tcBorders>
              <w:top w:val="nil"/>
              <w:bottom w:val="nil"/>
              <w:right w:val="nil"/>
            </w:tcBorders>
            <w:vAlign w:val="center"/>
          </w:tcPr>
          <w:p w14:paraId="4825F281" w14:textId="77777777" w:rsidR="00300AEF" w:rsidRDefault="00300AEF" w:rsidP="00BE7B61">
            <w:pPr>
              <w:spacing w:after="240"/>
              <w:jc w:val="center"/>
              <w:rPr>
                <w:sz w:val="22"/>
                <w:szCs w:val="22"/>
              </w:rPr>
            </w:pPr>
            <w:r>
              <w:rPr>
                <w:rFonts w:ascii="Times New Roman" w:hAnsi="Times New Roman"/>
                <w:sz w:val="22"/>
                <w:szCs w:val="22"/>
              </w:rPr>
              <w:t>Methane</w:t>
            </w:r>
          </w:p>
        </w:tc>
        <w:tc>
          <w:tcPr>
            <w:tcW w:w="1080" w:type="dxa"/>
            <w:tcBorders>
              <w:top w:val="nil"/>
              <w:left w:val="nil"/>
              <w:bottom w:val="nil"/>
              <w:right w:val="nil"/>
            </w:tcBorders>
            <w:vAlign w:val="center"/>
          </w:tcPr>
          <w:p w14:paraId="72D52224" w14:textId="77777777" w:rsidR="00300AEF" w:rsidRDefault="00300AEF" w:rsidP="00BE7B61">
            <w:pPr>
              <w:spacing w:after="240"/>
              <w:jc w:val="center"/>
              <w:rPr>
                <w:sz w:val="22"/>
                <w:szCs w:val="22"/>
              </w:rPr>
            </w:pPr>
            <w:r>
              <w:rPr>
                <w:rFonts w:ascii="Times New Roman" w:hAnsi="Times New Roman"/>
                <w:sz w:val="22"/>
                <w:szCs w:val="22"/>
              </w:rPr>
              <w:t>CH</w:t>
            </w:r>
            <w:r>
              <w:rPr>
                <w:rFonts w:ascii="Times New Roman" w:hAnsi="Times New Roman"/>
                <w:sz w:val="22"/>
                <w:szCs w:val="22"/>
                <w:vertAlign w:val="subscript"/>
              </w:rPr>
              <w:t>4</w:t>
            </w:r>
          </w:p>
        </w:tc>
        <w:tc>
          <w:tcPr>
            <w:tcW w:w="1350" w:type="dxa"/>
            <w:tcBorders>
              <w:top w:val="nil"/>
              <w:left w:val="nil"/>
              <w:bottom w:val="nil"/>
              <w:right w:val="nil"/>
            </w:tcBorders>
            <w:vAlign w:val="center"/>
          </w:tcPr>
          <w:p w14:paraId="758BB2C4"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-117.0</w:t>
            </w:r>
          </w:p>
        </w:tc>
        <w:tc>
          <w:tcPr>
            <w:tcW w:w="990" w:type="dxa"/>
            <w:tcBorders>
              <w:top w:val="nil"/>
              <w:left w:val="nil"/>
              <w:bottom w:val="nil"/>
              <w:right w:val="nil"/>
            </w:tcBorders>
            <w:vAlign w:val="center"/>
          </w:tcPr>
          <w:p w14:paraId="0B55F46E"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667.2</w:t>
            </w:r>
          </w:p>
        </w:tc>
        <w:tc>
          <w:tcPr>
            <w:tcW w:w="1410" w:type="dxa"/>
            <w:tcBorders>
              <w:top w:val="nil"/>
              <w:left w:val="nil"/>
              <w:bottom w:val="nil"/>
              <w:right w:val="nil"/>
            </w:tcBorders>
            <w:vAlign w:val="center"/>
          </w:tcPr>
          <w:p w14:paraId="7B8ED0BC"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-192.2</w:t>
            </w:r>
          </w:p>
        </w:tc>
        <w:tc>
          <w:tcPr>
            <w:tcW w:w="1290" w:type="dxa"/>
            <w:tcBorders>
              <w:top w:val="nil"/>
              <w:left w:val="nil"/>
              <w:bottom w:val="nil"/>
              <w:right w:val="nil"/>
            </w:tcBorders>
            <w:vAlign w:val="center"/>
          </w:tcPr>
          <w:p w14:paraId="30EAC604"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0.3758</w:t>
            </w:r>
          </w:p>
        </w:tc>
        <w:tc>
          <w:tcPr>
            <w:tcW w:w="1037" w:type="dxa"/>
            <w:tcBorders>
              <w:top w:val="nil"/>
              <w:left w:val="nil"/>
              <w:bottom w:val="nil"/>
            </w:tcBorders>
            <w:vAlign w:val="center"/>
          </w:tcPr>
          <w:p w14:paraId="39BB5BE6"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0.011</w:t>
            </w:r>
          </w:p>
        </w:tc>
      </w:tr>
      <w:tr w:rsidR="00300AEF" w14:paraId="6408DC24" w14:textId="77777777" w:rsidTr="00BE7B61">
        <w:trPr>
          <w:trHeight w:val="751"/>
        </w:trPr>
        <w:tc>
          <w:tcPr>
            <w:tcW w:w="1260" w:type="dxa"/>
            <w:tcBorders>
              <w:top w:val="nil"/>
              <w:bottom w:val="nil"/>
              <w:right w:val="nil"/>
            </w:tcBorders>
            <w:vAlign w:val="center"/>
          </w:tcPr>
          <w:p w14:paraId="0AEF87A3" w14:textId="77777777" w:rsidR="00300AEF" w:rsidRDefault="00300AEF" w:rsidP="00BE7B61">
            <w:pPr>
              <w:spacing w:after="240"/>
              <w:jc w:val="center"/>
              <w:rPr>
                <w:sz w:val="22"/>
                <w:szCs w:val="22"/>
              </w:rPr>
            </w:pPr>
            <w:r>
              <w:rPr>
                <w:rFonts w:ascii="Times New Roman" w:hAnsi="Times New Roman"/>
                <w:sz w:val="22"/>
                <w:szCs w:val="22"/>
              </w:rPr>
              <w:t>Ethane</w:t>
            </w:r>
          </w:p>
        </w:tc>
        <w:tc>
          <w:tcPr>
            <w:tcW w:w="1080" w:type="dxa"/>
            <w:tcBorders>
              <w:top w:val="nil"/>
              <w:left w:val="nil"/>
              <w:bottom w:val="nil"/>
              <w:right w:val="nil"/>
            </w:tcBorders>
            <w:vAlign w:val="center"/>
          </w:tcPr>
          <w:p w14:paraId="22332B78" w14:textId="77777777" w:rsidR="00300AEF" w:rsidRDefault="00300AEF" w:rsidP="00BE7B61">
            <w:pPr>
              <w:spacing w:after="240"/>
              <w:jc w:val="center"/>
              <w:rPr>
                <w:sz w:val="22"/>
                <w:szCs w:val="22"/>
              </w:rPr>
            </w:pPr>
            <w:r>
              <w:rPr>
                <w:rFonts w:ascii="Times New Roman" w:hAnsi="Times New Roman"/>
                <w:sz w:val="22"/>
                <w:szCs w:val="22"/>
              </w:rPr>
              <w:t>C</w:t>
            </w:r>
            <w:r>
              <w:rPr>
                <w:rFonts w:ascii="Times New Roman" w:hAnsi="Times New Roman"/>
                <w:sz w:val="22"/>
                <w:szCs w:val="22"/>
                <w:vertAlign w:val="subscript"/>
              </w:rPr>
              <w:t>2</w:t>
            </w:r>
            <w:r>
              <w:rPr>
                <w:rFonts w:ascii="Times New Roman" w:hAnsi="Times New Roman"/>
                <w:sz w:val="22"/>
                <w:szCs w:val="22"/>
              </w:rPr>
              <w:t>H</w:t>
            </w:r>
            <w:r>
              <w:rPr>
                <w:rFonts w:ascii="Times New Roman" w:hAnsi="Times New Roman"/>
                <w:sz w:val="22"/>
                <w:szCs w:val="22"/>
                <w:vertAlign w:val="subscript"/>
              </w:rPr>
              <w:t>6</w:t>
            </w:r>
          </w:p>
        </w:tc>
        <w:tc>
          <w:tcPr>
            <w:tcW w:w="1350" w:type="dxa"/>
            <w:tcBorders>
              <w:top w:val="nil"/>
              <w:left w:val="nil"/>
              <w:bottom w:val="nil"/>
              <w:right w:val="nil"/>
            </w:tcBorders>
            <w:vAlign w:val="center"/>
          </w:tcPr>
          <w:p w14:paraId="2017575D"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90.1</w:t>
            </w:r>
          </w:p>
        </w:tc>
        <w:tc>
          <w:tcPr>
            <w:tcW w:w="990" w:type="dxa"/>
            <w:tcBorders>
              <w:top w:val="nil"/>
              <w:left w:val="nil"/>
              <w:bottom w:val="nil"/>
              <w:right w:val="nil"/>
            </w:tcBorders>
            <w:vAlign w:val="center"/>
          </w:tcPr>
          <w:p w14:paraId="3A7F4A2D"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707.8</w:t>
            </w:r>
          </w:p>
        </w:tc>
        <w:tc>
          <w:tcPr>
            <w:tcW w:w="1410" w:type="dxa"/>
            <w:tcBorders>
              <w:top w:val="nil"/>
              <w:left w:val="nil"/>
              <w:bottom w:val="nil"/>
              <w:right w:val="nil"/>
            </w:tcBorders>
            <w:vAlign w:val="center"/>
          </w:tcPr>
          <w:p w14:paraId="404D6D73"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-71.4</w:t>
            </w:r>
          </w:p>
        </w:tc>
        <w:tc>
          <w:tcPr>
            <w:tcW w:w="1290" w:type="dxa"/>
            <w:tcBorders>
              <w:top w:val="nil"/>
              <w:left w:val="nil"/>
              <w:bottom w:val="nil"/>
              <w:right w:val="nil"/>
            </w:tcBorders>
            <w:vAlign w:val="center"/>
          </w:tcPr>
          <w:p w14:paraId="756CAB18"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0.4443</w:t>
            </w:r>
          </w:p>
        </w:tc>
        <w:tc>
          <w:tcPr>
            <w:tcW w:w="1037" w:type="dxa"/>
            <w:tcBorders>
              <w:top w:val="nil"/>
              <w:left w:val="nil"/>
              <w:bottom w:val="nil"/>
            </w:tcBorders>
            <w:vAlign w:val="center"/>
          </w:tcPr>
          <w:p w14:paraId="64EC9B26"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0.099</w:t>
            </w:r>
          </w:p>
        </w:tc>
      </w:tr>
      <w:tr w:rsidR="00300AEF" w14:paraId="124345EF" w14:textId="77777777" w:rsidTr="00BE7B61">
        <w:trPr>
          <w:trHeight w:val="731"/>
        </w:trPr>
        <w:tc>
          <w:tcPr>
            <w:tcW w:w="1260" w:type="dxa"/>
            <w:tcBorders>
              <w:top w:val="nil"/>
              <w:bottom w:val="nil"/>
              <w:right w:val="nil"/>
            </w:tcBorders>
            <w:vAlign w:val="center"/>
          </w:tcPr>
          <w:p w14:paraId="42F23B07" w14:textId="77777777" w:rsidR="00300AEF" w:rsidRDefault="00300AEF" w:rsidP="00BE7B61">
            <w:pPr>
              <w:spacing w:after="240"/>
              <w:jc w:val="center"/>
              <w:rPr>
                <w:sz w:val="22"/>
                <w:szCs w:val="22"/>
              </w:rPr>
            </w:pPr>
            <w:r>
              <w:rPr>
                <w:sz w:val="22"/>
                <w:szCs w:val="22"/>
              </w:rPr>
              <w:t>Propane</w:t>
            </w:r>
          </w:p>
        </w:tc>
        <w:tc>
          <w:tcPr>
            <w:tcW w:w="1080" w:type="dxa"/>
            <w:tcBorders>
              <w:top w:val="nil"/>
              <w:left w:val="nil"/>
              <w:bottom w:val="nil"/>
              <w:right w:val="nil"/>
            </w:tcBorders>
            <w:vAlign w:val="center"/>
          </w:tcPr>
          <w:p w14:paraId="61CF4F3C" w14:textId="77777777" w:rsidR="00300AEF" w:rsidRDefault="00300AEF" w:rsidP="00BE7B61">
            <w:pPr>
              <w:spacing w:after="240"/>
              <w:jc w:val="center"/>
              <w:rPr>
                <w:sz w:val="22"/>
                <w:szCs w:val="22"/>
              </w:rPr>
            </w:pPr>
            <w:r>
              <w:rPr>
                <w:rFonts w:ascii="Times New Roman" w:hAnsi="Times New Roman"/>
                <w:sz w:val="22"/>
                <w:szCs w:val="22"/>
              </w:rPr>
              <w:t>C</w:t>
            </w:r>
            <w:r>
              <w:rPr>
                <w:rFonts w:ascii="Times New Roman" w:hAnsi="Times New Roman"/>
                <w:sz w:val="22"/>
                <w:szCs w:val="22"/>
                <w:vertAlign w:val="subscript"/>
              </w:rPr>
              <w:t>3</w:t>
            </w:r>
            <w:r>
              <w:rPr>
                <w:rFonts w:ascii="Times New Roman" w:hAnsi="Times New Roman"/>
                <w:sz w:val="22"/>
                <w:szCs w:val="22"/>
              </w:rPr>
              <w:t>H</w:t>
            </w:r>
            <w:r>
              <w:rPr>
                <w:rFonts w:ascii="Times New Roman" w:hAnsi="Times New Roman"/>
                <w:sz w:val="22"/>
                <w:szCs w:val="22"/>
                <w:vertAlign w:val="subscript"/>
              </w:rPr>
              <w:t>8</w:t>
            </w:r>
          </w:p>
        </w:tc>
        <w:tc>
          <w:tcPr>
            <w:tcW w:w="1350" w:type="dxa"/>
            <w:tcBorders>
              <w:top w:val="nil"/>
              <w:left w:val="nil"/>
              <w:bottom w:val="nil"/>
              <w:right w:val="nil"/>
            </w:tcBorders>
            <w:vAlign w:val="center"/>
          </w:tcPr>
          <w:p w14:paraId="691FACE0" w14:textId="77777777" w:rsidR="00300AEF" w:rsidRDefault="00300AEF" w:rsidP="00BE7B61">
            <w:pPr>
              <w:spacing w:after="240"/>
              <w:jc w:val="center"/>
              <w:rPr>
                <w:sz w:val="22"/>
                <w:szCs w:val="22"/>
                <w:lang w:eastAsia="zh-CN"/>
              </w:rPr>
            </w:pPr>
            <w:r>
              <w:rPr>
                <w:sz w:val="22"/>
                <w:szCs w:val="22"/>
                <w:lang w:eastAsia="zh-CN"/>
              </w:rPr>
              <w:t>206.0</w:t>
            </w:r>
          </w:p>
        </w:tc>
        <w:tc>
          <w:tcPr>
            <w:tcW w:w="990" w:type="dxa"/>
            <w:tcBorders>
              <w:top w:val="nil"/>
              <w:left w:val="nil"/>
              <w:bottom w:val="nil"/>
              <w:right w:val="nil"/>
            </w:tcBorders>
            <w:vAlign w:val="center"/>
          </w:tcPr>
          <w:p w14:paraId="7F3805C8" w14:textId="77777777" w:rsidR="00300AEF" w:rsidRDefault="00300AEF" w:rsidP="00BE7B61">
            <w:pPr>
              <w:spacing w:after="240"/>
              <w:jc w:val="center"/>
              <w:rPr>
                <w:sz w:val="22"/>
                <w:szCs w:val="22"/>
                <w:lang w:eastAsia="zh-CN"/>
              </w:rPr>
            </w:pPr>
            <w:r>
              <w:rPr>
                <w:sz w:val="22"/>
                <w:szCs w:val="22"/>
                <w:lang w:eastAsia="zh-CN"/>
              </w:rPr>
              <w:t>616.4</w:t>
            </w:r>
          </w:p>
        </w:tc>
        <w:tc>
          <w:tcPr>
            <w:tcW w:w="1410" w:type="dxa"/>
            <w:tcBorders>
              <w:top w:val="nil"/>
              <w:left w:val="nil"/>
              <w:bottom w:val="nil"/>
              <w:right w:val="nil"/>
            </w:tcBorders>
            <w:vAlign w:val="center"/>
          </w:tcPr>
          <w:p w14:paraId="2342C5E4" w14:textId="77777777" w:rsidR="00300AEF" w:rsidRDefault="00300AEF" w:rsidP="00BE7B61">
            <w:pPr>
              <w:spacing w:after="240"/>
              <w:jc w:val="center"/>
              <w:rPr>
                <w:sz w:val="22"/>
                <w:szCs w:val="22"/>
                <w:lang w:eastAsia="zh-CN"/>
              </w:rPr>
            </w:pPr>
            <w:r>
              <w:rPr>
                <w:sz w:val="22"/>
                <w:szCs w:val="22"/>
                <w:lang w:eastAsia="zh-CN"/>
              </w:rPr>
              <w:t>-32.9</w:t>
            </w:r>
          </w:p>
        </w:tc>
        <w:tc>
          <w:tcPr>
            <w:tcW w:w="1290" w:type="dxa"/>
            <w:tcBorders>
              <w:top w:val="nil"/>
              <w:left w:val="nil"/>
              <w:bottom w:val="nil"/>
              <w:right w:val="nil"/>
            </w:tcBorders>
            <w:vAlign w:val="center"/>
          </w:tcPr>
          <w:p w14:paraId="53AE7599" w14:textId="77777777" w:rsidR="00300AEF" w:rsidRDefault="00300AEF" w:rsidP="00BE7B61">
            <w:pPr>
              <w:spacing w:after="240"/>
              <w:jc w:val="center"/>
              <w:rPr>
                <w:sz w:val="22"/>
                <w:szCs w:val="22"/>
                <w:lang w:eastAsia="zh-CN"/>
              </w:rPr>
            </w:pPr>
            <w:r>
              <w:rPr>
                <w:sz w:val="22"/>
                <w:szCs w:val="22"/>
                <w:lang w:eastAsia="zh-CN"/>
              </w:rPr>
              <w:t>0.5118</w:t>
            </w:r>
          </w:p>
        </w:tc>
        <w:tc>
          <w:tcPr>
            <w:tcW w:w="1037" w:type="dxa"/>
            <w:tcBorders>
              <w:top w:val="nil"/>
              <w:left w:val="nil"/>
              <w:bottom w:val="nil"/>
            </w:tcBorders>
            <w:vAlign w:val="center"/>
          </w:tcPr>
          <w:p w14:paraId="66E24A24" w14:textId="77777777" w:rsidR="00300AEF" w:rsidRDefault="00300AEF" w:rsidP="00BE7B61">
            <w:pPr>
              <w:spacing w:after="240"/>
              <w:jc w:val="center"/>
              <w:rPr>
                <w:sz w:val="22"/>
                <w:szCs w:val="22"/>
                <w:lang w:eastAsia="zh-CN"/>
              </w:rPr>
            </w:pPr>
            <w:r>
              <w:rPr>
                <w:sz w:val="22"/>
                <w:szCs w:val="22"/>
                <w:lang w:eastAsia="zh-CN"/>
              </w:rPr>
              <w:t>0.153</w:t>
            </w:r>
          </w:p>
        </w:tc>
      </w:tr>
      <w:tr w:rsidR="00300AEF" w14:paraId="77FF3057" w14:textId="77777777" w:rsidTr="00BE7B61">
        <w:trPr>
          <w:trHeight w:val="774"/>
        </w:trPr>
        <w:tc>
          <w:tcPr>
            <w:tcW w:w="1260" w:type="dxa"/>
            <w:tcBorders>
              <w:top w:val="nil"/>
              <w:right w:val="nil"/>
            </w:tcBorders>
            <w:vAlign w:val="center"/>
          </w:tcPr>
          <w:p w14:paraId="39DEA928" w14:textId="77777777" w:rsidR="00300AEF" w:rsidRDefault="00300AEF" w:rsidP="00BE7B61">
            <w:pPr>
              <w:spacing w:after="240"/>
              <w:jc w:val="center"/>
              <w:rPr>
                <w:sz w:val="22"/>
                <w:szCs w:val="22"/>
              </w:rPr>
            </w:pPr>
            <w:r>
              <w:rPr>
                <w:rFonts w:ascii="Times New Roman" w:hAnsi="Times New Roman"/>
                <w:sz w:val="22"/>
                <w:szCs w:val="22"/>
              </w:rPr>
              <w:t>n-Butane</w:t>
            </w:r>
          </w:p>
        </w:tc>
        <w:tc>
          <w:tcPr>
            <w:tcW w:w="1080" w:type="dxa"/>
            <w:tcBorders>
              <w:top w:val="nil"/>
              <w:left w:val="nil"/>
              <w:right w:val="nil"/>
            </w:tcBorders>
            <w:vAlign w:val="center"/>
          </w:tcPr>
          <w:p w14:paraId="2E0C3A60" w14:textId="77777777" w:rsidR="00300AEF" w:rsidRDefault="00300AEF" w:rsidP="00BE7B61">
            <w:pPr>
              <w:spacing w:after="240"/>
              <w:jc w:val="center"/>
              <w:rPr>
                <w:sz w:val="22"/>
                <w:szCs w:val="22"/>
              </w:rPr>
            </w:pPr>
            <w:r>
              <w:rPr>
                <w:rFonts w:ascii="Times New Roman" w:hAnsi="Times New Roman"/>
                <w:sz w:val="22"/>
                <w:szCs w:val="22"/>
              </w:rPr>
              <w:t>n-C</w:t>
            </w:r>
            <w:r>
              <w:rPr>
                <w:rFonts w:ascii="Times New Roman" w:hAnsi="Times New Roman"/>
                <w:sz w:val="22"/>
                <w:szCs w:val="22"/>
                <w:vertAlign w:val="subscript"/>
              </w:rPr>
              <w:t>4</w:t>
            </w:r>
            <w:r>
              <w:rPr>
                <w:rFonts w:ascii="Times New Roman" w:hAnsi="Times New Roman"/>
                <w:sz w:val="22"/>
                <w:szCs w:val="22"/>
              </w:rPr>
              <w:t>H</w:t>
            </w:r>
            <w:r>
              <w:rPr>
                <w:rFonts w:ascii="Times New Roman" w:hAnsi="Times New Roman"/>
                <w:sz w:val="22"/>
                <w:szCs w:val="22"/>
                <w:vertAlign w:val="subscript"/>
              </w:rPr>
              <w:t>10</w:t>
            </w:r>
          </w:p>
        </w:tc>
        <w:tc>
          <w:tcPr>
            <w:tcW w:w="1350" w:type="dxa"/>
            <w:tcBorders>
              <w:top w:val="nil"/>
              <w:left w:val="nil"/>
              <w:right w:val="nil"/>
            </w:tcBorders>
            <w:vAlign w:val="center"/>
          </w:tcPr>
          <w:p w14:paraId="26283C5C"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305.7</w:t>
            </w:r>
          </w:p>
        </w:tc>
        <w:tc>
          <w:tcPr>
            <w:tcW w:w="990" w:type="dxa"/>
            <w:tcBorders>
              <w:top w:val="nil"/>
              <w:left w:val="nil"/>
              <w:right w:val="nil"/>
            </w:tcBorders>
            <w:vAlign w:val="center"/>
          </w:tcPr>
          <w:p w14:paraId="70A053D6"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551.1</w:t>
            </w:r>
          </w:p>
        </w:tc>
        <w:tc>
          <w:tcPr>
            <w:tcW w:w="1410" w:type="dxa"/>
            <w:tcBorders>
              <w:top w:val="nil"/>
              <w:left w:val="nil"/>
              <w:right w:val="nil"/>
            </w:tcBorders>
            <w:vAlign w:val="center"/>
          </w:tcPr>
          <w:p w14:paraId="51BD1E58"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496.85</w:t>
            </w:r>
          </w:p>
        </w:tc>
        <w:tc>
          <w:tcPr>
            <w:tcW w:w="1290" w:type="dxa"/>
            <w:tcBorders>
              <w:top w:val="nil"/>
              <w:left w:val="nil"/>
              <w:right w:val="nil"/>
            </w:tcBorders>
            <w:vAlign w:val="center"/>
          </w:tcPr>
          <w:p w14:paraId="5F41FB7F"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0.4687</w:t>
            </w:r>
          </w:p>
        </w:tc>
        <w:tc>
          <w:tcPr>
            <w:tcW w:w="1037" w:type="dxa"/>
            <w:tcBorders>
              <w:top w:val="nil"/>
              <w:left w:val="nil"/>
            </w:tcBorders>
            <w:vAlign w:val="center"/>
          </w:tcPr>
          <w:p w14:paraId="015A15B3" w14:textId="77777777" w:rsidR="00300AEF" w:rsidRDefault="00300AEF" w:rsidP="00BE7B61">
            <w:pPr>
              <w:spacing w:after="240"/>
              <w:jc w:val="center"/>
              <w:rPr>
                <w:rFonts w:ascii="Times New Roman" w:hAnsi="Times New Roman"/>
                <w:sz w:val="22"/>
                <w:szCs w:val="22"/>
              </w:rPr>
            </w:pPr>
            <w:r>
              <w:rPr>
                <w:rFonts w:ascii="Times New Roman" w:hAnsi="Times New Roman"/>
                <w:sz w:val="22"/>
                <w:szCs w:val="22"/>
                <w:lang w:eastAsia="zh-CN"/>
              </w:rPr>
              <w:t>0.199</w:t>
            </w:r>
          </w:p>
        </w:tc>
      </w:tr>
    </w:tbl>
    <w:p w14:paraId="13EE8247" w14:textId="77777777" w:rsidR="00300AEF" w:rsidRDefault="00300AEF">
      <w:pPr>
        <w:rPr>
          <w:lang w:eastAsia="zh-CN"/>
        </w:rPr>
      </w:pPr>
    </w:p>
    <w:p w14:paraId="4008A8CC" w14:textId="77777777" w:rsidR="00300AEF" w:rsidRPr="00300AEF" w:rsidRDefault="00300AEF" w:rsidP="00300AEF">
      <w:pPr>
        <w:rPr>
          <w:b/>
          <w:bCs/>
          <w:lang w:eastAsia="zh-CN"/>
        </w:rPr>
      </w:pPr>
      <w:r w:rsidRPr="00300AEF">
        <w:rPr>
          <w:b/>
          <w:bCs/>
          <w:noProof/>
          <w:lang w:eastAsia="zh-CN" w:bidi="ar-SA"/>
        </w:rPr>
        <w:drawing>
          <wp:inline distT="0" distB="0" distL="0" distR="0" wp14:anchorId="1CAFC25D" wp14:editId="1DC034CA">
            <wp:extent cx="5227320" cy="344487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7406D22" w14:textId="77777777" w:rsidR="00300AEF" w:rsidRPr="00300AEF" w:rsidRDefault="00300AEF" w:rsidP="00300AEF">
      <w:pPr>
        <w:jc w:val="center"/>
        <w:rPr>
          <w:lang w:eastAsia="zh-CN"/>
        </w:rPr>
      </w:pPr>
      <w:r w:rsidRPr="00300AEF">
        <w:rPr>
          <w:b/>
          <w:lang w:eastAsia="zh-CN"/>
        </w:rPr>
        <w:t>Figure 4.11— Density profiles for methane, ethane, propane and n-butane under 176 °F and 3043 psi</w:t>
      </w:r>
      <w:r w:rsidRPr="00300AEF">
        <w:rPr>
          <w:rFonts w:hint="eastAsia"/>
          <w:b/>
          <w:lang w:eastAsia="zh-CN"/>
        </w:rPr>
        <w:t xml:space="preserve"> in</w:t>
      </w:r>
      <w:r w:rsidRPr="00300AEF">
        <w:rPr>
          <w:b/>
          <w:lang w:eastAsia="zh-CN"/>
        </w:rPr>
        <w:t xml:space="preserve"> a 5-nm wide slit pore calculated from SLD-PR model</w:t>
      </w:r>
    </w:p>
    <w:p w14:paraId="6DA76EB7" w14:textId="77777777" w:rsidR="00300AEF" w:rsidRPr="00300AEF" w:rsidRDefault="00300AEF" w:rsidP="00300AEF">
      <w:pPr>
        <w:rPr>
          <w:lang w:eastAsia="zh-CN"/>
        </w:rPr>
      </w:pPr>
    </w:p>
    <w:p w14:paraId="4B4F599E" w14:textId="569A97AB" w:rsidR="00300AEF" w:rsidRPr="00300AEF" w:rsidRDefault="00300AEF" w:rsidP="00300AEF">
      <w:pPr>
        <w:jc w:val="both"/>
        <w:rPr>
          <w:lang w:eastAsia="zh-CN"/>
        </w:rPr>
      </w:pPr>
      <w:r w:rsidRPr="00300AEF">
        <w:rPr>
          <w:lang w:eastAsia="zh-CN"/>
        </w:rPr>
        <w:t xml:space="preserve">Multicomponent fluid mixtures can behave much different than single component fluids. As discussed previously, the fluid-wall interactions </w:t>
      </w:r>
      <w:r w:rsidRPr="00300AEF">
        <w:rPr>
          <w:rFonts w:hint="eastAsia"/>
          <w:lang w:eastAsia="zh-CN"/>
        </w:rPr>
        <w:t>have</w:t>
      </w:r>
      <w:r w:rsidRPr="00300AEF">
        <w:rPr>
          <w:lang w:eastAsia="zh-CN"/>
        </w:rPr>
        <w:t xml:space="preserve"> different effects on different fluids. This can cause the fluid composition to vary with respect to the distance to the porous wall, which makes the scenario much more complicated. Consider a binary mixture that contains 80% methane and 20% n-butane in bulk at 170 °F and 3500 psi in a 20-nm wide pore, the mixture density profile is calculated using the SLD-PR model and is shown in </w:t>
      </w:r>
      <w:r w:rsidRPr="00300AEF">
        <w:rPr>
          <w:b/>
          <w:lang w:eastAsia="zh-CN"/>
        </w:rPr>
        <w:t>Figure</w:t>
      </w:r>
      <w:r w:rsidRPr="00300AEF">
        <w:rPr>
          <w:lang w:eastAsia="zh-CN"/>
        </w:rPr>
        <w:t xml:space="preserve"> </w:t>
      </w:r>
      <w:r w:rsidRPr="00300AEF">
        <w:rPr>
          <w:b/>
          <w:lang w:eastAsia="zh-CN"/>
        </w:rPr>
        <w:t>4.12</w:t>
      </w:r>
      <w:r w:rsidRPr="00300AEF">
        <w:rPr>
          <w:lang w:eastAsia="zh-CN"/>
        </w:rPr>
        <w:t>. Note that in Figure 4.13, the fluid density is shown in mol/cm</w:t>
      </w:r>
      <w:r w:rsidRPr="00300AEF">
        <w:rPr>
          <w:vertAlign w:val="superscript"/>
          <w:lang w:eastAsia="zh-CN"/>
        </w:rPr>
        <w:t>3</w:t>
      </w:r>
      <w:r w:rsidRPr="00300AEF">
        <w:rPr>
          <w:lang w:eastAsia="zh-CN"/>
        </w:rPr>
        <w:t xml:space="preserve">. It is clear to see that unlike the single component density profiles, the mixture fluid density first increases when approaches to the wall and reaches to a maximum value before it hits the wall, then it starts to decrease when further closer to the wall. The two humps of the mixture density profile are the results of fluid composition variance across the pore. </w:t>
      </w:r>
      <w:r w:rsidRPr="00300AEF">
        <w:rPr>
          <w:b/>
          <w:lang w:eastAsia="zh-CN"/>
        </w:rPr>
        <w:t>Figure 4.13</w:t>
      </w:r>
      <w:r w:rsidRPr="00300AEF">
        <w:rPr>
          <w:lang w:eastAsia="zh-CN"/>
        </w:rPr>
        <w:t xml:space="preserve"> gives C1 and C4 composition distribution across the 20-nm pore. From the </w:t>
      </w:r>
      <w:r w:rsidR="0037292B" w:rsidRPr="00300AEF">
        <w:rPr>
          <w:lang w:eastAsia="zh-CN"/>
        </w:rPr>
        <w:t>plot,</w:t>
      </w:r>
      <w:r w:rsidRPr="00300AEF">
        <w:rPr>
          <w:lang w:eastAsia="zh-CN"/>
        </w:rPr>
        <w:t xml:space="preserve"> it shows that the composition of C1 drops from 80% to almost 0% when it gets closer to the pore wall. On the other hand, the composition of C4 increases dramatically in the region near the pore wall. Thus, the mixture density is dominated by C4 when it is very close to the pore wall. The results show consistent conclusion that the pore wall favors heavier components much more than lighter components. In order to further investigate the relationships between the mixture and single component density distributions, we put the pure C1 and C4 density profiles along with the mixture density profile on the plot, as shown in </w:t>
      </w:r>
      <w:r w:rsidRPr="00300AEF">
        <w:rPr>
          <w:b/>
          <w:lang w:eastAsia="zh-CN"/>
        </w:rPr>
        <w:t>Figure 4.14</w:t>
      </w:r>
      <w:r w:rsidRPr="00300AEF">
        <w:rPr>
          <w:lang w:eastAsia="zh-CN"/>
        </w:rPr>
        <w:t>. It is clear to see that the mixture density profile tends to approach the pure C4 density profile when close to the wall. This demonstrates the reason why the mixture density profile will decline near the wall. We can also observe from Figure 4.15 that the adsorption of pure methane is significantly stronger compare to the mixture adsorption and pure C4 adsorption. This means that the adsorption ability of light component, such as C1, is stronger than heavier component, such as C4.</w:t>
      </w:r>
    </w:p>
    <w:p w14:paraId="3E2DD50B" w14:textId="77777777" w:rsidR="00300AEF" w:rsidRPr="00300AEF" w:rsidRDefault="00300AEF" w:rsidP="00300AEF">
      <w:pPr>
        <w:rPr>
          <w:lang w:eastAsia="zh-CN"/>
        </w:rPr>
      </w:pPr>
    </w:p>
    <w:p w14:paraId="7F52EE3E" w14:textId="77777777" w:rsidR="00300AEF" w:rsidRPr="00300AEF" w:rsidRDefault="00300AEF" w:rsidP="00300AEF">
      <w:pPr>
        <w:rPr>
          <w:lang w:eastAsia="zh-CN"/>
        </w:rPr>
      </w:pPr>
      <w:r w:rsidRPr="00300AEF">
        <w:rPr>
          <w:noProof/>
          <w:lang w:eastAsia="zh-CN" w:bidi="ar-SA"/>
        </w:rPr>
        <w:drawing>
          <wp:inline distT="0" distB="0" distL="0" distR="0" wp14:anchorId="71B5FC67" wp14:editId="6DA0DF25">
            <wp:extent cx="4943475" cy="27813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2B8ACC44" w14:textId="77777777" w:rsidR="00300AEF" w:rsidRPr="00300AEF" w:rsidRDefault="00300AEF" w:rsidP="00300AEF">
      <w:pPr>
        <w:jc w:val="center"/>
        <w:rPr>
          <w:b/>
          <w:lang w:eastAsia="zh-CN"/>
        </w:rPr>
      </w:pPr>
      <w:r w:rsidRPr="00300AEF">
        <w:rPr>
          <w:b/>
          <w:lang w:eastAsia="zh-CN"/>
        </w:rPr>
        <w:t>Figure 4.12— Density profile of an 80% C1/ 20% C4 mixture at 170 °F and 3500 psi in 20 nm pore calculated from SLD-PR model</w:t>
      </w:r>
    </w:p>
    <w:p w14:paraId="06CB1D68" w14:textId="77777777" w:rsidR="00300AEF" w:rsidRPr="00300AEF" w:rsidRDefault="00300AEF" w:rsidP="00300AEF">
      <w:pPr>
        <w:rPr>
          <w:lang w:eastAsia="zh-CN"/>
        </w:rPr>
      </w:pPr>
      <w:r w:rsidRPr="00300AEF">
        <w:rPr>
          <w:noProof/>
          <w:lang w:eastAsia="zh-CN" w:bidi="ar-SA"/>
        </w:rPr>
        <w:drawing>
          <wp:inline distT="0" distB="0" distL="0" distR="0" wp14:anchorId="4F9D85A7" wp14:editId="691D3135">
            <wp:extent cx="4991100" cy="321945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3933C3F2" w14:textId="77777777" w:rsidR="00300AEF" w:rsidRPr="00300AEF" w:rsidRDefault="00300AEF" w:rsidP="00300AEF">
      <w:pPr>
        <w:jc w:val="center"/>
        <w:rPr>
          <w:b/>
          <w:lang w:eastAsia="zh-CN"/>
        </w:rPr>
      </w:pPr>
      <w:r w:rsidRPr="00300AEF">
        <w:rPr>
          <w:b/>
          <w:lang w:eastAsia="zh-CN"/>
        </w:rPr>
        <w:t>Figure 4.13—C1 and C4 composition distribution in the 20-nm pore at 170 °F and 3500 psi calculated from SLD-PR model</w:t>
      </w:r>
    </w:p>
    <w:p w14:paraId="11F0F85A" w14:textId="77777777" w:rsidR="00300AEF" w:rsidRPr="00300AEF" w:rsidRDefault="00300AEF" w:rsidP="00300AEF">
      <w:pPr>
        <w:rPr>
          <w:b/>
          <w:lang w:eastAsia="zh-CN"/>
        </w:rPr>
      </w:pPr>
    </w:p>
    <w:p w14:paraId="64745B93" w14:textId="77777777" w:rsidR="00300AEF" w:rsidRPr="00300AEF" w:rsidRDefault="00300AEF" w:rsidP="00300AEF">
      <w:pPr>
        <w:rPr>
          <w:lang w:eastAsia="zh-CN"/>
        </w:rPr>
      </w:pPr>
      <w:r w:rsidRPr="00300AEF">
        <w:rPr>
          <w:noProof/>
          <w:lang w:eastAsia="zh-CN" w:bidi="ar-SA"/>
        </w:rPr>
        <w:drawing>
          <wp:inline distT="0" distB="0" distL="0" distR="0" wp14:anchorId="1FF59A6B" wp14:editId="2C31BE62">
            <wp:extent cx="5227320" cy="3443605"/>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EEA1029" w14:textId="77777777" w:rsidR="00300AEF" w:rsidRPr="00300AEF" w:rsidRDefault="00300AEF" w:rsidP="00300AEF">
      <w:pPr>
        <w:jc w:val="center"/>
        <w:rPr>
          <w:b/>
          <w:lang w:eastAsia="zh-CN"/>
        </w:rPr>
      </w:pPr>
      <w:r w:rsidRPr="00300AEF">
        <w:rPr>
          <w:b/>
          <w:lang w:eastAsia="zh-CN"/>
        </w:rPr>
        <w:t>Figure 4.14— Density profiles of pure C1, pure C4 and 80% C1/ 20% C4 mixture in the 20-nm pore at 170 °F and 3500 psi calculated from SLD-PR model</w:t>
      </w:r>
    </w:p>
    <w:p w14:paraId="547AD51A" w14:textId="77777777" w:rsidR="00300AEF" w:rsidRPr="00300AEF" w:rsidRDefault="00300AEF">
      <w:pPr>
        <w:rPr>
          <w:lang w:eastAsia="zh-CN"/>
        </w:rPr>
      </w:pPr>
    </w:p>
    <w:p w14:paraId="074E28FB" w14:textId="77777777" w:rsidR="0085272D" w:rsidRDefault="0085272D">
      <w:pPr>
        <w:rPr>
          <w:lang w:eastAsia="zh-CN"/>
        </w:rPr>
      </w:pPr>
    </w:p>
    <w:p w14:paraId="5C86D330" w14:textId="77777777" w:rsidR="0085272D" w:rsidRDefault="0096367E">
      <w:pPr>
        <w:pStyle w:val="Heading3"/>
      </w:pPr>
      <w:bookmarkStart w:id="39" w:name="_Toc508114157"/>
      <w:r>
        <w:t>4.3.2 Sensitivity Analysis</w:t>
      </w:r>
      <w:bookmarkEnd w:id="39"/>
    </w:p>
    <w:p w14:paraId="3B60C682" w14:textId="4C390196" w:rsidR="0085272D" w:rsidRPr="00300AEF" w:rsidRDefault="0096367E" w:rsidP="00300AEF">
      <w:pPr>
        <w:spacing w:after="100" w:afterAutospacing="1"/>
        <w:jc w:val="both"/>
        <w:rPr>
          <w:lang w:eastAsia="zh-CN"/>
        </w:rPr>
      </w:pPr>
      <w:r>
        <w:rPr>
          <w:rFonts w:hint="eastAsia"/>
          <w:lang w:eastAsia="zh-CN"/>
        </w:rPr>
        <w:t>I</w:t>
      </w:r>
      <w:r>
        <w:rPr>
          <w:lang w:eastAsia="zh-CN"/>
        </w:rPr>
        <w:t xml:space="preserve">n the previous </w:t>
      </w:r>
      <w:r w:rsidR="00B2181C">
        <w:rPr>
          <w:lang w:eastAsia="zh-CN"/>
        </w:rPr>
        <w:t>section,</w:t>
      </w:r>
      <w:r>
        <w:rPr>
          <w:lang w:eastAsia="zh-CN"/>
        </w:rPr>
        <w:t xml:space="preserve"> we discussed the density distributions of both single component and mixture fluids. The pore size, temperature, pressure and fluid composition were fixed during the study. In this section, we will investigate the influences of these parameters on the fluid density distributions.</w:t>
      </w:r>
    </w:p>
    <w:p w14:paraId="0AAC3C8D" w14:textId="28DDAD1E" w:rsidR="0085272D" w:rsidRDefault="0096367E">
      <w:pPr>
        <w:jc w:val="both"/>
      </w:pPr>
      <w:r>
        <w:t xml:space="preserve">Pore size is one of the most important factors that can influence fluid density distributions. Consider pure methane in a slit-shaped pore under the condition of 185 °F and 2600 psi. The pore size varies from 2 nm up to 10 nm. </w:t>
      </w:r>
      <w:r>
        <w:rPr>
          <w:b/>
        </w:rPr>
        <w:t>Figure 4.15</w:t>
      </w:r>
      <w:r>
        <w:t xml:space="preserve"> shows methane density profiles in pores with width equal to 2, 4, 6, 8 and 10 nm. From the </w:t>
      </w:r>
      <w:r w:rsidR="00B2181C">
        <w:t>figure,</w:t>
      </w:r>
      <w:r>
        <w:t xml:space="preserve"> it is clear that </w:t>
      </w:r>
      <w:r>
        <w:rPr>
          <w:rFonts w:hint="eastAsia"/>
        </w:rPr>
        <w:t xml:space="preserve">the local density of methane is at its maximum near </w:t>
      </w:r>
      <w:r>
        <w:t>both</w:t>
      </w:r>
      <w:r>
        <w:rPr>
          <w:rFonts w:hint="eastAsia"/>
        </w:rPr>
        <w:t xml:space="preserve"> walls </w:t>
      </w:r>
      <w:r>
        <w:t>with the value of around 0.38 g/cm</w:t>
      </w:r>
      <w:r>
        <w:rPr>
          <w:vertAlign w:val="superscript"/>
        </w:rPr>
        <w:t xml:space="preserve">3 </w:t>
      </w:r>
      <w:r>
        <w:t xml:space="preserve">for all the pore sizes. The methane density </w:t>
      </w:r>
      <w:r>
        <w:rPr>
          <w:rFonts w:hint="eastAsia"/>
        </w:rPr>
        <w:t>decrease</w:t>
      </w:r>
      <w:r>
        <w:t>s</w:t>
      </w:r>
      <w:r>
        <w:rPr>
          <w:rFonts w:hint="eastAsia"/>
        </w:rPr>
        <w:t xml:space="preserve"> as it goes further from both wall</w:t>
      </w:r>
      <w:r>
        <w:t>s</w:t>
      </w:r>
      <w:r>
        <w:rPr>
          <w:rFonts w:hint="eastAsia"/>
        </w:rPr>
        <w:t xml:space="preserve"> and reaches a </w:t>
      </w:r>
      <w:r>
        <w:t>minimum</w:t>
      </w:r>
      <w:r>
        <w:rPr>
          <w:rFonts w:hint="eastAsia"/>
        </w:rPr>
        <w:t xml:space="preserve"> </w:t>
      </w:r>
      <w:r>
        <w:t>value at the center of the pore. When the pore size is decreasing, the percentage of space where the methane is under strong wall influence is increasing based on the density profile shape. For pores with widths equal to 4, 6, 8 and 10 nm, the minimum methane densities at the center of the pores are equal to the methane bulk density, which is 0.11 g/cm</w:t>
      </w:r>
      <w:r>
        <w:rPr>
          <w:vertAlign w:val="superscript"/>
        </w:rPr>
        <w:t>3</w:t>
      </w:r>
      <w:r>
        <w:t xml:space="preserve">. For the 2-nm pore, even the lowest methane density in the center is higher than the bulk density. </w:t>
      </w:r>
      <w:r>
        <w:rPr>
          <w:rFonts w:hint="eastAsia"/>
        </w:rPr>
        <w:t xml:space="preserve">This means in a pore with 2 nm </w:t>
      </w:r>
      <w:r>
        <w:t>in width</w:t>
      </w:r>
      <w:r>
        <w:rPr>
          <w:rFonts w:hint="eastAsia"/>
        </w:rPr>
        <w:t>, the whole pore is under the influence of the wall</w:t>
      </w:r>
      <w:r>
        <w:t>. As a result, the free gas not exist at any places within the 2-nm pore under the condition of 185 °F and 2600 psi.</w:t>
      </w:r>
    </w:p>
    <w:p w14:paraId="0C9BA01A" w14:textId="77777777" w:rsidR="0085272D" w:rsidRDefault="0096367E">
      <w:pPr>
        <w:ind w:left="900" w:hanging="540"/>
        <w:rPr>
          <w:lang w:eastAsia="zh-CN"/>
        </w:rPr>
      </w:pPr>
      <w:r>
        <w:rPr>
          <w:noProof/>
          <w:lang w:eastAsia="zh-CN" w:bidi="ar-SA"/>
        </w:rPr>
        <w:drawing>
          <wp:inline distT="0" distB="0" distL="0" distR="0" wp14:anchorId="0B618255" wp14:editId="36D1AA5B">
            <wp:extent cx="4989830" cy="327596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4959C5BC" w14:textId="77777777" w:rsidR="0085272D" w:rsidRDefault="003119B7">
      <w:pPr>
        <w:jc w:val="center"/>
        <w:rPr>
          <w:b/>
        </w:rPr>
      </w:pPr>
      <w:r>
        <w:rPr>
          <w:b/>
        </w:rPr>
        <w:t>Figure</w:t>
      </w:r>
      <w:r w:rsidR="0096367E">
        <w:rPr>
          <w:b/>
        </w:rPr>
        <w:t xml:space="preserve"> 4.15— Density profiles of methane confined in pores with variety widths under 185 °F and 2600 psi. Pore sizes of 2, 4, 6, 8 and 10 nm were selected to show in the figure</w:t>
      </w:r>
    </w:p>
    <w:p w14:paraId="1403914B" w14:textId="32CC1C36" w:rsidR="0085272D" w:rsidRDefault="0096367E">
      <w:pPr>
        <w:spacing w:after="240"/>
        <w:jc w:val="both"/>
        <w:rPr>
          <w:lang w:eastAsia="zh-CN"/>
        </w:rPr>
      </w:pPr>
      <w:r>
        <w:rPr>
          <w:lang w:eastAsia="zh-CN"/>
        </w:rPr>
        <w:t xml:space="preserve">Other than pore size, the </w:t>
      </w:r>
      <w:r>
        <w:rPr>
          <w:rFonts w:hint="eastAsia"/>
          <w:lang w:eastAsia="zh-CN"/>
        </w:rPr>
        <w:t>pressure and temperature can</w:t>
      </w:r>
      <w:r>
        <w:rPr>
          <w:lang w:eastAsia="zh-CN"/>
        </w:rPr>
        <w:t xml:space="preserve"> also</w:t>
      </w:r>
      <w:r>
        <w:rPr>
          <w:rFonts w:hint="eastAsia"/>
          <w:lang w:eastAsia="zh-CN"/>
        </w:rPr>
        <w:t xml:space="preserve"> influence</w:t>
      </w:r>
      <w:r>
        <w:rPr>
          <w:lang w:eastAsia="zh-CN"/>
        </w:rPr>
        <w:t xml:space="preserve"> the fluid density distributions when confined in nanopores. </w:t>
      </w:r>
      <w:r>
        <w:rPr>
          <w:rFonts w:hint="eastAsia"/>
          <w:b/>
          <w:lang w:eastAsia="zh-CN"/>
        </w:rPr>
        <w:t>Figu</w:t>
      </w:r>
      <w:r>
        <w:rPr>
          <w:b/>
          <w:lang w:eastAsia="zh-CN"/>
        </w:rPr>
        <w:t>re 4.16</w:t>
      </w:r>
      <w:r>
        <w:rPr>
          <w:lang w:eastAsia="zh-CN"/>
        </w:rPr>
        <w:t xml:space="preserve"> shows the density profiles of pure methane under variety of pressure conditions, ranging from 3000 to 7000 psi. The temperature and pore size are fixed to be 200 </w:t>
      </w:r>
      <w:r>
        <w:t>°</w:t>
      </w:r>
      <w:r>
        <w:rPr>
          <w:lang w:eastAsia="zh-CN"/>
        </w:rPr>
        <w:t xml:space="preserve">F and 10 nm, respectively. From the </w:t>
      </w:r>
      <w:r w:rsidR="00B2181C">
        <w:rPr>
          <w:lang w:eastAsia="zh-CN"/>
        </w:rPr>
        <w:t>figure,</w:t>
      </w:r>
      <w:r>
        <w:rPr>
          <w:lang w:eastAsia="zh-CN"/>
        </w:rPr>
        <w:t xml:space="preserve"> we can see that the density profiles are shifting up with increasing pressure. However, the rate of density increase in the center region is higher to the adsorbed region close to the walls. For example, when the pressure is changed from 3000 to 4000 psi, the methane density in the center region of the pore is increased by 0.035 g/cm</w:t>
      </w:r>
      <w:r>
        <w:rPr>
          <w:vertAlign w:val="superscript"/>
          <w:lang w:eastAsia="zh-CN"/>
        </w:rPr>
        <w:t>3</w:t>
      </w:r>
      <w:r>
        <w:rPr>
          <w:lang w:eastAsia="zh-CN"/>
        </w:rPr>
        <w:t>. For the regions close to the wall, such change is 0.020 g/cm</w:t>
      </w:r>
      <w:r>
        <w:rPr>
          <w:vertAlign w:val="superscript"/>
          <w:lang w:eastAsia="zh-CN"/>
        </w:rPr>
        <w:t>3</w:t>
      </w:r>
      <w:r>
        <w:rPr>
          <w:lang w:eastAsia="zh-CN"/>
        </w:rPr>
        <w:t>, which is much less than the density change in the bulk region. The results imply that the pressure has larger impact on the bulk methane density than the adsorbed methane density. This is because the adsorbed methane has already been much more compressed compare to the bulk methane due to the fluid-wall interactions and thus harder to be compressed. The increase in pressure, which is equivalent to further compressing the fluid, will have more impacts on less compressed fluids.</w:t>
      </w:r>
    </w:p>
    <w:p w14:paraId="67E9B579" w14:textId="77777777" w:rsidR="0085272D" w:rsidRDefault="0096367E">
      <w:pPr>
        <w:jc w:val="both"/>
        <w:rPr>
          <w:lang w:eastAsia="zh-CN"/>
        </w:rPr>
      </w:pPr>
      <w:r>
        <w:rPr>
          <w:lang w:eastAsia="zh-CN"/>
        </w:rPr>
        <w:t xml:space="preserve">In order to investigate the effects of temperature on methane density distributions, four different temperatures are chosen at the constant pressure of 4000 psi in a 10-nm pore: 150, 200, 250 and 300 </w:t>
      </w:r>
      <w:r>
        <w:t>°</w:t>
      </w:r>
      <w:r>
        <w:rPr>
          <w:lang w:eastAsia="zh-CN"/>
        </w:rPr>
        <w:t xml:space="preserve">F. Unlike the effects of pressure change on methane densities, as shown in </w:t>
      </w:r>
      <w:r>
        <w:rPr>
          <w:b/>
          <w:lang w:eastAsia="zh-CN"/>
        </w:rPr>
        <w:t>Figure 4.17</w:t>
      </w:r>
      <w:r>
        <w:rPr>
          <w:lang w:eastAsia="zh-CN"/>
        </w:rPr>
        <w:t xml:space="preserve">, we see that the methane density profile is shifting down at higher temperature, means that the increase in temperature can cause the decrease in methane density in both bulk region and adsorbed region inside the pore. The results are consistent with fluid PVT relations, where an increase in temperature will cause the decrease in fluid density. Furthermore, the effects of temperature change on methane density in bulk region and adsorbed region are similar. For example, when the temperature changes from 150 to 200 </w:t>
      </w:r>
      <w:r>
        <w:t>°</w:t>
      </w:r>
      <w:r>
        <w:rPr>
          <w:lang w:eastAsia="zh-CN"/>
        </w:rPr>
        <w:t>F, the density decrease in the bulk region is 0.018 g/cm</w:t>
      </w:r>
      <w:r>
        <w:rPr>
          <w:vertAlign w:val="superscript"/>
          <w:lang w:eastAsia="zh-CN"/>
        </w:rPr>
        <w:t>3</w:t>
      </w:r>
      <w:r>
        <w:rPr>
          <w:lang w:eastAsia="zh-CN"/>
        </w:rPr>
        <w:t>, while the decrease in the adsorbed region is 0.020 g/cm</w:t>
      </w:r>
      <w:r>
        <w:rPr>
          <w:vertAlign w:val="superscript"/>
          <w:lang w:eastAsia="zh-CN"/>
        </w:rPr>
        <w:t>3</w:t>
      </w:r>
      <w:r>
        <w:rPr>
          <w:lang w:eastAsia="zh-CN"/>
        </w:rPr>
        <w:t>. This is because the increase in temperature, which is equivalent to thermal expansion, is independent on fluid compressibility ability.</w:t>
      </w:r>
    </w:p>
    <w:p w14:paraId="0BE3CAE3" w14:textId="77777777" w:rsidR="0085272D" w:rsidRDefault="0085272D">
      <w:pPr>
        <w:rPr>
          <w:lang w:eastAsia="zh-CN"/>
        </w:rPr>
      </w:pPr>
    </w:p>
    <w:p w14:paraId="3CEB1778" w14:textId="77777777" w:rsidR="0085272D" w:rsidRDefault="0096367E">
      <w:pPr>
        <w:ind w:firstLine="180"/>
        <w:rPr>
          <w:lang w:eastAsia="zh-CN"/>
        </w:rPr>
      </w:pPr>
      <w:r>
        <w:rPr>
          <w:noProof/>
          <w:lang w:eastAsia="zh-CN" w:bidi="ar-SA"/>
        </w:rPr>
        <w:drawing>
          <wp:inline distT="0" distB="0" distL="0" distR="0" wp14:anchorId="248136BC" wp14:editId="0C1D7D54">
            <wp:extent cx="5124450" cy="32004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21F0287E" w14:textId="77777777" w:rsidR="0085272D" w:rsidRDefault="0096367E" w:rsidP="004237DE">
      <w:pPr>
        <w:spacing w:after="200"/>
        <w:contextualSpacing/>
        <w:jc w:val="center"/>
        <w:rPr>
          <w:lang w:eastAsia="zh-CN"/>
        </w:rPr>
      </w:pPr>
      <w:r>
        <w:rPr>
          <w:b/>
        </w:rPr>
        <w:t>Figure 4.16— Methane density profiles confined in pores under variety pressures. The temperature and pore size are fixed to be 200 °F and 10 nm, respectively</w:t>
      </w:r>
    </w:p>
    <w:p w14:paraId="154E31B5" w14:textId="77777777" w:rsidR="0085272D" w:rsidRDefault="0096367E">
      <w:pPr>
        <w:tabs>
          <w:tab w:val="left" w:pos="2407"/>
        </w:tabs>
        <w:spacing w:after="200"/>
        <w:contextualSpacing/>
        <w:jc w:val="both"/>
        <w:rPr>
          <w:lang w:eastAsia="zh-CN"/>
        </w:rPr>
      </w:pPr>
      <w:r>
        <w:rPr>
          <w:lang w:eastAsia="zh-CN"/>
        </w:rPr>
        <w:tab/>
      </w:r>
    </w:p>
    <w:p w14:paraId="73D5AE9D" w14:textId="77777777" w:rsidR="00764EEC" w:rsidRPr="00764EEC" w:rsidRDefault="00764EEC" w:rsidP="00764EEC">
      <w:pPr>
        <w:tabs>
          <w:tab w:val="left" w:pos="2407"/>
        </w:tabs>
        <w:spacing w:after="200"/>
        <w:contextualSpacing/>
        <w:jc w:val="both"/>
        <w:rPr>
          <w:b/>
          <w:bCs/>
          <w:lang w:eastAsia="zh-CN"/>
        </w:rPr>
      </w:pPr>
      <w:r w:rsidRPr="00764EEC">
        <w:rPr>
          <w:b/>
          <w:bCs/>
          <w:noProof/>
          <w:lang w:eastAsia="zh-CN" w:bidi="ar-SA"/>
        </w:rPr>
        <w:drawing>
          <wp:inline distT="0" distB="0" distL="0" distR="0" wp14:anchorId="625DA760" wp14:editId="3DEAFFFE">
            <wp:extent cx="5010150" cy="31115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798B046" w14:textId="77777777" w:rsidR="00764EEC" w:rsidRPr="00764EEC" w:rsidRDefault="00764EEC" w:rsidP="00764EEC">
      <w:pPr>
        <w:tabs>
          <w:tab w:val="left" w:pos="2407"/>
        </w:tabs>
        <w:spacing w:after="200"/>
        <w:contextualSpacing/>
        <w:jc w:val="center"/>
        <w:rPr>
          <w:b/>
          <w:lang w:eastAsia="zh-CN"/>
        </w:rPr>
      </w:pPr>
      <w:r w:rsidRPr="00764EEC">
        <w:rPr>
          <w:b/>
          <w:lang w:eastAsia="zh-CN"/>
        </w:rPr>
        <w:t>Figure 4.17— Methane density profiles confined in pores under variety temperatures. The pressure and pore size are fixed to be 4000 psi and 10 nm, respectively</w:t>
      </w:r>
    </w:p>
    <w:p w14:paraId="67AF555A" w14:textId="77777777" w:rsidR="00764EEC" w:rsidRPr="00764EEC" w:rsidRDefault="00764EEC" w:rsidP="00764EEC">
      <w:pPr>
        <w:tabs>
          <w:tab w:val="left" w:pos="2407"/>
        </w:tabs>
        <w:spacing w:after="200"/>
        <w:contextualSpacing/>
        <w:jc w:val="both"/>
        <w:rPr>
          <w:b/>
          <w:lang w:eastAsia="zh-CN"/>
        </w:rPr>
      </w:pPr>
    </w:p>
    <w:p w14:paraId="4C6A5B6D" w14:textId="790CADCA" w:rsidR="00764EEC" w:rsidRDefault="00764EEC" w:rsidP="00764EEC">
      <w:pPr>
        <w:tabs>
          <w:tab w:val="left" w:pos="2407"/>
        </w:tabs>
        <w:spacing w:after="200"/>
        <w:contextualSpacing/>
        <w:jc w:val="both"/>
        <w:rPr>
          <w:lang w:eastAsia="zh-CN"/>
        </w:rPr>
      </w:pPr>
      <w:r w:rsidRPr="00764EEC">
        <w:rPr>
          <w:lang w:eastAsia="zh-CN"/>
        </w:rPr>
        <w:t xml:space="preserve">Last, we evaluated the effects of changing composition on the mixture fluid density profiles. Consider a binary mixture contains methane and n-butane in a </w:t>
      </w:r>
      <w:r w:rsidR="00B2181C" w:rsidRPr="00764EEC">
        <w:rPr>
          <w:lang w:eastAsia="zh-CN"/>
        </w:rPr>
        <w:t>20-nm</w:t>
      </w:r>
      <w:r w:rsidRPr="00764EEC">
        <w:rPr>
          <w:lang w:eastAsia="zh-CN"/>
        </w:rPr>
        <w:t xml:space="preserve"> wide pore at 3500 psi and 170 °F, the density profiles of the mixture fluid are shown in </w:t>
      </w:r>
      <w:r w:rsidRPr="00764EEC">
        <w:rPr>
          <w:b/>
          <w:lang w:eastAsia="zh-CN"/>
        </w:rPr>
        <w:t>Figure 4.18</w:t>
      </w:r>
      <w:r w:rsidRPr="00764EEC">
        <w:rPr>
          <w:lang w:eastAsia="zh-CN"/>
        </w:rPr>
        <w:t xml:space="preserve">. Note that the composition of methane in the mixture is varied from 50% to 80%. It is clear to see from </w:t>
      </w:r>
      <w:r w:rsidRPr="004E3CF2">
        <w:rPr>
          <w:b/>
          <w:lang w:eastAsia="zh-CN"/>
        </w:rPr>
        <w:t>Figure</w:t>
      </w:r>
      <w:r w:rsidRPr="00764EEC">
        <w:rPr>
          <w:lang w:eastAsia="zh-CN"/>
        </w:rPr>
        <w:t xml:space="preserve"> </w:t>
      </w:r>
      <w:r w:rsidRPr="004E3CF2">
        <w:rPr>
          <w:b/>
          <w:lang w:eastAsia="zh-CN"/>
        </w:rPr>
        <w:t>4.</w:t>
      </w:r>
      <w:r w:rsidR="002A4AA8" w:rsidRPr="004E3CF2">
        <w:rPr>
          <w:b/>
          <w:lang w:eastAsia="zh-CN"/>
        </w:rPr>
        <w:t>1</w:t>
      </w:r>
      <w:r w:rsidR="002A4AA8">
        <w:rPr>
          <w:b/>
          <w:lang w:eastAsia="zh-CN"/>
        </w:rPr>
        <w:t>8</w:t>
      </w:r>
      <w:r w:rsidR="002A4AA8" w:rsidRPr="00764EEC">
        <w:rPr>
          <w:lang w:eastAsia="zh-CN"/>
        </w:rPr>
        <w:t xml:space="preserve"> </w:t>
      </w:r>
      <w:r w:rsidRPr="00764EEC">
        <w:rPr>
          <w:lang w:eastAsia="zh-CN"/>
        </w:rPr>
        <w:t xml:space="preserve">that the density profiles representing different methane compositions separate well in the center region of the pore, but become closer when approaching the wall and finally become identical when it reaches the closest position to the wall. This can be explained by the methane composition distributions, showing in </w:t>
      </w:r>
      <w:r w:rsidRPr="00764EEC">
        <w:rPr>
          <w:b/>
          <w:lang w:eastAsia="zh-CN"/>
        </w:rPr>
        <w:t>Figure</w:t>
      </w:r>
      <w:r w:rsidRPr="00764EEC">
        <w:rPr>
          <w:lang w:eastAsia="zh-CN"/>
        </w:rPr>
        <w:t xml:space="preserve"> </w:t>
      </w:r>
      <w:r w:rsidRPr="00764EEC">
        <w:rPr>
          <w:b/>
          <w:lang w:eastAsia="zh-CN"/>
        </w:rPr>
        <w:t>4.</w:t>
      </w:r>
      <w:r w:rsidR="002A4AA8" w:rsidRPr="00764EEC">
        <w:rPr>
          <w:b/>
          <w:lang w:eastAsia="zh-CN"/>
        </w:rPr>
        <w:t>1</w:t>
      </w:r>
      <w:r w:rsidR="002A4AA8">
        <w:rPr>
          <w:b/>
          <w:lang w:eastAsia="zh-CN"/>
        </w:rPr>
        <w:t>8</w:t>
      </w:r>
      <w:r w:rsidRPr="00764EEC">
        <w:rPr>
          <w:lang w:eastAsia="zh-CN"/>
        </w:rPr>
        <w:t xml:space="preserve">. In the center region of the pore, the methane compositions remain constant and equal to the original methane compositions in the mixtures; the fluid mixture densities are also equal to the bulk densities. The mixture that contains heavier component, in this case n-butane, will have larger density. However, when the fluids become closer and closer to the wall, the methane compositions drop dramatically and eventually become almost zero for all the four cases, as shown in </w:t>
      </w:r>
      <w:r w:rsidRPr="00BB05D2">
        <w:rPr>
          <w:b/>
          <w:lang w:eastAsia="zh-CN"/>
        </w:rPr>
        <w:t>Figure 4.</w:t>
      </w:r>
      <w:r w:rsidR="002A4AA8">
        <w:rPr>
          <w:b/>
          <w:lang w:eastAsia="zh-CN"/>
        </w:rPr>
        <w:t>19</w:t>
      </w:r>
      <w:r w:rsidRPr="00764EEC">
        <w:rPr>
          <w:lang w:eastAsia="zh-CN"/>
        </w:rPr>
        <w:t>. When the methane composition of the mixture becomes negligible, the fluid behavior is dominated by n-butane and therefore the four different mixtures become identical near the wall.</w:t>
      </w:r>
    </w:p>
    <w:p w14:paraId="2742367F" w14:textId="77777777" w:rsidR="00764EEC" w:rsidRPr="00764EEC" w:rsidRDefault="00764EEC" w:rsidP="00764EEC">
      <w:pPr>
        <w:tabs>
          <w:tab w:val="left" w:pos="2407"/>
        </w:tabs>
        <w:spacing w:after="200"/>
        <w:contextualSpacing/>
        <w:jc w:val="both"/>
        <w:rPr>
          <w:lang w:eastAsia="zh-CN"/>
        </w:rPr>
      </w:pPr>
    </w:p>
    <w:p w14:paraId="32316E12" w14:textId="77777777" w:rsidR="00764EEC" w:rsidRPr="00764EEC" w:rsidRDefault="00764EEC" w:rsidP="00764EEC">
      <w:pPr>
        <w:tabs>
          <w:tab w:val="left" w:pos="2407"/>
        </w:tabs>
        <w:spacing w:after="200"/>
        <w:contextualSpacing/>
        <w:jc w:val="both"/>
        <w:rPr>
          <w:lang w:eastAsia="zh-CN"/>
        </w:rPr>
      </w:pPr>
      <w:r w:rsidRPr="00764EEC">
        <w:rPr>
          <w:noProof/>
          <w:lang w:eastAsia="zh-CN" w:bidi="ar-SA"/>
        </w:rPr>
        <w:drawing>
          <wp:inline distT="0" distB="0" distL="0" distR="0" wp14:anchorId="7B6B7F3F" wp14:editId="65FD9B21">
            <wp:extent cx="5146040" cy="29718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2D586A67" w14:textId="77777777" w:rsidR="00764EEC" w:rsidRPr="00764EEC" w:rsidRDefault="00764EEC" w:rsidP="00764EEC">
      <w:pPr>
        <w:tabs>
          <w:tab w:val="left" w:pos="2407"/>
        </w:tabs>
        <w:spacing w:after="200"/>
        <w:contextualSpacing/>
        <w:jc w:val="center"/>
        <w:rPr>
          <w:b/>
          <w:lang w:eastAsia="zh-CN"/>
        </w:rPr>
      </w:pPr>
      <w:r w:rsidRPr="00764EEC">
        <w:rPr>
          <w:rFonts w:hint="eastAsia"/>
          <w:b/>
          <w:lang w:eastAsia="zh-CN"/>
        </w:rPr>
        <w:t>Figure</w:t>
      </w:r>
      <w:r w:rsidRPr="00764EEC">
        <w:rPr>
          <w:b/>
          <w:lang w:eastAsia="zh-CN"/>
        </w:rPr>
        <w:t xml:space="preserve"> 4.18— Density profiles of binary mixtures containing methane and n-butane with variety composition combinations in a 20-nm pore at 3500 psi and 170 °F</w:t>
      </w:r>
    </w:p>
    <w:p w14:paraId="33F6BE4C" w14:textId="77777777" w:rsidR="00764EEC" w:rsidRPr="00764EEC" w:rsidRDefault="00764EEC" w:rsidP="00764EEC">
      <w:pPr>
        <w:tabs>
          <w:tab w:val="left" w:pos="2407"/>
        </w:tabs>
        <w:spacing w:after="200"/>
        <w:contextualSpacing/>
        <w:jc w:val="both"/>
        <w:rPr>
          <w:lang w:eastAsia="zh-CN"/>
        </w:rPr>
      </w:pPr>
      <w:r w:rsidRPr="00764EEC">
        <w:rPr>
          <w:noProof/>
          <w:lang w:eastAsia="zh-CN" w:bidi="ar-SA"/>
        </w:rPr>
        <w:drawing>
          <wp:inline distT="0" distB="0" distL="0" distR="0" wp14:anchorId="4D353BF2" wp14:editId="0E498F87">
            <wp:extent cx="5167630" cy="308737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1BEF2B06" w14:textId="77777777" w:rsidR="00764EEC" w:rsidRPr="00764EEC" w:rsidRDefault="00764EEC" w:rsidP="00764EEC">
      <w:pPr>
        <w:tabs>
          <w:tab w:val="left" w:pos="2407"/>
        </w:tabs>
        <w:spacing w:after="200"/>
        <w:contextualSpacing/>
        <w:jc w:val="center"/>
        <w:rPr>
          <w:b/>
          <w:lang w:eastAsia="zh-CN"/>
        </w:rPr>
      </w:pPr>
      <w:r w:rsidRPr="00764EEC">
        <w:rPr>
          <w:rFonts w:hint="eastAsia"/>
          <w:b/>
          <w:lang w:eastAsia="zh-CN"/>
        </w:rPr>
        <w:t>Figure</w:t>
      </w:r>
      <w:r w:rsidRPr="00764EEC">
        <w:rPr>
          <w:b/>
          <w:lang w:eastAsia="zh-CN"/>
        </w:rPr>
        <w:t xml:space="preserve"> 4.19— Methane composition distributions of four different fluid mixtures in a 20-nm pore at 3500 psi and 170 °F</w:t>
      </w:r>
    </w:p>
    <w:p w14:paraId="41524E9C" w14:textId="77777777" w:rsidR="003119B7" w:rsidRDefault="003119B7">
      <w:pPr>
        <w:tabs>
          <w:tab w:val="left" w:pos="2407"/>
        </w:tabs>
        <w:spacing w:after="200"/>
        <w:contextualSpacing/>
        <w:jc w:val="both"/>
        <w:rPr>
          <w:lang w:eastAsia="zh-CN"/>
        </w:rPr>
      </w:pPr>
    </w:p>
    <w:p w14:paraId="0D9E90D0" w14:textId="77777777" w:rsidR="00764EEC" w:rsidRDefault="00764EEC">
      <w:pPr>
        <w:tabs>
          <w:tab w:val="left" w:pos="2407"/>
        </w:tabs>
        <w:spacing w:after="200"/>
        <w:contextualSpacing/>
        <w:jc w:val="both"/>
        <w:rPr>
          <w:lang w:eastAsia="zh-CN"/>
        </w:rPr>
      </w:pPr>
    </w:p>
    <w:p w14:paraId="172642BF" w14:textId="77777777" w:rsidR="00764EEC" w:rsidRDefault="00764EEC">
      <w:pPr>
        <w:tabs>
          <w:tab w:val="left" w:pos="2407"/>
        </w:tabs>
        <w:spacing w:after="200"/>
        <w:contextualSpacing/>
        <w:jc w:val="both"/>
        <w:rPr>
          <w:lang w:eastAsia="zh-CN"/>
        </w:rPr>
      </w:pPr>
    </w:p>
    <w:p w14:paraId="31DB624B" w14:textId="77777777" w:rsidR="00764EEC" w:rsidRDefault="00764EEC">
      <w:pPr>
        <w:tabs>
          <w:tab w:val="left" w:pos="2407"/>
        </w:tabs>
        <w:spacing w:after="200"/>
        <w:contextualSpacing/>
        <w:jc w:val="both"/>
        <w:rPr>
          <w:lang w:eastAsia="zh-CN"/>
        </w:rPr>
      </w:pPr>
    </w:p>
    <w:p w14:paraId="4856A6F8" w14:textId="77777777" w:rsidR="00764EEC" w:rsidRDefault="00764EEC">
      <w:pPr>
        <w:tabs>
          <w:tab w:val="left" w:pos="2407"/>
        </w:tabs>
        <w:spacing w:after="200"/>
        <w:contextualSpacing/>
        <w:jc w:val="both"/>
        <w:rPr>
          <w:lang w:eastAsia="zh-CN"/>
        </w:rPr>
      </w:pPr>
    </w:p>
    <w:p w14:paraId="3F505C20" w14:textId="77777777" w:rsidR="00764EEC" w:rsidRDefault="00764EEC">
      <w:pPr>
        <w:tabs>
          <w:tab w:val="left" w:pos="2407"/>
        </w:tabs>
        <w:spacing w:after="200"/>
        <w:contextualSpacing/>
        <w:jc w:val="both"/>
        <w:rPr>
          <w:lang w:eastAsia="zh-CN"/>
        </w:rPr>
      </w:pPr>
    </w:p>
    <w:p w14:paraId="08EAFDE9" w14:textId="77777777" w:rsidR="00764EEC" w:rsidRDefault="00764EEC">
      <w:pPr>
        <w:tabs>
          <w:tab w:val="left" w:pos="2407"/>
        </w:tabs>
        <w:spacing w:after="200"/>
        <w:contextualSpacing/>
        <w:jc w:val="both"/>
        <w:rPr>
          <w:lang w:eastAsia="zh-CN"/>
        </w:rPr>
      </w:pPr>
    </w:p>
    <w:p w14:paraId="3A1B95A8" w14:textId="77777777" w:rsidR="00764EEC" w:rsidRPr="00764EEC" w:rsidRDefault="00764EEC">
      <w:pPr>
        <w:tabs>
          <w:tab w:val="left" w:pos="2407"/>
        </w:tabs>
        <w:spacing w:after="200"/>
        <w:contextualSpacing/>
        <w:jc w:val="both"/>
        <w:rPr>
          <w:lang w:eastAsia="zh-CN"/>
        </w:rPr>
      </w:pPr>
    </w:p>
    <w:p w14:paraId="4F4928D8" w14:textId="77777777" w:rsidR="008A1146" w:rsidRDefault="008A1146" w:rsidP="008A1146">
      <w:pPr>
        <w:pStyle w:val="Heading2"/>
        <w:jc w:val="both"/>
      </w:pPr>
      <w:bookmarkStart w:id="40" w:name="_Toc508114158"/>
      <w:r>
        <w:t>4.4 Adsorption Isotherms of Pure and Mixture Hydrocarbons in Nanopores</w:t>
      </w:r>
      <w:bookmarkEnd w:id="40"/>
    </w:p>
    <w:p w14:paraId="44B0C601" w14:textId="1980F4F3" w:rsidR="008A1146" w:rsidRPr="00764EEC" w:rsidRDefault="008A1146" w:rsidP="00764EEC">
      <w:pPr>
        <w:spacing w:after="100" w:afterAutospacing="1"/>
        <w:jc w:val="both"/>
        <w:rPr>
          <w:lang w:eastAsia="zh-CN"/>
        </w:rPr>
      </w:pPr>
      <w:r w:rsidRPr="008A1146">
        <w:t>The investigations of adsorption isotherms of pure and mixture gases in nanoporous materials have been carried out for many decades from both experimental studies (</w:t>
      </w:r>
      <w:r w:rsidRPr="008A1146">
        <w:rPr>
          <w:rFonts w:hint="eastAsia"/>
          <w:lang w:eastAsia="zh-CN"/>
        </w:rPr>
        <w:t>Dreibach et al., 1999</w:t>
      </w:r>
      <w:r w:rsidRPr="008A1146">
        <w:rPr>
          <w:lang w:eastAsia="zh-CN"/>
        </w:rPr>
        <w:t>;</w:t>
      </w:r>
      <w:r w:rsidRPr="008A1146">
        <w:rPr>
          <w:rFonts w:hint="eastAsia"/>
          <w:lang w:eastAsia="zh-CN"/>
        </w:rPr>
        <w:t xml:space="preserve"> Heuchel et al., 1999</w:t>
      </w:r>
      <w:r w:rsidRPr="008A1146">
        <w:rPr>
          <w:lang w:eastAsia="zh-CN"/>
        </w:rPr>
        <w:t xml:space="preserve">; </w:t>
      </w:r>
      <w:r w:rsidRPr="008A1146">
        <w:t xml:space="preserve">Yun et al., 2002; </w:t>
      </w:r>
      <w:r w:rsidRPr="008A1146">
        <w:rPr>
          <w:rFonts w:hint="eastAsia"/>
          <w:lang w:eastAsia="zh-CN"/>
        </w:rPr>
        <w:t>Gasem et al., 2003</w:t>
      </w:r>
      <w:r w:rsidRPr="008A1146">
        <w:rPr>
          <w:lang w:eastAsia="zh-CN"/>
        </w:rPr>
        <w:t>;</w:t>
      </w:r>
      <w:r w:rsidRPr="008A1146">
        <w:t xml:space="preserve"> Harlick and Tezel</w:t>
      </w:r>
      <w:r w:rsidRPr="008A1146">
        <w:rPr>
          <w:rFonts w:hint="eastAsia"/>
          <w:lang w:eastAsia="zh-CN"/>
        </w:rPr>
        <w:t>,</w:t>
      </w:r>
      <w:r w:rsidRPr="008A1146">
        <w:t xml:space="preserve"> 2003; </w:t>
      </w:r>
      <w:r w:rsidRPr="008A1146">
        <w:rPr>
          <w:rFonts w:hint="eastAsia"/>
          <w:lang w:eastAsia="zh-CN"/>
        </w:rPr>
        <w:t>Wu et al., 2005</w:t>
      </w:r>
      <w:r w:rsidRPr="008A1146">
        <w:rPr>
          <w:lang w:eastAsia="zh-CN"/>
        </w:rPr>
        <w:t xml:space="preserve">) </w:t>
      </w:r>
      <w:r w:rsidRPr="008A1146">
        <w:t>and simulation methods (</w:t>
      </w:r>
      <w:r w:rsidRPr="008A1146">
        <w:rPr>
          <w:rFonts w:hint="eastAsia"/>
          <w:lang w:eastAsia="zh-CN"/>
        </w:rPr>
        <w:t>Maddox et al., 1996</w:t>
      </w:r>
      <w:r w:rsidRPr="008A1146">
        <w:rPr>
          <w:lang w:eastAsia="zh-CN"/>
        </w:rPr>
        <w:t xml:space="preserve">; </w:t>
      </w:r>
      <w:r w:rsidRPr="008A1146">
        <w:rPr>
          <w:rFonts w:hint="eastAsia"/>
          <w:lang w:eastAsia="zh-CN"/>
        </w:rPr>
        <w:t>Du et al., 1998</w:t>
      </w:r>
      <w:r w:rsidRPr="008A1146">
        <w:rPr>
          <w:lang w:eastAsia="zh-CN"/>
        </w:rPr>
        <w:t xml:space="preserve">; </w:t>
      </w:r>
      <w:r w:rsidRPr="008A1146">
        <w:rPr>
          <w:rFonts w:hint="eastAsia"/>
          <w:lang w:eastAsia="zh-CN"/>
        </w:rPr>
        <w:t>Heuchel et al., 1999</w:t>
      </w:r>
      <w:r w:rsidRPr="008A1146">
        <w:rPr>
          <w:lang w:eastAsia="zh-CN"/>
        </w:rPr>
        <w:t xml:space="preserve">; </w:t>
      </w:r>
      <w:r w:rsidRPr="008A1146">
        <w:t xml:space="preserve">Yun et al., 2002; </w:t>
      </w:r>
      <w:r w:rsidRPr="008A1146">
        <w:rPr>
          <w:rFonts w:hint="eastAsia"/>
          <w:lang w:eastAsia="zh-CN"/>
        </w:rPr>
        <w:t>Gasem et al., 2003</w:t>
      </w:r>
      <w:r w:rsidRPr="008A1146">
        <w:rPr>
          <w:lang w:eastAsia="zh-CN"/>
        </w:rPr>
        <w:t>;</w:t>
      </w:r>
      <w:r w:rsidRPr="008A1146">
        <w:t xml:space="preserve"> </w:t>
      </w:r>
      <w:r w:rsidRPr="008A1146">
        <w:rPr>
          <w:rFonts w:hint="eastAsia"/>
          <w:lang w:eastAsia="zh-CN"/>
        </w:rPr>
        <w:t>Jiang and Sandler, 2004</w:t>
      </w:r>
      <w:r w:rsidRPr="008A1146">
        <w:rPr>
          <w:lang w:eastAsia="zh-CN"/>
        </w:rPr>
        <w:t xml:space="preserve">; </w:t>
      </w:r>
      <w:r w:rsidRPr="008A1146">
        <w:rPr>
          <w:rFonts w:hint="eastAsia"/>
          <w:lang w:eastAsia="zh-CN"/>
        </w:rPr>
        <w:t>Yang and Zhong</w:t>
      </w:r>
      <w:r w:rsidRPr="008A1146">
        <w:rPr>
          <w:lang w:eastAsia="zh-CN"/>
        </w:rPr>
        <w:t xml:space="preserve">, 2006; </w:t>
      </w:r>
      <w:r w:rsidRPr="008A1146">
        <w:rPr>
          <w:rFonts w:hint="eastAsia"/>
          <w:lang w:eastAsia="zh-CN"/>
        </w:rPr>
        <w:t>Bae et al., 2008</w:t>
      </w:r>
      <w:r w:rsidRPr="008A1146">
        <w:t>). Until recently, the adsorption of pure methane in shale rocks has been studied (</w:t>
      </w:r>
      <w:r w:rsidRPr="008A1146">
        <w:rPr>
          <w:rFonts w:hint="eastAsia"/>
          <w:lang w:eastAsia="zh-CN"/>
        </w:rPr>
        <w:t>Nuttall et al., 2005</w:t>
      </w:r>
      <w:r w:rsidRPr="008A1146">
        <w:rPr>
          <w:lang w:eastAsia="zh-CN"/>
        </w:rPr>
        <w:t xml:space="preserve">; </w:t>
      </w:r>
      <w:r w:rsidRPr="008A1146">
        <w:rPr>
          <w:rFonts w:hint="eastAsia"/>
          <w:lang w:eastAsia="zh-CN"/>
        </w:rPr>
        <w:t>Beaton et al., 2010</w:t>
      </w:r>
      <w:r w:rsidRPr="008A1146">
        <w:rPr>
          <w:lang w:eastAsia="zh-CN"/>
        </w:rPr>
        <w:t xml:space="preserve">; </w:t>
      </w:r>
      <w:r w:rsidRPr="008A1146">
        <w:rPr>
          <w:rFonts w:hint="eastAsia"/>
          <w:lang w:eastAsia="zh-CN"/>
        </w:rPr>
        <w:t>Weniger et al., 2010</w:t>
      </w:r>
      <w:r w:rsidRPr="008A1146">
        <w:rPr>
          <w:lang w:eastAsia="zh-CN"/>
        </w:rPr>
        <w:t xml:space="preserve">; </w:t>
      </w:r>
      <w:r w:rsidR="00B12678">
        <w:rPr>
          <w:rFonts w:hint="eastAsia"/>
          <w:lang w:eastAsia="zh-CN"/>
        </w:rPr>
        <w:t>Zhang et al., 2012</w:t>
      </w:r>
      <w:r w:rsidRPr="008A1146">
        <w:rPr>
          <w:lang w:eastAsia="zh-CN"/>
        </w:rPr>
        <w:t>;</w:t>
      </w:r>
      <w:r w:rsidRPr="008A1146">
        <w:rPr>
          <w:rFonts w:hint="eastAsia"/>
          <w:lang w:eastAsia="zh-CN"/>
        </w:rPr>
        <w:t xml:space="preserve"> Yuan et al., 2014</w:t>
      </w:r>
      <w:r w:rsidRPr="008A1146">
        <w:t xml:space="preserve">). In this </w:t>
      </w:r>
      <w:r w:rsidR="00F720D3">
        <w:t>section</w:t>
      </w:r>
      <w:r w:rsidRPr="008A1146">
        <w:t>, we chose some adsorption experimental data and molecular simulations data from the literature to compare with the results from the SLD-PR model.</w:t>
      </w:r>
      <w:r w:rsidRPr="008A1146">
        <w:rPr>
          <w:rFonts w:hint="eastAsia"/>
          <w:lang w:eastAsia="zh-CN"/>
        </w:rPr>
        <w:t xml:space="preserve"> </w:t>
      </w:r>
      <w:r w:rsidRPr="008A1146">
        <w:rPr>
          <w:lang w:eastAsia="zh-CN"/>
        </w:rPr>
        <w:t xml:space="preserve">The </w:t>
      </w:r>
      <w:r w:rsidRPr="008A1146">
        <w:t>adsorption isotherm at a specific temperature and pressure is calculated by subtracting the adsorbed density by bulk density. The adsorbed density is obtained by integrating the density profile calculated from the SLD-PR model at a specific pore size using the trapezoidal rule.</w:t>
      </w:r>
    </w:p>
    <w:p w14:paraId="4CA8DE8B" w14:textId="77777777" w:rsidR="008A1146" w:rsidRPr="008A1146" w:rsidRDefault="008A1146" w:rsidP="008A1146">
      <w:pPr>
        <w:jc w:val="both"/>
        <w:rPr>
          <w:lang w:eastAsia="zh-CN"/>
        </w:rPr>
      </w:pPr>
      <w:r w:rsidRPr="008A1146">
        <w:rPr>
          <w:rFonts w:hint="eastAsia"/>
          <w:lang w:eastAsia="zh-CN"/>
        </w:rPr>
        <w:t xml:space="preserve">Yun et al. (2002) reported adsorption measurements of methane, ethane and their binary mixtures on MCM-41 materials with temperature from 263 to 374 K and pressure from 0.01 to 3.3 MPa. The MCM-41 materials are </w:t>
      </w:r>
      <w:r w:rsidRPr="008A1146">
        <w:t>molecular sieve</w:t>
      </w:r>
      <w:r w:rsidRPr="008A1146">
        <w:rPr>
          <w:rFonts w:hint="eastAsia"/>
          <w:lang w:eastAsia="zh-CN"/>
        </w:rPr>
        <w:t xml:space="preserve">s with cylindrical pore channels with </w:t>
      </w:r>
      <w:r w:rsidRPr="008A1146">
        <w:rPr>
          <w:lang w:eastAsia="zh-CN"/>
        </w:rPr>
        <w:t>diameters</w:t>
      </w:r>
      <w:r w:rsidRPr="008A1146">
        <w:rPr>
          <w:rFonts w:hint="eastAsia"/>
          <w:lang w:eastAsia="zh-CN"/>
        </w:rPr>
        <w:t xml:space="preserve"> range from 1.5 to 10 nm and the mean pore size is 4.1 nm. </w:t>
      </w:r>
      <w:r w:rsidRPr="008A1146">
        <w:rPr>
          <w:b/>
          <w:lang w:eastAsia="zh-CN"/>
        </w:rPr>
        <w:t xml:space="preserve">Figure </w:t>
      </w:r>
      <w:r>
        <w:rPr>
          <w:b/>
          <w:lang w:eastAsia="zh-CN"/>
        </w:rPr>
        <w:t>4.20</w:t>
      </w:r>
      <w:r w:rsidRPr="008A1146">
        <w:rPr>
          <w:lang w:eastAsia="zh-CN"/>
        </w:rPr>
        <w:t xml:space="preserve"> shows the adsorption isotherms of pure methane and ethane at 373.15 K. The energy parameters of methane and ethane used in the model were from Table 1. The wall energy parameter was adjusted to be 11 K to give the best fit. </w:t>
      </w:r>
      <w:r w:rsidRPr="008A1146">
        <w:rPr>
          <w:b/>
          <w:lang w:eastAsia="zh-CN"/>
        </w:rPr>
        <w:t xml:space="preserve">Figure </w:t>
      </w:r>
      <w:r>
        <w:rPr>
          <w:b/>
          <w:lang w:eastAsia="zh-CN"/>
        </w:rPr>
        <w:t>4.21</w:t>
      </w:r>
      <w:r w:rsidRPr="008A1146">
        <w:rPr>
          <w:b/>
          <w:lang w:eastAsia="zh-CN"/>
        </w:rPr>
        <w:t xml:space="preserve"> </w:t>
      </w:r>
      <w:r w:rsidRPr="008A1146">
        <w:rPr>
          <w:lang w:eastAsia="zh-CN"/>
        </w:rPr>
        <w:t xml:space="preserve">gives the adsorption isotherms of each component in the binary mixture containing 28.7 mole% methane and 71.3 mole% ethane at 264.75 K. </w:t>
      </w:r>
      <w:r w:rsidRPr="008A1146">
        <w:rPr>
          <w:rFonts w:hint="eastAsia"/>
          <w:lang w:eastAsia="zh-CN"/>
        </w:rPr>
        <w:t xml:space="preserve">The results of the mixture adsorption </w:t>
      </w:r>
      <w:r w:rsidRPr="008A1146">
        <w:rPr>
          <w:lang w:eastAsia="zh-CN"/>
        </w:rPr>
        <w:t xml:space="preserve">isotherms </w:t>
      </w:r>
      <w:r w:rsidRPr="008A1146">
        <w:rPr>
          <w:rFonts w:hint="eastAsia"/>
          <w:lang w:eastAsia="zh-CN"/>
        </w:rPr>
        <w:t xml:space="preserve">showed that the </w:t>
      </w:r>
      <w:r w:rsidRPr="008A1146">
        <w:rPr>
          <w:lang w:eastAsia="zh-CN"/>
        </w:rPr>
        <w:t>adsorbed amount of methane could be almost negligible</w:t>
      </w:r>
      <w:r w:rsidRPr="008A1146">
        <w:rPr>
          <w:rFonts w:hint="eastAsia"/>
          <w:lang w:eastAsia="zh-CN"/>
        </w:rPr>
        <w:t>. This indicates that ethane is a stronger adsorbate, compare to methane.</w:t>
      </w:r>
    </w:p>
    <w:p w14:paraId="056E4D98" w14:textId="77777777" w:rsidR="008A1146" w:rsidRDefault="008A1146" w:rsidP="008A1146">
      <w:pPr>
        <w:rPr>
          <w:b/>
          <w:lang w:eastAsia="zh-CN"/>
        </w:rPr>
      </w:pPr>
      <w:r>
        <w:rPr>
          <w:noProof/>
          <w:lang w:eastAsia="zh-CN" w:bidi="ar-SA"/>
        </w:rPr>
        <w:drawing>
          <wp:inline distT="0" distB="0" distL="0" distR="0" wp14:anchorId="3713F500" wp14:editId="13AADB5E">
            <wp:extent cx="5365750" cy="3232150"/>
            <wp:effectExtent l="0" t="0" r="0" b="0"/>
            <wp:docPr id="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73A3848D" w14:textId="77777777" w:rsidR="008A1146" w:rsidRDefault="008A1146" w:rsidP="008A1146">
      <w:pPr>
        <w:jc w:val="center"/>
        <w:rPr>
          <w:b/>
          <w:lang w:eastAsia="zh-CN"/>
        </w:rPr>
      </w:pPr>
      <w:r>
        <w:rPr>
          <w:b/>
        </w:rPr>
        <w:t>Figure 4.20—</w:t>
      </w:r>
      <w:r w:rsidRPr="007619BD">
        <w:rPr>
          <w:b/>
          <w:lang w:eastAsia="zh-CN"/>
        </w:rPr>
        <w:t xml:space="preserve"> Adsorption isotherms of pure methane and ethane at 373.15 K </w:t>
      </w:r>
      <w:r w:rsidRPr="007619BD">
        <w:rPr>
          <w:rFonts w:hint="eastAsia"/>
          <w:b/>
          <w:lang w:eastAsia="zh-CN"/>
        </w:rPr>
        <w:t>on MCM-41 materials</w:t>
      </w:r>
    </w:p>
    <w:p w14:paraId="6321083C" w14:textId="77777777" w:rsidR="008A1146" w:rsidRPr="007619BD" w:rsidRDefault="008A1146" w:rsidP="008A1146">
      <w:pPr>
        <w:jc w:val="center"/>
        <w:rPr>
          <w:b/>
          <w:lang w:eastAsia="zh-CN"/>
        </w:rPr>
      </w:pPr>
      <w:r>
        <w:rPr>
          <w:noProof/>
          <w:lang w:eastAsia="zh-CN" w:bidi="ar-SA"/>
        </w:rPr>
        <w:drawing>
          <wp:inline distT="0" distB="0" distL="0" distR="0" wp14:anchorId="1CAE5AE0" wp14:editId="67E0FFEA">
            <wp:extent cx="5486400" cy="3255645"/>
            <wp:effectExtent l="0" t="0" r="0" b="0"/>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0545DF1C" w14:textId="77777777" w:rsidR="008A1146" w:rsidRPr="007619BD" w:rsidRDefault="008A1146" w:rsidP="008A1146">
      <w:pPr>
        <w:jc w:val="center"/>
        <w:rPr>
          <w:b/>
          <w:lang w:eastAsia="zh-CN"/>
        </w:rPr>
      </w:pPr>
      <w:r>
        <w:rPr>
          <w:b/>
        </w:rPr>
        <w:t>Figure 4.21—</w:t>
      </w:r>
      <w:r w:rsidRPr="007619BD">
        <w:rPr>
          <w:b/>
          <w:lang w:eastAsia="zh-CN"/>
        </w:rPr>
        <w:t xml:space="preserve"> Adsorption isotherms of each component in the binary mixture containing 28.7% methane and 71.3% ethane at 264.75 K </w:t>
      </w:r>
      <w:r w:rsidRPr="007619BD">
        <w:rPr>
          <w:rFonts w:hint="eastAsia"/>
          <w:b/>
          <w:lang w:eastAsia="zh-CN"/>
        </w:rPr>
        <w:t>on MCM-41 materials</w:t>
      </w:r>
    </w:p>
    <w:p w14:paraId="648CEB91" w14:textId="77777777" w:rsidR="008A1146" w:rsidRPr="008A1146" w:rsidRDefault="008A1146" w:rsidP="008A1146">
      <w:pPr>
        <w:jc w:val="both"/>
        <w:rPr>
          <w:lang w:eastAsia="zh-CN"/>
        </w:rPr>
      </w:pPr>
    </w:p>
    <w:p w14:paraId="0D3614F0" w14:textId="5DA9CA8D" w:rsidR="008A1146" w:rsidRPr="008A1146" w:rsidRDefault="008A1146" w:rsidP="008A1146">
      <w:pPr>
        <w:jc w:val="both"/>
        <w:rPr>
          <w:lang w:eastAsia="zh-CN"/>
        </w:rPr>
      </w:pPr>
      <w:r w:rsidRPr="008A1146">
        <w:rPr>
          <w:lang w:eastAsia="zh-CN"/>
        </w:rPr>
        <w:t>Du et al. (1998) performed molecular simulations to study the adsorption of pure short n-alkanes and the binary mixtures of methane/ethane in silicalite with mean pore size reported as 0.55 nm. The compositions of methane in the adsorbed phase of methane/ethane were simulated and plotted against bulk methane composition at two different pressures of 345 and 655 kPa</w:t>
      </w:r>
      <w:r w:rsidRPr="008A1146">
        <w:rPr>
          <w:rFonts w:hint="eastAsia"/>
          <w:lang w:eastAsia="zh-CN"/>
        </w:rPr>
        <w:t xml:space="preserve">. They compared </w:t>
      </w:r>
      <w:r w:rsidRPr="008A1146">
        <w:rPr>
          <w:lang w:eastAsia="zh-CN"/>
        </w:rPr>
        <w:t xml:space="preserve">the results </w:t>
      </w:r>
      <w:r w:rsidRPr="008A1146">
        <w:rPr>
          <w:rFonts w:hint="eastAsia"/>
          <w:lang w:eastAsia="zh-CN"/>
        </w:rPr>
        <w:t>with experimental data from Abdui-Rehman et al. (1990)</w:t>
      </w:r>
      <w:r w:rsidRPr="008A1146">
        <w:rPr>
          <w:lang w:eastAsia="zh-CN"/>
        </w:rPr>
        <w:t xml:space="preserve"> and found good match. Here we used the SLD-PR model to generate the relationships between the methane composition in bulk and in adsorbed phase, as shown in </w:t>
      </w:r>
      <w:r w:rsidRPr="008A1146">
        <w:rPr>
          <w:b/>
          <w:lang w:eastAsia="zh-CN"/>
        </w:rPr>
        <w:t xml:space="preserve">Figure </w:t>
      </w:r>
      <w:r w:rsidR="009A6104">
        <w:rPr>
          <w:b/>
          <w:lang w:eastAsia="zh-CN"/>
        </w:rPr>
        <w:t>4.22</w:t>
      </w:r>
      <w:r w:rsidRPr="008A1146">
        <w:rPr>
          <w:lang w:eastAsia="zh-CN"/>
        </w:rPr>
        <w:t xml:space="preserve">. The Lennar-Jones parameters of methane, ethane and the silicalite wall used in the SLD-PR model were directly adopted from Du et al. (1998). The mean pore size was adjusted to be 1.6 nm to give the best. From the </w:t>
      </w:r>
      <w:r w:rsidR="0037292B" w:rsidRPr="008A1146">
        <w:rPr>
          <w:lang w:eastAsia="zh-CN"/>
        </w:rPr>
        <w:t>figure,</w:t>
      </w:r>
      <w:r w:rsidRPr="008A1146">
        <w:rPr>
          <w:lang w:eastAsia="zh-CN"/>
        </w:rPr>
        <w:t xml:space="preserve"> it is clearly to see that the SLD-PR model was able to predict the results well with data from both molecular simulation data of Du et al. (1998) and experimental data of </w:t>
      </w:r>
      <w:r w:rsidRPr="008A1146">
        <w:rPr>
          <w:rFonts w:hint="eastAsia"/>
          <w:lang w:eastAsia="zh-CN"/>
        </w:rPr>
        <w:t>Abdui-Rehman et al. (1990)</w:t>
      </w:r>
      <w:r w:rsidRPr="008A1146">
        <w:rPr>
          <w:lang w:eastAsia="zh-CN"/>
        </w:rPr>
        <w:t>. It was found that the methane composition diagram was not sensitive to pressures.</w:t>
      </w:r>
      <w:r w:rsidRPr="008A1146">
        <w:rPr>
          <w:rFonts w:hint="eastAsia"/>
          <w:lang w:eastAsia="zh-CN"/>
        </w:rPr>
        <w:t xml:space="preserve"> More importantly, it is clear to see that the composition curve is concave-downward, which means the methane composition in confined space (x-axis) is smaller </w:t>
      </w:r>
      <w:r w:rsidRPr="008A1146">
        <w:rPr>
          <w:lang w:eastAsia="zh-CN"/>
        </w:rPr>
        <w:t>than</w:t>
      </w:r>
      <w:r w:rsidRPr="008A1146">
        <w:rPr>
          <w:rFonts w:hint="eastAsia"/>
          <w:lang w:eastAsia="zh-CN"/>
        </w:rPr>
        <w:t xml:space="preserve"> the bulk methane composition (y-axis). For example, </w:t>
      </w:r>
      <w:r w:rsidRPr="008A1146">
        <w:rPr>
          <w:lang w:eastAsia="zh-CN"/>
        </w:rPr>
        <w:t>the methane composition in confined silicalite is 7% when the bulk methane composition is 50% at 3</w:t>
      </w:r>
      <w:r w:rsidRPr="008A1146">
        <w:rPr>
          <w:rFonts w:hint="eastAsia"/>
          <w:lang w:eastAsia="zh-CN"/>
        </w:rPr>
        <w:t>4</w:t>
      </w:r>
      <w:r w:rsidRPr="008A1146">
        <w:rPr>
          <w:lang w:eastAsia="zh-CN"/>
        </w:rPr>
        <w:t>5 kPa</w:t>
      </w:r>
      <w:r w:rsidRPr="008A1146">
        <w:rPr>
          <w:rFonts w:hint="eastAsia"/>
          <w:lang w:eastAsia="zh-CN"/>
        </w:rPr>
        <w:t xml:space="preserve">. As the methane bulk composition increases, the confined methane composition also increases, but the methane bulk composition is always greater than the confined methane composition. Another example from Figure (17) is that when the </w:t>
      </w:r>
      <w:r w:rsidRPr="008A1146">
        <w:rPr>
          <w:lang w:eastAsia="zh-CN"/>
        </w:rPr>
        <w:t xml:space="preserve">bulk methane composition is </w:t>
      </w:r>
      <w:r w:rsidRPr="008A1146">
        <w:rPr>
          <w:rFonts w:hint="eastAsia"/>
          <w:lang w:eastAsia="zh-CN"/>
        </w:rPr>
        <w:t>89</w:t>
      </w:r>
      <w:r w:rsidRPr="008A1146">
        <w:rPr>
          <w:lang w:eastAsia="zh-CN"/>
        </w:rPr>
        <w:t>%</w:t>
      </w:r>
      <w:r w:rsidRPr="008A1146">
        <w:rPr>
          <w:rFonts w:hint="eastAsia"/>
          <w:lang w:eastAsia="zh-CN"/>
        </w:rPr>
        <w:t xml:space="preserve"> and the confined methane composition is 33% </w:t>
      </w:r>
      <w:r w:rsidRPr="008A1146">
        <w:rPr>
          <w:lang w:eastAsia="zh-CN"/>
        </w:rPr>
        <w:t>at 3</w:t>
      </w:r>
      <w:r w:rsidRPr="008A1146">
        <w:rPr>
          <w:rFonts w:hint="eastAsia"/>
          <w:lang w:eastAsia="zh-CN"/>
        </w:rPr>
        <w:t>4</w:t>
      </w:r>
      <w:r w:rsidRPr="008A1146">
        <w:rPr>
          <w:lang w:eastAsia="zh-CN"/>
        </w:rPr>
        <w:t>5 kPa</w:t>
      </w:r>
      <w:r w:rsidRPr="008A1146">
        <w:rPr>
          <w:rFonts w:hint="eastAsia"/>
          <w:lang w:eastAsia="zh-CN"/>
        </w:rPr>
        <w:t xml:space="preserve">. This means that the other adsorbate, ethane, is </w:t>
      </w:r>
      <w:r w:rsidRPr="008A1146">
        <w:rPr>
          <w:lang w:eastAsia="zh-CN"/>
        </w:rPr>
        <w:t>preferentially</w:t>
      </w:r>
      <w:r w:rsidRPr="008A1146">
        <w:rPr>
          <w:rFonts w:hint="eastAsia"/>
          <w:lang w:eastAsia="zh-CN"/>
        </w:rPr>
        <w:t xml:space="preserve"> adsorbed in silicalite compare to methane. </w:t>
      </w:r>
    </w:p>
    <w:p w14:paraId="6C21AEBF" w14:textId="45FDA577" w:rsidR="009A6104" w:rsidRPr="001550CD" w:rsidRDefault="009A6104" w:rsidP="00483E80">
      <w:pPr>
        <w:jc w:val="center"/>
        <w:rPr>
          <w:b/>
          <w:lang w:eastAsia="zh-CN"/>
        </w:rPr>
      </w:pPr>
      <w:r w:rsidRPr="009A6104">
        <w:rPr>
          <w:noProof/>
          <w:lang w:eastAsia="zh-CN" w:bidi="ar-SA"/>
        </w:rPr>
        <w:drawing>
          <wp:inline distT="0" distB="0" distL="0" distR="0" wp14:anchorId="3DC6AB38" wp14:editId="0108B468">
            <wp:extent cx="5200650" cy="3385185"/>
            <wp:effectExtent l="0" t="0" r="0" b="0"/>
            <wp:docPr id="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b/>
        </w:rPr>
        <w:t>Figure 4.22—</w:t>
      </w:r>
      <w:r w:rsidRPr="001550CD">
        <w:rPr>
          <w:b/>
        </w:rPr>
        <w:t xml:space="preserve"> Methane composition diagram of a methane/ethane mixture at pressure of 345 and 655 kPa</w:t>
      </w:r>
    </w:p>
    <w:p w14:paraId="6339D7AF" w14:textId="77777777" w:rsidR="008A1146" w:rsidRPr="009A6104" w:rsidRDefault="008A1146" w:rsidP="008A1146">
      <w:pPr>
        <w:jc w:val="both"/>
        <w:rPr>
          <w:lang w:eastAsia="zh-CN"/>
        </w:rPr>
      </w:pPr>
    </w:p>
    <w:p w14:paraId="3D144FFB" w14:textId="153D52BC" w:rsidR="008A1146" w:rsidRPr="008A1146" w:rsidRDefault="007B5769" w:rsidP="008A1146">
      <w:pPr>
        <w:jc w:val="both"/>
        <w:rPr>
          <w:lang w:eastAsia="zh-CN"/>
        </w:rPr>
      </w:pPr>
      <w:r>
        <w:rPr>
          <w:rFonts w:hint="eastAsia"/>
          <w:lang w:eastAsia="zh-CN"/>
        </w:rPr>
        <w:t>Zhang et al. (2012</w:t>
      </w:r>
      <w:r w:rsidR="008A1146" w:rsidRPr="008A1146">
        <w:rPr>
          <w:rFonts w:hint="eastAsia"/>
          <w:lang w:eastAsia="zh-CN"/>
        </w:rPr>
        <w:t xml:space="preserve">) performed a </w:t>
      </w:r>
      <w:r w:rsidR="008A1146" w:rsidRPr="008A1146">
        <w:rPr>
          <w:lang w:eastAsia="zh-CN"/>
        </w:rPr>
        <w:t>series</w:t>
      </w:r>
      <w:r w:rsidR="008A1146" w:rsidRPr="008A1146">
        <w:rPr>
          <w:rFonts w:hint="eastAsia"/>
          <w:lang w:eastAsia="zh-CN"/>
        </w:rPr>
        <w:t xml:space="preserve"> of methane adsorption experiments on organic rich shales and their isolated kerogens under different temperature conditions with pressure up to 15 MPa. Shale samples with different organic matter types and thermal maturities were used. Results showed that the maximum adsorption capacity of methane in type</w:t>
      </w:r>
      <w:r w:rsidR="008A1146" w:rsidRPr="008A1146">
        <w:rPr>
          <w:lang w:eastAsia="zh-CN"/>
        </w:rPr>
        <w:t> I</w:t>
      </w:r>
      <w:r w:rsidR="008A1146" w:rsidRPr="008A1146">
        <w:rPr>
          <w:rFonts w:hint="eastAsia"/>
          <w:lang w:eastAsia="zh-CN"/>
        </w:rPr>
        <w:t xml:space="preserve"> kerogen is lower than types </w:t>
      </w:r>
      <w:r w:rsidR="008A1146" w:rsidRPr="008A1146">
        <w:rPr>
          <w:lang w:eastAsia="zh-CN"/>
        </w:rPr>
        <w:t>II</w:t>
      </w:r>
      <w:r w:rsidR="008A1146" w:rsidRPr="008A1146">
        <w:rPr>
          <w:rFonts w:hint="eastAsia"/>
          <w:lang w:eastAsia="zh-CN"/>
        </w:rPr>
        <w:t xml:space="preserve"> and </w:t>
      </w:r>
      <w:r w:rsidR="008A1146" w:rsidRPr="008A1146">
        <w:rPr>
          <w:lang w:eastAsia="zh-CN"/>
        </w:rPr>
        <w:t>III</w:t>
      </w:r>
      <w:r w:rsidR="008A1146" w:rsidRPr="008A1146">
        <w:rPr>
          <w:rFonts w:hint="eastAsia"/>
          <w:lang w:eastAsia="zh-CN"/>
        </w:rPr>
        <w:t xml:space="preserve">. They also found that the methane adsorption capacity </w:t>
      </w:r>
      <w:r w:rsidR="008A1146" w:rsidRPr="008A1146">
        <w:rPr>
          <w:lang w:eastAsia="zh-CN"/>
        </w:rPr>
        <w:t>is</w:t>
      </w:r>
      <w:r w:rsidR="008A1146" w:rsidRPr="008A1146">
        <w:rPr>
          <w:rFonts w:hint="eastAsia"/>
          <w:lang w:eastAsia="zh-CN"/>
        </w:rPr>
        <w:t xml:space="preserve"> higher in shale samples with higher thermal maturity.</w:t>
      </w:r>
      <w:r w:rsidR="008A1146" w:rsidRPr="008A1146">
        <w:rPr>
          <w:lang w:eastAsia="zh-CN"/>
        </w:rPr>
        <w:t xml:space="preserve"> We used the SLD-PR model to simulate methane adsorption in kerogen concentrates of Green River shale (</w:t>
      </w:r>
      <w:r w:rsidR="008A1146" w:rsidRPr="008A1146">
        <w:rPr>
          <w:rFonts w:hint="eastAsia"/>
          <w:lang w:eastAsia="zh-CN"/>
        </w:rPr>
        <w:t>type</w:t>
      </w:r>
      <w:r w:rsidR="008A1146" w:rsidRPr="008A1146">
        <w:rPr>
          <w:lang w:eastAsia="zh-CN"/>
        </w:rPr>
        <w:t> I) and Woodford shale (</w:t>
      </w:r>
      <w:r w:rsidR="008A1146" w:rsidRPr="008A1146">
        <w:rPr>
          <w:rFonts w:hint="eastAsia"/>
          <w:lang w:eastAsia="zh-CN"/>
        </w:rPr>
        <w:t xml:space="preserve">type </w:t>
      </w:r>
      <w:r w:rsidR="008A1146" w:rsidRPr="008A1146">
        <w:rPr>
          <w:lang w:eastAsia="zh-CN"/>
        </w:rPr>
        <w:t>II)</w:t>
      </w:r>
      <w:r w:rsidR="008A1146" w:rsidRPr="008A1146">
        <w:rPr>
          <w:rFonts w:hint="eastAsia"/>
          <w:lang w:eastAsia="zh-CN"/>
        </w:rPr>
        <w:t xml:space="preserve"> </w:t>
      </w:r>
      <w:r w:rsidR="008A1146" w:rsidRPr="008A1146">
        <w:rPr>
          <w:lang w:eastAsia="zh-CN"/>
        </w:rPr>
        <w:t xml:space="preserve">at 323.15 K, as shown in </w:t>
      </w:r>
      <w:r w:rsidR="008A1146" w:rsidRPr="008A1146">
        <w:rPr>
          <w:b/>
          <w:lang w:eastAsia="zh-CN"/>
        </w:rPr>
        <w:t xml:space="preserve">Figure </w:t>
      </w:r>
      <w:r w:rsidR="006243C0">
        <w:rPr>
          <w:b/>
          <w:lang w:eastAsia="zh-CN"/>
        </w:rPr>
        <w:t>4.23</w:t>
      </w:r>
      <w:r w:rsidR="008A1146" w:rsidRPr="008A1146">
        <w:rPr>
          <w:lang w:eastAsia="zh-CN"/>
        </w:rPr>
        <w:t xml:space="preserve">. The mean pore size and pore volume were not given from </w:t>
      </w:r>
      <w:r>
        <w:rPr>
          <w:rFonts w:hint="eastAsia"/>
          <w:lang w:eastAsia="zh-CN"/>
        </w:rPr>
        <w:t>Zhang et al. (2012</w:t>
      </w:r>
      <w:r w:rsidR="008A1146" w:rsidRPr="008A1146">
        <w:rPr>
          <w:rFonts w:hint="eastAsia"/>
          <w:lang w:eastAsia="zh-CN"/>
        </w:rPr>
        <w:t>)</w:t>
      </w:r>
      <w:r w:rsidR="008A1146" w:rsidRPr="008A1146">
        <w:rPr>
          <w:lang w:eastAsia="zh-CN"/>
        </w:rPr>
        <w:t>. To fit the experimental data, the mean pore size of 15 nm for both shales and the pore volumes of 0.29 and 0.46 mL/g for Green River shale and Woodford shale, respectively were used in the SLD-PR model. There is an excellent agreement between the SLD-PR model and the reported experimental data.</w:t>
      </w:r>
    </w:p>
    <w:p w14:paraId="4F4D303E" w14:textId="77777777" w:rsidR="008A1146" w:rsidRPr="008A1146" w:rsidRDefault="008A1146" w:rsidP="008A1146"/>
    <w:p w14:paraId="5F408F1E" w14:textId="77777777" w:rsidR="009A6104" w:rsidRDefault="009A6104" w:rsidP="009A6104">
      <w:pPr>
        <w:rPr>
          <w:b/>
          <w:lang w:eastAsia="zh-CN"/>
        </w:rPr>
      </w:pPr>
      <w:r>
        <w:rPr>
          <w:noProof/>
          <w:lang w:eastAsia="zh-CN" w:bidi="ar-SA"/>
        </w:rPr>
        <w:drawing>
          <wp:inline distT="0" distB="0" distL="0" distR="0" wp14:anchorId="5B2C4664" wp14:editId="4C955853">
            <wp:extent cx="5388429" cy="3439885"/>
            <wp:effectExtent l="0" t="0" r="0" b="0"/>
            <wp:docPr id="3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4ABF4E82" w14:textId="77777777" w:rsidR="009A6104" w:rsidRPr="001550CD" w:rsidRDefault="006243C0" w:rsidP="009A6104">
      <w:pPr>
        <w:jc w:val="center"/>
        <w:rPr>
          <w:b/>
        </w:rPr>
      </w:pPr>
      <w:r>
        <w:rPr>
          <w:b/>
        </w:rPr>
        <w:t>Figure 4.23—</w:t>
      </w:r>
      <w:r w:rsidR="009A6104" w:rsidRPr="001550CD">
        <w:rPr>
          <w:b/>
        </w:rPr>
        <w:t xml:space="preserve"> Methane adsorption in </w:t>
      </w:r>
      <w:r w:rsidR="009A6104" w:rsidRPr="001550CD">
        <w:rPr>
          <w:b/>
          <w:lang w:eastAsia="zh-CN"/>
        </w:rPr>
        <w:t>Green River shale and Woodford shale at 323.15 K</w:t>
      </w:r>
    </w:p>
    <w:p w14:paraId="2833BE8C" w14:textId="77777777" w:rsidR="003119B7" w:rsidRPr="009A6104" w:rsidRDefault="003119B7">
      <w:pPr>
        <w:tabs>
          <w:tab w:val="left" w:pos="2407"/>
        </w:tabs>
        <w:spacing w:after="200"/>
        <w:contextualSpacing/>
        <w:jc w:val="both"/>
        <w:rPr>
          <w:lang w:eastAsia="zh-CN"/>
        </w:rPr>
      </w:pPr>
    </w:p>
    <w:p w14:paraId="6421DB39" w14:textId="77777777" w:rsidR="003119B7" w:rsidRDefault="003119B7">
      <w:pPr>
        <w:tabs>
          <w:tab w:val="left" w:pos="2407"/>
        </w:tabs>
        <w:spacing w:after="200"/>
        <w:contextualSpacing/>
        <w:jc w:val="both"/>
        <w:rPr>
          <w:lang w:eastAsia="zh-CN"/>
        </w:rPr>
      </w:pPr>
    </w:p>
    <w:p w14:paraId="01E3F5CC" w14:textId="77777777" w:rsidR="003119B7" w:rsidRDefault="003119B7">
      <w:pPr>
        <w:tabs>
          <w:tab w:val="left" w:pos="2407"/>
        </w:tabs>
        <w:spacing w:after="200"/>
        <w:contextualSpacing/>
        <w:jc w:val="both"/>
        <w:rPr>
          <w:lang w:eastAsia="zh-CN"/>
        </w:rPr>
      </w:pPr>
    </w:p>
    <w:p w14:paraId="21594FA7" w14:textId="77777777" w:rsidR="003119B7" w:rsidRDefault="003119B7">
      <w:pPr>
        <w:tabs>
          <w:tab w:val="left" w:pos="2407"/>
        </w:tabs>
        <w:spacing w:after="200"/>
        <w:contextualSpacing/>
        <w:jc w:val="both"/>
        <w:rPr>
          <w:lang w:eastAsia="zh-CN"/>
        </w:rPr>
      </w:pPr>
    </w:p>
    <w:p w14:paraId="7A518A84" w14:textId="77777777" w:rsidR="00484BD6" w:rsidRDefault="00484BD6">
      <w:pPr>
        <w:tabs>
          <w:tab w:val="left" w:pos="2407"/>
        </w:tabs>
        <w:spacing w:after="200"/>
        <w:contextualSpacing/>
        <w:jc w:val="both"/>
        <w:rPr>
          <w:lang w:eastAsia="zh-CN"/>
        </w:rPr>
      </w:pPr>
    </w:p>
    <w:p w14:paraId="253BDA6C" w14:textId="77777777" w:rsidR="00484BD6" w:rsidRDefault="00484BD6">
      <w:pPr>
        <w:tabs>
          <w:tab w:val="left" w:pos="2407"/>
        </w:tabs>
        <w:spacing w:after="200"/>
        <w:contextualSpacing/>
        <w:jc w:val="both"/>
        <w:rPr>
          <w:lang w:eastAsia="zh-CN"/>
        </w:rPr>
      </w:pPr>
    </w:p>
    <w:p w14:paraId="77ECADB0" w14:textId="77777777" w:rsidR="00484BD6" w:rsidRDefault="00484BD6">
      <w:pPr>
        <w:tabs>
          <w:tab w:val="left" w:pos="2407"/>
        </w:tabs>
        <w:spacing w:after="200"/>
        <w:contextualSpacing/>
        <w:jc w:val="both"/>
        <w:rPr>
          <w:lang w:eastAsia="zh-CN"/>
        </w:rPr>
      </w:pPr>
    </w:p>
    <w:p w14:paraId="4DD03611" w14:textId="77777777" w:rsidR="0096367E" w:rsidRDefault="0096367E" w:rsidP="00764EEC">
      <w:pPr>
        <w:pStyle w:val="Heading1"/>
        <w:ind w:left="240" w:right="240"/>
      </w:pPr>
      <w:bookmarkStart w:id="41" w:name="_Toc508114159"/>
      <w:r>
        <w:t xml:space="preserve">Chapter </w:t>
      </w:r>
      <w:r>
        <w:rPr>
          <w:rFonts w:hint="eastAsia"/>
          <w:lang w:eastAsia="zh-CN"/>
        </w:rPr>
        <w:t>5</w:t>
      </w:r>
      <w:r>
        <w:t xml:space="preserve">: </w:t>
      </w:r>
      <w:r>
        <w:rPr>
          <w:rFonts w:hint="eastAsia"/>
          <w:lang w:eastAsia="zh-CN"/>
        </w:rPr>
        <w:t>New Gas-In-Place Model for Shale Gas Condensate plays</w:t>
      </w:r>
      <w:bookmarkEnd w:id="41"/>
    </w:p>
    <w:p w14:paraId="47B71134" w14:textId="77777777" w:rsidR="0096367E" w:rsidRDefault="0096367E" w:rsidP="00764EEC">
      <w:pPr>
        <w:pStyle w:val="Head1"/>
        <w:jc w:val="both"/>
        <w:outlineLvl w:val="1"/>
        <w:rPr>
          <w:rFonts w:asciiTheme="majorHAnsi" w:hAnsiTheme="majorHAnsi"/>
          <w:bCs/>
          <w:iCs/>
          <w:szCs w:val="28"/>
          <w:lang w:eastAsia="zh-CN"/>
        </w:rPr>
      </w:pPr>
      <w:bookmarkStart w:id="42" w:name="_Toc508114160"/>
      <w:r>
        <w:rPr>
          <w:rFonts w:asciiTheme="majorHAnsi" w:hAnsiTheme="majorHAnsi" w:hint="eastAsia"/>
          <w:bCs/>
          <w:iCs/>
          <w:szCs w:val="28"/>
          <w:lang w:eastAsia="zh-CN"/>
        </w:rPr>
        <w:t>5.1 Background and Previous Work</w:t>
      </w:r>
      <w:bookmarkEnd w:id="42"/>
    </w:p>
    <w:p w14:paraId="551BC85D" w14:textId="77777777" w:rsidR="0096367E" w:rsidRDefault="0096367E" w:rsidP="0096367E">
      <w:pPr>
        <w:spacing w:after="240"/>
        <w:jc w:val="both"/>
      </w:pPr>
      <w:r>
        <w:t>Shale formations are formed by fine-grained, clastic sedimentary rock composed of muds that consist of two different components, organic matters and inorganic matters. The organic matters are mixtures of organic materials that are composed of the remains of once-living organisms such as plants and animals and their wasted products, while the inorganic matters contain a mix of flakes of clay minerals and small fragments of quartz, pyrite and other minerals (EIA, 201</w:t>
      </w:r>
      <w:r>
        <w:rPr>
          <w:rFonts w:hint="eastAsia"/>
          <w:lang w:eastAsia="zh-CN"/>
        </w:rPr>
        <w:t>7</w:t>
      </w:r>
      <w:r>
        <w:t xml:space="preserve">). Hydrocarbons can be found in both organic content and inorganic matrix. The estimation of the total initial gas-in-place is extremely important not only to gas reserve disclosures, but also for production analysis and forecast. Volumetric method for gas-in-place estimations is quite often used for newly developed fields with key reservoir parameters obtained, such as total porosity (including clay-bound water), water saturation, bulk rock density, fluid composition and so on (Luffel and Guidry, 1992 and Mavor and Nelson, 1997). These parameters can be measured with well logs, fluid sample analysis and core sample analysis. Such parameters allow us to predict the total volume associated with hydrocarbons, which leads to the estimation of gas-in-place. </w:t>
      </w:r>
    </w:p>
    <w:p w14:paraId="25E274C6" w14:textId="77777777" w:rsidR="0096367E" w:rsidRDefault="0096367E" w:rsidP="0096367E">
      <w:pPr>
        <w:spacing w:after="240"/>
        <w:jc w:val="both"/>
      </w:pPr>
      <w:r>
        <w:t xml:space="preserve">The petrophysical characterizations in shales have been well investigated recently. </w:t>
      </w:r>
      <w:r>
        <w:rPr>
          <w:b/>
          <w:lang w:eastAsia="zh-CN"/>
        </w:rPr>
        <w:t xml:space="preserve">Figure </w:t>
      </w:r>
      <w:r>
        <w:rPr>
          <w:rFonts w:hint="eastAsia"/>
          <w:b/>
          <w:lang w:eastAsia="zh-CN"/>
        </w:rPr>
        <w:t>5.1</w:t>
      </w:r>
      <w:r>
        <w:t xml:space="preserve"> provides a typical volumetric petrophysical model for shale formations. It is known that the gas is stored in two different forms in kerogen (organic content) in organic-rich shale formations, free gas and adsorbed gas. </w:t>
      </w:r>
      <w:r>
        <w:rPr>
          <w:b/>
          <w:lang w:eastAsia="zh-CN"/>
        </w:rPr>
        <w:t xml:space="preserve">Figure </w:t>
      </w:r>
      <w:r>
        <w:rPr>
          <w:rFonts w:hint="eastAsia"/>
          <w:b/>
          <w:lang w:eastAsia="zh-CN"/>
        </w:rPr>
        <w:t>5.2</w:t>
      </w:r>
      <w:r>
        <w:t xml:space="preserve"> illustrates the distributions of fluids in the total pore volume. The total porosity is divided into two categories, with one associated with organic porosity, named kerogen porosity and the other one associated with the porosity within the inorganic matrix. The pore volume in the inorganic matrix is occupied by free gas and formation water, while the pore volume of the organic content is filled with adsorbed gas and free gas. In this storage model, the adsorbed gas in inorganic matrix and the water in organic materials are assumed to be negligible. The characteristics and properties of the adsorbed phase, such as thickness and density are extremely important for shale gas-in-place calculations. These parameters are direct inputs to the volumetric method. Inaccurate predictions of the adsorbed phase properties can result in either under- or over-estimation of the true total hydrocarbon capacity in the shale formations.</w:t>
      </w:r>
    </w:p>
    <w:p w14:paraId="7BA6935D" w14:textId="77777777" w:rsidR="0096367E" w:rsidRDefault="0096367E" w:rsidP="0096367E">
      <w:pPr>
        <w:spacing w:after="240"/>
        <w:jc w:val="both"/>
        <w:rPr>
          <w:lang w:eastAsia="zh-CN"/>
        </w:rPr>
      </w:pPr>
      <w:r>
        <w:rPr>
          <w:rFonts w:hint="eastAsia"/>
          <w:noProof/>
          <w:lang w:eastAsia="zh-CN" w:bidi="ar-SA"/>
        </w:rPr>
        <w:drawing>
          <wp:inline distT="0" distB="0" distL="114300" distR="114300" wp14:anchorId="186A3482" wp14:editId="3D6D1639">
            <wp:extent cx="5393690" cy="2406650"/>
            <wp:effectExtent l="0" t="0" r="16510" b="12700"/>
            <wp:docPr id="38" name="图片 38"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5.1"/>
                    <pic:cNvPicPr>
                      <a:picLocks noChangeAspect="1"/>
                    </pic:cNvPicPr>
                  </pic:nvPicPr>
                  <pic:blipFill>
                    <a:blip r:embed="rId118"/>
                    <a:stretch>
                      <a:fillRect/>
                    </a:stretch>
                  </pic:blipFill>
                  <pic:spPr>
                    <a:xfrm>
                      <a:off x="0" y="0"/>
                      <a:ext cx="5393690" cy="2406650"/>
                    </a:xfrm>
                    <a:prstGeom prst="rect">
                      <a:avLst/>
                    </a:prstGeom>
                  </pic:spPr>
                </pic:pic>
              </a:graphicData>
            </a:graphic>
          </wp:inline>
        </w:drawing>
      </w:r>
    </w:p>
    <w:p w14:paraId="407042E8" w14:textId="77777777" w:rsidR="0096367E" w:rsidRDefault="003119B7" w:rsidP="0096367E">
      <w:pPr>
        <w:spacing w:after="240"/>
        <w:jc w:val="center"/>
        <w:rPr>
          <w:b/>
        </w:rPr>
      </w:pPr>
      <w:r>
        <w:rPr>
          <w:b/>
        </w:rPr>
        <w:t>Figure</w:t>
      </w:r>
      <w:r w:rsidR="0096367E">
        <w:rPr>
          <w:b/>
        </w:rPr>
        <w:t xml:space="preserve"> </w:t>
      </w:r>
      <w:r w:rsidR="0096367E">
        <w:rPr>
          <w:rFonts w:hint="eastAsia"/>
          <w:b/>
          <w:lang w:eastAsia="zh-CN"/>
        </w:rPr>
        <w:t>5.1</w:t>
      </w:r>
      <w:r w:rsidR="0096367E">
        <w:rPr>
          <w:b/>
        </w:rPr>
        <w:t>— Volumetric petrophysical model</w:t>
      </w:r>
    </w:p>
    <w:p w14:paraId="2DC39C51" w14:textId="77777777" w:rsidR="0096367E" w:rsidRDefault="0096367E" w:rsidP="0096367E">
      <w:pPr>
        <w:spacing w:after="240"/>
        <w:jc w:val="center"/>
        <w:rPr>
          <w:b/>
          <w:lang w:eastAsia="zh-CN"/>
        </w:rPr>
      </w:pPr>
    </w:p>
    <w:p w14:paraId="4450A7B1" w14:textId="77777777" w:rsidR="0096367E" w:rsidRDefault="0096367E" w:rsidP="0096367E">
      <w:pPr>
        <w:jc w:val="both"/>
        <w:rPr>
          <w:lang w:eastAsia="zh-CN"/>
        </w:rPr>
      </w:pPr>
      <w:r>
        <w:rPr>
          <w:rFonts w:hint="eastAsia"/>
          <w:noProof/>
          <w:lang w:eastAsia="zh-CN" w:bidi="ar-SA"/>
        </w:rPr>
        <w:drawing>
          <wp:inline distT="0" distB="0" distL="114300" distR="114300" wp14:anchorId="1CFA6EFD" wp14:editId="4E809110">
            <wp:extent cx="5267960" cy="2534285"/>
            <wp:effectExtent l="0" t="0" r="8890" b="18415"/>
            <wp:docPr id="39" name="图片 39"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5.2"/>
                    <pic:cNvPicPr>
                      <a:picLocks noChangeAspect="1"/>
                    </pic:cNvPicPr>
                  </pic:nvPicPr>
                  <pic:blipFill>
                    <a:blip r:embed="rId119"/>
                    <a:stretch>
                      <a:fillRect/>
                    </a:stretch>
                  </pic:blipFill>
                  <pic:spPr>
                    <a:xfrm>
                      <a:off x="0" y="0"/>
                      <a:ext cx="5267960" cy="2534285"/>
                    </a:xfrm>
                    <a:prstGeom prst="rect">
                      <a:avLst/>
                    </a:prstGeom>
                  </pic:spPr>
                </pic:pic>
              </a:graphicData>
            </a:graphic>
          </wp:inline>
        </w:drawing>
      </w:r>
    </w:p>
    <w:p w14:paraId="653E0A17" w14:textId="77777777" w:rsidR="0096367E" w:rsidRDefault="003119B7" w:rsidP="0096367E">
      <w:pPr>
        <w:spacing w:after="240"/>
        <w:jc w:val="center"/>
        <w:rPr>
          <w:b/>
        </w:rPr>
      </w:pPr>
      <w:r>
        <w:rPr>
          <w:b/>
        </w:rPr>
        <w:t>Figure 5.2</w:t>
      </w:r>
      <w:r w:rsidR="0096367E">
        <w:rPr>
          <w:b/>
        </w:rPr>
        <w:t>— Fluid storage model</w:t>
      </w:r>
    </w:p>
    <w:p w14:paraId="1815F790" w14:textId="77777777" w:rsidR="0096367E" w:rsidRDefault="0096367E" w:rsidP="0096367E">
      <w:pPr>
        <w:spacing w:after="240"/>
        <w:jc w:val="both"/>
      </w:pPr>
      <w:r>
        <w:t xml:space="preserve">Several literatures regarding the methodologies of shale gas-in-place calculations considering the adsorbed phase are available. Ambrose et al. (2010) considered new pore scale into gas-in-place calculation for dry gas shale. They took into account the volume occupied by the adsorbed phase and computed the density of the adsorbed phase using molecular dynamic techniques. Their results showed that the results from molecular simulations on adsorbed phase density were similar compare to the predictions obtained from Langmuir single-layer adsorption model for pure methane at reservoir conditions. Then Langmuir adsorption model was then used to compute the amount of adsorbed gas. This method may be valid for dry gas shale (pure methane), however, for gas-condensate shale, where considerable amount of heavier components other than methane can exist, such method may no longer be valid due to multi-layer adsorption (Li et al., 2014; Ma and Jamili, 2014; Ma and Jamili, 2016) and heterogeneity in terms of fluid composition (Didar and Akkutlu 2013; Ma and Jamili, 2014). Their later publication (Hartman et al., 2011) considered the effects of multi-component on gas adsorption. Extended-Langmuir (EL) model and Ideal Adsorbed Solution (IAS) theory were used to characterize the adsorbed phase. Although the results showed inhomogeneous of the fluid composition between free gas phase and adsorbed gas phase, they did not provide a clear way to compute adsorbed phase density and the effects of multi-layer adsorption was not considered. </w:t>
      </w:r>
      <w:r w:rsidR="00BE7B61">
        <w:t>Li et al.</w:t>
      </w:r>
      <w:r>
        <w:t xml:space="preserve"> </w:t>
      </w:r>
      <w:r w:rsidR="00BE7B61">
        <w:t>(</w:t>
      </w:r>
      <w:r>
        <w:t xml:space="preserve">2014) focused on the gas-in-place calculations of gas condensate shale with the presence of capillary condensation. The adsorbed phase thickness was computed based on Shapiro’s model (Shapiro and Stenby, 1996), but the adsorbed phase density was assumed to be twice as the free gas density. Moreover, Shapiro’s model may not be valid at pressure above the dew point pressure where there is no capillary condensation. </w:t>
      </w:r>
    </w:p>
    <w:p w14:paraId="1DC715AC" w14:textId="51D12985" w:rsidR="0096367E" w:rsidRDefault="0096367E" w:rsidP="0096367E">
      <w:pPr>
        <w:spacing w:after="240"/>
        <w:jc w:val="both"/>
      </w:pPr>
      <w:r>
        <w:t>The adsorbed phase density and thickness are the key parameters for shale gas-in-p</w:t>
      </w:r>
      <w:r w:rsidR="0037292B">
        <w:t>lace calculation. As we can see</w:t>
      </w:r>
      <w:r>
        <w:t xml:space="preserve"> so far</w:t>
      </w:r>
      <w:r w:rsidR="0037292B">
        <w:t>,</w:t>
      </w:r>
      <w:r>
        <w:t xml:space="preserve"> no literatures can provide clear and accurate predictions of both of the parameters. </w:t>
      </w:r>
      <w:r>
        <w:rPr>
          <w:rFonts w:hint="eastAsia"/>
          <w:lang w:eastAsia="zh-CN"/>
        </w:rPr>
        <w:t xml:space="preserve">However, the </w:t>
      </w:r>
      <w:r>
        <w:t xml:space="preserve">Simplified Local Density (SLD) </w:t>
      </w:r>
      <w:r>
        <w:rPr>
          <w:rFonts w:hint="eastAsia"/>
          <w:lang w:eastAsia="zh-CN"/>
        </w:rPr>
        <w:t xml:space="preserve">theory discussed in the previous chapters </w:t>
      </w:r>
      <w:r>
        <w:t xml:space="preserve">has the capability to calculate the density profiles of the fluids across the pore. From the density </w:t>
      </w:r>
      <w:r w:rsidR="0037292B">
        <w:t>profile,</w:t>
      </w:r>
      <w:r>
        <w:t xml:space="preserve"> one can easily define the adsorbed phase thickness and determine adsorbed density as well as fluid composition based on average values. </w:t>
      </w:r>
      <w:r>
        <w:rPr>
          <w:rFonts w:hint="eastAsia"/>
          <w:lang w:eastAsia="zh-CN"/>
        </w:rPr>
        <w:t xml:space="preserve">Therefore, a new GIP </w:t>
      </w:r>
      <w:r>
        <w:t>volumetric method</w:t>
      </w:r>
      <w:r>
        <w:rPr>
          <w:rFonts w:hint="eastAsia"/>
          <w:lang w:eastAsia="zh-CN"/>
        </w:rPr>
        <w:t xml:space="preserve"> is developed based on the SLD theory. In this </w:t>
      </w:r>
      <w:r w:rsidR="00B744CB">
        <w:rPr>
          <w:lang w:eastAsia="zh-CN"/>
        </w:rPr>
        <w:t>chapter, we</w:t>
      </w:r>
      <w:r>
        <w:rPr>
          <w:rFonts w:hint="eastAsia"/>
          <w:lang w:eastAsia="zh-CN"/>
        </w:rPr>
        <w:t xml:space="preserve"> will discuss the mathematical theory of the model and the applications </w:t>
      </w:r>
      <w:r>
        <w:t xml:space="preserve">to predict the total gas-in-place for a field example of Eagle Ford shale. </w:t>
      </w:r>
    </w:p>
    <w:p w14:paraId="79973076" w14:textId="77777777" w:rsidR="0096367E" w:rsidRDefault="0096367E" w:rsidP="0096367E">
      <w:pPr>
        <w:spacing w:after="240"/>
        <w:jc w:val="both"/>
      </w:pPr>
    </w:p>
    <w:p w14:paraId="382B1BEC" w14:textId="77777777" w:rsidR="0096367E" w:rsidRDefault="0096367E" w:rsidP="0096367E"/>
    <w:p w14:paraId="68DB0CB7" w14:textId="77777777" w:rsidR="0085272D" w:rsidRDefault="0096367E" w:rsidP="00764EEC">
      <w:pPr>
        <w:pStyle w:val="Head1"/>
        <w:jc w:val="both"/>
        <w:outlineLvl w:val="1"/>
        <w:rPr>
          <w:rFonts w:asciiTheme="majorHAnsi" w:hAnsiTheme="majorHAnsi"/>
          <w:bCs/>
          <w:iCs/>
          <w:szCs w:val="28"/>
          <w:lang w:eastAsia="zh-CN"/>
        </w:rPr>
      </w:pPr>
      <w:bookmarkStart w:id="43" w:name="_Toc508114161"/>
      <w:r>
        <w:rPr>
          <w:rFonts w:asciiTheme="majorHAnsi" w:hAnsiTheme="majorHAnsi" w:hint="eastAsia"/>
          <w:bCs/>
          <w:iCs/>
          <w:szCs w:val="28"/>
          <w:lang w:eastAsia="zh-CN"/>
        </w:rPr>
        <w:t>5.2 The New Volumetric Method for Shale Gas Content Calculations</w:t>
      </w:r>
      <w:bookmarkEnd w:id="43"/>
    </w:p>
    <w:p w14:paraId="3683BC78" w14:textId="77777777" w:rsidR="0085272D" w:rsidRDefault="0096367E">
      <w:pPr>
        <w:jc w:val="both"/>
      </w:pPr>
      <w:r>
        <w:t xml:space="preserve">A new volumetric method to calculate the gas-in-place was developed based on the volumetric petrophysical model and the fluid storage model shown in Figure </w:t>
      </w:r>
      <w:r>
        <w:rPr>
          <w:rFonts w:hint="eastAsia"/>
          <w:lang w:eastAsia="zh-CN"/>
        </w:rPr>
        <w:t>5.1</w:t>
      </w:r>
      <w:r>
        <w:t xml:space="preserve"> and Figure</w:t>
      </w:r>
      <w:r w:rsidR="00350CE1">
        <w:t xml:space="preserve"> </w:t>
      </w:r>
      <w:r>
        <w:rPr>
          <w:rFonts w:hint="eastAsia"/>
          <w:lang w:eastAsia="zh-CN"/>
        </w:rPr>
        <w:t>5.2</w:t>
      </w:r>
      <w:r>
        <w:t xml:space="preserve">. The total gas storage, </w:t>
      </w:r>
      <w:r>
        <w:rPr>
          <w:i/>
        </w:rPr>
        <w:t>G</w:t>
      </w:r>
      <w:r>
        <w:rPr>
          <w:vertAlign w:val="subscript"/>
        </w:rPr>
        <w:t>st</w:t>
      </w:r>
      <w:r>
        <w:t xml:space="preserve">, describing the amount gas in standard cubic feet at surface condition per ton rock is used as industrial standard. Based on our fluid storage model, the total gas storage </w:t>
      </w:r>
      <w:r>
        <w:rPr>
          <w:i/>
        </w:rPr>
        <w:t>G</w:t>
      </w:r>
      <w:r>
        <w:rPr>
          <w:vertAlign w:val="subscript"/>
        </w:rPr>
        <w:t xml:space="preserve">st </w:t>
      </w:r>
      <w:r>
        <w:t>is considered to have the following components:</w:t>
      </w:r>
    </w:p>
    <w:p w14:paraId="76E22853" w14:textId="77777777" w:rsidR="00350CE1" w:rsidRDefault="00350CE1" w:rsidP="00350CE1">
      <w:pPr>
        <w:tabs>
          <w:tab w:val="right" w:leader="dot" w:pos="8460"/>
        </w:tabs>
        <w:rPr>
          <w:lang w:eastAsia="zh-CN"/>
        </w:rPr>
      </w:pPr>
      <w:r>
        <w:rPr>
          <w:noProof/>
          <w:position w:val="-14"/>
          <w:lang w:eastAsia="zh-CN" w:bidi="ar-SA"/>
        </w:rPr>
        <w:drawing>
          <wp:inline distT="0" distB="0" distL="114300" distR="114300" wp14:anchorId="3549F2A6" wp14:editId="70EE89FE">
            <wp:extent cx="1869612" cy="266700"/>
            <wp:effectExtent l="0" t="0" r="0" b="0"/>
            <wp:docPr id="299"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7"/>
                    <pic:cNvPicPr>
                      <a:picLocks noChangeAspect="1"/>
                    </pic:cNvPicPr>
                  </pic:nvPicPr>
                  <pic:blipFill>
                    <a:blip r:embed="rId120"/>
                    <a:stretch>
                      <a:fillRect/>
                    </a:stretch>
                  </pic:blipFill>
                  <pic:spPr>
                    <a:xfrm>
                      <a:off x="0" y="0"/>
                      <a:ext cx="1874561" cy="267406"/>
                    </a:xfrm>
                    <a:prstGeom prst="rect">
                      <a:avLst/>
                    </a:prstGeom>
                    <a:noFill/>
                    <a:ln w="9525">
                      <a:noFill/>
                    </a:ln>
                  </pic:spPr>
                </pic:pic>
              </a:graphicData>
            </a:graphic>
          </wp:inline>
        </w:drawing>
      </w:r>
      <w:r>
        <w:rPr>
          <w:lang w:eastAsia="zh-CN"/>
        </w:rPr>
        <w:tab/>
        <w:t>(5.1)</w:t>
      </w:r>
    </w:p>
    <w:p w14:paraId="5D31E519" w14:textId="77777777" w:rsidR="0085272D" w:rsidRDefault="0096367E">
      <w:pPr>
        <w:jc w:val="both"/>
      </w:pPr>
      <w:r>
        <w:t xml:space="preserve">Where </w:t>
      </w:r>
      <w:r>
        <w:rPr>
          <w:i/>
        </w:rPr>
        <w:t>G</w:t>
      </w:r>
      <w:r>
        <w:rPr>
          <w:vertAlign w:val="subscript"/>
        </w:rPr>
        <w:t>ads</w:t>
      </w:r>
      <w:r>
        <w:t xml:space="preserve"> represents the amount of adsorbed gas, </w:t>
      </w:r>
      <w:r>
        <w:rPr>
          <w:i/>
        </w:rPr>
        <w:t>G</w:t>
      </w:r>
      <w:r>
        <w:rPr>
          <w:vertAlign w:val="subscript"/>
        </w:rPr>
        <w:t>f,org</w:t>
      </w:r>
      <w:r>
        <w:t xml:space="preserve"> and </w:t>
      </w:r>
      <w:r>
        <w:rPr>
          <w:i/>
        </w:rPr>
        <w:t>G</w:t>
      </w:r>
      <w:r>
        <w:rPr>
          <w:vertAlign w:val="subscript"/>
        </w:rPr>
        <w:t xml:space="preserve">f,inorg </w:t>
      </w:r>
      <w:r>
        <w:t xml:space="preserve">account for the free gas in organic pores and inorganic matrix, respectively. Here we assume that the gas dissolved in formation water is negligible and there is no hydrocarbon liquid at initial reservoir conditions (initial reservoir pressure far above the dew point pressure). Each of the three terms on the right side of Equation </w:t>
      </w:r>
      <w:r>
        <w:rPr>
          <w:rFonts w:hint="eastAsia"/>
          <w:lang w:eastAsia="zh-CN"/>
        </w:rPr>
        <w:t>5.</w:t>
      </w:r>
      <w:r>
        <w:t>1 can be further expressed in terms of volume occupied and the total bulk mass of rock:</w:t>
      </w:r>
    </w:p>
    <w:p w14:paraId="5E2ECE1E" w14:textId="77777777" w:rsidR="00350CE1" w:rsidRDefault="00350CE1" w:rsidP="00350CE1">
      <w:pPr>
        <w:tabs>
          <w:tab w:val="right" w:leader="dot" w:pos="8460"/>
        </w:tabs>
        <w:rPr>
          <w:lang w:eastAsia="zh-CN"/>
        </w:rPr>
      </w:pPr>
      <w:r>
        <w:rPr>
          <w:noProof/>
          <w:position w:val="-30"/>
          <w:lang w:eastAsia="zh-CN" w:bidi="ar-SA"/>
        </w:rPr>
        <w:drawing>
          <wp:inline distT="0" distB="0" distL="114300" distR="114300" wp14:anchorId="0A30BE40" wp14:editId="0AFF6329">
            <wp:extent cx="1245366" cy="466725"/>
            <wp:effectExtent l="0" t="0" r="0" b="0"/>
            <wp:docPr id="303"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8"/>
                    <pic:cNvPicPr>
                      <a:picLocks noChangeAspect="1"/>
                    </pic:cNvPicPr>
                  </pic:nvPicPr>
                  <pic:blipFill>
                    <a:blip r:embed="rId121"/>
                    <a:stretch>
                      <a:fillRect/>
                    </a:stretch>
                  </pic:blipFill>
                  <pic:spPr>
                    <a:xfrm>
                      <a:off x="0" y="0"/>
                      <a:ext cx="1246018" cy="466969"/>
                    </a:xfrm>
                    <a:prstGeom prst="rect">
                      <a:avLst/>
                    </a:prstGeom>
                    <a:noFill/>
                    <a:ln w="9525">
                      <a:noFill/>
                    </a:ln>
                  </pic:spPr>
                </pic:pic>
              </a:graphicData>
            </a:graphic>
          </wp:inline>
        </w:drawing>
      </w:r>
      <w:r>
        <w:rPr>
          <w:lang w:eastAsia="zh-CN"/>
        </w:rPr>
        <w:tab/>
        <w:t>(5.2)</w:t>
      </w:r>
    </w:p>
    <w:p w14:paraId="44A62D2A" w14:textId="77777777" w:rsidR="00350CE1" w:rsidRDefault="00350CE1" w:rsidP="00350CE1">
      <w:pPr>
        <w:tabs>
          <w:tab w:val="right" w:leader="dot" w:pos="8460"/>
        </w:tabs>
        <w:rPr>
          <w:lang w:eastAsia="zh-CN"/>
        </w:rPr>
      </w:pPr>
      <w:r>
        <w:rPr>
          <w:noProof/>
          <w:position w:val="-30"/>
          <w:lang w:eastAsia="zh-CN" w:bidi="ar-SA"/>
        </w:rPr>
        <w:drawing>
          <wp:inline distT="0" distB="0" distL="114300" distR="114300" wp14:anchorId="028BE16F" wp14:editId="4B540204">
            <wp:extent cx="1171153" cy="495300"/>
            <wp:effectExtent l="0" t="0" r="0" b="0"/>
            <wp:docPr id="304"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9"/>
                    <pic:cNvPicPr>
                      <a:picLocks noChangeAspect="1"/>
                    </pic:cNvPicPr>
                  </pic:nvPicPr>
                  <pic:blipFill>
                    <a:blip r:embed="rId122"/>
                    <a:stretch>
                      <a:fillRect/>
                    </a:stretch>
                  </pic:blipFill>
                  <pic:spPr>
                    <a:xfrm>
                      <a:off x="0" y="0"/>
                      <a:ext cx="1177490" cy="497980"/>
                    </a:xfrm>
                    <a:prstGeom prst="rect">
                      <a:avLst/>
                    </a:prstGeom>
                    <a:noFill/>
                    <a:ln w="9525">
                      <a:noFill/>
                    </a:ln>
                  </pic:spPr>
                </pic:pic>
              </a:graphicData>
            </a:graphic>
          </wp:inline>
        </w:drawing>
      </w:r>
      <w:r>
        <w:rPr>
          <w:lang w:eastAsia="zh-CN"/>
        </w:rPr>
        <w:tab/>
        <w:t>(5.3)</w:t>
      </w:r>
    </w:p>
    <w:p w14:paraId="361F7D0C" w14:textId="77777777" w:rsidR="00350CE1" w:rsidRDefault="00350CE1" w:rsidP="00350CE1">
      <w:pPr>
        <w:tabs>
          <w:tab w:val="right" w:leader="dot" w:pos="8460"/>
        </w:tabs>
        <w:rPr>
          <w:lang w:eastAsia="zh-CN"/>
        </w:rPr>
      </w:pPr>
      <w:r>
        <w:rPr>
          <w:noProof/>
          <w:position w:val="-30"/>
          <w:lang w:eastAsia="zh-CN" w:bidi="ar-SA"/>
        </w:rPr>
        <w:drawing>
          <wp:inline distT="0" distB="0" distL="114300" distR="114300" wp14:anchorId="70DE311D" wp14:editId="170F1854">
            <wp:extent cx="1053756" cy="542925"/>
            <wp:effectExtent l="0" t="0" r="0" b="0"/>
            <wp:docPr id="305"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80"/>
                    <pic:cNvPicPr>
                      <a:picLocks noChangeAspect="1"/>
                    </pic:cNvPicPr>
                  </pic:nvPicPr>
                  <pic:blipFill>
                    <a:blip r:embed="rId123"/>
                    <a:stretch>
                      <a:fillRect/>
                    </a:stretch>
                  </pic:blipFill>
                  <pic:spPr>
                    <a:xfrm>
                      <a:off x="0" y="0"/>
                      <a:ext cx="1054839" cy="543483"/>
                    </a:xfrm>
                    <a:prstGeom prst="rect">
                      <a:avLst/>
                    </a:prstGeom>
                    <a:noFill/>
                    <a:ln w="9525">
                      <a:noFill/>
                    </a:ln>
                  </pic:spPr>
                </pic:pic>
              </a:graphicData>
            </a:graphic>
          </wp:inline>
        </w:drawing>
      </w:r>
      <w:r>
        <w:rPr>
          <w:lang w:eastAsia="zh-CN"/>
        </w:rPr>
        <w:tab/>
        <w:t>(5.4)</w:t>
      </w:r>
    </w:p>
    <w:p w14:paraId="710D1890" w14:textId="77777777" w:rsidR="0085272D" w:rsidRDefault="0096367E">
      <w:pPr>
        <w:spacing w:after="240"/>
        <w:jc w:val="both"/>
      </w:pPr>
      <w:r>
        <w:t xml:space="preserve">Where </w:t>
      </w:r>
      <w:r>
        <w:rPr>
          <w:i/>
        </w:rPr>
        <w:t>V</w:t>
      </w:r>
      <w:r>
        <w:rPr>
          <w:vertAlign w:val="subscript"/>
        </w:rPr>
        <w:t>ads,surf</w:t>
      </w:r>
      <w:r>
        <w:t xml:space="preserve">, </w:t>
      </w:r>
      <w:r>
        <w:rPr>
          <w:i/>
        </w:rPr>
        <w:t>V</w:t>
      </w:r>
      <w:r>
        <w:rPr>
          <w:vertAlign w:val="subscript"/>
        </w:rPr>
        <w:t>f,org,surf</w:t>
      </w:r>
      <w:r>
        <w:t xml:space="preserve">, </w:t>
      </w:r>
      <w:r>
        <w:rPr>
          <w:i/>
        </w:rPr>
        <w:t>V</w:t>
      </w:r>
      <w:r>
        <w:rPr>
          <w:vertAlign w:val="subscript"/>
        </w:rPr>
        <w:t xml:space="preserve">f,inorg,surf </w:t>
      </w:r>
      <w:r>
        <w:t xml:space="preserve">represent the volume occupied by adsorbed gas, free gas in kerogen, free gas in inorganic matrix at surface condition, respectively. </w:t>
      </w:r>
      <w:r>
        <w:rPr>
          <w:i/>
        </w:rPr>
        <w:t>M</w:t>
      </w:r>
      <w:r>
        <w:rPr>
          <w:vertAlign w:val="subscript"/>
        </w:rPr>
        <w:t>b</w:t>
      </w:r>
      <w:r>
        <w:t xml:space="preserve"> is the total bulk mass of rock in ton. </w:t>
      </w:r>
    </w:p>
    <w:p w14:paraId="1E743909" w14:textId="77777777" w:rsidR="0085272D" w:rsidRDefault="0096367E">
      <w:pPr>
        <w:jc w:val="both"/>
      </w:pPr>
      <w:r>
        <w:t xml:space="preserve">As we can see, in order to calculate the amount of adsorbed gas and free gas in both organic and inorganic materials, the volume occupied by each type of gas needs to be known a priori. By known the total porosity and kerogen porosity from petrophysical measurements, it is easy to separate the void volume into inorganic void volume and organic void volume. The volume occupied by free gas in inorganic matrix is associated with inorganic void volume. Equation </w:t>
      </w:r>
      <w:r>
        <w:rPr>
          <w:rFonts w:hint="eastAsia"/>
          <w:lang w:eastAsia="zh-CN"/>
        </w:rPr>
        <w:t>5.2</w:t>
      </w:r>
      <w:r>
        <w:t xml:space="preserve"> can be further expressed by known petrophysical parameters:</w:t>
      </w:r>
    </w:p>
    <w:p w14:paraId="6BBCD753" w14:textId="77777777" w:rsidR="00350CE1" w:rsidRDefault="00350CE1" w:rsidP="00350CE1">
      <w:pPr>
        <w:tabs>
          <w:tab w:val="right" w:leader="dot" w:pos="8460"/>
        </w:tabs>
        <w:rPr>
          <w:lang w:eastAsia="zh-CN"/>
        </w:rPr>
      </w:pPr>
      <w:r>
        <w:rPr>
          <w:noProof/>
          <w:position w:val="-32"/>
          <w:lang w:eastAsia="zh-CN" w:bidi="ar-SA"/>
        </w:rPr>
        <w:drawing>
          <wp:inline distT="0" distB="0" distL="114300" distR="114300" wp14:anchorId="39250C7B" wp14:editId="5D5CACD7">
            <wp:extent cx="2855983" cy="476250"/>
            <wp:effectExtent l="0" t="0" r="0" b="0"/>
            <wp:docPr id="30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1"/>
                    <pic:cNvPicPr>
                      <a:picLocks noChangeAspect="1"/>
                    </pic:cNvPicPr>
                  </pic:nvPicPr>
                  <pic:blipFill>
                    <a:blip r:embed="rId124"/>
                    <a:stretch>
                      <a:fillRect/>
                    </a:stretch>
                  </pic:blipFill>
                  <pic:spPr>
                    <a:xfrm>
                      <a:off x="0" y="0"/>
                      <a:ext cx="2859880" cy="476900"/>
                    </a:xfrm>
                    <a:prstGeom prst="rect">
                      <a:avLst/>
                    </a:prstGeom>
                    <a:noFill/>
                    <a:ln w="9525">
                      <a:noFill/>
                    </a:ln>
                  </pic:spPr>
                </pic:pic>
              </a:graphicData>
            </a:graphic>
          </wp:inline>
        </w:drawing>
      </w:r>
      <w:r>
        <w:rPr>
          <w:lang w:eastAsia="zh-CN"/>
        </w:rPr>
        <w:tab/>
        <w:t>(5.5)</w:t>
      </w:r>
    </w:p>
    <w:p w14:paraId="469D68D0" w14:textId="77777777" w:rsidR="0085272D" w:rsidRDefault="0096367E">
      <w:pPr>
        <w:jc w:val="both"/>
      </w:pPr>
      <w:r>
        <w:t xml:space="preserve">Where </w:t>
      </w:r>
      <w:r>
        <w:rPr>
          <w:i/>
        </w:rPr>
        <w:t>ϕ</w:t>
      </w:r>
      <w:r>
        <w:rPr>
          <w:vertAlign w:val="subscript"/>
        </w:rPr>
        <w:t xml:space="preserve">t </w:t>
      </w:r>
      <w:r>
        <w:t xml:space="preserve">and </w:t>
      </w:r>
      <w:r>
        <w:rPr>
          <w:i/>
        </w:rPr>
        <w:t>ϕ</w:t>
      </w:r>
      <w:r>
        <w:rPr>
          <w:vertAlign w:val="subscript"/>
        </w:rPr>
        <w:t xml:space="preserve">k </w:t>
      </w:r>
      <w:r>
        <w:t xml:space="preserve">are the total porosity and kerogen porosity, respectively. </w:t>
      </w:r>
      <w:r>
        <w:rPr>
          <w:i/>
        </w:rPr>
        <w:t>S</w:t>
      </w:r>
      <w:r>
        <w:rPr>
          <w:vertAlign w:val="subscript"/>
        </w:rPr>
        <w:t>w</w:t>
      </w:r>
      <w:r>
        <w:t xml:space="preserve"> is water saturation, ρ</w:t>
      </w:r>
      <w:r>
        <w:rPr>
          <w:vertAlign w:val="subscript"/>
        </w:rPr>
        <w:t>f,res</w:t>
      </w:r>
      <w:r>
        <w:t xml:space="preserve"> is the free gas density at reservoir condition, </w:t>
      </w:r>
      <w:r>
        <w:rPr>
          <w:i/>
        </w:rPr>
        <w:t>Z</w:t>
      </w:r>
      <w:r>
        <w:rPr>
          <w:vertAlign w:val="subscript"/>
        </w:rPr>
        <w:t>f</w:t>
      </w:r>
      <w:r>
        <w:t xml:space="preserve"> is the compressibility factor of free gas at surface condition,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f</m:t>
            </m:r>
          </m:sub>
        </m:sSub>
      </m:oMath>
      <w:r>
        <w:rPr>
          <w:rFonts w:eastAsiaTheme="minorEastAsia"/>
        </w:rPr>
        <w:t xml:space="preserve"> is the apparent molar density of free gas and </w:t>
      </w:r>
      <w:r>
        <w:rPr>
          <w:i/>
        </w:rPr>
        <w:t>ρ</w:t>
      </w:r>
      <w:r>
        <w:rPr>
          <w:vertAlign w:val="subscript"/>
        </w:rPr>
        <w:t>b</w:t>
      </w:r>
      <w:r>
        <w:t xml:space="preserve"> is the bulk rock density. The compressibility factor </w:t>
      </w:r>
      <w:r>
        <w:rPr>
          <w:i/>
        </w:rPr>
        <w:t>Z</w:t>
      </w:r>
      <w:r>
        <w:rPr>
          <w:vertAlign w:val="subscript"/>
        </w:rPr>
        <w:t>f</w:t>
      </w:r>
      <w:r>
        <w:t xml:space="preserve"> and the fluid density </w:t>
      </w:r>
      <w:r>
        <w:rPr>
          <w:i/>
        </w:rPr>
        <w:t>ρ</w:t>
      </w:r>
      <w:r>
        <w:rPr>
          <w:vertAlign w:val="subscript"/>
        </w:rPr>
        <w:t>f,res</w:t>
      </w:r>
      <w:r>
        <w:t xml:space="preserve"> can be calculated using an equation of state. Peng-Robinson equation of state developed by Peng and Robinson (1976) was used here. Similarly to </w:t>
      </w:r>
      <w:r>
        <w:rPr>
          <w:i/>
        </w:rPr>
        <w:t>G</w:t>
      </w:r>
      <w:r>
        <w:rPr>
          <w:vertAlign w:val="subscript"/>
        </w:rPr>
        <w:t>f,inorg</w:t>
      </w:r>
      <w:r>
        <w:t>,</w:t>
      </w:r>
      <w:r>
        <w:rPr>
          <w:vertAlign w:val="subscript"/>
        </w:rPr>
        <w:t xml:space="preserve"> </w:t>
      </w:r>
      <w:r>
        <w:t xml:space="preserve">the amount of gas in the organic content </w:t>
      </w:r>
      <w:r>
        <w:rPr>
          <w:i/>
        </w:rPr>
        <w:t>G</w:t>
      </w:r>
      <w:r>
        <w:rPr>
          <w:vertAlign w:val="subscript"/>
        </w:rPr>
        <w:t>ads</w:t>
      </w:r>
      <w:r>
        <w:t xml:space="preserve"> and </w:t>
      </w:r>
      <w:r>
        <w:rPr>
          <w:i/>
        </w:rPr>
        <w:t>G</w:t>
      </w:r>
      <w:r>
        <w:rPr>
          <w:vertAlign w:val="subscript"/>
        </w:rPr>
        <w:t xml:space="preserve">f,org </w:t>
      </w:r>
      <w:r>
        <w:t>can be computed as the following:</w:t>
      </w:r>
    </w:p>
    <w:p w14:paraId="1FCACF80" w14:textId="77777777" w:rsidR="00350CE1" w:rsidRDefault="00350CE1" w:rsidP="00350CE1">
      <w:pPr>
        <w:tabs>
          <w:tab w:val="right" w:leader="dot" w:pos="8460"/>
        </w:tabs>
        <w:rPr>
          <w:lang w:eastAsia="zh-CN"/>
        </w:rPr>
      </w:pPr>
      <w:r>
        <w:rPr>
          <w:noProof/>
          <w:position w:val="-34"/>
          <w:lang w:eastAsia="zh-CN" w:bidi="ar-SA"/>
        </w:rPr>
        <w:drawing>
          <wp:inline distT="0" distB="0" distL="114300" distR="114300" wp14:anchorId="475F8BFF" wp14:editId="378A91F3">
            <wp:extent cx="2697610" cy="504825"/>
            <wp:effectExtent l="0" t="0" r="0" b="0"/>
            <wp:docPr id="31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2"/>
                    <pic:cNvPicPr>
                      <a:picLocks noChangeAspect="1"/>
                    </pic:cNvPicPr>
                  </pic:nvPicPr>
                  <pic:blipFill>
                    <a:blip r:embed="rId125"/>
                    <a:stretch>
                      <a:fillRect/>
                    </a:stretch>
                  </pic:blipFill>
                  <pic:spPr>
                    <a:xfrm>
                      <a:off x="0" y="0"/>
                      <a:ext cx="2702332" cy="505709"/>
                    </a:xfrm>
                    <a:prstGeom prst="rect">
                      <a:avLst/>
                    </a:prstGeom>
                    <a:noFill/>
                    <a:ln w="9525">
                      <a:noFill/>
                    </a:ln>
                  </pic:spPr>
                </pic:pic>
              </a:graphicData>
            </a:graphic>
          </wp:inline>
        </w:drawing>
      </w:r>
      <w:r>
        <w:rPr>
          <w:lang w:eastAsia="zh-CN"/>
        </w:rPr>
        <w:tab/>
        <w:t>(5.</w:t>
      </w:r>
      <w:r w:rsidR="002E3E19">
        <w:rPr>
          <w:lang w:eastAsia="zh-CN"/>
        </w:rPr>
        <w:t>6</w:t>
      </w:r>
      <w:r>
        <w:rPr>
          <w:lang w:eastAsia="zh-CN"/>
        </w:rPr>
        <w:t>)</w:t>
      </w:r>
    </w:p>
    <w:p w14:paraId="42873678" w14:textId="77777777" w:rsidR="00350CE1" w:rsidRDefault="00350CE1" w:rsidP="00350CE1">
      <w:pPr>
        <w:tabs>
          <w:tab w:val="right" w:leader="dot" w:pos="8460"/>
        </w:tabs>
        <w:rPr>
          <w:lang w:eastAsia="zh-CN"/>
        </w:rPr>
      </w:pPr>
      <w:r>
        <w:rPr>
          <w:noProof/>
          <w:position w:val="-64"/>
          <w:lang w:eastAsia="zh-CN" w:bidi="ar-SA"/>
        </w:rPr>
        <w:drawing>
          <wp:inline distT="0" distB="0" distL="114300" distR="114300" wp14:anchorId="5A0DE8B9" wp14:editId="62A5EC0E">
            <wp:extent cx="2428809" cy="704850"/>
            <wp:effectExtent l="0" t="0" r="0" b="0"/>
            <wp:docPr id="311"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3"/>
                    <pic:cNvPicPr>
                      <a:picLocks noChangeAspect="1"/>
                    </pic:cNvPicPr>
                  </pic:nvPicPr>
                  <pic:blipFill>
                    <a:blip r:embed="rId126"/>
                    <a:stretch>
                      <a:fillRect/>
                    </a:stretch>
                  </pic:blipFill>
                  <pic:spPr>
                    <a:xfrm>
                      <a:off x="0" y="0"/>
                      <a:ext cx="2443275" cy="709048"/>
                    </a:xfrm>
                    <a:prstGeom prst="rect">
                      <a:avLst/>
                    </a:prstGeom>
                    <a:noFill/>
                    <a:ln w="9525">
                      <a:noFill/>
                    </a:ln>
                  </pic:spPr>
                </pic:pic>
              </a:graphicData>
            </a:graphic>
          </wp:inline>
        </w:drawing>
      </w:r>
      <w:r>
        <w:rPr>
          <w:lang w:eastAsia="zh-CN"/>
        </w:rPr>
        <w:tab/>
        <w:t>(5.</w:t>
      </w:r>
      <w:r w:rsidR="002E3E19">
        <w:rPr>
          <w:lang w:eastAsia="zh-CN"/>
        </w:rPr>
        <w:t>7</w:t>
      </w:r>
      <w:r>
        <w:rPr>
          <w:lang w:eastAsia="zh-CN"/>
        </w:rPr>
        <w:t>)</w:t>
      </w:r>
    </w:p>
    <w:p w14:paraId="584172AF" w14:textId="77777777" w:rsidR="0085272D" w:rsidRDefault="0096367E">
      <w:pPr>
        <w:spacing w:after="240"/>
        <w:jc w:val="both"/>
      </w:pPr>
      <w:r>
        <w:t xml:space="preserve">The derivations of Equations </w:t>
      </w:r>
      <w:r>
        <w:rPr>
          <w:rFonts w:hint="eastAsia"/>
          <w:lang w:eastAsia="zh-CN"/>
        </w:rPr>
        <w:t>5.</w:t>
      </w:r>
      <w:r>
        <w:t>5</w:t>
      </w:r>
      <w:r>
        <w:rPr>
          <w:rFonts w:hint="eastAsia"/>
          <w:lang w:eastAsia="zh-CN"/>
        </w:rPr>
        <w:t>-5.7</w:t>
      </w:r>
      <w:r>
        <w:t xml:space="preserve"> from Equations </w:t>
      </w:r>
      <w:r>
        <w:rPr>
          <w:rFonts w:hint="eastAsia"/>
          <w:lang w:eastAsia="zh-CN"/>
        </w:rPr>
        <w:t>5.</w:t>
      </w:r>
      <w:r>
        <w:t>2-</w:t>
      </w:r>
      <w:r>
        <w:rPr>
          <w:rFonts w:hint="eastAsia"/>
          <w:lang w:eastAsia="zh-CN"/>
        </w:rPr>
        <w:t>5.</w:t>
      </w:r>
      <w:r>
        <w:t xml:space="preserve">4 are illustrated in </w:t>
      </w:r>
      <w:r>
        <w:rPr>
          <w:b/>
        </w:rPr>
        <w:t xml:space="preserve">Appendix </w:t>
      </w:r>
      <w:r>
        <w:rPr>
          <w:rFonts w:hint="eastAsia"/>
          <w:b/>
          <w:lang w:eastAsia="zh-CN"/>
        </w:rPr>
        <w:t>B</w:t>
      </w:r>
      <w:r>
        <w:t xml:space="preserve">. For the void volume in organic content, however, there is no direct petrophysical measurement that can distinguish the volume occupied by adsorbed gas and free gas. In order to calculate the amount of gas </w:t>
      </w:r>
      <w:r>
        <w:rPr>
          <w:i/>
        </w:rPr>
        <w:t>G</w:t>
      </w:r>
      <w:r>
        <w:rPr>
          <w:vertAlign w:val="subscript"/>
        </w:rPr>
        <w:t>ads</w:t>
      </w:r>
      <w:r>
        <w:t xml:space="preserve"> and </w:t>
      </w:r>
      <w:r>
        <w:rPr>
          <w:i/>
        </w:rPr>
        <w:t>G</w:t>
      </w:r>
      <w:r>
        <w:rPr>
          <w:vertAlign w:val="subscript"/>
        </w:rPr>
        <w:t>f,org</w:t>
      </w:r>
      <w:r>
        <w:t>, the characteristics of the adsorbed phase, such as adsorption film thickness, adsorbed phase density and fluid composition need to be computed first. These are calculated by using the SLD</w:t>
      </w:r>
      <w:r>
        <w:rPr>
          <w:rFonts w:hint="eastAsia"/>
          <w:lang w:eastAsia="zh-CN"/>
        </w:rPr>
        <w:t xml:space="preserve"> theory</w:t>
      </w:r>
      <w:r>
        <w:t>.</w:t>
      </w:r>
    </w:p>
    <w:p w14:paraId="61D97C4A" w14:textId="77777777" w:rsidR="0085272D" w:rsidRDefault="0085272D">
      <w:pPr>
        <w:spacing w:after="240"/>
        <w:jc w:val="both"/>
      </w:pPr>
    </w:p>
    <w:p w14:paraId="6F81FF1E" w14:textId="77777777" w:rsidR="0085272D" w:rsidRDefault="0096367E" w:rsidP="002E3E19">
      <w:pPr>
        <w:jc w:val="both"/>
        <w:rPr>
          <w:rFonts w:asciiTheme="majorHAnsi" w:hAnsiTheme="majorHAnsi"/>
          <w:b/>
          <w:bCs/>
          <w:iCs/>
          <w:sz w:val="28"/>
          <w:szCs w:val="28"/>
          <w:lang w:eastAsia="zh-CN"/>
        </w:rPr>
      </w:pPr>
      <w:r>
        <w:rPr>
          <w:rFonts w:asciiTheme="majorHAnsi" w:hAnsiTheme="majorHAnsi" w:hint="eastAsia"/>
          <w:b/>
          <w:bCs/>
          <w:iCs/>
          <w:sz w:val="28"/>
          <w:szCs w:val="28"/>
          <w:lang w:eastAsia="zh-CN"/>
        </w:rPr>
        <w:t>5.3 Adsorption Film Thickness, Adsorbed Density and Fluid Composition from SLD-PR Model</w:t>
      </w:r>
    </w:p>
    <w:p w14:paraId="692512BD" w14:textId="7047D83A" w:rsidR="0085272D" w:rsidRDefault="0096367E">
      <w:pPr>
        <w:spacing w:after="240"/>
        <w:jc w:val="both"/>
      </w:pPr>
      <w:r>
        <w:t xml:space="preserve">The density profile calculated from the SLD-PR model is a continuous profile. A density profile of 80% methane (C1) and 20% n-butane (C4) at 170 °F and 3500 psi in 20 nm pore is shown in </w:t>
      </w:r>
      <w:r>
        <w:rPr>
          <w:b/>
        </w:rPr>
        <w:t>Fig</w:t>
      </w:r>
      <w:r>
        <w:rPr>
          <w:rFonts w:hint="eastAsia"/>
          <w:b/>
          <w:lang w:eastAsia="zh-CN"/>
        </w:rPr>
        <w:t xml:space="preserve">ure </w:t>
      </w:r>
      <w:r>
        <w:rPr>
          <w:b/>
        </w:rPr>
        <w:t>5</w:t>
      </w:r>
      <w:r>
        <w:rPr>
          <w:rFonts w:hint="eastAsia"/>
          <w:b/>
          <w:lang w:eastAsia="zh-CN"/>
        </w:rPr>
        <w:t>.3</w:t>
      </w:r>
      <w:r>
        <w:t xml:space="preserve"> as an example of how the </w:t>
      </w:r>
      <w:bookmarkStart w:id="44" w:name="OLE_LINK2"/>
      <w:bookmarkStart w:id="45" w:name="OLE_LINK1"/>
      <w:r>
        <w:t>continuous</w:t>
      </w:r>
      <w:bookmarkEnd w:id="44"/>
      <w:bookmarkEnd w:id="45"/>
      <w:r>
        <w:t xml:space="preserve"> density profile looks like. As we can see in Figure </w:t>
      </w:r>
      <w:r>
        <w:rPr>
          <w:rFonts w:hint="eastAsia"/>
          <w:lang w:eastAsia="zh-CN"/>
        </w:rPr>
        <w:t>5.3,</w:t>
      </w:r>
      <w:r>
        <w:t xml:space="preserve"> there is no clear transition between the bulk phase and the adsorbed phase. In order to quantify the amounts of adsorbed gas and free gas, a cutoff point is used to separate the adsorbed phase and bulk phase. Here, the cutoff points, shown as the red dots in Figure </w:t>
      </w:r>
      <w:r>
        <w:rPr>
          <w:rFonts w:hint="eastAsia"/>
          <w:lang w:eastAsia="zh-CN"/>
        </w:rPr>
        <w:t>5.3</w:t>
      </w:r>
      <w:r>
        <w:t>, are defined as the positions where the local densities are just 1.15 times higher than the bulk density. Any position inside the pore that has a higher density than the cutoff density (&gt;1.15*</w:t>
      </w:r>
      <w:r>
        <w:rPr>
          <w:i/>
        </w:rPr>
        <w:t>ρ</w:t>
      </w:r>
      <w:r>
        <w:t>) is classified as the adsorbed region. Another observation from Figure 5</w:t>
      </w:r>
      <w:r>
        <w:rPr>
          <w:rFonts w:hint="eastAsia"/>
          <w:lang w:eastAsia="zh-CN"/>
        </w:rPr>
        <w:t>.3</w:t>
      </w:r>
      <w:r>
        <w:t xml:space="preserve"> is that the density first increases when approaches to the wall and reaches to a maximum value, after which the density starts to decrease when further closer to the wall. The result is different from what to be expected, which the fluid density should always increase when getting closer to the pore wall since the fluid-wall interactions becomes stronger</w:t>
      </w:r>
      <w:r>
        <w:rPr>
          <w:rFonts w:hint="eastAsia"/>
          <w:lang w:eastAsia="zh-CN"/>
        </w:rPr>
        <w:t xml:space="preserve"> </w:t>
      </w:r>
      <w:r>
        <w:t>for pure component</w:t>
      </w:r>
      <w:r>
        <w:rPr>
          <w:rFonts w:hint="eastAsia"/>
          <w:lang w:eastAsia="zh-CN"/>
        </w:rPr>
        <w:t>.</w:t>
      </w:r>
      <w:r>
        <w:t xml:space="preserve"> However, when the system has more than one </w:t>
      </w:r>
      <w:r>
        <w:rPr>
          <w:rFonts w:hint="eastAsia"/>
          <w:lang w:eastAsia="zh-CN"/>
        </w:rPr>
        <w:t>component</w:t>
      </w:r>
      <w:r>
        <w:t xml:space="preserve">, the density profile can be very different because the fluid-wall interactions between the wall and different fluids are different. This can be further explained by fluid composition distributions, as shown in </w:t>
      </w:r>
      <w:r>
        <w:rPr>
          <w:b/>
        </w:rPr>
        <w:t>Fig</w:t>
      </w:r>
      <w:r>
        <w:rPr>
          <w:rFonts w:hint="eastAsia"/>
          <w:b/>
          <w:lang w:eastAsia="zh-CN"/>
        </w:rPr>
        <w:t>ure</w:t>
      </w:r>
      <w:r>
        <w:rPr>
          <w:b/>
        </w:rPr>
        <w:t xml:space="preserve"> </w:t>
      </w:r>
      <w:r>
        <w:rPr>
          <w:rFonts w:hint="eastAsia"/>
          <w:b/>
          <w:lang w:eastAsia="zh-CN"/>
        </w:rPr>
        <w:t>5.4</w:t>
      </w:r>
      <w:r>
        <w:t xml:space="preserve">. Results show that the pore wall favors heavier components much more than lighter components. In Figure </w:t>
      </w:r>
      <w:r>
        <w:rPr>
          <w:rFonts w:hint="eastAsia"/>
          <w:lang w:eastAsia="zh-CN"/>
        </w:rPr>
        <w:t>5.4</w:t>
      </w:r>
      <w:r>
        <w:t xml:space="preserve">, the composition of C1 drops from 80% to almost 0% when it gets closer to the pore wall. On the other hand, the composition of C4 increases dramatically in the region near the pore wall. Therefore, the mixture density is dominated by C4, rather than the mixture itself within the region close to the pore wall. </w:t>
      </w:r>
      <w:r>
        <w:rPr>
          <w:b/>
        </w:rPr>
        <w:t>Fig</w:t>
      </w:r>
      <w:r>
        <w:rPr>
          <w:rFonts w:hint="eastAsia"/>
          <w:b/>
          <w:lang w:eastAsia="zh-CN"/>
        </w:rPr>
        <w:t>ure 5.5</w:t>
      </w:r>
      <w:r>
        <w:t xml:space="preserve"> shows the density profile of pure C1, pure C4 and the 80%/20% mixture in the same figure under the same temperature and pressure conditions. It is clear to see that the mixture density profile tends to approach the pure C4 density profile when close to the wall. This demonstrates the reason why the mixture density profile will decline near the wall. We can also observe from Figure </w:t>
      </w:r>
      <w:r>
        <w:rPr>
          <w:rFonts w:hint="eastAsia"/>
          <w:lang w:eastAsia="zh-CN"/>
        </w:rPr>
        <w:t>5.5</w:t>
      </w:r>
      <w:r>
        <w:t xml:space="preserve"> that the adsorption of pure methane is significantly stronger compare to the mixture adsorption and pure C4 adsorption. This means that the adsorption ability of light component, such as C1, is stronger than heavier component, such as C4. This is because methane molecules are much smaller than butane </w:t>
      </w:r>
      <w:r w:rsidR="002A0C6A">
        <w:t>molecules</w:t>
      </w:r>
      <w:r>
        <w:t xml:space="preserve">, thus the pore wall is able to hold much more C1 than C4. </w:t>
      </w:r>
    </w:p>
    <w:p w14:paraId="4E4CCBC7" w14:textId="77777777" w:rsidR="0002707F" w:rsidRDefault="0002707F">
      <w:pPr>
        <w:spacing w:after="240"/>
        <w:jc w:val="both"/>
      </w:pPr>
    </w:p>
    <w:p w14:paraId="73327971" w14:textId="77777777" w:rsidR="0085272D" w:rsidRDefault="0096367E" w:rsidP="00350CE1">
      <w:pPr>
        <w:ind w:leftChars="200" w:left="480"/>
      </w:pPr>
      <w:r>
        <w:rPr>
          <w:noProof/>
          <w:lang w:eastAsia="zh-CN" w:bidi="ar-SA"/>
        </w:rPr>
        <w:drawing>
          <wp:inline distT="0" distB="0" distL="0" distR="0" wp14:anchorId="125DAFAD" wp14:editId="2F294A7A">
            <wp:extent cx="4668520" cy="281622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7269D052" w14:textId="77777777" w:rsidR="0085272D" w:rsidRDefault="0096367E">
      <w:pPr>
        <w:spacing w:after="240"/>
        <w:jc w:val="center"/>
        <w:rPr>
          <w:b/>
        </w:rPr>
      </w:pPr>
      <w:r>
        <w:rPr>
          <w:b/>
        </w:rPr>
        <w:t>Fig</w:t>
      </w:r>
      <w:r>
        <w:rPr>
          <w:rFonts w:hint="eastAsia"/>
          <w:b/>
          <w:lang w:eastAsia="zh-CN"/>
        </w:rPr>
        <w:t>ure</w:t>
      </w:r>
      <w:r>
        <w:rPr>
          <w:b/>
        </w:rPr>
        <w:t xml:space="preserve"> 5</w:t>
      </w:r>
      <w:r>
        <w:rPr>
          <w:rFonts w:hint="eastAsia"/>
          <w:b/>
          <w:lang w:eastAsia="zh-CN"/>
        </w:rPr>
        <w:t>.3</w:t>
      </w:r>
      <w:r>
        <w:rPr>
          <w:b/>
        </w:rPr>
        <w:t>—Density profile of a 80% C1/ 20% C4 mixture at 170 °F and 3500 psi in 20 nm pore calculated from multicomponent SLD-PR model. The red dots are the cutoff points which distinguish the free phase and the adsorbed phase.</w:t>
      </w:r>
    </w:p>
    <w:p w14:paraId="6069C5C2" w14:textId="77777777" w:rsidR="0085272D" w:rsidRDefault="0096367E" w:rsidP="00350CE1">
      <w:pPr>
        <w:ind w:leftChars="100" w:left="240"/>
      </w:pPr>
      <w:r>
        <w:rPr>
          <w:noProof/>
          <w:lang w:eastAsia="zh-CN" w:bidi="ar-SA"/>
        </w:rPr>
        <w:drawing>
          <wp:inline distT="0" distB="0" distL="0" distR="0" wp14:anchorId="5E1B00DC" wp14:editId="4CFCF042">
            <wp:extent cx="4824730" cy="3070860"/>
            <wp:effectExtent l="0" t="0" r="0" b="0"/>
            <wp:docPr id="40"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54D499F0" w14:textId="77777777" w:rsidR="00350CE1" w:rsidRPr="00350CE1" w:rsidRDefault="0096367E" w:rsidP="00350CE1">
      <w:pPr>
        <w:contextualSpacing/>
        <w:jc w:val="center"/>
        <w:rPr>
          <w:b/>
          <w:bCs/>
        </w:rPr>
      </w:pPr>
      <w:r>
        <w:rPr>
          <w:b/>
          <w:bCs/>
        </w:rPr>
        <w:t>Fig</w:t>
      </w:r>
      <w:r>
        <w:rPr>
          <w:rFonts w:hint="eastAsia"/>
          <w:b/>
          <w:bCs/>
          <w:lang w:eastAsia="zh-CN"/>
        </w:rPr>
        <w:t>ure</w:t>
      </w:r>
      <w:r>
        <w:rPr>
          <w:b/>
          <w:bCs/>
        </w:rPr>
        <w:t xml:space="preserve"> </w:t>
      </w:r>
      <w:r>
        <w:rPr>
          <w:rFonts w:hint="eastAsia"/>
          <w:b/>
          <w:bCs/>
          <w:lang w:eastAsia="zh-CN"/>
        </w:rPr>
        <w:t>5.4</w:t>
      </w:r>
      <w:r>
        <w:rPr>
          <w:b/>
          <w:bCs/>
        </w:rPr>
        <w:t>—C1 and C4 composition distribution in the 20-nm pore at 170 °F and 3500 psi calculated from multicomponent SLD-PR model.</w:t>
      </w:r>
    </w:p>
    <w:p w14:paraId="7B226CB1" w14:textId="77777777" w:rsidR="0085272D" w:rsidRDefault="0096367E" w:rsidP="00350CE1">
      <w:pPr>
        <w:ind w:leftChars="200" w:left="480"/>
      </w:pPr>
      <w:r>
        <w:rPr>
          <w:noProof/>
          <w:lang w:eastAsia="zh-CN" w:bidi="ar-SA"/>
        </w:rPr>
        <w:drawing>
          <wp:inline distT="0" distB="0" distL="0" distR="0" wp14:anchorId="1E99E2E1" wp14:editId="10A18F7B">
            <wp:extent cx="4739005" cy="2907030"/>
            <wp:effectExtent l="0" t="0" r="0" b="0"/>
            <wp:docPr id="41"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72B0C0B4" w14:textId="77777777" w:rsidR="0085272D" w:rsidRDefault="0096367E" w:rsidP="00350CE1">
      <w:pPr>
        <w:contextualSpacing/>
        <w:jc w:val="center"/>
        <w:rPr>
          <w:b/>
          <w:bCs/>
        </w:rPr>
      </w:pPr>
      <w:r>
        <w:rPr>
          <w:b/>
          <w:bCs/>
        </w:rPr>
        <w:t>Fig</w:t>
      </w:r>
      <w:r>
        <w:rPr>
          <w:rFonts w:hint="eastAsia"/>
          <w:b/>
          <w:bCs/>
          <w:lang w:eastAsia="zh-CN"/>
        </w:rPr>
        <w:t>ure 5.5</w:t>
      </w:r>
      <w:r>
        <w:rPr>
          <w:b/>
          <w:bCs/>
        </w:rPr>
        <w:t>— Density profiles for pure C1, pure C4 and 80% C1/ 20% C4 mixture in the 20-nm pore at 170 °F and 3500 psi calculated from multicomponent SLD-PR model.</w:t>
      </w:r>
    </w:p>
    <w:p w14:paraId="01DDA3B8" w14:textId="77777777" w:rsidR="0002707F" w:rsidRDefault="0002707F" w:rsidP="00350CE1">
      <w:pPr>
        <w:contextualSpacing/>
        <w:jc w:val="center"/>
      </w:pPr>
    </w:p>
    <w:p w14:paraId="2EDE73BB" w14:textId="77777777" w:rsidR="0085272D" w:rsidRDefault="0096367E">
      <w:pPr>
        <w:jc w:val="both"/>
      </w:pPr>
      <w:r>
        <w:t xml:space="preserve">Once the adsorbed region has been </w:t>
      </w:r>
      <w:r>
        <w:rPr>
          <w:rFonts w:hint="eastAsia"/>
          <w:lang w:eastAsia="zh-CN"/>
        </w:rPr>
        <w:t>identified</w:t>
      </w:r>
      <w:r>
        <w:t xml:space="preserve">, the adsorption film thickness is equal to the distance from the pore wall to the cutoff point. Meanwhile, the continuous density can be converted to the equivalent averaged density profiles for both bulk phase and adsorbed phase, based on the cutoff points defined earlier. All the excess amount of gas with respect to the bulk state goes into the </w:t>
      </w:r>
      <w:r>
        <w:rPr>
          <w:rFonts w:hint="eastAsia"/>
          <w:lang w:eastAsia="zh-CN"/>
        </w:rPr>
        <w:t xml:space="preserve">pre-defined </w:t>
      </w:r>
      <w:r>
        <w:t xml:space="preserve">adsorbed phase, leaving the bulk phase with the same and uniform density and fluid composition as the bulk state. The fluid density and composition of the adsorbed phase are averaged for convenience. So there will only have one set of values for the fluid density and fluid composition of the adsorbed phase in a single pore </w:t>
      </w:r>
      <w:r>
        <w:rPr>
          <w:rFonts w:hint="eastAsia"/>
          <w:lang w:eastAsia="zh-CN"/>
        </w:rPr>
        <w:t>(</w:t>
      </w:r>
      <w:r>
        <w:t xml:space="preserve">see </w:t>
      </w:r>
      <w:r>
        <w:rPr>
          <w:b/>
        </w:rPr>
        <w:t>Fig</w:t>
      </w:r>
      <w:r>
        <w:rPr>
          <w:rFonts w:hint="eastAsia"/>
          <w:b/>
          <w:lang w:eastAsia="zh-CN"/>
        </w:rPr>
        <w:t>ure</w:t>
      </w:r>
      <w:r>
        <w:rPr>
          <w:b/>
        </w:rPr>
        <w:t xml:space="preserve"> </w:t>
      </w:r>
      <w:r>
        <w:rPr>
          <w:rFonts w:hint="eastAsia"/>
          <w:b/>
          <w:lang w:eastAsia="zh-CN"/>
        </w:rPr>
        <w:t>5.6)</w:t>
      </w:r>
      <w:r>
        <w:t xml:space="preserve">. </w:t>
      </w:r>
      <w:r>
        <w:rPr>
          <w:b/>
        </w:rPr>
        <w:t>Fig</w:t>
      </w:r>
      <w:r>
        <w:rPr>
          <w:rFonts w:hint="eastAsia"/>
          <w:b/>
          <w:lang w:eastAsia="zh-CN"/>
        </w:rPr>
        <w:t>ure</w:t>
      </w:r>
      <w:r>
        <w:rPr>
          <w:b/>
        </w:rPr>
        <w:t xml:space="preserve"> </w:t>
      </w:r>
      <w:r>
        <w:rPr>
          <w:rFonts w:hint="eastAsia"/>
          <w:b/>
          <w:lang w:eastAsia="zh-CN"/>
        </w:rPr>
        <w:t>5.7</w:t>
      </w:r>
      <w:r>
        <w:t xml:space="preserve"> shows the averaged density profiles in different pore sizes for the same fluids at the same temperature and pressure conditions as that in Figure </w:t>
      </w:r>
      <w:r>
        <w:rPr>
          <w:rFonts w:hint="eastAsia"/>
          <w:lang w:eastAsia="zh-CN"/>
        </w:rPr>
        <w:t>5.3</w:t>
      </w:r>
      <w:r>
        <w:t>. As we can see, when the pore size gets smaller and smaller, the region occupied by free gas phase is decreasing, but the adsorption thickness and adsorbed density remain the same. When the pore size is further decreased, the adsorption film on the opposite pore walls will merge, leaving no bulk phase in the center of the pore. Upon this point, the pore is all filled with adsorbed gas. We define the pore size at which the adsorption films from both sides just meet in the pore center is the cutoff size. Once the pore size is smaller than the cutoff size, the adsorption film no longer exists since all the pore volume is occupied by adsorbed gas. Meanwhile, the average adsorbed density starts to increase with further decreasing pore size below cutoff size. The fluid composition is also expected to change under the same condition.</w:t>
      </w:r>
    </w:p>
    <w:p w14:paraId="270A9505" w14:textId="77777777" w:rsidR="0085272D" w:rsidRDefault="0085272D">
      <w:pPr>
        <w:jc w:val="both"/>
      </w:pPr>
    </w:p>
    <w:p w14:paraId="5C03A141" w14:textId="77777777" w:rsidR="00350CE1" w:rsidRDefault="00350CE1">
      <w:pPr>
        <w:jc w:val="both"/>
      </w:pPr>
      <w:r>
        <w:rPr>
          <w:noProof/>
          <w:lang w:eastAsia="zh-CN" w:bidi="ar-SA"/>
        </w:rPr>
        <w:drawing>
          <wp:inline distT="0" distB="0" distL="0" distR="0" wp14:anchorId="210A2EF0" wp14:editId="1EB76B15">
            <wp:extent cx="2619375" cy="1714236"/>
            <wp:effectExtent l="0" t="0" r="0" b="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130">
                      <a:extLst>
                        <a:ext uri="{28A0092B-C50C-407E-A947-70E740481C1C}">
                          <a14:useLocalDpi xmlns:a14="http://schemas.microsoft.com/office/drawing/2010/main" val="0"/>
                        </a:ext>
                      </a:extLst>
                    </a:blip>
                    <a:srcRect l="-1" t="1997" r="4337"/>
                    <a:stretch/>
                  </pic:blipFill>
                  <pic:spPr bwMode="auto">
                    <a:xfrm>
                      <a:off x="0" y="0"/>
                      <a:ext cx="2646965" cy="1732292"/>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sidR="00D80FDB">
        <w:rPr>
          <w:noProof/>
          <w:lang w:eastAsia="zh-CN" w:bidi="ar-SA"/>
        </w:rPr>
        <w:drawing>
          <wp:inline distT="0" distB="0" distL="0" distR="0" wp14:anchorId="7D93B973" wp14:editId="273E7328">
            <wp:extent cx="2587376" cy="1736653"/>
            <wp:effectExtent l="0" t="0" r="0"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131">
                      <a:extLst>
                        <a:ext uri="{28A0092B-C50C-407E-A947-70E740481C1C}">
                          <a14:useLocalDpi xmlns:a14="http://schemas.microsoft.com/office/drawing/2010/main" val="0"/>
                        </a:ext>
                      </a:extLst>
                    </a:blip>
                    <a:srcRect t="1497" r="4896"/>
                    <a:stretch/>
                  </pic:blipFill>
                  <pic:spPr bwMode="auto">
                    <a:xfrm>
                      <a:off x="0" y="0"/>
                      <a:ext cx="2608014" cy="1750505"/>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124E1C8C" w14:textId="77777777" w:rsidR="0085272D" w:rsidRDefault="0096367E">
      <w:pPr>
        <w:jc w:val="both"/>
        <w:rPr>
          <w:b/>
          <w:bCs/>
        </w:rPr>
      </w:pPr>
      <w:r>
        <w:rPr>
          <w:b/>
          <w:bCs/>
        </w:rPr>
        <w:t>Fig</w:t>
      </w:r>
      <w:r>
        <w:rPr>
          <w:rFonts w:hint="eastAsia"/>
          <w:b/>
          <w:bCs/>
          <w:lang w:eastAsia="zh-CN"/>
        </w:rPr>
        <w:t>ure 5.6</w:t>
      </w:r>
      <w:r>
        <w:rPr>
          <w:b/>
          <w:bCs/>
        </w:rPr>
        <w:t>—</w:t>
      </w:r>
      <w:r>
        <w:rPr>
          <w:rFonts w:hint="eastAsia"/>
          <w:b/>
          <w:bCs/>
          <w:lang w:eastAsia="zh-CN"/>
        </w:rPr>
        <w:t xml:space="preserve"> </w:t>
      </w:r>
      <w:r>
        <w:rPr>
          <w:b/>
          <w:bCs/>
        </w:rPr>
        <w:t>Continuous density profile (left) and averaged density profile (right) of the 80% C1/ 20% C4 mixture in the 20-nm pore at 170 °F and 3500 psi.</w:t>
      </w:r>
    </w:p>
    <w:p w14:paraId="59A9E9D8" w14:textId="77777777" w:rsidR="00D80FDB" w:rsidRDefault="00D80FDB">
      <w:pPr>
        <w:jc w:val="both"/>
        <w:rPr>
          <w:b/>
          <w:bCs/>
        </w:rPr>
      </w:pPr>
    </w:p>
    <w:p w14:paraId="667CEC24" w14:textId="77777777" w:rsidR="00D80FDB" w:rsidRDefault="00D80FDB">
      <w:pPr>
        <w:jc w:val="both"/>
      </w:pPr>
    </w:p>
    <w:p w14:paraId="617C17C3" w14:textId="77777777" w:rsidR="00D80FDB" w:rsidRDefault="00D80FDB">
      <w:r>
        <w:rPr>
          <w:noProof/>
          <w:lang w:eastAsia="zh-CN" w:bidi="ar-SA"/>
        </w:rPr>
        <w:drawing>
          <wp:inline distT="0" distB="0" distL="0" distR="0" wp14:anchorId="21D47B1B" wp14:editId="6F838FC6">
            <wp:extent cx="2687632" cy="1666875"/>
            <wp:effectExtent l="0" t="0" r="0" b="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132">
                      <a:extLst>
                        <a:ext uri="{28A0092B-C50C-407E-A947-70E740481C1C}">
                          <a14:useLocalDpi xmlns:a14="http://schemas.microsoft.com/office/drawing/2010/main" val="0"/>
                        </a:ext>
                      </a:extLst>
                    </a:blip>
                    <a:srcRect t="2126" r="5495"/>
                    <a:stretch/>
                  </pic:blipFill>
                  <pic:spPr bwMode="auto">
                    <a:xfrm>
                      <a:off x="0" y="0"/>
                      <a:ext cx="2691809" cy="1669466"/>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eastAsia="zh-CN" w:bidi="ar-SA"/>
        </w:rPr>
        <w:drawing>
          <wp:inline distT="0" distB="0" distL="0" distR="0" wp14:anchorId="252F9E62" wp14:editId="2EDBEE65">
            <wp:extent cx="2524125" cy="1636329"/>
            <wp:effectExtent l="0" t="0" r="0" b="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133">
                      <a:extLst>
                        <a:ext uri="{28A0092B-C50C-407E-A947-70E740481C1C}">
                          <a14:useLocalDpi xmlns:a14="http://schemas.microsoft.com/office/drawing/2010/main" val="0"/>
                        </a:ext>
                      </a:extLst>
                    </a:blip>
                    <a:srcRect t="2084" r="5022"/>
                    <a:stretch/>
                  </pic:blipFill>
                  <pic:spPr bwMode="auto">
                    <a:xfrm>
                      <a:off x="0" y="0"/>
                      <a:ext cx="2534788" cy="1643241"/>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70A88940" w14:textId="77777777" w:rsidR="00D80FDB" w:rsidRDefault="00D80FDB">
      <w:r>
        <w:rPr>
          <w:noProof/>
          <w:lang w:eastAsia="zh-CN" w:bidi="ar-SA"/>
        </w:rPr>
        <w:drawing>
          <wp:inline distT="0" distB="0" distL="0" distR="0" wp14:anchorId="46555588" wp14:editId="52BF2F20">
            <wp:extent cx="2562225" cy="1803112"/>
            <wp:effectExtent l="0" t="0" r="0" b="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34">
                      <a:extLst>
                        <a:ext uri="{28A0092B-C50C-407E-A947-70E740481C1C}">
                          <a14:useLocalDpi xmlns:a14="http://schemas.microsoft.com/office/drawing/2010/main" val="0"/>
                        </a:ext>
                      </a:extLst>
                    </a:blip>
                    <a:srcRect t="1425" r="4180" b="-1"/>
                    <a:stretch/>
                  </pic:blipFill>
                  <pic:spPr bwMode="auto">
                    <a:xfrm>
                      <a:off x="0" y="0"/>
                      <a:ext cx="2567073" cy="1806524"/>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r>
        <w:rPr>
          <w:noProof/>
          <w:lang w:eastAsia="zh-CN" w:bidi="ar-SA"/>
        </w:rPr>
        <w:drawing>
          <wp:inline distT="0" distB="0" distL="0" distR="0" wp14:anchorId="0B7FCDF9" wp14:editId="410D79C9">
            <wp:extent cx="2628900" cy="1777301"/>
            <wp:effectExtent l="0" t="0" r="0" b="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35">
                      <a:extLst>
                        <a:ext uri="{28A0092B-C50C-407E-A947-70E740481C1C}">
                          <a14:useLocalDpi xmlns:a14="http://schemas.microsoft.com/office/drawing/2010/main" val="0"/>
                        </a:ext>
                      </a:extLst>
                    </a:blip>
                    <a:srcRect t="1947" r="3995"/>
                    <a:stretch/>
                  </pic:blipFill>
                  <pic:spPr bwMode="auto">
                    <a:xfrm>
                      <a:off x="0" y="0"/>
                      <a:ext cx="2639613" cy="1784543"/>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0CA64E4B" w14:textId="77777777" w:rsidR="0085272D" w:rsidRDefault="00D80FDB">
      <w:r>
        <w:rPr>
          <w:noProof/>
          <w:lang w:eastAsia="zh-CN" w:bidi="ar-SA"/>
        </w:rPr>
        <w:drawing>
          <wp:inline distT="0" distB="0" distL="0" distR="0" wp14:anchorId="3D05F3EE" wp14:editId="286BB81F">
            <wp:extent cx="2505075" cy="1857435"/>
            <wp:effectExtent l="0" t="0" r="0" b="0"/>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136">
                      <a:extLst>
                        <a:ext uri="{28A0092B-C50C-407E-A947-70E740481C1C}">
                          <a14:useLocalDpi xmlns:a14="http://schemas.microsoft.com/office/drawing/2010/main" val="0"/>
                        </a:ext>
                      </a:extLst>
                    </a:blip>
                    <a:srcRect t="1796" r="4180"/>
                    <a:stretch/>
                  </pic:blipFill>
                  <pic:spPr bwMode="auto">
                    <a:xfrm>
                      <a:off x="0" y="0"/>
                      <a:ext cx="2515737" cy="1865340"/>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63165867" w14:textId="77777777" w:rsidR="0085272D" w:rsidRDefault="0096367E">
      <w:pPr>
        <w:contextualSpacing/>
        <w:jc w:val="center"/>
        <w:rPr>
          <w:b/>
          <w:bCs/>
        </w:rPr>
      </w:pPr>
      <w:r>
        <w:rPr>
          <w:b/>
          <w:bCs/>
        </w:rPr>
        <w:t>Fig</w:t>
      </w:r>
      <w:r>
        <w:rPr>
          <w:rFonts w:hint="eastAsia"/>
          <w:b/>
          <w:bCs/>
          <w:lang w:eastAsia="zh-CN"/>
        </w:rPr>
        <w:t>ure 5.7</w:t>
      </w:r>
      <w:r>
        <w:rPr>
          <w:b/>
          <w:bCs/>
        </w:rPr>
        <w:t>— Averaged density profile of the 80% C1/ 20% C4 mixture at 170 °F and 3500 psi with different pore sizes (20 nm, 10 nm, 8 nm, 5 nm and 3 nm).</w:t>
      </w:r>
    </w:p>
    <w:p w14:paraId="6B4A5A5B" w14:textId="77777777" w:rsidR="0085272D" w:rsidRDefault="0085272D"/>
    <w:p w14:paraId="1E794754" w14:textId="77777777" w:rsidR="0085272D" w:rsidRDefault="0085272D"/>
    <w:p w14:paraId="2DB21525" w14:textId="77777777" w:rsidR="00D80FDB" w:rsidRDefault="00D80FDB"/>
    <w:p w14:paraId="23E1E5B0" w14:textId="77777777" w:rsidR="0085272D" w:rsidRDefault="0096367E" w:rsidP="00764EEC">
      <w:pPr>
        <w:pStyle w:val="Head1"/>
        <w:jc w:val="both"/>
        <w:outlineLvl w:val="1"/>
        <w:rPr>
          <w:rFonts w:asciiTheme="majorHAnsi" w:hAnsiTheme="majorHAnsi"/>
          <w:bCs/>
          <w:iCs/>
          <w:szCs w:val="28"/>
          <w:lang w:eastAsia="zh-CN"/>
        </w:rPr>
      </w:pPr>
      <w:bookmarkStart w:id="46" w:name="_Toc508114162"/>
      <w:r>
        <w:rPr>
          <w:rFonts w:asciiTheme="majorHAnsi" w:hAnsiTheme="majorHAnsi" w:hint="eastAsia"/>
          <w:bCs/>
          <w:iCs/>
          <w:szCs w:val="28"/>
          <w:lang w:eastAsia="zh-CN"/>
        </w:rPr>
        <w:t>5.4 Pore Size Distribution and Pore Geometry Consideration in Kerogen</w:t>
      </w:r>
      <w:bookmarkEnd w:id="46"/>
    </w:p>
    <w:p w14:paraId="2C356216" w14:textId="77777777" w:rsidR="0085272D" w:rsidRDefault="0096367E">
      <w:pPr>
        <w:jc w:val="both"/>
        <w:rPr>
          <w:lang w:eastAsia="zh-CN"/>
        </w:rPr>
      </w:pPr>
      <w:r>
        <w:t>Kerogen is a porous material made by the organic matter that contains mixtures organic compounds in sedimentary rocks. The pore size in kerogen is typically within the range of 3-100 nm. It is well documented that the pore size has large impacts on gas adsorption (Mosher et al., 2013; Didar and Akkutlu 2013; Ma and Jamili, 2014). In order to consider such effects, pore size distribution is introduced in this G</w:t>
      </w:r>
      <w:r w:rsidR="00D80FDB">
        <w:t xml:space="preserve">IP model. Here, we generate </w:t>
      </w:r>
      <w:r>
        <w:t xml:space="preserve">a series of pores with their pore sizes follow the normal distribution with specified mean pore size and standard deviation. In this model, the pores are all assumed to have cylindrical shapes with its diameter of the circular surface equal to half the height of the cylinder unless the specific pore geometry parameters are available. For simplicity, the curvature effects inside the pore have been </w:t>
      </w:r>
      <w:r w:rsidR="00D80FDB">
        <w:t>neglected</w:t>
      </w:r>
      <w:r>
        <w:t xml:space="preserve"> as of now. </w:t>
      </w:r>
      <w:r>
        <w:rPr>
          <w:b/>
        </w:rPr>
        <w:t>Fig</w:t>
      </w:r>
      <w:r>
        <w:rPr>
          <w:rFonts w:hint="eastAsia"/>
          <w:b/>
          <w:lang w:eastAsia="zh-CN"/>
        </w:rPr>
        <w:t xml:space="preserve">ure 5.8 </w:t>
      </w:r>
      <w:r>
        <w:t>shows a pore network established by cylindrical pores with different pore sizes to represent the pore n</w:t>
      </w:r>
      <w:r w:rsidR="00D80FDB">
        <w:t xml:space="preserve">etwork system in kerogen. It </w:t>
      </w:r>
      <w:r>
        <w:t xml:space="preserve">assumes that gas can only get adsorbed to the sidewall of the cylindrical pores. It is clear to see that when the pore size is small enough, there is only have adsorbed gas, but no free gas. With considerations of pore size distribution and pore geometry, it becomes possible to separately compute the volume occupied by free gas and adsorbed gas in kerogen based on statistical point of view. </w:t>
      </w:r>
      <w:r>
        <w:rPr>
          <w:rFonts w:hint="eastAsia"/>
          <w:lang w:eastAsia="zh-CN"/>
        </w:rPr>
        <w:t xml:space="preserve">Note that the curvature effects of the </w:t>
      </w:r>
      <w:r>
        <w:t>cylindrical pores</w:t>
      </w:r>
      <w:r>
        <w:rPr>
          <w:rFonts w:hint="eastAsia"/>
          <w:lang w:eastAsia="zh-CN"/>
        </w:rPr>
        <w:t xml:space="preserve"> have been </w:t>
      </w:r>
      <w:r>
        <w:rPr>
          <w:lang w:eastAsia="zh-CN"/>
        </w:rPr>
        <w:t>ignore</w:t>
      </w:r>
      <w:r>
        <w:rPr>
          <w:rFonts w:hint="eastAsia"/>
          <w:lang w:eastAsia="zh-CN"/>
        </w:rPr>
        <w:t xml:space="preserve">d as of now. </w:t>
      </w:r>
    </w:p>
    <w:p w14:paraId="1700B4F8" w14:textId="77777777" w:rsidR="0085272D" w:rsidRDefault="0085272D">
      <w:pPr>
        <w:jc w:val="both"/>
        <w:rPr>
          <w:lang w:eastAsia="zh-CN"/>
        </w:rPr>
      </w:pPr>
    </w:p>
    <w:p w14:paraId="112B52CE" w14:textId="77777777" w:rsidR="0085272D" w:rsidRDefault="002E3E19">
      <w:pPr>
        <w:jc w:val="both"/>
        <w:rPr>
          <w:lang w:eastAsia="zh-CN"/>
        </w:rPr>
      </w:pPr>
      <w:r w:rsidRPr="002E3E19">
        <w:rPr>
          <w:noProof/>
          <w:lang w:eastAsia="zh-CN" w:bidi="ar-SA"/>
        </w:rPr>
        <w:drawing>
          <wp:inline distT="0" distB="0" distL="0" distR="0" wp14:anchorId="47833BC0" wp14:editId="10982153">
            <wp:extent cx="5394960" cy="2089146"/>
            <wp:effectExtent l="0" t="0" r="0" b="0"/>
            <wp:docPr id="129" name="图片 129" descr="C:\Users\SJ\AppData\Local\Temp\15108244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C:\Users\SJ\AppData\Local\Temp\1510824443(1).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394960" cy="2089146"/>
                    </a:xfrm>
                    <a:prstGeom prst="rect">
                      <a:avLst/>
                    </a:prstGeom>
                    <a:noFill/>
                    <a:ln>
                      <a:noFill/>
                    </a:ln>
                  </pic:spPr>
                </pic:pic>
              </a:graphicData>
            </a:graphic>
          </wp:inline>
        </w:drawing>
      </w:r>
    </w:p>
    <w:p w14:paraId="461471F7" w14:textId="77777777" w:rsidR="0085272D" w:rsidRDefault="0096367E" w:rsidP="009609B8">
      <w:pPr>
        <w:jc w:val="center"/>
        <w:rPr>
          <w:lang w:eastAsia="zh-CN"/>
        </w:rPr>
      </w:pPr>
      <w:r>
        <w:rPr>
          <w:b/>
          <w:bCs/>
        </w:rPr>
        <w:t>Fig</w:t>
      </w:r>
      <w:r>
        <w:rPr>
          <w:rFonts w:hint="eastAsia"/>
          <w:b/>
          <w:bCs/>
          <w:lang w:eastAsia="zh-CN"/>
        </w:rPr>
        <w:t>ure 5.8</w:t>
      </w:r>
      <w:r>
        <w:rPr>
          <w:b/>
          <w:bCs/>
        </w:rPr>
        <w:t xml:space="preserve">— </w:t>
      </w:r>
      <w:r>
        <w:rPr>
          <w:b/>
        </w:rPr>
        <w:t>Pore network established by cylindrical pores with different pore sizes</w:t>
      </w:r>
    </w:p>
    <w:p w14:paraId="1964F55D" w14:textId="77777777" w:rsidR="0085272D" w:rsidRDefault="0085272D">
      <w:pPr>
        <w:jc w:val="both"/>
        <w:rPr>
          <w:lang w:eastAsia="zh-CN"/>
        </w:rPr>
      </w:pPr>
    </w:p>
    <w:p w14:paraId="5125A216" w14:textId="77777777" w:rsidR="0085272D" w:rsidRDefault="0096367E">
      <w:pPr>
        <w:jc w:val="both"/>
      </w:pPr>
      <w:r>
        <w:t xml:space="preserve">Consider a series of pores. For those pores with their sizes less than the cutoff size, all the volume is taken by adsorbed gas. In this case, the total volume occupied by adsorbed gas is the same as the void volume created by these pores, </w:t>
      </w:r>
      <w:r>
        <w:rPr>
          <w:i/>
        </w:rPr>
        <w:t>V</w:t>
      </w:r>
      <w:r>
        <w:rPr>
          <w:vertAlign w:val="subscript"/>
        </w:rPr>
        <w:t>ads,small</w:t>
      </w:r>
      <w:r>
        <w:t>, can be calculated as follows:</w:t>
      </w:r>
    </w:p>
    <w:p w14:paraId="2BC813C4" w14:textId="77777777" w:rsidR="0085272D" w:rsidRDefault="002E3E19" w:rsidP="002E3E19">
      <w:pPr>
        <w:tabs>
          <w:tab w:val="right" w:leader="dot" w:pos="8460"/>
        </w:tabs>
        <w:rPr>
          <w:lang w:eastAsia="zh-CN"/>
        </w:rPr>
      </w:pPr>
      <w:r>
        <w:rPr>
          <w:noProof/>
          <w:position w:val="-28"/>
          <w:lang w:eastAsia="zh-CN" w:bidi="ar-SA"/>
        </w:rPr>
        <w:drawing>
          <wp:inline distT="0" distB="0" distL="114300" distR="114300" wp14:anchorId="37432832" wp14:editId="2669E51A">
            <wp:extent cx="1349735" cy="542925"/>
            <wp:effectExtent l="0" t="0" r="0" b="0"/>
            <wp:docPr id="13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7"/>
                    <pic:cNvPicPr>
                      <a:picLocks noChangeAspect="1"/>
                    </pic:cNvPicPr>
                  </pic:nvPicPr>
                  <pic:blipFill>
                    <a:blip r:embed="rId138"/>
                    <a:stretch>
                      <a:fillRect/>
                    </a:stretch>
                  </pic:blipFill>
                  <pic:spPr>
                    <a:xfrm>
                      <a:off x="0" y="0"/>
                      <a:ext cx="1354166" cy="544707"/>
                    </a:xfrm>
                    <a:prstGeom prst="rect">
                      <a:avLst/>
                    </a:prstGeom>
                    <a:noFill/>
                    <a:ln w="9525">
                      <a:noFill/>
                    </a:ln>
                  </pic:spPr>
                </pic:pic>
              </a:graphicData>
            </a:graphic>
          </wp:inline>
        </w:drawing>
      </w:r>
      <w:r>
        <w:rPr>
          <w:lang w:eastAsia="zh-CN"/>
        </w:rPr>
        <w:tab/>
        <w:t>(5.8)</w:t>
      </w:r>
    </w:p>
    <w:p w14:paraId="35AAFDA7" w14:textId="77777777" w:rsidR="0085272D" w:rsidRDefault="0096367E">
      <w:pPr>
        <w:jc w:val="both"/>
      </w:pPr>
      <w:r>
        <w:t xml:space="preserve">Where n is the total number of pores with diameters less the cutoff size, </w:t>
      </w:r>
      <w:r>
        <w:rPr>
          <w:i/>
        </w:rPr>
        <w:t>D</w:t>
      </w:r>
      <w:r>
        <w:rPr>
          <w:vertAlign w:val="subscript"/>
        </w:rPr>
        <w:t>i</w:t>
      </w:r>
      <w:r>
        <w:t xml:space="preserve"> is the pore diameter for the </w:t>
      </w:r>
      <w:r>
        <w:rPr>
          <w:i/>
        </w:rPr>
        <w:t>i</w:t>
      </w:r>
      <w:r>
        <w:t xml:space="preserve">th pore. For the pores with their sizes larger than the cutoff size, the volume taken by the adsorbed gas, </w:t>
      </w:r>
      <w:r>
        <w:rPr>
          <w:i/>
        </w:rPr>
        <w:t>V</w:t>
      </w:r>
      <w:r>
        <w:rPr>
          <w:vertAlign w:val="subscript"/>
        </w:rPr>
        <w:t>ads,large</w:t>
      </w:r>
      <w:r>
        <w:t>, can be computed as:</w:t>
      </w:r>
    </w:p>
    <w:p w14:paraId="7BD1B306" w14:textId="77777777" w:rsidR="0085272D" w:rsidRDefault="002E3E19" w:rsidP="002E3E19">
      <w:pPr>
        <w:tabs>
          <w:tab w:val="right" w:leader="dot" w:pos="8460"/>
        </w:tabs>
        <w:rPr>
          <w:lang w:eastAsia="zh-CN"/>
        </w:rPr>
      </w:pPr>
      <w:r>
        <w:rPr>
          <w:noProof/>
          <w:position w:val="-38"/>
          <w:lang w:eastAsia="zh-CN" w:bidi="ar-SA"/>
        </w:rPr>
        <w:drawing>
          <wp:inline distT="0" distB="0" distL="114300" distR="114300" wp14:anchorId="4786CF3E" wp14:editId="19C94B3A">
            <wp:extent cx="2238190" cy="552450"/>
            <wp:effectExtent l="0" t="0" r="0" b="0"/>
            <wp:docPr id="13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78"/>
                    <pic:cNvPicPr>
                      <a:picLocks noChangeAspect="1"/>
                    </pic:cNvPicPr>
                  </pic:nvPicPr>
                  <pic:blipFill>
                    <a:blip r:embed="rId139"/>
                    <a:stretch>
                      <a:fillRect/>
                    </a:stretch>
                  </pic:blipFill>
                  <pic:spPr>
                    <a:xfrm>
                      <a:off x="0" y="0"/>
                      <a:ext cx="2241310" cy="553220"/>
                    </a:xfrm>
                    <a:prstGeom prst="rect">
                      <a:avLst/>
                    </a:prstGeom>
                    <a:noFill/>
                    <a:ln w="9525">
                      <a:noFill/>
                    </a:ln>
                  </pic:spPr>
                </pic:pic>
              </a:graphicData>
            </a:graphic>
          </wp:inline>
        </w:drawing>
      </w:r>
      <w:r>
        <w:rPr>
          <w:lang w:eastAsia="zh-CN"/>
        </w:rPr>
        <w:tab/>
        <w:t>(5.9)</w:t>
      </w:r>
    </w:p>
    <w:p w14:paraId="36CDF8B2" w14:textId="77777777" w:rsidR="0085272D" w:rsidRPr="00AF44AE" w:rsidRDefault="0096367E" w:rsidP="00AF44AE">
      <w:pPr>
        <w:rPr>
          <w:rFonts w:ascii="Times New Roman" w:hAnsi="Times New Roman"/>
          <w:lang w:eastAsia="zh-CN" w:bidi="ar-SA"/>
        </w:rPr>
      </w:pPr>
      <w:r>
        <w:t xml:space="preserve">Where m is the total number of pores with diameters greater the cutoff size, </w:t>
      </w:r>
      <w:r>
        <w:rPr>
          <w:i/>
        </w:rPr>
        <w:t>D</w:t>
      </w:r>
      <w:r>
        <w:rPr>
          <w:vertAlign w:val="subscript"/>
        </w:rPr>
        <w:t>j</w:t>
      </w:r>
      <w:r>
        <w:t xml:space="preserve"> is the pore diameter for the </w:t>
      </w:r>
      <w:r>
        <w:rPr>
          <w:i/>
        </w:rPr>
        <w:t>j</w:t>
      </w:r>
      <w:r>
        <w:t xml:space="preserve">th pore and </w:t>
      </w:r>
      <w:r>
        <w:rPr>
          <w:i/>
        </w:rPr>
        <w:t>t</w:t>
      </w:r>
      <w:r>
        <w:t xml:space="preserve"> represents the adsorption film thickness obtained from SLD-PR model. Thus the total volume occupied by adsorbed gas is the summation of </w:t>
      </w:r>
      <w:r>
        <w:rPr>
          <w:i/>
        </w:rPr>
        <w:t>V</w:t>
      </w:r>
      <w:r>
        <w:rPr>
          <w:vertAlign w:val="subscript"/>
        </w:rPr>
        <w:t xml:space="preserve">ads,small </w:t>
      </w:r>
      <w:r>
        <w:t xml:space="preserve">and </w:t>
      </w:r>
      <w:r>
        <w:rPr>
          <w:i/>
        </w:rPr>
        <w:t>V</w:t>
      </w:r>
      <w:r>
        <w:rPr>
          <w:vertAlign w:val="subscript"/>
        </w:rPr>
        <w:t>ads,large</w:t>
      </w:r>
      <w:r>
        <w:t>.</w:t>
      </w:r>
      <w:r w:rsidR="00AF44AE" w:rsidRPr="00AF44AE">
        <w:t xml:space="preserve"> </w:t>
      </w:r>
    </w:p>
    <w:p w14:paraId="16CAA6E6" w14:textId="77777777" w:rsidR="002E3E19" w:rsidRDefault="002E3E19" w:rsidP="002E3E19">
      <w:pPr>
        <w:tabs>
          <w:tab w:val="right" w:leader="dot" w:pos="8460"/>
        </w:tabs>
        <w:rPr>
          <w:lang w:eastAsia="zh-CN"/>
        </w:rPr>
      </w:pPr>
      <w:r>
        <w:rPr>
          <w:noProof/>
          <w:position w:val="-14"/>
          <w:lang w:eastAsia="zh-CN" w:bidi="ar-SA"/>
        </w:rPr>
        <w:drawing>
          <wp:inline distT="0" distB="0" distL="114300" distR="114300" wp14:anchorId="5A57B168" wp14:editId="713DCB9A">
            <wp:extent cx="1797316" cy="285750"/>
            <wp:effectExtent l="0" t="0" r="0" b="0"/>
            <wp:docPr id="13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9"/>
                    <pic:cNvPicPr>
                      <a:picLocks noChangeAspect="1"/>
                    </pic:cNvPicPr>
                  </pic:nvPicPr>
                  <pic:blipFill>
                    <a:blip r:embed="rId140"/>
                    <a:stretch>
                      <a:fillRect/>
                    </a:stretch>
                  </pic:blipFill>
                  <pic:spPr>
                    <a:xfrm>
                      <a:off x="0" y="0"/>
                      <a:ext cx="1800914" cy="286322"/>
                    </a:xfrm>
                    <a:prstGeom prst="rect">
                      <a:avLst/>
                    </a:prstGeom>
                    <a:noFill/>
                    <a:ln w="9525">
                      <a:noFill/>
                    </a:ln>
                  </pic:spPr>
                </pic:pic>
              </a:graphicData>
            </a:graphic>
          </wp:inline>
        </w:drawing>
      </w:r>
      <w:r>
        <w:rPr>
          <w:lang w:eastAsia="zh-CN"/>
        </w:rPr>
        <w:tab/>
        <w:t>(5.10)</w:t>
      </w:r>
    </w:p>
    <w:p w14:paraId="77717E0C" w14:textId="77777777" w:rsidR="0085272D" w:rsidRDefault="0096367E">
      <w:pPr>
        <w:jc w:val="both"/>
      </w:pPr>
      <w:r>
        <w:t xml:space="preserve">Once the adsorbed gas volume has been obtained, the amount of free gas in kerogen, </w:t>
      </w:r>
      <w:r>
        <w:rPr>
          <w:i/>
        </w:rPr>
        <w:t>G</w:t>
      </w:r>
      <w:r>
        <w:rPr>
          <w:vertAlign w:val="subscript"/>
        </w:rPr>
        <w:t>f,org</w:t>
      </w:r>
      <w:r>
        <w:t>,</w:t>
      </w:r>
      <w:r w:rsidR="00852FF2">
        <w:t xml:space="preserve"> can be solved from Equation 5.6</w:t>
      </w:r>
      <w:r>
        <w:t xml:space="preserve">. In order to calculate the amount of adsorbed gas, </w:t>
      </w:r>
      <w:r>
        <w:rPr>
          <w:i/>
        </w:rPr>
        <w:t>G</w:t>
      </w:r>
      <w:r>
        <w:rPr>
          <w:vertAlign w:val="subscript"/>
        </w:rPr>
        <w:t>ads</w:t>
      </w:r>
      <w:r>
        <w:t xml:space="preserve">, the properties of the adsorbed gas, including density and fluid composition, needs to be solved from SLD-PR model first. However, as discussed previously, these properties may vary from pores to pores with different sizes. To accurately compute </w:t>
      </w:r>
      <w:r>
        <w:rPr>
          <w:i/>
        </w:rPr>
        <w:t>G</w:t>
      </w:r>
      <w:r>
        <w:rPr>
          <w:vertAlign w:val="subscript"/>
        </w:rPr>
        <w:t>ads</w:t>
      </w:r>
      <w:r>
        <w:t>, the amount of adsorbed gas in each single pore is accumulated:</w:t>
      </w:r>
    </w:p>
    <w:p w14:paraId="57FD90EA" w14:textId="77777777" w:rsidR="002E3E19" w:rsidRDefault="002E3E19" w:rsidP="002E3E19">
      <w:pPr>
        <w:tabs>
          <w:tab w:val="right" w:leader="dot" w:pos="8460"/>
        </w:tabs>
        <w:rPr>
          <w:lang w:eastAsia="zh-CN"/>
        </w:rPr>
      </w:pPr>
      <w:r>
        <w:rPr>
          <w:noProof/>
          <w:position w:val="-34"/>
          <w:lang w:eastAsia="zh-CN" w:bidi="ar-SA"/>
        </w:rPr>
        <w:drawing>
          <wp:inline distT="0" distB="0" distL="114300" distR="114300" wp14:anchorId="6AB8D791" wp14:editId="5032C2FF">
            <wp:extent cx="2753687" cy="533400"/>
            <wp:effectExtent l="0" t="0" r="0" b="0"/>
            <wp:docPr id="13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80"/>
                    <pic:cNvPicPr>
                      <a:picLocks noChangeAspect="1"/>
                    </pic:cNvPicPr>
                  </pic:nvPicPr>
                  <pic:blipFill>
                    <a:blip r:embed="rId141"/>
                    <a:stretch>
                      <a:fillRect/>
                    </a:stretch>
                  </pic:blipFill>
                  <pic:spPr>
                    <a:xfrm>
                      <a:off x="0" y="0"/>
                      <a:ext cx="2755418" cy="533735"/>
                    </a:xfrm>
                    <a:prstGeom prst="rect">
                      <a:avLst/>
                    </a:prstGeom>
                    <a:noFill/>
                    <a:ln w="9525">
                      <a:noFill/>
                    </a:ln>
                  </pic:spPr>
                </pic:pic>
              </a:graphicData>
            </a:graphic>
          </wp:inline>
        </w:drawing>
      </w:r>
      <w:r>
        <w:rPr>
          <w:lang w:eastAsia="zh-CN"/>
        </w:rPr>
        <w:tab/>
        <w:t>(5.11)</w:t>
      </w:r>
    </w:p>
    <w:p w14:paraId="35AD32E8" w14:textId="77777777" w:rsidR="0085272D" w:rsidRDefault="0096367E">
      <w:pPr>
        <w:contextualSpacing/>
        <w:jc w:val="both"/>
      </w:pPr>
      <w:r>
        <w:t xml:space="preserve">Note that when the total number of pores, </w:t>
      </w:r>
      <w:r>
        <w:rPr>
          <w:i/>
        </w:rPr>
        <w:t>n</w:t>
      </w:r>
      <w:r>
        <w:t>+</w:t>
      </w:r>
      <w:r>
        <w:rPr>
          <w:i/>
        </w:rPr>
        <w:t>m</w:t>
      </w:r>
      <w:r>
        <w:t xml:space="preserve">, is larger. Equations </w:t>
      </w:r>
      <w:r w:rsidR="00852FF2">
        <w:t>5.9</w:t>
      </w:r>
      <w:r>
        <w:t xml:space="preserve"> and </w:t>
      </w:r>
      <w:r w:rsidR="00852FF2">
        <w:t>5.11</w:t>
      </w:r>
      <w:r>
        <w:t xml:space="preserve"> can become time consuming. In such case, one can set up a few reference values of the each of the parameters (pore volume, adsorbed gas density and composition, etc.) calculated from chosen pore sizes, so these values from the rest of the pore sizes can be interpolated. Once </w:t>
      </w:r>
      <w:r>
        <w:rPr>
          <w:i/>
        </w:rPr>
        <w:t>G</w:t>
      </w:r>
      <w:r>
        <w:rPr>
          <w:vertAlign w:val="subscript"/>
        </w:rPr>
        <w:t>ads</w:t>
      </w:r>
      <w:r>
        <w:t xml:space="preserve">, </w:t>
      </w:r>
      <w:r>
        <w:rPr>
          <w:i/>
        </w:rPr>
        <w:t>G</w:t>
      </w:r>
      <w:r>
        <w:rPr>
          <w:vertAlign w:val="subscript"/>
        </w:rPr>
        <w:t>f,org</w:t>
      </w:r>
      <w:r>
        <w:t xml:space="preserve"> and </w:t>
      </w:r>
      <w:r>
        <w:rPr>
          <w:i/>
        </w:rPr>
        <w:t>G</w:t>
      </w:r>
      <w:r>
        <w:rPr>
          <w:vertAlign w:val="subscript"/>
        </w:rPr>
        <w:t xml:space="preserve">f,inorg </w:t>
      </w:r>
      <w:r w:rsidR="00852FF2">
        <w:t>are calculated from Equations 5.5, 5.6 and 5.11</w:t>
      </w:r>
      <w:r>
        <w:t>, the total G</w:t>
      </w:r>
      <w:r w:rsidR="00852FF2">
        <w:t>IP is obtained from Equation 5.1</w:t>
      </w:r>
      <w:r>
        <w:t>.</w:t>
      </w:r>
    </w:p>
    <w:p w14:paraId="5086B636" w14:textId="77777777" w:rsidR="0085272D" w:rsidRDefault="0085272D"/>
    <w:p w14:paraId="5B091DD7" w14:textId="77777777" w:rsidR="0085272D" w:rsidRDefault="0085272D"/>
    <w:p w14:paraId="07CAB459" w14:textId="77777777" w:rsidR="00AF44AE" w:rsidRDefault="00AF44AE"/>
    <w:p w14:paraId="06757BC0" w14:textId="77777777" w:rsidR="00AF44AE" w:rsidRDefault="00AF44AE"/>
    <w:p w14:paraId="641917D1" w14:textId="77777777" w:rsidR="0085272D" w:rsidRDefault="0096367E" w:rsidP="00764EEC">
      <w:pPr>
        <w:pStyle w:val="Head1"/>
        <w:outlineLvl w:val="1"/>
        <w:rPr>
          <w:rFonts w:asciiTheme="majorHAnsi" w:hAnsiTheme="majorHAnsi"/>
          <w:bCs/>
          <w:iCs/>
          <w:szCs w:val="28"/>
          <w:lang w:eastAsia="zh-CN"/>
        </w:rPr>
      </w:pPr>
      <w:bookmarkStart w:id="47" w:name="_Toc508114163"/>
      <w:r>
        <w:rPr>
          <w:rFonts w:asciiTheme="majorHAnsi" w:hAnsiTheme="majorHAnsi" w:hint="eastAsia"/>
          <w:bCs/>
          <w:iCs/>
          <w:szCs w:val="28"/>
          <w:lang w:eastAsia="zh-CN"/>
        </w:rPr>
        <w:t>5.5 Eagle Ford Shale Play</w:t>
      </w:r>
      <w:bookmarkEnd w:id="47"/>
    </w:p>
    <w:p w14:paraId="31B38711" w14:textId="02FE3198" w:rsidR="0085272D" w:rsidRDefault="0096367E">
      <w:pPr>
        <w:spacing w:after="240"/>
        <w:jc w:val="both"/>
      </w:pPr>
      <w:r>
        <w:t>We select the Eagle Ford shale play to investigate the total gas capacity by using the proposed new method. The Eagle Ford shale play is located at the Western Gulf basin in south Texas. It lies between the deeper Buda limestone and the shallower Austin Chalk formation, with depth in the range of [4,000</w:t>
      </w:r>
      <w:r w:rsidR="008179FE">
        <w:t xml:space="preserve">-to </w:t>
      </w:r>
      <w:r>
        <w:t xml:space="preserve">13,000] ft. From northwest to southeast and from the shallow zone to the deep zone, it covers all hydrocarbon windows, i.e. oil window, condensate window, and gas window. The condensate window is located at the middle of the shale play, seen in </w:t>
      </w:r>
      <w:r>
        <w:rPr>
          <w:rFonts w:hint="eastAsia"/>
          <w:b/>
          <w:lang w:eastAsia="zh-CN"/>
        </w:rPr>
        <w:t>Figure</w:t>
      </w:r>
      <w:r>
        <w:rPr>
          <w:b/>
        </w:rPr>
        <w:t xml:space="preserve"> </w:t>
      </w:r>
      <w:r w:rsidR="00852FF2">
        <w:rPr>
          <w:b/>
        </w:rPr>
        <w:t>5.9</w:t>
      </w:r>
      <w:r>
        <w:t>. The depth of the condensate window is in the range of [9,000</w:t>
      </w:r>
      <w:r w:rsidR="008179FE">
        <w:t xml:space="preserve">-to </w:t>
      </w:r>
      <w:r>
        <w:t>10,000] ft. The average pay zone thickness is approximately 250 ft. Its temperature is in the range of [263</w:t>
      </w:r>
      <w:r w:rsidR="009864D8">
        <w:t xml:space="preserve">-to </w:t>
      </w:r>
      <w:r>
        <w:t xml:space="preserve">280] °F. The total organic content (TOC) of the Eagle Ford shale play is of 1% to 7%, and the porosity is in the range of 2 – 11% (Walls et al., 2011). </w:t>
      </w:r>
      <w:r>
        <w:rPr>
          <w:b/>
        </w:rPr>
        <w:t xml:space="preserve">Table </w:t>
      </w:r>
      <w:r>
        <w:rPr>
          <w:rFonts w:hint="eastAsia"/>
          <w:b/>
          <w:lang w:eastAsia="zh-CN"/>
        </w:rPr>
        <w:t>5</w:t>
      </w:r>
      <w:r w:rsidR="00852FF2">
        <w:rPr>
          <w:b/>
          <w:lang w:eastAsia="zh-CN"/>
        </w:rPr>
        <w:t>.1</w:t>
      </w:r>
      <w:r>
        <w:t xml:space="preserve"> gives the petrophysical and reservoir properties adopted for calculations. The pore size distributions of core samples of the Eagle Ford shale play have been derived by the NMR logging method, the nitrogen adsorption/desorption isotherm method, and the scanning electron microscope (SEM) method. The SEM study showed the SEM images of both kerogen pores and non-organic pores. The analysis results show that the pore sizes of organic pores and non-organic pores are in range of a few nm to a few microns (Walls et al., 2011; Rine, 2011). The average pore size used in the study is 20 nm, with a standard deviation of 10 nm.</w:t>
      </w:r>
    </w:p>
    <w:p w14:paraId="4F515E5B" w14:textId="77777777" w:rsidR="00852FF2" w:rsidRDefault="00852FF2" w:rsidP="00852FF2">
      <w:pPr>
        <w:contextualSpacing/>
        <w:jc w:val="center"/>
        <w:rPr>
          <w:sz w:val="20"/>
        </w:rPr>
      </w:pPr>
      <w:r w:rsidRPr="00A476D7">
        <w:rPr>
          <w:bCs/>
          <w:noProof/>
          <w:lang w:eastAsia="zh-CN" w:bidi="ar-SA"/>
        </w:rPr>
        <w:drawing>
          <wp:inline distT="0" distB="0" distL="0" distR="0" wp14:anchorId="466F8B00" wp14:editId="40345B16">
            <wp:extent cx="4468483" cy="3397805"/>
            <wp:effectExtent l="0" t="0" r="889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474883" cy="3402671"/>
                    </a:xfrm>
                    <a:prstGeom prst="rect">
                      <a:avLst/>
                    </a:prstGeom>
                    <a:noFill/>
                    <a:ln>
                      <a:noFill/>
                    </a:ln>
                  </pic:spPr>
                </pic:pic>
              </a:graphicData>
            </a:graphic>
          </wp:inline>
        </w:drawing>
      </w:r>
    </w:p>
    <w:p w14:paraId="7F9DB853" w14:textId="77777777" w:rsidR="00852FF2" w:rsidRDefault="00852FF2" w:rsidP="00852FF2">
      <w:pPr>
        <w:contextualSpacing/>
        <w:jc w:val="center"/>
        <w:rPr>
          <w:sz w:val="20"/>
        </w:rPr>
      </w:pPr>
    </w:p>
    <w:p w14:paraId="60B53E3D" w14:textId="77777777" w:rsidR="00852FF2" w:rsidRDefault="00852FF2" w:rsidP="00852FF2">
      <w:pPr>
        <w:contextualSpacing/>
        <w:jc w:val="center"/>
        <w:rPr>
          <w:b/>
        </w:rPr>
      </w:pPr>
      <w:r>
        <w:rPr>
          <w:b/>
        </w:rPr>
        <w:t>Figure 5.9</w:t>
      </w:r>
      <w:r w:rsidRPr="0028788E">
        <w:rPr>
          <w:b/>
        </w:rPr>
        <w:t>— Eagle Ford hydrocarbon windows, source from EIA</w:t>
      </w:r>
    </w:p>
    <w:p w14:paraId="24218E31" w14:textId="77777777" w:rsidR="00852FF2" w:rsidRDefault="00852FF2" w:rsidP="00852FF2">
      <w:pPr>
        <w:contextualSpacing/>
        <w:jc w:val="center"/>
        <w:rPr>
          <w:b/>
        </w:rPr>
      </w:pPr>
    </w:p>
    <w:p w14:paraId="3658B416" w14:textId="77777777" w:rsidR="00AF44AE" w:rsidRDefault="00AF44AE" w:rsidP="00852FF2">
      <w:pPr>
        <w:contextualSpacing/>
        <w:jc w:val="center"/>
        <w:rPr>
          <w:b/>
        </w:rPr>
      </w:pPr>
    </w:p>
    <w:tbl>
      <w:tblPr>
        <w:tblStyle w:val="TableGrid"/>
        <w:tblW w:w="0" w:type="auto"/>
        <w:jc w:val="center"/>
        <w:tblLook w:val="04A0" w:firstRow="1" w:lastRow="0" w:firstColumn="1" w:lastColumn="0" w:noHBand="0" w:noVBand="1"/>
      </w:tblPr>
      <w:tblGrid>
        <w:gridCol w:w="1700"/>
        <w:gridCol w:w="1697"/>
        <w:gridCol w:w="1696"/>
        <w:gridCol w:w="1696"/>
        <w:gridCol w:w="1697"/>
      </w:tblGrid>
      <w:tr w:rsidR="00852FF2" w14:paraId="467F6B2D" w14:textId="77777777" w:rsidTr="008A1146">
        <w:trPr>
          <w:trHeight w:val="640"/>
          <w:jc w:val="center"/>
        </w:trPr>
        <w:tc>
          <w:tcPr>
            <w:tcW w:w="8501" w:type="dxa"/>
            <w:gridSpan w:val="5"/>
            <w:tcBorders>
              <w:bottom w:val="single" w:sz="4" w:space="0" w:color="auto"/>
            </w:tcBorders>
            <w:vAlign w:val="center"/>
          </w:tcPr>
          <w:p w14:paraId="04017202" w14:textId="4EDA469A" w:rsidR="00852FF2" w:rsidRDefault="00852FF2" w:rsidP="008A1146">
            <w:pPr>
              <w:contextualSpacing/>
              <w:jc w:val="center"/>
            </w:pPr>
            <w:r>
              <w:rPr>
                <w:b/>
              </w:rPr>
              <w:t>TABLE 5.1</w:t>
            </w:r>
            <w:r w:rsidRPr="00A424C7">
              <w:rPr>
                <w:b/>
              </w:rPr>
              <w:t>—</w:t>
            </w:r>
            <w:r w:rsidR="00411DF7">
              <w:rPr>
                <w:b/>
              </w:rPr>
              <w:t>Effects of temperature on gas storage</w:t>
            </w:r>
          </w:p>
        </w:tc>
      </w:tr>
      <w:tr w:rsidR="00852FF2" w14:paraId="71A06954" w14:textId="77777777" w:rsidTr="008A1146">
        <w:trPr>
          <w:trHeight w:val="640"/>
          <w:jc w:val="center"/>
        </w:trPr>
        <w:tc>
          <w:tcPr>
            <w:tcW w:w="1700" w:type="dxa"/>
            <w:tcBorders>
              <w:bottom w:val="nil"/>
              <w:right w:val="single" w:sz="4" w:space="0" w:color="auto"/>
            </w:tcBorders>
            <w:vAlign w:val="center"/>
          </w:tcPr>
          <w:p w14:paraId="213F7CE2" w14:textId="77777777" w:rsidR="00852FF2" w:rsidRPr="00F01F96" w:rsidRDefault="00852FF2" w:rsidP="008A1146">
            <w:pPr>
              <w:contextualSpacing/>
              <w:jc w:val="center"/>
              <w:rPr>
                <w:u w:val="thick"/>
              </w:rPr>
            </w:pPr>
            <w:r w:rsidRPr="00F01F96">
              <w:rPr>
                <w:u w:val="thick"/>
              </w:rPr>
              <w:t>Temperature, °F</w:t>
            </w:r>
          </w:p>
        </w:tc>
        <w:tc>
          <w:tcPr>
            <w:tcW w:w="1700" w:type="dxa"/>
            <w:tcBorders>
              <w:left w:val="single" w:sz="4" w:space="0" w:color="auto"/>
              <w:bottom w:val="nil"/>
              <w:right w:val="nil"/>
            </w:tcBorders>
            <w:vAlign w:val="center"/>
          </w:tcPr>
          <w:p w14:paraId="1BA6B448" w14:textId="77777777" w:rsidR="00852FF2" w:rsidRPr="00F01F96" w:rsidRDefault="00852FF2" w:rsidP="008A1146">
            <w:pPr>
              <w:contextualSpacing/>
              <w:jc w:val="center"/>
              <w:rPr>
                <w:u w:val="thick"/>
              </w:rPr>
            </w:pPr>
            <w:r w:rsidRPr="00F01F96">
              <w:rPr>
                <w:u w:val="thick"/>
              </w:rPr>
              <w:t>G</w:t>
            </w:r>
            <w:r w:rsidRPr="00F01F96">
              <w:rPr>
                <w:u w:val="thick"/>
                <w:vertAlign w:val="subscript"/>
              </w:rPr>
              <w:t>st</w:t>
            </w:r>
            <w:r w:rsidRPr="00F01F96">
              <w:rPr>
                <w:u w:val="thick"/>
              </w:rPr>
              <w:t>, scf/ton</w:t>
            </w:r>
          </w:p>
        </w:tc>
        <w:tc>
          <w:tcPr>
            <w:tcW w:w="1700" w:type="dxa"/>
            <w:tcBorders>
              <w:left w:val="nil"/>
              <w:bottom w:val="nil"/>
              <w:right w:val="nil"/>
            </w:tcBorders>
            <w:vAlign w:val="center"/>
          </w:tcPr>
          <w:p w14:paraId="655F0140" w14:textId="77777777" w:rsidR="00852FF2" w:rsidRPr="00F01F96" w:rsidRDefault="00852FF2" w:rsidP="008A1146">
            <w:pPr>
              <w:contextualSpacing/>
              <w:jc w:val="center"/>
              <w:rPr>
                <w:u w:val="thick"/>
                <w:vertAlign w:val="subscript"/>
              </w:rPr>
            </w:pPr>
            <w:r w:rsidRPr="00F01F96">
              <w:rPr>
                <w:u w:val="thick"/>
              </w:rPr>
              <w:t>G</w:t>
            </w:r>
            <w:r w:rsidRPr="00F01F96">
              <w:rPr>
                <w:u w:val="thick"/>
                <w:vertAlign w:val="subscript"/>
              </w:rPr>
              <w:t>f,inorg</w:t>
            </w:r>
            <w:r w:rsidRPr="00F01F96">
              <w:rPr>
                <w:u w:val="thick"/>
              </w:rPr>
              <w:t>, scf/ton</w:t>
            </w:r>
          </w:p>
        </w:tc>
        <w:tc>
          <w:tcPr>
            <w:tcW w:w="1700" w:type="dxa"/>
            <w:tcBorders>
              <w:left w:val="nil"/>
              <w:bottom w:val="nil"/>
              <w:right w:val="nil"/>
            </w:tcBorders>
            <w:vAlign w:val="center"/>
          </w:tcPr>
          <w:p w14:paraId="08BFDEF4" w14:textId="77777777" w:rsidR="00852FF2" w:rsidRPr="00F01F96" w:rsidRDefault="00852FF2" w:rsidP="008A1146">
            <w:pPr>
              <w:contextualSpacing/>
              <w:jc w:val="center"/>
              <w:rPr>
                <w:u w:val="thick"/>
                <w:vertAlign w:val="subscript"/>
              </w:rPr>
            </w:pPr>
            <w:r w:rsidRPr="00F01F96">
              <w:rPr>
                <w:u w:val="thick"/>
              </w:rPr>
              <w:t>G</w:t>
            </w:r>
            <w:r w:rsidRPr="00F01F96">
              <w:rPr>
                <w:u w:val="thick"/>
                <w:vertAlign w:val="subscript"/>
              </w:rPr>
              <w:t>f,org</w:t>
            </w:r>
            <w:r w:rsidRPr="00F01F96">
              <w:rPr>
                <w:u w:val="thick"/>
              </w:rPr>
              <w:t>, scf/ton</w:t>
            </w:r>
          </w:p>
        </w:tc>
        <w:tc>
          <w:tcPr>
            <w:tcW w:w="1701" w:type="dxa"/>
            <w:tcBorders>
              <w:left w:val="nil"/>
              <w:bottom w:val="nil"/>
            </w:tcBorders>
            <w:vAlign w:val="center"/>
          </w:tcPr>
          <w:p w14:paraId="43D8DCEE" w14:textId="77777777" w:rsidR="00852FF2" w:rsidRPr="00F01F96" w:rsidRDefault="00852FF2" w:rsidP="008A1146">
            <w:pPr>
              <w:contextualSpacing/>
              <w:jc w:val="center"/>
              <w:rPr>
                <w:u w:val="thick"/>
                <w:vertAlign w:val="subscript"/>
              </w:rPr>
            </w:pPr>
            <w:r w:rsidRPr="00F01F96">
              <w:rPr>
                <w:u w:val="thick"/>
              </w:rPr>
              <w:t>G</w:t>
            </w:r>
            <w:r w:rsidRPr="00F01F96">
              <w:rPr>
                <w:u w:val="thick"/>
                <w:vertAlign w:val="subscript"/>
              </w:rPr>
              <w:t>ads</w:t>
            </w:r>
            <w:r w:rsidRPr="00F01F96">
              <w:rPr>
                <w:u w:val="thick"/>
              </w:rPr>
              <w:t>, scf/ton</w:t>
            </w:r>
          </w:p>
        </w:tc>
      </w:tr>
      <w:tr w:rsidR="00852FF2" w14:paraId="23D498C6" w14:textId="77777777" w:rsidTr="008A1146">
        <w:trPr>
          <w:trHeight w:val="601"/>
          <w:jc w:val="center"/>
        </w:trPr>
        <w:tc>
          <w:tcPr>
            <w:tcW w:w="1700" w:type="dxa"/>
            <w:tcBorders>
              <w:top w:val="nil"/>
              <w:bottom w:val="nil"/>
              <w:right w:val="single" w:sz="4" w:space="0" w:color="auto"/>
            </w:tcBorders>
            <w:vAlign w:val="center"/>
          </w:tcPr>
          <w:p w14:paraId="31F5B7AC" w14:textId="77777777" w:rsidR="00852FF2" w:rsidRPr="00C0702D" w:rsidRDefault="00852FF2" w:rsidP="008A1146">
            <w:pPr>
              <w:contextualSpacing/>
              <w:jc w:val="center"/>
            </w:pPr>
            <w:r w:rsidRPr="00C0702D">
              <w:t>270</w:t>
            </w:r>
          </w:p>
        </w:tc>
        <w:tc>
          <w:tcPr>
            <w:tcW w:w="1700" w:type="dxa"/>
            <w:tcBorders>
              <w:top w:val="nil"/>
              <w:left w:val="single" w:sz="4" w:space="0" w:color="auto"/>
              <w:bottom w:val="nil"/>
              <w:right w:val="nil"/>
            </w:tcBorders>
            <w:vAlign w:val="center"/>
          </w:tcPr>
          <w:p w14:paraId="3A941A93" w14:textId="77777777" w:rsidR="00852FF2" w:rsidRPr="00C0702D" w:rsidRDefault="00852FF2" w:rsidP="008A1146">
            <w:pPr>
              <w:jc w:val="center"/>
              <w:rPr>
                <w:color w:val="000000"/>
              </w:rPr>
            </w:pPr>
            <w:r w:rsidRPr="00C0702D">
              <w:rPr>
                <w:color w:val="000000"/>
              </w:rPr>
              <w:t>128.4</w:t>
            </w:r>
          </w:p>
        </w:tc>
        <w:tc>
          <w:tcPr>
            <w:tcW w:w="1700" w:type="dxa"/>
            <w:tcBorders>
              <w:top w:val="nil"/>
              <w:left w:val="nil"/>
              <w:bottom w:val="nil"/>
              <w:right w:val="nil"/>
            </w:tcBorders>
            <w:vAlign w:val="center"/>
          </w:tcPr>
          <w:p w14:paraId="5ECC521E" w14:textId="77777777" w:rsidR="00852FF2" w:rsidRPr="00C0702D" w:rsidRDefault="00852FF2" w:rsidP="008A1146">
            <w:pPr>
              <w:jc w:val="center"/>
              <w:rPr>
                <w:color w:val="000000"/>
              </w:rPr>
            </w:pPr>
            <w:r w:rsidRPr="00C0702D">
              <w:rPr>
                <w:color w:val="000000"/>
              </w:rPr>
              <w:t>37.2</w:t>
            </w:r>
          </w:p>
        </w:tc>
        <w:tc>
          <w:tcPr>
            <w:tcW w:w="1700" w:type="dxa"/>
            <w:tcBorders>
              <w:top w:val="nil"/>
              <w:left w:val="nil"/>
              <w:bottom w:val="nil"/>
              <w:right w:val="nil"/>
            </w:tcBorders>
            <w:vAlign w:val="center"/>
          </w:tcPr>
          <w:p w14:paraId="5F772522" w14:textId="77777777" w:rsidR="00852FF2" w:rsidRPr="00C0702D" w:rsidRDefault="00852FF2" w:rsidP="008A1146">
            <w:pPr>
              <w:jc w:val="center"/>
              <w:rPr>
                <w:color w:val="000000"/>
              </w:rPr>
            </w:pPr>
            <w:r w:rsidRPr="00C0702D">
              <w:rPr>
                <w:color w:val="000000"/>
              </w:rPr>
              <w:t>50.0</w:t>
            </w:r>
          </w:p>
        </w:tc>
        <w:tc>
          <w:tcPr>
            <w:tcW w:w="1701" w:type="dxa"/>
            <w:tcBorders>
              <w:top w:val="nil"/>
              <w:left w:val="nil"/>
              <w:bottom w:val="nil"/>
            </w:tcBorders>
            <w:vAlign w:val="center"/>
          </w:tcPr>
          <w:p w14:paraId="78D87A31" w14:textId="77777777" w:rsidR="00852FF2" w:rsidRPr="00C0702D" w:rsidRDefault="00852FF2" w:rsidP="008A1146">
            <w:pPr>
              <w:jc w:val="center"/>
              <w:rPr>
                <w:color w:val="000000"/>
              </w:rPr>
            </w:pPr>
            <w:r w:rsidRPr="00C0702D">
              <w:rPr>
                <w:color w:val="000000"/>
              </w:rPr>
              <w:t>41.2</w:t>
            </w:r>
          </w:p>
        </w:tc>
      </w:tr>
      <w:tr w:rsidR="00852FF2" w14:paraId="47FF11B9" w14:textId="77777777" w:rsidTr="008A1146">
        <w:trPr>
          <w:trHeight w:val="640"/>
          <w:jc w:val="center"/>
        </w:trPr>
        <w:tc>
          <w:tcPr>
            <w:tcW w:w="1700" w:type="dxa"/>
            <w:tcBorders>
              <w:top w:val="nil"/>
              <w:bottom w:val="nil"/>
              <w:right w:val="single" w:sz="4" w:space="0" w:color="auto"/>
            </w:tcBorders>
            <w:vAlign w:val="center"/>
          </w:tcPr>
          <w:p w14:paraId="2DF597DB" w14:textId="77777777" w:rsidR="00852FF2" w:rsidRPr="00C0702D" w:rsidRDefault="00852FF2" w:rsidP="008A1146">
            <w:pPr>
              <w:contextualSpacing/>
              <w:jc w:val="center"/>
            </w:pPr>
            <w:r w:rsidRPr="00C0702D">
              <w:t>280</w:t>
            </w:r>
          </w:p>
        </w:tc>
        <w:tc>
          <w:tcPr>
            <w:tcW w:w="1700" w:type="dxa"/>
            <w:tcBorders>
              <w:top w:val="nil"/>
              <w:left w:val="single" w:sz="4" w:space="0" w:color="auto"/>
              <w:bottom w:val="nil"/>
              <w:right w:val="nil"/>
            </w:tcBorders>
            <w:vAlign w:val="center"/>
          </w:tcPr>
          <w:p w14:paraId="41CF81AD" w14:textId="77777777" w:rsidR="00852FF2" w:rsidRPr="00C0702D" w:rsidRDefault="00852FF2" w:rsidP="008A1146">
            <w:pPr>
              <w:jc w:val="center"/>
              <w:rPr>
                <w:color w:val="000000"/>
              </w:rPr>
            </w:pPr>
            <w:r w:rsidRPr="00C0702D">
              <w:rPr>
                <w:color w:val="000000"/>
              </w:rPr>
              <w:t>126.7</w:t>
            </w:r>
          </w:p>
        </w:tc>
        <w:tc>
          <w:tcPr>
            <w:tcW w:w="1700" w:type="dxa"/>
            <w:tcBorders>
              <w:top w:val="nil"/>
              <w:left w:val="nil"/>
              <w:bottom w:val="nil"/>
              <w:right w:val="nil"/>
            </w:tcBorders>
            <w:vAlign w:val="center"/>
          </w:tcPr>
          <w:p w14:paraId="50AEB0E0" w14:textId="77777777" w:rsidR="00852FF2" w:rsidRPr="00C0702D" w:rsidRDefault="00852FF2" w:rsidP="008A1146">
            <w:pPr>
              <w:jc w:val="center"/>
              <w:rPr>
                <w:color w:val="000000"/>
              </w:rPr>
            </w:pPr>
            <w:r w:rsidRPr="00C0702D">
              <w:rPr>
                <w:color w:val="000000"/>
              </w:rPr>
              <w:t>36.6</w:t>
            </w:r>
          </w:p>
        </w:tc>
        <w:tc>
          <w:tcPr>
            <w:tcW w:w="1700" w:type="dxa"/>
            <w:tcBorders>
              <w:top w:val="nil"/>
              <w:left w:val="nil"/>
              <w:bottom w:val="nil"/>
              <w:right w:val="nil"/>
            </w:tcBorders>
            <w:vAlign w:val="center"/>
          </w:tcPr>
          <w:p w14:paraId="58C451D9" w14:textId="77777777" w:rsidR="00852FF2" w:rsidRPr="00C0702D" w:rsidRDefault="00852FF2" w:rsidP="008A1146">
            <w:pPr>
              <w:jc w:val="center"/>
              <w:rPr>
                <w:color w:val="000000"/>
              </w:rPr>
            </w:pPr>
            <w:r w:rsidRPr="00C0702D">
              <w:rPr>
                <w:color w:val="000000"/>
              </w:rPr>
              <w:t>47.9</w:t>
            </w:r>
          </w:p>
        </w:tc>
        <w:tc>
          <w:tcPr>
            <w:tcW w:w="1701" w:type="dxa"/>
            <w:tcBorders>
              <w:top w:val="nil"/>
              <w:left w:val="nil"/>
              <w:bottom w:val="nil"/>
            </w:tcBorders>
            <w:vAlign w:val="center"/>
          </w:tcPr>
          <w:p w14:paraId="7E84CED1" w14:textId="77777777" w:rsidR="00852FF2" w:rsidRPr="00C0702D" w:rsidRDefault="00852FF2" w:rsidP="008A1146">
            <w:pPr>
              <w:jc w:val="center"/>
              <w:rPr>
                <w:color w:val="000000"/>
              </w:rPr>
            </w:pPr>
            <w:r w:rsidRPr="00C0702D">
              <w:rPr>
                <w:color w:val="000000"/>
              </w:rPr>
              <w:t>42.2</w:t>
            </w:r>
          </w:p>
        </w:tc>
      </w:tr>
      <w:tr w:rsidR="00852FF2" w14:paraId="6841555C" w14:textId="77777777" w:rsidTr="008A1146">
        <w:trPr>
          <w:trHeight w:val="640"/>
          <w:jc w:val="center"/>
        </w:trPr>
        <w:tc>
          <w:tcPr>
            <w:tcW w:w="1700" w:type="dxa"/>
            <w:tcBorders>
              <w:top w:val="nil"/>
              <w:right w:val="single" w:sz="4" w:space="0" w:color="auto"/>
            </w:tcBorders>
            <w:vAlign w:val="center"/>
          </w:tcPr>
          <w:p w14:paraId="1F57D255" w14:textId="77777777" w:rsidR="00852FF2" w:rsidRPr="00C0702D" w:rsidRDefault="00852FF2" w:rsidP="008A1146">
            <w:pPr>
              <w:contextualSpacing/>
              <w:jc w:val="center"/>
            </w:pPr>
            <w:r w:rsidRPr="00C0702D">
              <w:t>290</w:t>
            </w:r>
          </w:p>
        </w:tc>
        <w:tc>
          <w:tcPr>
            <w:tcW w:w="1700" w:type="dxa"/>
            <w:tcBorders>
              <w:top w:val="nil"/>
              <w:left w:val="single" w:sz="4" w:space="0" w:color="auto"/>
              <w:right w:val="nil"/>
            </w:tcBorders>
            <w:vAlign w:val="center"/>
          </w:tcPr>
          <w:p w14:paraId="072CBE7B" w14:textId="77777777" w:rsidR="00852FF2" w:rsidRPr="00C0702D" w:rsidRDefault="00852FF2" w:rsidP="008A1146">
            <w:pPr>
              <w:jc w:val="center"/>
              <w:rPr>
                <w:color w:val="000000"/>
              </w:rPr>
            </w:pPr>
            <w:r w:rsidRPr="00C0702D">
              <w:rPr>
                <w:color w:val="000000"/>
              </w:rPr>
              <w:t>125.1</w:t>
            </w:r>
          </w:p>
        </w:tc>
        <w:tc>
          <w:tcPr>
            <w:tcW w:w="1700" w:type="dxa"/>
            <w:tcBorders>
              <w:top w:val="nil"/>
              <w:left w:val="nil"/>
              <w:right w:val="nil"/>
            </w:tcBorders>
            <w:vAlign w:val="center"/>
          </w:tcPr>
          <w:p w14:paraId="5A941F9E" w14:textId="77777777" w:rsidR="00852FF2" w:rsidRPr="00C0702D" w:rsidRDefault="00852FF2" w:rsidP="008A1146">
            <w:pPr>
              <w:jc w:val="center"/>
              <w:rPr>
                <w:color w:val="000000"/>
              </w:rPr>
            </w:pPr>
            <w:r w:rsidRPr="00C0702D">
              <w:rPr>
                <w:color w:val="000000"/>
              </w:rPr>
              <w:t>36.0</w:t>
            </w:r>
          </w:p>
        </w:tc>
        <w:tc>
          <w:tcPr>
            <w:tcW w:w="1700" w:type="dxa"/>
            <w:tcBorders>
              <w:top w:val="nil"/>
              <w:left w:val="nil"/>
              <w:right w:val="nil"/>
            </w:tcBorders>
            <w:vAlign w:val="center"/>
          </w:tcPr>
          <w:p w14:paraId="7F8DCD4E" w14:textId="77777777" w:rsidR="00852FF2" w:rsidRPr="00C0702D" w:rsidRDefault="00852FF2" w:rsidP="008A1146">
            <w:pPr>
              <w:jc w:val="center"/>
              <w:rPr>
                <w:color w:val="000000"/>
              </w:rPr>
            </w:pPr>
            <w:r w:rsidRPr="00C0702D">
              <w:rPr>
                <w:color w:val="000000"/>
              </w:rPr>
              <w:t>47.3</w:t>
            </w:r>
          </w:p>
        </w:tc>
        <w:tc>
          <w:tcPr>
            <w:tcW w:w="1701" w:type="dxa"/>
            <w:tcBorders>
              <w:top w:val="nil"/>
              <w:left w:val="nil"/>
            </w:tcBorders>
            <w:vAlign w:val="center"/>
          </w:tcPr>
          <w:p w14:paraId="7E0A3287" w14:textId="77777777" w:rsidR="00852FF2" w:rsidRPr="00C0702D" w:rsidRDefault="00852FF2" w:rsidP="008A1146">
            <w:pPr>
              <w:jc w:val="center"/>
              <w:rPr>
                <w:color w:val="000000"/>
              </w:rPr>
            </w:pPr>
            <w:r w:rsidRPr="00C0702D">
              <w:rPr>
                <w:color w:val="000000"/>
              </w:rPr>
              <w:t>41.9</w:t>
            </w:r>
          </w:p>
        </w:tc>
      </w:tr>
    </w:tbl>
    <w:p w14:paraId="2D748F0D" w14:textId="77777777" w:rsidR="00852FF2" w:rsidRPr="002021C2" w:rsidRDefault="00852FF2" w:rsidP="00852FF2">
      <w:pPr>
        <w:contextualSpacing/>
        <w:jc w:val="center"/>
        <w:rPr>
          <w:b/>
        </w:rPr>
      </w:pPr>
    </w:p>
    <w:p w14:paraId="6BA0BD63" w14:textId="77777777" w:rsidR="00852FF2" w:rsidRDefault="00852FF2">
      <w:pPr>
        <w:spacing w:after="240"/>
        <w:jc w:val="both"/>
      </w:pPr>
    </w:p>
    <w:p w14:paraId="42EE462F" w14:textId="04C1FAA0" w:rsidR="0085272D" w:rsidRDefault="0096367E">
      <w:pPr>
        <w:jc w:val="both"/>
      </w:pPr>
      <w:r>
        <w:t>Fluid samples from the Eagle Ford shale play were taken for PVT analysis. However, there exist only few published data for the fluid composition at the condensate window. Deo and Anderson</w:t>
      </w:r>
      <w:r w:rsidR="00491F61">
        <w:t xml:space="preserve"> (</w:t>
      </w:r>
      <w:r w:rsidR="00F40B1C">
        <w:t>2012</w:t>
      </w:r>
      <w:r w:rsidR="00491F61">
        <w:t>)</w:t>
      </w:r>
      <w:r>
        <w:t xml:space="preserve"> used the fluid composition, listed in </w:t>
      </w:r>
      <w:r>
        <w:rPr>
          <w:b/>
        </w:rPr>
        <w:t xml:space="preserve">Table </w:t>
      </w:r>
      <w:r w:rsidR="00852FF2">
        <w:rPr>
          <w:b/>
          <w:lang w:eastAsia="zh-CN"/>
        </w:rPr>
        <w:t>5.2</w:t>
      </w:r>
      <w:r>
        <w:t>, or their reservoir description and fluid dynamic of the Eagle Ford shale (Deo and Anderson, 2012). In this study, we adopt their fluid composition and modified component C6</w:t>
      </w:r>
      <w:r>
        <w:rPr>
          <w:vertAlign w:val="superscript"/>
        </w:rPr>
        <w:t>+</w:t>
      </w:r>
      <w:r>
        <w:t xml:space="preserve"> into C6, due to lack of fluid property data for C6</w:t>
      </w:r>
      <w:r>
        <w:rPr>
          <w:vertAlign w:val="superscript"/>
        </w:rPr>
        <w:t>+</w:t>
      </w:r>
      <w:r>
        <w:t>. Also, i-C4 and i-C5 are treated n-C4 and n-C5, respectively for simplicity. The non-hydrocarbon gases CO</w:t>
      </w:r>
      <w:r>
        <w:rPr>
          <w:vertAlign w:val="subscript"/>
        </w:rPr>
        <w:t>2</w:t>
      </w:r>
      <w:r>
        <w:t xml:space="preserve"> and N</w:t>
      </w:r>
      <w:r>
        <w:rPr>
          <w:vertAlign w:val="subscript"/>
        </w:rPr>
        <w:t>2</w:t>
      </w:r>
      <w:r>
        <w:t xml:space="preserve"> are ignored in this study. </w:t>
      </w:r>
      <w:r>
        <w:rPr>
          <w:b/>
        </w:rPr>
        <w:t xml:space="preserve">Table </w:t>
      </w:r>
      <w:r w:rsidR="00852FF2">
        <w:rPr>
          <w:b/>
          <w:lang w:eastAsia="zh-CN"/>
        </w:rPr>
        <w:t>5.3</w:t>
      </w:r>
      <w:r>
        <w:t xml:space="preserve"> gives the physical properties for fluids from C1 to C6. </w:t>
      </w:r>
      <w:r>
        <w:rPr>
          <w:b/>
        </w:rPr>
        <w:t xml:space="preserve">Table </w:t>
      </w:r>
      <w:r w:rsidR="00852FF2">
        <w:rPr>
          <w:b/>
          <w:lang w:eastAsia="zh-CN"/>
        </w:rPr>
        <w:t>5.4</w:t>
      </w:r>
      <w:r>
        <w:t xml:space="preserve"> gives the binary interaction coefficients from Whitson </w:t>
      </w:r>
      <w:r w:rsidR="005A0254">
        <w:rPr>
          <w:rFonts w:hint="eastAsia"/>
        </w:rPr>
        <w:t xml:space="preserve">and </w:t>
      </w:r>
      <w:r w:rsidR="005A0254">
        <w:rPr>
          <w:rFonts w:ascii="Times New Roman" w:hAnsi="Times New Roman"/>
        </w:rPr>
        <w:t xml:space="preserve">Brulé </w:t>
      </w:r>
      <w:r>
        <w:t xml:space="preserve">(2000). By using the new volumetric method, it shows that the total gas in place for the Eagle Ford condensate gas shale play is 132 scf/ton with the given parameters, from which 37 scf/ton is the free gas in inorganic matrix, 49 scf/ton is the amount of free gas in kerogen and 46 scf/ton is the total adsorbed gas amount. As we can see, the adsorbed gas amount is significant, which takes 35% of the total gas in place, although it only occupies relatively small portion of the total pore volume. </w:t>
      </w:r>
      <w:r>
        <w:rPr>
          <w:rFonts w:hint="eastAsia"/>
          <w:b/>
          <w:lang w:eastAsia="zh-CN"/>
        </w:rPr>
        <w:t>Figure</w:t>
      </w:r>
      <w:r>
        <w:rPr>
          <w:b/>
        </w:rPr>
        <w:t xml:space="preserve"> </w:t>
      </w:r>
      <w:r w:rsidR="00852FF2">
        <w:rPr>
          <w:b/>
        </w:rPr>
        <w:t>5.10</w:t>
      </w:r>
      <w:r>
        <w:t xml:space="preserve"> shows the total gas storage capacity, as well as the free gas in both kerogen and inorganic matrix and adsorbed gas storage capacity over the pressure range from 1 MPa to 50 MPa. It is clear to see that the adsorbed gas storage capacity is the highest among the three, but the differences with the other two are getting smaller as pressure increases. This is because the free gas is more sensitive to pressure, since it is much easier to compress, compare to the adsorbed gas, which is already very packed. As we can predict, when the pressure is high enough, the amount of free gas can exceed the adsorbed gas and becomes dominant.</w:t>
      </w:r>
    </w:p>
    <w:p w14:paraId="4A074367" w14:textId="77777777" w:rsidR="00852FF2" w:rsidRDefault="00852FF2">
      <w:pPr>
        <w:jc w:val="both"/>
      </w:pPr>
    </w:p>
    <w:tbl>
      <w:tblPr>
        <w:tblStyle w:val="TableGrid"/>
        <w:tblW w:w="0" w:type="auto"/>
        <w:jc w:val="center"/>
        <w:tblLook w:val="04A0" w:firstRow="1" w:lastRow="0" w:firstColumn="1" w:lastColumn="0" w:noHBand="0" w:noVBand="1"/>
      </w:tblPr>
      <w:tblGrid>
        <w:gridCol w:w="1818"/>
        <w:gridCol w:w="1576"/>
        <w:gridCol w:w="1697"/>
        <w:gridCol w:w="1697"/>
        <w:gridCol w:w="1698"/>
      </w:tblGrid>
      <w:tr w:rsidR="00852FF2" w14:paraId="2171C93C" w14:textId="77777777" w:rsidTr="008A1146">
        <w:trPr>
          <w:trHeight w:val="640"/>
          <w:jc w:val="center"/>
        </w:trPr>
        <w:tc>
          <w:tcPr>
            <w:tcW w:w="8501" w:type="dxa"/>
            <w:gridSpan w:val="5"/>
            <w:tcBorders>
              <w:bottom w:val="single" w:sz="4" w:space="0" w:color="auto"/>
            </w:tcBorders>
            <w:vAlign w:val="center"/>
          </w:tcPr>
          <w:p w14:paraId="13B1A774" w14:textId="45E588F4" w:rsidR="00852FF2" w:rsidRPr="00FA1438" w:rsidRDefault="00852FF2" w:rsidP="00852FF2">
            <w:pPr>
              <w:spacing w:line="360" w:lineRule="auto"/>
              <w:contextualSpacing/>
              <w:jc w:val="center"/>
              <w:rPr>
                <w:b/>
              </w:rPr>
            </w:pPr>
            <w:r>
              <w:rPr>
                <w:b/>
              </w:rPr>
              <w:t>TABLE 5.2</w:t>
            </w:r>
            <w:r w:rsidRPr="00A424C7">
              <w:rPr>
                <w:b/>
              </w:rPr>
              <w:t>—</w:t>
            </w:r>
            <w:r w:rsidR="00411DF7">
              <w:rPr>
                <w:rFonts w:hint="eastAsia"/>
                <w:b/>
              </w:rPr>
              <w:t>E</w:t>
            </w:r>
            <w:r w:rsidR="00411DF7">
              <w:rPr>
                <w:b/>
              </w:rPr>
              <w:t>ffects mean pore size on gas storage</w:t>
            </w:r>
          </w:p>
        </w:tc>
      </w:tr>
      <w:tr w:rsidR="00852FF2" w14:paraId="20D794E7" w14:textId="77777777" w:rsidTr="008A1146">
        <w:trPr>
          <w:trHeight w:val="640"/>
          <w:jc w:val="center"/>
        </w:trPr>
        <w:tc>
          <w:tcPr>
            <w:tcW w:w="1821" w:type="dxa"/>
            <w:tcBorders>
              <w:bottom w:val="nil"/>
              <w:right w:val="single" w:sz="4" w:space="0" w:color="auto"/>
            </w:tcBorders>
            <w:vAlign w:val="center"/>
          </w:tcPr>
          <w:p w14:paraId="2541D033" w14:textId="77777777" w:rsidR="00852FF2" w:rsidRPr="00B85199" w:rsidRDefault="00852FF2" w:rsidP="00852FF2">
            <w:pPr>
              <w:spacing w:line="360" w:lineRule="auto"/>
              <w:contextualSpacing/>
              <w:jc w:val="center"/>
              <w:rPr>
                <w:u w:val="thick"/>
              </w:rPr>
            </w:pPr>
            <w:r w:rsidRPr="00B85199">
              <w:rPr>
                <w:u w:val="thick"/>
              </w:rPr>
              <w:t>Mean pore size, nm</w:t>
            </w:r>
          </w:p>
        </w:tc>
        <w:tc>
          <w:tcPr>
            <w:tcW w:w="1579" w:type="dxa"/>
            <w:tcBorders>
              <w:left w:val="single" w:sz="4" w:space="0" w:color="auto"/>
              <w:bottom w:val="nil"/>
              <w:right w:val="nil"/>
            </w:tcBorders>
            <w:vAlign w:val="center"/>
          </w:tcPr>
          <w:p w14:paraId="68DD005A" w14:textId="77777777" w:rsidR="00852FF2" w:rsidRPr="00B85199" w:rsidRDefault="00852FF2" w:rsidP="00852FF2">
            <w:pPr>
              <w:spacing w:line="360" w:lineRule="auto"/>
              <w:contextualSpacing/>
              <w:jc w:val="center"/>
              <w:rPr>
                <w:u w:val="thick"/>
              </w:rPr>
            </w:pPr>
            <w:r w:rsidRPr="00B85199">
              <w:rPr>
                <w:u w:val="thick"/>
              </w:rPr>
              <w:t>G</w:t>
            </w:r>
            <w:r w:rsidRPr="00B85199">
              <w:rPr>
                <w:u w:val="thick"/>
                <w:vertAlign w:val="subscript"/>
              </w:rPr>
              <w:t>st</w:t>
            </w:r>
            <w:r w:rsidRPr="00B85199">
              <w:rPr>
                <w:u w:val="thick"/>
              </w:rPr>
              <w:t>, scf/ton</w:t>
            </w:r>
          </w:p>
        </w:tc>
        <w:tc>
          <w:tcPr>
            <w:tcW w:w="1700" w:type="dxa"/>
            <w:tcBorders>
              <w:left w:val="nil"/>
              <w:bottom w:val="nil"/>
              <w:right w:val="nil"/>
            </w:tcBorders>
            <w:vAlign w:val="center"/>
          </w:tcPr>
          <w:p w14:paraId="01637602" w14:textId="77777777" w:rsidR="00852FF2" w:rsidRPr="00B85199" w:rsidRDefault="00852FF2" w:rsidP="00852FF2">
            <w:pPr>
              <w:spacing w:line="360" w:lineRule="auto"/>
              <w:contextualSpacing/>
              <w:jc w:val="center"/>
              <w:rPr>
                <w:u w:val="thick"/>
                <w:vertAlign w:val="subscript"/>
              </w:rPr>
            </w:pPr>
            <w:r w:rsidRPr="00B85199">
              <w:rPr>
                <w:u w:val="thick"/>
              </w:rPr>
              <w:t>G</w:t>
            </w:r>
            <w:r w:rsidRPr="00B85199">
              <w:rPr>
                <w:u w:val="thick"/>
                <w:vertAlign w:val="subscript"/>
              </w:rPr>
              <w:t>f,inorg</w:t>
            </w:r>
            <w:r w:rsidRPr="00B85199">
              <w:rPr>
                <w:u w:val="thick"/>
              </w:rPr>
              <w:t>, scf/ton</w:t>
            </w:r>
          </w:p>
        </w:tc>
        <w:tc>
          <w:tcPr>
            <w:tcW w:w="1700" w:type="dxa"/>
            <w:tcBorders>
              <w:left w:val="nil"/>
              <w:bottom w:val="nil"/>
              <w:right w:val="nil"/>
            </w:tcBorders>
            <w:vAlign w:val="center"/>
          </w:tcPr>
          <w:p w14:paraId="5FB2E11F" w14:textId="77777777" w:rsidR="00852FF2" w:rsidRPr="00B85199" w:rsidRDefault="00852FF2" w:rsidP="00852FF2">
            <w:pPr>
              <w:spacing w:line="360" w:lineRule="auto"/>
              <w:contextualSpacing/>
              <w:jc w:val="center"/>
              <w:rPr>
                <w:u w:val="thick"/>
                <w:vertAlign w:val="subscript"/>
              </w:rPr>
            </w:pPr>
            <w:r w:rsidRPr="00B85199">
              <w:rPr>
                <w:u w:val="thick"/>
              </w:rPr>
              <w:t>G</w:t>
            </w:r>
            <w:r w:rsidRPr="00B85199">
              <w:rPr>
                <w:u w:val="thick"/>
                <w:vertAlign w:val="subscript"/>
              </w:rPr>
              <w:t>f,org</w:t>
            </w:r>
            <w:r w:rsidRPr="00B85199">
              <w:rPr>
                <w:u w:val="thick"/>
              </w:rPr>
              <w:t>, scf/ton</w:t>
            </w:r>
          </w:p>
        </w:tc>
        <w:tc>
          <w:tcPr>
            <w:tcW w:w="1701" w:type="dxa"/>
            <w:tcBorders>
              <w:left w:val="nil"/>
              <w:bottom w:val="nil"/>
            </w:tcBorders>
            <w:vAlign w:val="center"/>
          </w:tcPr>
          <w:p w14:paraId="6C735D84" w14:textId="77777777" w:rsidR="00852FF2" w:rsidRPr="00B85199" w:rsidRDefault="00852FF2" w:rsidP="00852FF2">
            <w:pPr>
              <w:spacing w:line="360" w:lineRule="auto"/>
              <w:contextualSpacing/>
              <w:jc w:val="center"/>
              <w:rPr>
                <w:u w:val="thick"/>
                <w:vertAlign w:val="subscript"/>
              </w:rPr>
            </w:pPr>
            <w:r w:rsidRPr="00B85199">
              <w:rPr>
                <w:u w:val="thick"/>
              </w:rPr>
              <w:t>G</w:t>
            </w:r>
            <w:r w:rsidRPr="00B85199">
              <w:rPr>
                <w:u w:val="thick"/>
                <w:vertAlign w:val="subscript"/>
              </w:rPr>
              <w:t>ads</w:t>
            </w:r>
            <w:r w:rsidRPr="00B85199">
              <w:rPr>
                <w:u w:val="thick"/>
              </w:rPr>
              <w:t>, scf/ton</w:t>
            </w:r>
          </w:p>
        </w:tc>
      </w:tr>
      <w:tr w:rsidR="00852FF2" w14:paraId="23123F99" w14:textId="77777777" w:rsidTr="008A1146">
        <w:trPr>
          <w:trHeight w:val="601"/>
          <w:jc w:val="center"/>
        </w:trPr>
        <w:tc>
          <w:tcPr>
            <w:tcW w:w="1821" w:type="dxa"/>
            <w:tcBorders>
              <w:top w:val="nil"/>
              <w:bottom w:val="nil"/>
              <w:right w:val="single" w:sz="4" w:space="0" w:color="auto"/>
            </w:tcBorders>
            <w:vAlign w:val="center"/>
          </w:tcPr>
          <w:p w14:paraId="097836D1" w14:textId="77777777" w:rsidR="00852FF2" w:rsidRPr="00B85199" w:rsidRDefault="00852FF2" w:rsidP="00852FF2">
            <w:pPr>
              <w:spacing w:line="360" w:lineRule="auto"/>
              <w:contextualSpacing/>
              <w:jc w:val="center"/>
            </w:pPr>
            <w:r w:rsidRPr="00B85199">
              <w:t>10</w:t>
            </w:r>
          </w:p>
        </w:tc>
        <w:tc>
          <w:tcPr>
            <w:tcW w:w="1579" w:type="dxa"/>
            <w:tcBorders>
              <w:top w:val="nil"/>
              <w:left w:val="single" w:sz="4" w:space="0" w:color="auto"/>
              <w:bottom w:val="nil"/>
              <w:right w:val="nil"/>
            </w:tcBorders>
            <w:vAlign w:val="center"/>
          </w:tcPr>
          <w:p w14:paraId="63DB9BAF" w14:textId="77777777" w:rsidR="00852FF2" w:rsidRPr="00B85199" w:rsidRDefault="00852FF2" w:rsidP="00852FF2">
            <w:pPr>
              <w:spacing w:line="360" w:lineRule="auto"/>
              <w:jc w:val="center"/>
              <w:rPr>
                <w:color w:val="000000"/>
              </w:rPr>
            </w:pPr>
            <w:r w:rsidRPr="00B85199">
              <w:rPr>
                <w:color w:val="000000"/>
              </w:rPr>
              <w:t>129.4</w:t>
            </w:r>
          </w:p>
        </w:tc>
        <w:tc>
          <w:tcPr>
            <w:tcW w:w="1700" w:type="dxa"/>
            <w:tcBorders>
              <w:top w:val="nil"/>
              <w:left w:val="nil"/>
              <w:bottom w:val="nil"/>
              <w:right w:val="nil"/>
            </w:tcBorders>
            <w:vAlign w:val="center"/>
          </w:tcPr>
          <w:p w14:paraId="7AF06568" w14:textId="77777777" w:rsidR="00852FF2" w:rsidRPr="00B85199" w:rsidRDefault="00852FF2" w:rsidP="00852FF2">
            <w:pPr>
              <w:spacing w:line="360" w:lineRule="auto"/>
              <w:jc w:val="center"/>
              <w:rPr>
                <w:color w:val="000000"/>
              </w:rPr>
            </w:pPr>
            <w:r w:rsidRPr="00B85199">
              <w:rPr>
                <w:color w:val="000000"/>
              </w:rPr>
              <w:t>37.2</w:t>
            </w:r>
          </w:p>
        </w:tc>
        <w:tc>
          <w:tcPr>
            <w:tcW w:w="1700" w:type="dxa"/>
            <w:tcBorders>
              <w:top w:val="nil"/>
              <w:left w:val="nil"/>
              <w:bottom w:val="nil"/>
              <w:right w:val="nil"/>
            </w:tcBorders>
            <w:vAlign w:val="center"/>
          </w:tcPr>
          <w:p w14:paraId="736F4901" w14:textId="77777777" w:rsidR="00852FF2" w:rsidRPr="00B85199" w:rsidRDefault="00852FF2" w:rsidP="00852FF2">
            <w:pPr>
              <w:spacing w:line="360" w:lineRule="auto"/>
              <w:jc w:val="center"/>
              <w:rPr>
                <w:color w:val="000000"/>
              </w:rPr>
            </w:pPr>
            <w:r w:rsidRPr="00B85199">
              <w:rPr>
                <w:color w:val="000000"/>
              </w:rPr>
              <w:t>41.7</w:t>
            </w:r>
          </w:p>
        </w:tc>
        <w:tc>
          <w:tcPr>
            <w:tcW w:w="1701" w:type="dxa"/>
            <w:tcBorders>
              <w:top w:val="nil"/>
              <w:left w:val="nil"/>
              <w:bottom w:val="nil"/>
            </w:tcBorders>
            <w:vAlign w:val="center"/>
          </w:tcPr>
          <w:p w14:paraId="0F509FE1" w14:textId="77777777" w:rsidR="00852FF2" w:rsidRPr="00B85199" w:rsidRDefault="00852FF2" w:rsidP="00852FF2">
            <w:pPr>
              <w:spacing w:line="360" w:lineRule="auto"/>
              <w:jc w:val="center"/>
              <w:rPr>
                <w:color w:val="000000"/>
              </w:rPr>
            </w:pPr>
            <w:r w:rsidRPr="00B85199">
              <w:rPr>
                <w:color w:val="000000"/>
              </w:rPr>
              <w:t>50.5</w:t>
            </w:r>
          </w:p>
        </w:tc>
      </w:tr>
      <w:tr w:rsidR="00852FF2" w14:paraId="3F875F73" w14:textId="77777777" w:rsidTr="008A1146">
        <w:trPr>
          <w:trHeight w:val="640"/>
          <w:jc w:val="center"/>
        </w:trPr>
        <w:tc>
          <w:tcPr>
            <w:tcW w:w="1821" w:type="dxa"/>
            <w:tcBorders>
              <w:top w:val="nil"/>
              <w:bottom w:val="nil"/>
              <w:right w:val="single" w:sz="4" w:space="0" w:color="auto"/>
            </w:tcBorders>
            <w:vAlign w:val="center"/>
          </w:tcPr>
          <w:p w14:paraId="0E1EA7A7" w14:textId="77777777" w:rsidR="00852FF2" w:rsidRPr="00B85199" w:rsidRDefault="00852FF2" w:rsidP="00852FF2">
            <w:pPr>
              <w:spacing w:line="360" w:lineRule="auto"/>
              <w:contextualSpacing/>
              <w:jc w:val="center"/>
            </w:pPr>
            <w:r w:rsidRPr="00B85199">
              <w:t>30</w:t>
            </w:r>
          </w:p>
        </w:tc>
        <w:tc>
          <w:tcPr>
            <w:tcW w:w="1579" w:type="dxa"/>
            <w:tcBorders>
              <w:top w:val="nil"/>
              <w:left w:val="single" w:sz="4" w:space="0" w:color="auto"/>
              <w:bottom w:val="nil"/>
              <w:right w:val="nil"/>
            </w:tcBorders>
            <w:vAlign w:val="center"/>
          </w:tcPr>
          <w:p w14:paraId="491267B1" w14:textId="77777777" w:rsidR="00852FF2" w:rsidRPr="00B85199" w:rsidRDefault="00852FF2" w:rsidP="00852FF2">
            <w:pPr>
              <w:spacing w:line="360" w:lineRule="auto"/>
              <w:jc w:val="center"/>
              <w:rPr>
                <w:color w:val="000000"/>
              </w:rPr>
            </w:pPr>
            <w:r w:rsidRPr="00B85199">
              <w:rPr>
                <w:color w:val="000000"/>
              </w:rPr>
              <w:t>127.5</w:t>
            </w:r>
          </w:p>
        </w:tc>
        <w:tc>
          <w:tcPr>
            <w:tcW w:w="1700" w:type="dxa"/>
            <w:tcBorders>
              <w:top w:val="nil"/>
              <w:left w:val="nil"/>
              <w:bottom w:val="nil"/>
              <w:right w:val="nil"/>
            </w:tcBorders>
            <w:vAlign w:val="center"/>
          </w:tcPr>
          <w:p w14:paraId="6220C9B7" w14:textId="77777777" w:rsidR="00852FF2" w:rsidRPr="00B85199" w:rsidRDefault="00852FF2" w:rsidP="00852FF2">
            <w:pPr>
              <w:spacing w:line="360" w:lineRule="auto"/>
              <w:jc w:val="center"/>
              <w:rPr>
                <w:color w:val="000000"/>
              </w:rPr>
            </w:pPr>
            <w:r w:rsidRPr="00B85199">
              <w:rPr>
                <w:color w:val="000000"/>
              </w:rPr>
              <w:t>37.2</w:t>
            </w:r>
          </w:p>
        </w:tc>
        <w:tc>
          <w:tcPr>
            <w:tcW w:w="1700" w:type="dxa"/>
            <w:tcBorders>
              <w:top w:val="nil"/>
              <w:left w:val="nil"/>
              <w:bottom w:val="nil"/>
              <w:right w:val="nil"/>
            </w:tcBorders>
            <w:vAlign w:val="center"/>
          </w:tcPr>
          <w:p w14:paraId="1EE75836" w14:textId="77777777" w:rsidR="00852FF2" w:rsidRPr="00B85199" w:rsidRDefault="00852FF2" w:rsidP="00852FF2">
            <w:pPr>
              <w:spacing w:line="360" w:lineRule="auto"/>
              <w:jc w:val="center"/>
              <w:rPr>
                <w:color w:val="000000"/>
              </w:rPr>
            </w:pPr>
            <w:r w:rsidRPr="00B85199">
              <w:rPr>
                <w:color w:val="000000"/>
              </w:rPr>
              <w:t>56.7</w:t>
            </w:r>
          </w:p>
        </w:tc>
        <w:tc>
          <w:tcPr>
            <w:tcW w:w="1701" w:type="dxa"/>
            <w:tcBorders>
              <w:top w:val="nil"/>
              <w:left w:val="nil"/>
              <w:bottom w:val="nil"/>
            </w:tcBorders>
            <w:vAlign w:val="center"/>
          </w:tcPr>
          <w:p w14:paraId="2C2FC438" w14:textId="77777777" w:rsidR="00852FF2" w:rsidRPr="00B85199" w:rsidRDefault="00852FF2" w:rsidP="00852FF2">
            <w:pPr>
              <w:spacing w:line="360" w:lineRule="auto"/>
              <w:jc w:val="center"/>
              <w:rPr>
                <w:color w:val="000000"/>
              </w:rPr>
            </w:pPr>
            <w:r w:rsidRPr="00B85199">
              <w:rPr>
                <w:color w:val="000000"/>
              </w:rPr>
              <w:t>33.7</w:t>
            </w:r>
          </w:p>
        </w:tc>
      </w:tr>
      <w:tr w:rsidR="00852FF2" w14:paraId="00FD9819" w14:textId="77777777" w:rsidTr="008A1146">
        <w:trPr>
          <w:trHeight w:val="640"/>
          <w:jc w:val="center"/>
        </w:trPr>
        <w:tc>
          <w:tcPr>
            <w:tcW w:w="1821" w:type="dxa"/>
            <w:tcBorders>
              <w:top w:val="nil"/>
              <w:right w:val="single" w:sz="4" w:space="0" w:color="auto"/>
            </w:tcBorders>
            <w:vAlign w:val="center"/>
          </w:tcPr>
          <w:p w14:paraId="4765A714" w14:textId="77777777" w:rsidR="00852FF2" w:rsidRPr="00B85199" w:rsidRDefault="00852FF2" w:rsidP="00852FF2">
            <w:pPr>
              <w:spacing w:line="360" w:lineRule="auto"/>
              <w:contextualSpacing/>
              <w:jc w:val="center"/>
            </w:pPr>
            <w:r w:rsidRPr="00B85199">
              <w:t>50</w:t>
            </w:r>
          </w:p>
        </w:tc>
        <w:tc>
          <w:tcPr>
            <w:tcW w:w="1579" w:type="dxa"/>
            <w:tcBorders>
              <w:top w:val="nil"/>
              <w:left w:val="single" w:sz="4" w:space="0" w:color="auto"/>
              <w:right w:val="nil"/>
            </w:tcBorders>
            <w:vAlign w:val="center"/>
          </w:tcPr>
          <w:p w14:paraId="21C77E1D" w14:textId="77777777" w:rsidR="00852FF2" w:rsidRPr="00B85199" w:rsidRDefault="00852FF2" w:rsidP="00852FF2">
            <w:pPr>
              <w:spacing w:line="360" w:lineRule="auto"/>
              <w:jc w:val="center"/>
              <w:rPr>
                <w:color w:val="000000"/>
              </w:rPr>
            </w:pPr>
            <w:r w:rsidRPr="00B85199">
              <w:rPr>
                <w:color w:val="000000"/>
              </w:rPr>
              <w:t>126.4</w:t>
            </w:r>
          </w:p>
        </w:tc>
        <w:tc>
          <w:tcPr>
            <w:tcW w:w="1700" w:type="dxa"/>
            <w:tcBorders>
              <w:top w:val="nil"/>
              <w:left w:val="nil"/>
              <w:right w:val="nil"/>
            </w:tcBorders>
            <w:vAlign w:val="center"/>
          </w:tcPr>
          <w:p w14:paraId="7D3DDBD3" w14:textId="77777777" w:rsidR="00852FF2" w:rsidRPr="00B85199" w:rsidRDefault="00852FF2" w:rsidP="00852FF2">
            <w:pPr>
              <w:spacing w:line="360" w:lineRule="auto"/>
              <w:jc w:val="center"/>
              <w:rPr>
                <w:color w:val="000000"/>
              </w:rPr>
            </w:pPr>
            <w:r w:rsidRPr="00B85199">
              <w:rPr>
                <w:color w:val="000000"/>
              </w:rPr>
              <w:t>37.2</w:t>
            </w:r>
          </w:p>
        </w:tc>
        <w:tc>
          <w:tcPr>
            <w:tcW w:w="1700" w:type="dxa"/>
            <w:tcBorders>
              <w:top w:val="nil"/>
              <w:left w:val="nil"/>
              <w:right w:val="nil"/>
            </w:tcBorders>
            <w:vAlign w:val="center"/>
          </w:tcPr>
          <w:p w14:paraId="49271DD2" w14:textId="77777777" w:rsidR="00852FF2" w:rsidRPr="00B85199" w:rsidRDefault="00852FF2" w:rsidP="00852FF2">
            <w:pPr>
              <w:spacing w:line="360" w:lineRule="auto"/>
              <w:jc w:val="center"/>
              <w:rPr>
                <w:color w:val="000000"/>
              </w:rPr>
            </w:pPr>
            <w:r w:rsidRPr="00B85199">
              <w:rPr>
                <w:color w:val="000000"/>
              </w:rPr>
              <w:t>65.4</w:t>
            </w:r>
          </w:p>
        </w:tc>
        <w:tc>
          <w:tcPr>
            <w:tcW w:w="1701" w:type="dxa"/>
            <w:tcBorders>
              <w:top w:val="nil"/>
              <w:left w:val="nil"/>
            </w:tcBorders>
            <w:vAlign w:val="center"/>
          </w:tcPr>
          <w:p w14:paraId="7CAFD7FA" w14:textId="77777777" w:rsidR="00852FF2" w:rsidRPr="00B85199" w:rsidRDefault="00852FF2" w:rsidP="00852FF2">
            <w:pPr>
              <w:spacing w:line="360" w:lineRule="auto"/>
              <w:jc w:val="center"/>
              <w:rPr>
                <w:color w:val="000000"/>
              </w:rPr>
            </w:pPr>
            <w:r w:rsidRPr="00B85199">
              <w:rPr>
                <w:color w:val="000000"/>
              </w:rPr>
              <w:t>23.7</w:t>
            </w:r>
          </w:p>
        </w:tc>
      </w:tr>
    </w:tbl>
    <w:p w14:paraId="1BC09761" w14:textId="77777777" w:rsidR="00852FF2" w:rsidRDefault="00852FF2">
      <w:pPr>
        <w:jc w:val="both"/>
      </w:pPr>
    </w:p>
    <w:tbl>
      <w:tblPr>
        <w:tblStyle w:val="TableGrid"/>
        <w:tblW w:w="0" w:type="auto"/>
        <w:jc w:val="center"/>
        <w:tblLook w:val="04A0" w:firstRow="1" w:lastRow="0" w:firstColumn="1" w:lastColumn="0" w:noHBand="0" w:noVBand="1"/>
      </w:tblPr>
      <w:tblGrid>
        <w:gridCol w:w="1818"/>
        <w:gridCol w:w="1576"/>
        <w:gridCol w:w="1697"/>
        <w:gridCol w:w="1697"/>
        <w:gridCol w:w="1698"/>
      </w:tblGrid>
      <w:tr w:rsidR="00852FF2" w14:paraId="234D31A5" w14:textId="77777777" w:rsidTr="008A1146">
        <w:trPr>
          <w:trHeight w:val="640"/>
          <w:jc w:val="center"/>
        </w:trPr>
        <w:tc>
          <w:tcPr>
            <w:tcW w:w="8501" w:type="dxa"/>
            <w:gridSpan w:val="5"/>
            <w:tcBorders>
              <w:bottom w:val="single" w:sz="4" w:space="0" w:color="auto"/>
            </w:tcBorders>
            <w:vAlign w:val="center"/>
          </w:tcPr>
          <w:p w14:paraId="467C22BB" w14:textId="75569884" w:rsidR="00852FF2" w:rsidRDefault="00852FF2" w:rsidP="00852FF2">
            <w:pPr>
              <w:spacing w:line="360" w:lineRule="auto"/>
              <w:contextualSpacing/>
              <w:jc w:val="center"/>
            </w:pPr>
            <w:r>
              <w:rPr>
                <w:b/>
              </w:rPr>
              <w:t>TABLE 5.3</w:t>
            </w:r>
            <w:r w:rsidRPr="00A424C7">
              <w:rPr>
                <w:b/>
              </w:rPr>
              <w:t>—</w:t>
            </w:r>
            <w:r w:rsidR="00411DF7">
              <w:rPr>
                <w:b/>
              </w:rPr>
              <w:t>Effects pore size standard deviation on gas storage</w:t>
            </w:r>
          </w:p>
        </w:tc>
      </w:tr>
      <w:tr w:rsidR="00852FF2" w14:paraId="23143D47" w14:textId="77777777" w:rsidTr="008A1146">
        <w:trPr>
          <w:trHeight w:val="640"/>
          <w:jc w:val="center"/>
        </w:trPr>
        <w:tc>
          <w:tcPr>
            <w:tcW w:w="1821" w:type="dxa"/>
            <w:tcBorders>
              <w:bottom w:val="nil"/>
              <w:right w:val="single" w:sz="4" w:space="0" w:color="auto"/>
            </w:tcBorders>
            <w:vAlign w:val="center"/>
          </w:tcPr>
          <w:p w14:paraId="637650AB" w14:textId="77777777" w:rsidR="00852FF2" w:rsidRPr="00B85199" w:rsidRDefault="00852FF2" w:rsidP="00852FF2">
            <w:pPr>
              <w:spacing w:line="360" w:lineRule="auto"/>
              <w:contextualSpacing/>
              <w:jc w:val="center"/>
              <w:rPr>
                <w:u w:val="thick"/>
              </w:rPr>
            </w:pPr>
            <w:r>
              <w:rPr>
                <w:u w:val="thick"/>
              </w:rPr>
              <w:t>Pore size standard deviation</w:t>
            </w:r>
            <w:r w:rsidRPr="00B85199">
              <w:rPr>
                <w:u w:val="thick"/>
              </w:rPr>
              <w:t>, nm</w:t>
            </w:r>
          </w:p>
        </w:tc>
        <w:tc>
          <w:tcPr>
            <w:tcW w:w="1579" w:type="dxa"/>
            <w:tcBorders>
              <w:left w:val="single" w:sz="4" w:space="0" w:color="auto"/>
              <w:bottom w:val="nil"/>
              <w:right w:val="nil"/>
            </w:tcBorders>
            <w:vAlign w:val="center"/>
          </w:tcPr>
          <w:p w14:paraId="4D01A622" w14:textId="77777777" w:rsidR="00852FF2" w:rsidRPr="00B85199" w:rsidRDefault="00852FF2" w:rsidP="00852FF2">
            <w:pPr>
              <w:spacing w:line="360" w:lineRule="auto"/>
              <w:contextualSpacing/>
              <w:jc w:val="center"/>
              <w:rPr>
                <w:u w:val="thick"/>
              </w:rPr>
            </w:pPr>
            <w:r w:rsidRPr="00B85199">
              <w:rPr>
                <w:u w:val="thick"/>
              </w:rPr>
              <w:t>G</w:t>
            </w:r>
            <w:r w:rsidRPr="00B85199">
              <w:rPr>
                <w:u w:val="thick"/>
                <w:vertAlign w:val="subscript"/>
              </w:rPr>
              <w:t>st</w:t>
            </w:r>
            <w:r w:rsidRPr="00B85199">
              <w:rPr>
                <w:u w:val="thick"/>
              </w:rPr>
              <w:t>, scf/ton</w:t>
            </w:r>
          </w:p>
        </w:tc>
        <w:tc>
          <w:tcPr>
            <w:tcW w:w="1700" w:type="dxa"/>
            <w:tcBorders>
              <w:left w:val="nil"/>
              <w:bottom w:val="nil"/>
              <w:right w:val="nil"/>
            </w:tcBorders>
            <w:vAlign w:val="center"/>
          </w:tcPr>
          <w:p w14:paraId="534F4369" w14:textId="77777777" w:rsidR="00852FF2" w:rsidRPr="00B85199" w:rsidRDefault="00852FF2" w:rsidP="00852FF2">
            <w:pPr>
              <w:spacing w:line="360" w:lineRule="auto"/>
              <w:contextualSpacing/>
              <w:jc w:val="center"/>
              <w:rPr>
                <w:u w:val="thick"/>
                <w:vertAlign w:val="subscript"/>
              </w:rPr>
            </w:pPr>
            <w:r w:rsidRPr="00B85199">
              <w:rPr>
                <w:u w:val="thick"/>
              </w:rPr>
              <w:t>G</w:t>
            </w:r>
            <w:r w:rsidRPr="00B85199">
              <w:rPr>
                <w:u w:val="thick"/>
                <w:vertAlign w:val="subscript"/>
              </w:rPr>
              <w:t>f,inorg</w:t>
            </w:r>
            <w:r w:rsidRPr="00B85199">
              <w:rPr>
                <w:u w:val="thick"/>
              </w:rPr>
              <w:t>, scf/ton</w:t>
            </w:r>
          </w:p>
        </w:tc>
        <w:tc>
          <w:tcPr>
            <w:tcW w:w="1700" w:type="dxa"/>
            <w:tcBorders>
              <w:left w:val="nil"/>
              <w:bottom w:val="nil"/>
              <w:right w:val="nil"/>
            </w:tcBorders>
            <w:vAlign w:val="center"/>
          </w:tcPr>
          <w:p w14:paraId="22DA03EA" w14:textId="77777777" w:rsidR="00852FF2" w:rsidRPr="00B85199" w:rsidRDefault="00852FF2" w:rsidP="00852FF2">
            <w:pPr>
              <w:spacing w:line="360" w:lineRule="auto"/>
              <w:contextualSpacing/>
              <w:jc w:val="center"/>
              <w:rPr>
                <w:u w:val="thick"/>
                <w:vertAlign w:val="subscript"/>
              </w:rPr>
            </w:pPr>
            <w:r w:rsidRPr="00B85199">
              <w:rPr>
                <w:u w:val="thick"/>
              </w:rPr>
              <w:t>G</w:t>
            </w:r>
            <w:r w:rsidRPr="00B85199">
              <w:rPr>
                <w:u w:val="thick"/>
                <w:vertAlign w:val="subscript"/>
              </w:rPr>
              <w:t>f,org</w:t>
            </w:r>
            <w:r w:rsidRPr="00B85199">
              <w:rPr>
                <w:u w:val="thick"/>
              </w:rPr>
              <w:t>, scf/ton</w:t>
            </w:r>
          </w:p>
        </w:tc>
        <w:tc>
          <w:tcPr>
            <w:tcW w:w="1701" w:type="dxa"/>
            <w:tcBorders>
              <w:left w:val="nil"/>
              <w:bottom w:val="nil"/>
            </w:tcBorders>
            <w:vAlign w:val="center"/>
          </w:tcPr>
          <w:p w14:paraId="20D4E9A6" w14:textId="77777777" w:rsidR="00852FF2" w:rsidRPr="00B85199" w:rsidRDefault="00852FF2" w:rsidP="00852FF2">
            <w:pPr>
              <w:spacing w:line="360" w:lineRule="auto"/>
              <w:contextualSpacing/>
              <w:jc w:val="center"/>
              <w:rPr>
                <w:u w:val="thick"/>
                <w:vertAlign w:val="subscript"/>
              </w:rPr>
            </w:pPr>
            <w:r w:rsidRPr="00B85199">
              <w:rPr>
                <w:u w:val="thick"/>
              </w:rPr>
              <w:t>G</w:t>
            </w:r>
            <w:r w:rsidRPr="00B85199">
              <w:rPr>
                <w:u w:val="thick"/>
                <w:vertAlign w:val="subscript"/>
              </w:rPr>
              <w:t>ads</w:t>
            </w:r>
            <w:r w:rsidRPr="00B85199">
              <w:rPr>
                <w:u w:val="thick"/>
              </w:rPr>
              <w:t>, scf/ton</w:t>
            </w:r>
          </w:p>
        </w:tc>
      </w:tr>
      <w:tr w:rsidR="00852FF2" w14:paraId="3FB41D0B" w14:textId="77777777" w:rsidTr="008A1146">
        <w:trPr>
          <w:trHeight w:val="601"/>
          <w:jc w:val="center"/>
        </w:trPr>
        <w:tc>
          <w:tcPr>
            <w:tcW w:w="1821" w:type="dxa"/>
            <w:tcBorders>
              <w:top w:val="nil"/>
              <w:bottom w:val="nil"/>
              <w:right w:val="single" w:sz="4" w:space="0" w:color="auto"/>
            </w:tcBorders>
            <w:vAlign w:val="center"/>
          </w:tcPr>
          <w:p w14:paraId="5A7F9A91" w14:textId="77777777" w:rsidR="00852FF2" w:rsidRPr="00C0702D" w:rsidRDefault="00852FF2" w:rsidP="00852FF2">
            <w:pPr>
              <w:spacing w:line="360" w:lineRule="auto"/>
              <w:contextualSpacing/>
              <w:jc w:val="center"/>
            </w:pPr>
            <w:r w:rsidRPr="00C0702D">
              <w:t>5</w:t>
            </w:r>
          </w:p>
        </w:tc>
        <w:tc>
          <w:tcPr>
            <w:tcW w:w="1579" w:type="dxa"/>
            <w:tcBorders>
              <w:top w:val="nil"/>
              <w:left w:val="single" w:sz="4" w:space="0" w:color="auto"/>
              <w:bottom w:val="nil"/>
              <w:right w:val="nil"/>
            </w:tcBorders>
            <w:vAlign w:val="center"/>
          </w:tcPr>
          <w:p w14:paraId="6C599B58" w14:textId="77777777" w:rsidR="00852FF2" w:rsidRPr="00C0702D" w:rsidRDefault="00852FF2" w:rsidP="00852FF2">
            <w:pPr>
              <w:spacing w:line="360" w:lineRule="auto"/>
              <w:jc w:val="center"/>
              <w:rPr>
                <w:color w:val="000000"/>
              </w:rPr>
            </w:pPr>
            <w:r w:rsidRPr="00C0702D">
              <w:rPr>
                <w:color w:val="000000"/>
              </w:rPr>
              <w:t>129.3</w:t>
            </w:r>
          </w:p>
        </w:tc>
        <w:tc>
          <w:tcPr>
            <w:tcW w:w="1700" w:type="dxa"/>
            <w:tcBorders>
              <w:top w:val="nil"/>
              <w:left w:val="nil"/>
              <w:bottom w:val="nil"/>
              <w:right w:val="nil"/>
            </w:tcBorders>
            <w:vAlign w:val="center"/>
          </w:tcPr>
          <w:p w14:paraId="44A963AC" w14:textId="77777777" w:rsidR="00852FF2" w:rsidRPr="00C0702D" w:rsidRDefault="00852FF2" w:rsidP="00852FF2">
            <w:pPr>
              <w:spacing w:line="360" w:lineRule="auto"/>
              <w:jc w:val="center"/>
              <w:rPr>
                <w:color w:val="000000"/>
              </w:rPr>
            </w:pPr>
            <w:r w:rsidRPr="00C0702D">
              <w:rPr>
                <w:color w:val="000000"/>
              </w:rPr>
              <w:t>37.2</w:t>
            </w:r>
          </w:p>
        </w:tc>
        <w:tc>
          <w:tcPr>
            <w:tcW w:w="1700" w:type="dxa"/>
            <w:tcBorders>
              <w:top w:val="nil"/>
              <w:left w:val="nil"/>
              <w:bottom w:val="nil"/>
              <w:right w:val="nil"/>
            </w:tcBorders>
            <w:vAlign w:val="center"/>
          </w:tcPr>
          <w:p w14:paraId="31619C1F" w14:textId="77777777" w:rsidR="00852FF2" w:rsidRPr="00C0702D" w:rsidRDefault="00852FF2" w:rsidP="00852FF2">
            <w:pPr>
              <w:spacing w:line="360" w:lineRule="auto"/>
              <w:jc w:val="center"/>
              <w:rPr>
                <w:color w:val="000000"/>
              </w:rPr>
            </w:pPr>
            <w:r w:rsidRPr="00C0702D">
              <w:rPr>
                <w:color w:val="000000"/>
              </w:rPr>
              <w:t>42.4</w:t>
            </w:r>
          </w:p>
        </w:tc>
        <w:tc>
          <w:tcPr>
            <w:tcW w:w="1701" w:type="dxa"/>
            <w:tcBorders>
              <w:top w:val="nil"/>
              <w:left w:val="nil"/>
              <w:bottom w:val="nil"/>
            </w:tcBorders>
            <w:vAlign w:val="center"/>
          </w:tcPr>
          <w:p w14:paraId="08AF148D" w14:textId="77777777" w:rsidR="00852FF2" w:rsidRPr="00C0702D" w:rsidRDefault="00852FF2" w:rsidP="00852FF2">
            <w:pPr>
              <w:spacing w:line="360" w:lineRule="auto"/>
              <w:jc w:val="center"/>
              <w:rPr>
                <w:color w:val="000000"/>
              </w:rPr>
            </w:pPr>
            <w:r w:rsidRPr="00C0702D">
              <w:rPr>
                <w:color w:val="000000"/>
              </w:rPr>
              <w:t>49.7</w:t>
            </w:r>
          </w:p>
        </w:tc>
      </w:tr>
      <w:tr w:rsidR="00852FF2" w14:paraId="1779BAE4" w14:textId="77777777" w:rsidTr="008A1146">
        <w:trPr>
          <w:trHeight w:val="640"/>
          <w:jc w:val="center"/>
        </w:trPr>
        <w:tc>
          <w:tcPr>
            <w:tcW w:w="1821" w:type="dxa"/>
            <w:tcBorders>
              <w:top w:val="nil"/>
              <w:bottom w:val="nil"/>
              <w:right w:val="single" w:sz="4" w:space="0" w:color="auto"/>
            </w:tcBorders>
            <w:vAlign w:val="center"/>
          </w:tcPr>
          <w:p w14:paraId="7BCB1532" w14:textId="77777777" w:rsidR="00852FF2" w:rsidRPr="00C0702D" w:rsidRDefault="00852FF2" w:rsidP="00852FF2">
            <w:pPr>
              <w:spacing w:line="360" w:lineRule="auto"/>
              <w:contextualSpacing/>
              <w:jc w:val="center"/>
            </w:pPr>
            <w:r w:rsidRPr="00C0702D">
              <w:t>10</w:t>
            </w:r>
          </w:p>
        </w:tc>
        <w:tc>
          <w:tcPr>
            <w:tcW w:w="1579" w:type="dxa"/>
            <w:tcBorders>
              <w:top w:val="nil"/>
              <w:left w:val="single" w:sz="4" w:space="0" w:color="auto"/>
              <w:bottom w:val="nil"/>
              <w:right w:val="nil"/>
            </w:tcBorders>
            <w:vAlign w:val="center"/>
          </w:tcPr>
          <w:p w14:paraId="38F91613" w14:textId="77777777" w:rsidR="00852FF2" w:rsidRPr="00C0702D" w:rsidRDefault="00852FF2" w:rsidP="00852FF2">
            <w:pPr>
              <w:spacing w:line="360" w:lineRule="auto"/>
              <w:jc w:val="center"/>
              <w:rPr>
                <w:color w:val="000000"/>
              </w:rPr>
            </w:pPr>
            <w:r w:rsidRPr="00C0702D">
              <w:rPr>
                <w:color w:val="000000"/>
              </w:rPr>
              <w:t>128.3</w:t>
            </w:r>
          </w:p>
        </w:tc>
        <w:tc>
          <w:tcPr>
            <w:tcW w:w="1700" w:type="dxa"/>
            <w:tcBorders>
              <w:top w:val="nil"/>
              <w:left w:val="nil"/>
              <w:bottom w:val="nil"/>
              <w:right w:val="nil"/>
            </w:tcBorders>
            <w:vAlign w:val="center"/>
          </w:tcPr>
          <w:p w14:paraId="46D0BAEE" w14:textId="77777777" w:rsidR="00852FF2" w:rsidRPr="00C0702D" w:rsidRDefault="00852FF2" w:rsidP="00852FF2">
            <w:pPr>
              <w:spacing w:line="360" w:lineRule="auto"/>
              <w:jc w:val="center"/>
              <w:rPr>
                <w:color w:val="000000"/>
              </w:rPr>
            </w:pPr>
            <w:r w:rsidRPr="00C0702D">
              <w:rPr>
                <w:color w:val="000000"/>
              </w:rPr>
              <w:t>37.2</w:t>
            </w:r>
          </w:p>
        </w:tc>
        <w:tc>
          <w:tcPr>
            <w:tcW w:w="1700" w:type="dxa"/>
            <w:tcBorders>
              <w:top w:val="nil"/>
              <w:left w:val="nil"/>
              <w:bottom w:val="nil"/>
              <w:right w:val="nil"/>
            </w:tcBorders>
            <w:vAlign w:val="center"/>
          </w:tcPr>
          <w:p w14:paraId="50A0291B" w14:textId="77777777" w:rsidR="00852FF2" w:rsidRPr="00C0702D" w:rsidRDefault="00852FF2" w:rsidP="00852FF2">
            <w:pPr>
              <w:spacing w:line="360" w:lineRule="auto"/>
              <w:jc w:val="center"/>
              <w:rPr>
                <w:color w:val="000000"/>
              </w:rPr>
            </w:pPr>
            <w:r w:rsidRPr="00C0702D">
              <w:rPr>
                <w:color w:val="000000"/>
              </w:rPr>
              <w:t>50.0</w:t>
            </w:r>
          </w:p>
        </w:tc>
        <w:tc>
          <w:tcPr>
            <w:tcW w:w="1701" w:type="dxa"/>
            <w:tcBorders>
              <w:top w:val="nil"/>
              <w:left w:val="nil"/>
              <w:bottom w:val="nil"/>
            </w:tcBorders>
            <w:vAlign w:val="center"/>
          </w:tcPr>
          <w:p w14:paraId="2B55D92F" w14:textId="77777777" w:rsidR="00852FF2" w:rsidRPr="00C0702D" w:rsidRDefault="00852FF2" w:rsidP="00852FF2">
            <w:pPr>
              <w:spacing w:line="360" w:lineRule="auto"/>
              <w:jc w:val="center"/>
              <w:rPr>
                <w:color w:val="000000"/>
              </w:rPr>
            </w:pPr>
            <w:r w:rsidRPr="00C0702D">
              <w:rPr>
                <w:color w:val="000000"/>
              </w:rPr>
              <w:t>41.2</w:t>
            </w:r>
          </w:p>
        </w:tc>
      </w:tr>
      <w:tr w:rsidR="00852FF2" w14:paraId="2C64121B" w14:textId="77777777" w:rsidTr="008A1146">
        <w:trPr>
          <w:trHeight w:val="640"/>
          <w:jc w:val="center"/>
        </w:trPr>
        <w:tc>
          <w:tcPr>
            <w:tcW w:w="1821" w:type="dxa"/>
            <w:tcBorders>
              <w:top w:val="nil"/>
              <w:right w:val="single" w:sz="4" w:space="0" w:color="auto"/>
            </w:tcBorders>
            <w:vAlign w:val="center"/>
          </w:tcPr>
          <w:p w14:paraId="34037600" w14:textId="77777777" w:rsidR="00852FF2" w:rsidRPr="00C0702D" w:rsidRDefault="00852FF2" w:rsidP="00852FF2">
            <w:pPr>
              <w:spacing w:line="360" w:lineRule="auto"/>
              <w:contextualSpacing/>
              <w:jc w:val="center"/>
            </w:pPr>
            <w:r w:rsidRPr="00C0702D">
              <w:t>15</w:t>
            </w:r>
          </w:p>
        </w:tc>
        <w:tc>
          <w:tcPr>
            <w:tcW w:w="1579" w:type="dxa"/>
            <w:tcBorders>
              <w:top w:val="nil"/>
              <w:left w:val="single" w:sz="4" w:space="0" w:color="auto"/>
              <w:right w:val="nil"/>
            </w:tcBorders>
            <w:vAlign w:val="center"/>
          </w:tcPr>
          <w:p w14:paraId="03D2A82F" w14:textId="77777777" w:rsidR="00852FF2" w:rsidRPr="00C0702D" w:rsidRDefault="00852FF2" w:rsidP="00852FF2">
            <w:pPr>
              <w:spacing w:line="360" w:lineRule="auto"/>
              <w:jc w:val="center"/>
              <w:rPr>
                <w:color w:val="000000"/>
              </w:rPr>
            </w:pPr>
            <w:r w:rsidRPr="00C0702D">
              <w:rPr>
                <w:color w:val="000000"/>
              </w:rPr>
              <w:t>127.6</w:t>
            </w:r>
          </w:p>
        </w:tc>
        <w:tc>
          <w:tcPr>
            <w:tcW w:w="1700" w:type="dxa"/>
            <w:tcBorders>
              <w:top w:val="nil"/>
              <w:left w:val="nil"/>
              <w:right w:val="nil"/>
            </w:tcBorders>
            <w:vAlign w:val="center"/>
          </w:tcPr>
          <w:p w14:paraId="438ABFCE" w14:textId="77777777" w:rsidR="00852FF2" w:rsidRPr="00C0702D" w:rsidRDefault="00852FF2" w:rsidP="00852FF2">
            <w:pPr>
              <w:spacing w:line="360" w:lineRule="auto"/>
              <w:jc w:val="center"/>
              <w:rPr>
                <w:color w:val="000000"/>
              </w:rPr>
            </w:pPr>
            <w:r w:rsidRPr="00C0702D">
              <w:rPr>
                <w:color w:val="000000"/>
              </w:rPr>
              <w:t>37.2</w:t>
            </w:r>
          </w:p>
        </w:tc>
        <w:tc>
          <w:tcPr>
            <w:tcW w:w="1700" w:type="dxa"/>
            <w:tcBorders>
              <w:top w:val="nil"/>
              <w:left w:val="nil"/>
              <w:right w:val="nil"/>
            </w:tcBorders>
            <w:vAlign w:val="center"/>
          </w:tcPr>
          <w:p w14:paraId="3CED2C89" w14:textId="77777777" w:rsidR="00852FF2" w:rsidRPr="00C0702D" w:rsidRDefault="00852FF2" w:rsidP="00852FF2">
            <w:pPr>
              <w:spacing w:line="360" w:lineRule="auto"/>
              <w:jc w:val="center"/>
              <w:rPr>
                <w:color w:val="000000"/>
              </w:rPr>
            </w:pPr>
            <w:r w:rsidRPr="00C0702D">
              <w:rPr>
                <w:color w:val="000000"/>
              </w:rPr>
              <w:t>56.2</w:t>
            </w:r>
          </w:p>
        </w:tc>
        <w:tc>
          <w:tcPr>
            <w:tcW w:w="1701" w:type="dxa"/>
            <w:tcBorders>
              <w:top w:val="nil"/>
              <w:left w:val="nil"/>
            </w:tcBorders>
            <w:vAlign w:val="center"/>
          </w:tcPr>
          <w:p w14:paraId="71D2506B" w14:textId="77777777" w:rsidR="00852FF2" w:rsidRPr="00C0702D" w:rsidRDefault="00852FF2" w:rsidP="00852FF2">
            <w:pPr>
              <w:spacing w:line="360" w:lineRule="auto"/>
              <w:jc w:val="center"/>
              <w:rPr>
                <w:color w:val="000000"/>
              </w:rPr>
            </w:pPr>
            <w:r w:rsidRPr="00C0702D">
              <w:rPr>
                <w:color w:val="000000"/>
              </w:rPr>
              <w:t>34.2</w:t>
            </w:r>
          </w:p>
        </w:tc>
      </w:tr>
    </w:tbl>
    <w:p w14:paraId="16176BC1" w14:textId="77777777" w:rsidR="00852FF2" w:rsidRDefault="00852FF2"/>
    <w:tbl>
      <w:tblPr>
        <w:tblStyle w:val="TableGrid"/>
        <w:tblW w:w="0" w:type="auto"/>
        <w:jc w:val="center"/>
        <w:tblLook w:val="04A0" w:firstRow="1" w:lastRow="0" w:firstColumn="1" w:lastColumn="0" w:noHBand="0" w:noVBand="1"/>
      </w:tblPr>
      <w:tblGrid>
        <w:gridCol w:w="1532"/>
        <w:gridCol w:w="1387"/>
        <w:gridCol w:w="1387"/>
        <w:gridCol w:w="1387"/>
        <w:gridCol w:w="1387"/>
        <w:gridCol w:w="1406"/>
      </w:tblGrid>
      <w:tr w:rsidR="00852FF2" w14:paraId="203541E6" w14:textId="77777777" w:rsidTr="00852FF2">
        <w:trPr>
          <w:trHeight w:val="365"/>
          <w:jc w:val="center"/>
        </w:trPr>
        <w:tc>
          <w:tcPr>
            <w:tcW w:w="8582" w:type="dxa"/>
            <w:gridSpan w:val="6"/>
            <w:tcBorders>
              <w:bottom w:val="single" w:sz="4" w:space="0" w:color="auto"/>
            </w:tcBorders>
            <w:vAlign w:val="center"/>
          </w:tcPr>
          <w:p w14:paraId="1B8D8BB4" w14:textId="6C4D2F28" w:rsidR="00852FF2" w:rsidRPr="00C0702D" w:rsidRDefault="00852FF2" w:rsidP="00852FF2">
            <w:pPr>
              <w:spacing w:line="360" w:lineRule="auto"/>
              <w:contextualSpacing/>
              <w:jc w:val="center"/>
            </w:pPr>
            <w:r w:rsidRPr="00C0702D">
              <w:rPr>
                <w:b/>
              </w:rPr>
              <w:t xml:space="preserve">TABLE </w:t>
            </w:r>
            <w:r>
              <w:rPr>
                <w:b/>
              </w:rPr>
              <w:t>5.4</w:t>
            </w:r>
            <w:r w:rsidRPr="00C0702D">
              <w:rPr>
                <w:b/>
              </w:rPr>
              <w:t xml:space="preserve">— </w:t>
            </w:r>
            <w:r w:rsidR="00411DF7">
              <w:rPr>
                <w:b/>
              </w:rPr>
              <w:t>E</w:t>
            </w:r>
            <w:r w:rsidR="00411DF7" w:rsidRPr="00C0702D">
              <w:rPr>
                <w:b/>
              </w:rPr>
              <w:t>ffects of fluid composition on gas storage</w:t>
            </w:r>
          </w:p>
        </w:tc>
      </w:tr>
      <w:tr w:rsidR="00852FF2" w14:paraId="17D6E003" w14:textId="77777777" w:rsidTr="00852FF2">
        <w:trPr>
          <w:trHeight w:val="343"/>
          <w:jc w:val="center"/>
        </w:trPr>
        <w:tc>
          <w:tcPr>
            <w:tcW w:w="1534" w:type="dxa"/>
            <w:tcBorders>
              <w:bottom w:val="nil"/>
              <w:right w:val="nil"/>
            </w:tcBorders>
            <w:vAlign w:val="center"/>
          </w:tcPr>
          <w:p w14:paraId="362DCF4D" w14:textId="77777777" w:rsidR="00852FF2" w:rsidRPr="00C0702D" w:rsidRDefault="00852FF2" w:rsidP="00852FF2">
            <w:pPr>
              <w:spacing w:line="360" w:lineRule="auto"/>
              <w:contextualSpacing/>
              <w:jc w:val="center"/>
              <w:rPr>
                <w:u w:val="thick"/>
              </w:rPr>
            </w:pPr>
            <w:r w:rsidRPr="00C0702D">
              <w:rPr>
                <w:u w:val="thick"/>
              </w:rPr>
              <w:t>C1 Composition</w:t>
            </w:r>
          </w:p>
        </w:tc>
        <w:tc>
          <w:tcPr>
            <w:tcW w:w="1408" w:type="dxa"/>
            <w:tcBorders>
              <w:left w:val="nil"/>
              <w:bottom w:val="nil"/>
              <w:right w:val="nil"/>
            </w:tcBorders>
            <w:vAlign w:val="center"/>
          </w:tcPr>
          <w:p w14:paraId="16768009" w14:textId="77777777" w:rsidR="00852FF2" w:rsidRPr="00C0702D" w:rsidRDefault="00852FF2" w:rsidP="00852FF2">
            <w:pPr>
              <w:spacing w:line="360" w:lineRule="auto"/>
              <w:contextualSpacing/>
              <w:jc w:val="center"/>
              <w:rPr>
                <w:u w:val="thick"/>
              </w:rPr>
            </w:pPr>
            <w:r w:rsidRPr="00C0702D">
              <w:rPr>
                <w:u w:val="single"/>
              </w:rPr>
              <w:t>G</w:t>
            </w:r>
            <w:r w:rsidRPr="00C0702D">
              <w:rPr>
                <w:u w:val="single"/>
                <w:vertAlign w:val="subscript"/>
              </w:rPr>
              <w:t>st</w:t>
            </w:r>
            <w:r w:rsidRPr="00C0702D">
              <w:rPr>
                <w:u w:val="single"/>
              </w:rPr>
              <w:t>,</w:t>
            </w:r>
            <w:r w:rsidRPr="00C0702D">
              <w:rPr>
                <w:u w:val="thick"/>
              </w:rPr>
              <w:t xml:space="preserve"> scf/ton</w:t>
            </w:r>
          </w:p>
        </w:tc>
        <w:tc>
          <w:tcPr>
            <w:tcW w:w="1408" w:type="dxa"/>
            <w:tcBorders>
              <w:left w:val="nil"/>
              <w:bottom w:val="nil"/>
              <w:right w:val="nil"/>
            </w:tcBorders>
            <w:vAlign w:val="center"/>
          </w:tcPr>
          <w:p w14:paraId="5B1AA28C" w14:textId="77777777" w:rsidR="00852FF2" w:rsidRPr="00C0702D" w:rsidRDefault="00852FF2" w:rsidP="00852FF2">
            <w:pPr>
              <w:spacing w:line="360" w:lineRule="auto"/>
              <w:contextualSpacing/>
              <w:jc w:val="center"/>
              <w:rPr>
                <w:u w:val="thick"/>
                <w:vertAlign w:val="subscript"/>
              </w:rPr>
            </w:pPr>
            <w:r w:rsidRPr="00C0702D">
              <w:rPr>
                <w:u w:val="single"/>
              </w:rPr>
              <w:t>G</w:t>
            </w:r>
            <w:r w:rsidRPr="00C0702D">
              <w:rPr>
                <w:u w:val="single"/>
                <w:vertAlign w:val="subscript"/>
              </w:rPr>
              <w:t>f,inorg</w:t>
            </w:r>
            <w:r w:rsidRPr="00C0702D">
              <w:rPr>
                <w:u w:val="single"/>
              </w:rPr>
              <w:t>,</w:t>
            </w:r>
            <w:r w:rsidRPr="00C0702D">
              <w:rPr>
                <w:u w:val="thick"/>
              </w:rPr>
              <w:t xml:space="preserve"> scf/ton</w:t>
            </w:r>
          </w:p>
        </w:tc>
        <w:tc>
          <w:tcPr>
            <w:tcW w:w="1408" w:type="dxa"/>
            <w:tcBorders>
              <w:left w:val="nil"/>
              <w:bottom w:val="nil"/>
              <w:right w:val="nil"/>
            </w:tcBorders>
            <w:vAlign w:val="center"/>
          </w:tcPr>
          <w:p w14:paraId="27DAC76D" w14:textId="77777777" w:rsidR="00852FF2" w:rsidRPr="00C0702D" w:rsidRDefault="00852FF2" w:rsidP="00852FF2">
            <w:pPr>
              <w:spacing w:line="360" w:lineRule="auto"/>
              <w:contextualSpacing/>
              <w:jc w:val="center"/>
              <w:rPr>
                <w:u w:val="thick"/>
                <w:vertAlign w:val="subscript"/>
              </w:rPr>
            </w:pPr>
            <w:r w:rsidRPr="00C0702D">
              <w:rPr>
                <w:u w:val="single"/>
              </w:rPr>
              <w:t>G</w:t>
            </w:r>
            <w:r w:rsidRPr="00C0702D">
              <w:rPr>
                <w:u w:val="single"/>
                <w:vertAlign w:val="subscript"/>
              </w:rPr>
              <w:t>f,org</w:t>
            </w:r>
            <w:r w:rsidRPr="00C0702D">
              <w:rPr>
                <w:u w:val="single"/>
              </w:rPr>
              <w:t>,</w:t>
            </w:r>
            <w:r w:rsidRPr="00C0702D">
              <w:rPr>
                <w:u w:val="thick"/>
              </w:rPr>
              <w:t xml:space="preserve"> scf/ton</w:t>
            </w:r>
          </w:p>
        </w:tc>
        <w:tc>
          <w:tcPr>
            <w:tcW w:w="1408" w:type="dxa"/>
            <w:tcBorders>
              <w:left w:val="nil"/>
              <w:bottom w:val="nil"/>
              <w:right w:val="nil"/>
            </w:tcBorders>
            <w:vAlign w:val="center"/>
          </w:tcPr>
          <w:p w14:paraId="0F217006" w14:textId="77777777" w:rsidR="00852FF2" w:rsidRPr="00C0702D" w:rsidRDefault="00852FF2" w:rsidP="00852FF2">
            <w:pPr>
              <w:spacing w:line="360" w:lineRule="auto"/>
              <w:contextualSpacing/>
              <w:jc w:val="center"/>
              <w:rPr>
                <w:u w:val="thick"/>
                <w:vertAlign w:val="subscript"/>
              </w:rPr>
            </w:pPr>
            <w:r w:rsidRPr="00C0702D">
              <w:rPr>
                <w:u w:val="single"/>
              </w:rPr>
              <w:t>G</w:t>
            </w:r>
            <w:r w:rsidRPr="00C0702D">
              <w:rPr>
                <w:u w:val="single"/>
                <w:vertAlign w:val="subscript"/>
              </w:rPr>
              <w:t>ads</w:t>
            </w:r>
            <w:r w:rsidRPr="00C0702D">
              <w:rPr>
                <w:u w:val="single"/>
              </w:rPr>
              <w:t>,</w:t>
            </w:r>
            <w:r w:rsidRPr="00C0702D">
              <w:rPr>
                <w:u w:val="thick"/>
              </w:rPr>
              <w:t xml:space="preserve"> scf/ton</w:t>
            </w:r>
          </w:p>
        </w:tc>
        <w:tc>
          <w:tcPr>
            <w:tcW w:w="1411" w:type="dxa"/>
            <w:tcBorders>
              <w:left w:val="nil"/>
              <w:bottom w:val="nil"/>
            </w:tcBorders>
            <w:vAlign w:val="center"/>
          </w:tcPr>
          <w:p w14:paraId="10D35E57" w14:textId="77777777" w:rsidR="00852FF2" w:rsidRPr="00C0702D" w:rsidRDefault="00852FF2" w:rsidP="00852FF2">
            <w:pPr>
              <w:spacing w:line="360" w:lineRule="auto"/>
              <w:contextualSpacing/>
              <w:jc w:val="center"/>
            </w:pPr>
            <w:r w:rsidRPr="00852FF2">
              <w:rPr>
                <w:u w:val="thick"/>
              </w:rPr>
              <w:t xml:space="preserve">Ads film </w:t>
            </w:r>
            <w:r w:rsidRPr="00C0702D">
              <w:rPr>
                <w:u w:val="thick"/>
              </w:rPr>
              <w:t>thickness, nm</w:t>
            </w:r>
          </w:p>
        </w:tc>
      </w:tr>
      <w:tr w:rsidR="00852FF2" w14:paraId="00A19749" w14:textId="77777777" w:rsidTr="00852FF2">
        <w:trPr>
          <w:trHeight w:val="365"/>
          <w:jc w:val="center"/>
        </w:trPr>
        <w:tc>
          <w:tcPr>
            <w:tcW w:w="1534" w:type="dxa"/>
            <w:tcBorders>
              <w:top w:val="nil"/>
              <w:bottom w:val="nil"/>
              <w:right w:val="nil"/>
            </w:tcBorders>
            <w:vAlign w:val="center"/>
          </w:tcPr>
          <w:p w14:paraId="295C939B" w14:textId="77777777" w:rsidR="00852FF2" w:rsidRPr="00C0702D" w:rsidRDefault="00852FF2" w:rsidP="00852FF2">
            <w:pPr>
              <w:spacing w:line="360" w:lineRule="auto"/>
              <w:jc w:val="center"/>
              <w:rPr>
                <w:color w:val="000000"/>
              </w:rPr>
            </w:pPr>
            <w:r w:rsidRPr="00C0702D">
              <w:rPr>
                <w:color w:val="000000"/>
              </w:rPr>
              <w:t>80 %</w:t>
            </w:r>
          </w:p>
        </w:tc>
        <w:tc>
          <w:tcPr>
            <w:tcW w:w="1408" w:type="dxa"/>
            <w:tcBorders>
              <w:top w:val="nil"/>
              <w:left w:val="nil"/>
              <w:bottom w:val="nil"/>
              <w:right w:val="nil"/>
            </w:tcBorders>
            <w:vAlign w:val="center"/>
          </w:tcPr>
          <w:p w14:paraId="5F9763D8" w14:textId="77777777" w:rsidR="00852FF2" w:rsidRPr="00C0702D" w:rsidRDefault="00852FF2" w:rsidP="00852FF2">
            <w:pPr>
              <w:spacing w:line="360" w:lineRule="auto"/>
              <w:jc w:val="center"/>
              <w:rPr>
                <w:color w:val="000000"/>
              </w:rPr>
            </w:pPr>
            <w:r w:rsidRPr="00C0702D">
              <w:rPr>
                <w:color w:val="000000"/>
              </w:rPr>
              <w:t>140.5</w:t>
            </w:r>
          </w:p>
        </w:tc>
        <w:tc>
          <w:tcPr>
            <w:tcW w:w="1408" w:type="dxa"/>
            <w:tcBorders>
              <w:top w:val="nil"/>
              <w:left w:val="nil"/>
              <w:bottom w:val="nil"/>
              <w:right w:val="nil"/>
            </w:tcBorders>
            <w:vAlign w:val="center"/>
          </w:tcPr>
          <w:p w14:paraId="4DDE3AB2" w14:textId="77777777" w:rsidR="00852FF2" w:rsidRPr="00C0702D" w:rsidRDefault="00852FF2" w:rsidP="00852FF2">
            <w:pPr>
              <w:spacing w:line="360" w:lineRule="auto"/>
              <w:jc w:val="center"/>
              <w:rPr>
                <w:color w:val="000000"/>
              </w:rPr>
            </w:pPr>
            <w:r w:rsidRPr="00C0702D">
              <w:rPr>
                <w:color w:val="000000"/>
              </w:rPr>
              <w:t>36.7</w:t>
            </w:r>
          </w:p>
        </w:tc>
        <w:tc>
          <w:tcPr>
            <w:tcW w:w="1408" w:type="dxa"/>
            <w:tcBorders>
              <w:top w:val="nil"/>
              <w:left w:val="nil"/>
              <w:bottom w:val="nil"/>
              <w:right w:val="nil"/>
            </w:tcBorders>
            <w:vAlign w:val="center"/>
          </w:tcPr>
          <w:p w14:paraId="617EA7B6" w14:textId="77777777" w:rsidR="00852FF2" w:rsidRPr="00C0702D" w:rsidRDefault="00852FF2" w:rsidP="00852FF2">
            <w:pPr>
              <w:spacing w:line="360" w:lineRule="auto"/>
              <w:jc w:val="center"/>
              <w:rPr>
                <w:color w:val="000000"/>
              </w:rPr>
            </w:pPr>
            <w:r w:rsidRPr="00C0702D">
              <w:rPr>
                <w:color w:val="000000"/>
              </w:rPr>
              <w:t>51.1</w:t>
            </w:r>
          </w:p>
        </w:tc>
        <w:tc>
          <w:tcPr>
            <w:tcW w:w="1408" w:type="dxa"/>
            <w:tcBorders>
              <w:top w:val="nil"/>
              <w:left w:val="nil"/>
              <w:bottom w:val="nil"/>
              <w:right w:val="nil"/>
            </w:tcBorders>
            <w:vAlign w:val="center"/>
          </w:tcPr>
          <w:p w14:paraId="52F4E448" w14:textId="77777777" w:rsidR="00852FF2" w:rsidRPr="00C0702D" w:rsidRDefault="00852FF2" w:rsidP="00852FF2">
            <w:pPr>
              <w:spacing w:line="360" w:lineRule="auto"/>
              <w:jc w:val="center"/>
              <w:rPr>
                <w:color w:val="000000"/>
              </w:rPr>
            </w:pPr>
            <w:r w:rsidRPr="00C0702D">
              <w:rPr>
                <w:color w:val="000000"/>
              </w:rPr>
              <w:t>52.8</w:t>
            </w:r>
          </w:p>
        </w:tc>
        <w:tc>
          <w:tcPr>
            <w:tcW w:w="1411" w:type="dxa"/>
            <w:tcBorders>
              <w:top w:val="nil"/>
              <w:left w:val="nil"/>
              <w:bottom w:val="nil"/>
            </w:tcBorders>
            <w:vAlign w:val="center"/>
          </w:tcPr>
          <w:p w14:paraId="17E67EF7" w14:textId="77777777" w:rsidR="00852FF2" w:rsidRPr="00C0702D" w:rsidRDefault="00852FF2" w:rsidP="00852FF2">
            <w:pPr>
              <w:spacing w:line="360" w:lineRule="auto"/>
              <w:contextualSpacing/>
              <w:jc w:val="center"/>
            </w:pPr>
            <w:r w:rsidRPr="00C0702D">
              <w:t>2.25</w:t>
            </w:r>
          </w:p>
        </w:tc>
      </w:tr>
      <w:tr w:rsidR="00852FF2" w14:paraId="53C29699" w14:textId="77777777" w:rsidTr="00852FF2">
        <w:trPr>
          <w:trHeight w:val="365"/>
          <w:jc w:val="center"/>
        </w:trPr>
        <w:tc>
          <w:tcPr>
            <w:tcW w:w="1534" w:type="dxa"/>
            <w:tcBorders>
              <w:top w:val="nil"/>
              <w:bottom w:val="nil"/>
              <w:right w:val="nil"/>
            </w:tcBorders>
            <w:vAlign w:val="center"/>
          </w:tcPr>
          <w:p w14:paraId="52357EEB" w14:textId="77777777" w:rsidR="00852FF2" w:rsidRPr="00C0702D" w:rsidRDefault="00852FF2" w:rsidP="00852FF2">
            <w:pPr>
              <w:spacing w:line="360" w:lineRule="auto"/>
              <w:jc w:val="center"/>
              <w:rPr>
                <w:color w:val="000000"/>
              </w:rPr>
            </w:pPr>
            <w:r w:rsidRPr="00C0702D">
              <w:rPr>
                <w:color w:val="000000"/>
              </w:rPr>
              <w:t>60 %</w:t>
            </w:r>
          </w:p>
        </w:tc>
        <w:tc>
          <w:tcPr>
            <w:tcW w:w="1408" w:type="dxa"/>
            <w:tcBorders>
              <w:top w:val="nil"/>
              <w:left w:val="nil"/>
              <w:bottom w:val="nil"/>
              <w:right w:val="nil"/>
            </w:tcBorders>
            <w:vAlign w:val="center"/>
          </w:tcPr>
          <w:p w14:paraId="6952EE70" w14:textId="77777777" w:rsidR="00852FF2" w:rsidRPr="00C0702D" w:rsidRDefault="00852FF2" w:rsidP="00852FF2">
            <w:pPr>
              <w:spacing w:line="360" w:lineRule="auto"/>
              <w:jc w:val="center"/>
              <w:rPr>
                <w:color w:val="000000"/>
              </w:rPr>
            </w:pPr>
            <w:r w:rsidRPr="00C0702D">
              <w:rPr>
                <w:color w:val="000000"/>
              </w:rPr>
              <w:t>139.0</w:t>
            </w:r>
          </w:p>
        </w:tc>
        <w:tc>
          <w:tcPr>
            <w:tcW w:w="1408" w:type="dxa"/>
            <w:tcBorders>
              <w:top w:val="nil"/>
              <w:left w:val="nil"/>
              <w:bottom w:val="nil"/>
              <w:right w:val="nil"/>
            </w:tcBorders>
            <w:vAlign w:val="center"/>
          </w:tcPr>
          <w:p w14:paraId="2D9227AA" w14:textId="77777777" w:rsidR="00852FF2" w:rsidRPr="00C0702D" w:rsidRDefault="00852FF2" w:rsidP="00852FF2">
            <w:pPr>
              <w:spacing w:line="360" w:lineRule="auto"/>
              <w:jc w:val="center"/>
              <w:rPr>
                <w:color w:val="000000"/>
              </w:rPr>
            </w:pPr>
            <w:r w:rsidRPr="00C0702D">
              <w:rPr>
                <w:color w:val="000000"/>
              </w:rPr>
              <w:t>37.4</w:t>
            </w:r>
          </w:p>
        </w:tc>
        <w:tc>
          <w:tcPr>
            <w:tcW w:w="1408" w:type="dxa"/>
            <w:tcBorders>
              <w:top w:val="nil"/>
              <w:left w:val="nil"/>
              <w:bottom w:val="nil"/>
              <w:right w:val="nil"/>
            </w:tcBorders>
            <w:vAlign w:val="center"/>
          </w:tcPr>
          <w:p w14:paraId="5B086A97" w14:textId="77777777" w:rsidR="00852FF2" w:rsidRPr="00C0702D" w:rsidRDefault="00852FF2" w:rsidP="00852FF2">
            <w:pPr>
              <w:spacing w:line="360" w:lineRule="auto"/>
              <w:jc w:val="center"/>
              <w:rPr>
                <w:color w:val="000000"/>
              </w:rPr>
            </w:pPr>
            <w:r w:rsidRPr="00C0702D">
              <w:rPr>
                <w:color w:val="000000"/>
              </w:rPr>
              <w:t>53.2</w:t>
            </w:r>
          </w:p>
        </w:tc>
        <w:tc>
          <w:tcPr>
            <w:tcW w:w="1408" w:type="dxa"/>
            <w:tcBorders>
              <w:top w:val="nil"/>
              <w:left w:val="nil"/>
              <w:bottom w:val="nil"/>
              <w:right w:val="nil"/>
            </w:tcBorders>
            <w:vAlign w:val="center"/>
          </w:tcPr>
          <w:p w14:paraId="6CEE07C8" w14:textId="77777777" w:rsidR="00852FF2" w:rsidRPr="00C0702D" w:rsidRDefault="00852FF2" w:rsidP="00852FF2">
            <w:pPr>
              <w:spacing w:line="360" w:lineRule="auto"/>
              <w:jc w:val="center"/>
              <w:rPr>
                <w:color w:val="000000"/>
              </w:rPr>
            </w:pPr>
            <w:r w:rsidRPr="00C0702D">
              <w:rPr>
                <w:color w:val="000000"/>
              </w:rPr>
              <w:t>48.5</w:t>
            </w:r>
          </w:p>
        </w:tc>
        <w:tc>
          <w:tcPr>
            <w:tcW w:w="1411" w:type="dxa"/>
            <w:tcBorders>
              <w:top w:val="nil"/>
              <w:left w:val="nil"/>
              <w:bottom w:val="nil"/>
            </w:tcBorders>
            <w:vAlign w:val="center"/>
          </w:tcPr>
          <w:p w14:paraId="02AD7733" w14:textId="77777777" w:rsidR="00852FF2" w:rsidRPr="00C0702D" w:rsidRDefault="00852FF2" w:rsidP="00852FF2">
            <w:pPr>
              <w:spacing w:line="360" w:lineRule="auto"/>
              <w:contextualSpacing/>
              <w:jc w:val="center"/>
            </w:pPr>
            <w:r w:rsidRPr="00C0702D">
              <w:t>2.15</w:t>
            </w:r>
          </w:p>
        </w:tc>
      </w:tr>
      <w:tr w:rsidR="00852FF2" w14:paraId="53563413" w14:textId="77777777" w:rsidTr="00852FF2">
        <w:trPr>
          <w:trHeight w:val="343"/>
          <w:jc w:val="center"/>
        </w:trPr>
        <w:tc>
          <w:tcPr>
            <w:tcW w:w="1534" w:type="dxa"/>
            <w:tcBorders>
              <w:top w:val="nil"/>
              <w:bottom w:val="nil"/>
              <w:right w:val="nil"/>
            </w:tcBorders>
            <w:vAlign w:val="center"/>
          </w:tcPr>
          <w:p w14:paraId="6B1858D4" w14:textId="77777777" w:rsidR="00852FF2" w:rsidRPr="00C0702D" w:rsidRDefault="00852FF2" w:rsidP="00852FF2">
            <w:pPr>
              <w:spacing w:line="360" w:lineRule="auto"/>
              <w:jc w:val="center"/>
              <w:rPr>
                <w:color w:val="000000"/>
              </w:rPr>
            </w:pPr>
            <w:r w:rsidRPr="00C0702D">
              <w:rPr>
                <w:color w:val="000000"/>
              </w:rPr>
              <w:t>40 %</w:t>
            </w:r>
          </w:p>
        </w:tc>
        <w:tc>
          <w:tcPr>
            <w:tcW w:w="1408" w:type="dxa"/>
            <w:tcBorders>
              <w:top w:val="nil"/>
              <w:left w:val="nil"/>
              <w:bottom w:val="nil"/>
              <w:right w:val="nil"/>
            </w:tcBorders>
            <w:vAlign w:val="center"/>
          </w:tcPr>
          <w:p w14:paraId="2014A76B" w14:textId="77777777" w:rsidR="00852FF2" w:rsidRPr="00C0702D" w:rsidRDefault="00852FF2" w:rsidP="00852FF2">
            <w:pPr>
              <w:spacing w:line="360" w:lineRule="auto"/>
              <w:jc w:val="center"/>
              <w:rPr>
                <w:color w:val="000000"/>
              </w:rPr>
            </w:pPr>
            <w:r w:rsidRPr="00C0702D">
              <w:rPr>
                <w:color w:val="000000"/>
              </w:rPr>
              <w:t>136.1</w:t>
            </w:r>
          </w:p>
        </w:tc>
        <w:tc>
          <w:tcPr>
            <w:tcW w:w="1408" w:type="dxa"/>
            <w:tcBorders>
              <w:top w:val="nil"/>
              <w:left w:val="nil"/>
              <w:bottom w:val="nil"/>
              <w:right w:val="nil"/>
            </w:tcBorders>
            <w:vAlign w:val="center"/>
          </w:tcPr>
          <w:p w14:paraId="536764A6" w14:textId="77777777" w:rsidR="00852FF2" w:rsidRPr="00C0702D" w:rsidRDefault="00852FF2" w:rsidP="00852FF2">
            <w:pPr>
              <w:spacing w:line="360" w:lineRule="auto"/>
              <w:jc w:val="center"/>
              <w:rPr>
                <w:color w:val="000000"/>
              </w:rPr>
            </w:pPr>
            <w:r w:rsidRPr="00C0702D">
              <w:rPr>
                <w:color w:val="000000"/>
              </w:rPr>
              <w:t>36.6</w:t>
            </w:r>
          </w:p>
        </w:tc>
        <w:tc>
          <w:tcPr>
            <w:tcW w:w="1408" w:type="dxa"/>
            <w:tcBorders>
              <w:top w:val="nil"/>
              <w:left w:val="nil"/>
              <w:bottom w:val="nil"/>
              <w:right w:val="nil"/>
            </w:tcBorders>
            <w:vAlign w:val="center"/>
          </w:tcPr>
          <w:p w14:paraId="408D17A9" w14:textId="77777777" w:rsidR="00852FF2" w:rsidRPr="00C0702D" w:rsidRDefault="00852FF2" w:rsidP="00852FF2">
            <w:pPr>
              <w:spacing w:line="360" w:lineRule="auto"/>
              <w:jc w:val="center"/>
              <w:rPr>
                <w:color w:val="000000"/>
              </w:rPr>
            </w:pPr>
            <w:r w:rsidRPr="00C0702D">
              <w:rPr>
                <w:color w:val="000000"/>
              </w:rPr>
              <w:t>57.4</w:t>
            </w:r>
          </w:p>
        </w:tc>
        <w:tc>
          <w:tcPr>
            <w:tcW w:w="1408" w:type="dxa"/>
            <w:tcBorders>
              <w:top w:val="nil"/>
              <w:left w:val="nil"/>
              <w:bottom w:val="nil"/>
              <w:right w:val="nil"/>
            </w:tcBorders>
            <w:vAlign w:val="center"/>
          </w:tcPr>
          <w:p w14:paraId="7FD182AF" w14:textId="77777777" w:rsidR="00852FF2" w:rsidRPr="00C0702D" w:rsidRDefault="00852FF2" w:rsidP="00852FF2">
            <w:pPr>
              <w:spacing w:line="360" w:lineRule="auto"/>
              <w:jc w:val="center"/>
              <w:rPr>
                <w:color w:val="000000"/>
              </w:rPr>
            </w:pPr>
            <w:r w:rsidRPr="00C0702D">
              <w:rPr>
                <w:color w:val="000000"/>
              </w:rPr>
              <w:t>42.2</w:t>
            </w:r>
          </w:p>
        </w:tc>
        <w:tc>
          <w:tcPr>
            <w:tcW w:w="1411" w:type="dxa"/>
            <w:tcBorders>
              <w:top w:val="nil"/>
              <w:left w:val="nil"/>
              <w:bottom w:val="nil"/>
            </w:tcBorders>
            <w:vAlign w:val="center"/>
          </w:tcPr>
          <w:p w14:paraId="238F810A" w14:textId="77777777" w:rsidR="00852FF2" w:rsidRPr="00C0702D" w:rsidRDefault="00852FF2" w:rsidP="00852FF2">
            <w:pPr>
              <w:spacing w:line="360" w:lineRule="auto"/>
              <w:contextualSpacing/>
              <w:jc w:val="center"/>
            </w:pPr>
            <w:r w:rsidRPr="00C0702D">
              <w:t>1.74</w:t>
            </w:r>
          </w:p>
        </w:tc>
      </w:tr>
      <w:tr w:rsidR="00852FF2" w14:paraId="74A2C8AE" w14:textId="77777777" w:rsidTr="00852FF2">
        <w:trPr>
          <w:trHeight w:val="388"/>
          <w:jc w:val="center"/>
        </w:trPr>
        <w:tc>
          <w:tcPr>
            <w:tcW w:w="1534" w:type="dxa"/>
            <w:tcBorders>
              <w:top w:val="nil"/>
              <w:right w:val="nil"/>
            </w:tcBorders>
            <w:vAlign w:val="center"/>
          </w:tcPr>
          <w:p w14:paraId="2D1895C5" w14:textId="77777777" w:rsidR="00852FF2" w:rsidRPr="00C0702D" w:rsidRDefault="00852FF2" w:rsidP="00852FF2">
            <w:pPr>
              <w:spacing w:line="360" w:lineRule="auto"/>
              <w:jc w:val="center"/>
              <w:rPr>
                <w:color w:val="000000"/>
              </w:rPr>
            </w:pPr>
            <w:r w:rsidRPr="00C0702D">
              <w:rPr>
                <w:color w:val="000000"/>
              </w:rPr>
              <w:t>20 %</w:t>
            </w:r>
          </w:p>
        </w:tc>
        <w:tc>
          <w:tcPr>
            <w:tcW w:w="1408" w:type="dxa"/>
            <w:tcBorders>
              <w:top w:val="nil"/>
              <w:left w:val="nil"/>
              <w:right w:val="nil"/>
            </w:tcBorders>
            <w:vAlign w:val="center"/>
          </w:tcPr>
          <w:p w14:paraId="23366A61" w14:textId="77777777" w:rsidR="00852FF2" w:rsidRPr="00C0702D" w:rsidRDefault="00852FF2" w:rsidP="00852FF2">
            <w:pPr>
              <w:spacing w:line="360" w:lineRule="auto"/>
              <w:jc w:val="center"/>
              <w:rPr>
                <w:color w:val="000000"/>
              </w:rPr>
            </w:pPr>
            <w:r w:rsidRPr="00C0702D">
              <w:rPr>
                <w:color w:val="000000"/>
              </w:rPr>
              <w:t>132.4</w:t>
            </w:r>
          </w:p>
        </w:tc>
        <w:tc>
          <w:tcPr>
            <w:tcW w:w="1408" w:type="dxa"/>
            <w:tcBorders>
              <w:top w:val="nil"/>
              <w:left w:val="nil"/>
              <w:right w:val="nil"/>
            </w:tcBorders>
            <w:vAlign w:val="center"/>
          </w:tcPr>
          <w:p w14:paraId="799BCD79" w14:textId="77777777" w:rsidR="00852FF2" w:rsidRPr="00C0702D" w:rsidRDefault="00852FF2" w:rsidP="00852FF2">
            <w:pPr>
              <w:spacing w:line="360" w:lineRule="auto"/>
              <w:jc w:val="center"/>
              <w:rPr>
                <w:color w:val="000000"/>
              </w:rPr>
            </w:pPr>
            <w:r w:rsidRPr="00C0702D">
              <w:rPr>
                <w:color w:val="000000"/>
              </w:rPr>
              <w:t>34.8</w:t>
            </w:r>
          </w:p>
        </w:tc>
        <w:tc>
          <w:tcPr>
            <w:tcW w:w="1408" w:type="dxa"/>
            <w:tcBorders>
              <w:top w:val="nil"/>
              <w:left w:val="nil"/>
              <w:right w:val="nil"/>
            </w:tcBorders>
            <w:vAlign w:val="center"/>
          </w:tcPr>
          <w:p w14:paraId="69268AAC" w14:textId="77777777" w:rsidR="00852FF2" w:rsidRPr="00C0702D" w:rsidRDefault="00852FF2" w:rsidP="00852FF2">
            <w:pPr>
              <w:spacing w:line="360" w:lineRule="auto"/>
              <w:jc w:val="center"/>
              <w:rPr>
                <w:color w:val="000000"/>
              </w:rPr>
            </w:pPr>
            <w:r w:rsidRPr="00C0702D">
              <w:rPr>
                <w:color w:val="000000"/>
              </w:rPr>
              <w:t>58.5</w:t>
            </w:r>
          </w:p>
        </w:tc>
        <w:tc>
          <w:tcPr>
            <w:tcW w:w="1408" w:type="dxa"/>
            <w:tcBorders>
              <w:top w:val="nil"/>
              <w:left w:val="nil"/>
              <w:right w:val="nil"/>
            </w:tcBorders>
            <w:vAlign w:val="center"/>
          </w:tcPr>
          <w:p w14:paraId="06A2E219" w14:textId="77777777" w:rsidR="00852FF2" w:rsidRPr="00C0702D" w:rsidRDefault="00852FF2" w:rsidP="00852FF2">
            <w:pPr>
              <w:spacing w:line="360" w:lineRule="auto"/>
              <w:jc w:val="center"/>
              <w:rPr>
                <w:color w:val="000000"/>
              </w:rPr>
            </w:pPr>
            <w:r w:rsidRPr="00C0702D">
              <w:rPr>
                <w:color w:val="000000"/>
              </w:rPr>
              <w:t>39.1</w:t>
            </w:r>
          </w:p>
        </w:tc>
        <w:tc>
          <w:tcPr>
            <w:tcW w:w="1411" w:type="dxa"/>
            <w:tcBorders>
              <w:top w:val="nil"/>
              <w:left w:val="nil"/>
            </w:tcBorders>
            <w:vAlign w:val="center"/>
          </w:tcPr>
          <w:p w14:paraId="31C884FE" w14:textId="77777777" w:rsidR="00852FF2" w:rsidRPr="00C0702D" w:rsidRDefault="00852FF2" w:rsidP="00852FF2">
            <w:pPr>
              <w:spacing w:line="360" w:lineRule="auto"/>
              <w:contextualSpacing/>
              <w:jc w:val="center"/>
            </w:pPr>
            <w:r w:rsidRPr="00C0702D">
              <w:t>1.44</w:t>
            </w:r>
          </w:p>
        </w:tc>
      </w:tr>
    </w:tbl>
    <w:p w14:paraId="23F9B532" w14:textId="77777777" w:rsidR="00852FF2" w:rsidRDefault="00852FF2"/>
    <w:p w14:paraId="3DA90DEA" w14:textId="77777777" w:rsidR="00852FF2" w:rsidRDefault="00852FF2" w:rsidP="00852FF2">
      <w:pPr>
        <w:ind w:left="720"/>
        <w:jc w:val="both"/>
        <w:rPr>
          <w:rFonts w:ascii="Arial" w:hAnsi="Arial"/>
          <w:b/>
          <w:sz w:val="28"/>
          <w:lang w:eastAsia="zh-CN"/>
        </w:rPr>
      </w:pPr>
      <w:r>
        <w:rPr>
          <w:rFonts w:ascii="Arial" w:hAnsi="Arial"/>
          <w:b/>
          <w:noProof/>
          <w:sz w:val="28"/>
          <w:lang w:eastAsia="zh-CN" w:bidi="ar-SA"/>
        </w:rPr>
        <w:drawing>
          <wp:inline distT="0" distB="0" distL="0" distR="0" wp14:anchorId="33973DE6" wp14:editId="4C2E7167">
            <wp:extent cx="4429125" cy="3498638"/>
            <wp:effectExtent l="0" t="0" r="0" b="0"/>
            <wp:docPr id="322" name="Picture 322" descr="Macintosh HD:Users:erln:Documents:Research:Conferences:IPTC-2016:figur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acintosh HD:Users:erln:Documents:Research:Conferences:IPTC-2016:figure14.jpg"/>
                    <pic:cNvPicPr>
                      <a:picLocks noChangeAspect="1" noChangeArrowheads="1"/>
                    </pic:cNvPicPr>
                  </pic:nvPicPr>
                  <pic:blipFill rotWithShape="1">
                    <a:blip r:embed="rId143">
                      <a:extLst>
                        <a:ext uri="{28A0092B-C50C-407E-A947-70E740481C1C}">
                          <a14:useLocalDpi xmlns:a14="http://schemas.microsoft.com/office/drawing/2010/main" val="0"/>
                        </a:ext>
                      </a:extLst>
                    </a:blip>
                    <a:srcRect l="5678" t="5366" r="7133" b="2913"/>
                    <a:stretch/>
                  </pic:blipFill>
                  <pic:spPr bwMode="auto">
                    <a:xfrm>
                      <a:off x="0" y="0"/>
                      <a:ext cx="4435483" cy="3503661"/>
                    </a:xfrm>
                    <a:prstGeom prst="rect">
                      <a:avLst/>
                    </a:prstGeom>
                    <a:noFill/>
                    <a:ln>
                      <a:noFill/>
                    </a:ln>
                    <a:extLst>
                      <a:ext uri="{53640926-AAD7-44d8-BBD7-CCE9431645EC}">
                        <a14:shadowObscured xmlns:ve="http://schemas.openxmlformats.org/markup-compatibility/2006" xmlns=""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inline>
        </w:drawing>
      </w:r>
    </w:p>
    <w:p w14:paraId="1987A02E" w14:textId="77777777" w:rsidR="00852FF2" w:rsidRPr="002021C2" w:rsidRDefault="00852FF2" w:rsidP="00852FF2">
      <w:pPr>
        <w:jc w:val="center"/>
        <w:rPr>
          <w:rFonts w:ascii="Arial" w:hAnsi="Arial"/>
          <w:b/>
          <w:lang w:eastAsia="zh-CN"/>
        </w:rPr>
      </w:pPr>
      <w:r>
        <w:rPr>
          <w:b/>
        </w:rPr>
        <w:t>Figure 5.10</w:t>
      </w:r>
      <w:r w:rsidRPr="0028788E">
        <w:rPr>
          <w:b/>
        </w:rPr>
        <w:t>—</w:t>
      </w:r>
      <w:r w:rsidRPr="002021C2">
        <w:rPr>
          <w:b/>
          <w:sz w:val="20"/>
        </w:rPr>
        <w:t xml:space="preserve"> </w:t>
      </w:r>
      <w:r w:rsidRPr="002021C2">
        <w:rPr>
          <w:b/>
        </w:rPr>
        <w:t>Total gas, free gas and adsorbed gas storage capacity over the pressure range from 1 MPa to 50 MPa</w:t>
      </w:r>
    </w:p>
    <w:p w14:paraId="0318B3D8" w14:textId="77777777" w:rsidR="00852FF2" w:rsidRDefault="00852FF2"/>
    <w:p w14:paraId="65B8229C" w14:textId="77777777" w:rsidR="00852FF2" w:rsidRDefault="00852FF2"/>
    <w:p w14:paraId="64149CE7" w14:textId="77777777" w:rsidR="00852FF2" w:rsidRDefault="00852FF2"/>
    <w:p w14:paraId="05D43FC9" w14:textId="77777777" w:rsidR="00852FF2" w:rsidRDefault="00852FF2"/>
    <w:p w14:paraId="3A9FAAC8" w14:textId="77777777" w:rsidR="00852FF2" w:rsidRDefault="00852FF2"/>
    <w:p w14:paraId="1A678D4E" w14:textId="77777777" w:rsidR="00852FF2" w:rsidRDefault="00852FF2"/>
    <w:p w14:paraId="11A4AA3A" w14:textId="77777777" w:rsidR="00852FF2" w:rsidRDefault="00852FF2"/>
    <w:p w14:paraId="75233215" w14:textId="77777777" w:rsidR="00852FF2" w:rsidRDefault="00852FF2"/>
    <w:p w14:paraId="6245469D" w14:textId="77777777" w:rsidR="0085272D" w:rsidRDefault="0096367E">
      <w:pPr>
        <w:pStyle w:val="Heading1"/>
        <w:ind w:left="240" w:right="240"/>
        <w:rPr>
          <w:lang w:eastAsia="zh-CN"/>
        </w:rPr>
      </w:pPr>
      <w:bookmarkStart w:id="48" w:name="_Toc508114164"/>
      <w:r>
        <w:t xml:space="preserve">Chapter </w:t>
      </w:r>
      <w:r>
        <w:rPr>
          <w:rFonts w:hint="eastAsia"/>
          <w:lang w:eastAsia="zh-CN"/>
        </w:rPr>
        <w:t>6</w:t>
      </w:r>
      <w:r>
        <w:t xml:space="preserve">: </w:t>
      </w:r>
      <w:r>
        <w:rPr>
          <w:rFonts w:hint="eastAsia"/>
          <w:lang w:eastAsia="zh-CN"/>
        </w:rPr>
        <w:t>Adsorption and Capillary Condensation of Hydrocarbon Mixtures in Heterogeneous Nanoporous Shales</w:t>
      </w:r>
      <w:bookmarkEnd w:id="48"/>
    </w:p>
    <w:p w14:paraId="16B2DFF6" w14:textId="77777777" w:rsidR="0085272D" w:rsidRPr="00B5541F" w:rsidRDefault="0096367E" w:rsidP="00764EEC">
      <w:pPr>
        <w:pStyle w:val="Head1"/>
        <w:outlineLvl w:val="1"/>
        <w:rPr>
          <w:rFonts w:asciiTheme="majorHAnsi" w:hAnsiTheme="majorHAnsi"/>
          <w:bCs/>
          <w:iCs/>
          <w:szCs w:val="28"/>
          <w:lang w:eastAsia="zh-CN"/>
        </w:rPr>
      </w:pPr>
      <w:bookmarkStart w:id="49" w:name="_Toc508114165"/>
      <w:r>
        <w:rPr>
          <w:rFonts w:asciiTheme="majorHAnsi" w:hAnsiTheme="majorHAnsi" w:hint="eastAsia"/>
          <w:bCs/>
          <w:iCs/>
          <w:szCs w:val="28"/>
          <w:lang w:eastAsia="zh-CN"/>
        </w:rPr>
        <w:t>6.1 Background and Previous Work</w:t>
      </w:r>
      <w:bookmarkEnd w:id="49"/>
    </w:p>
    <w:p w14:paraId="67469B8F" w14:textId="411C51DD" w:rsidR="0085272D" w:rsidRDefault="0096367E">
      <w:pPr>
        <w:spacing w:after="240"/>
        <w:jc w:val="both"/>
      </w:pPr>
      <w:r>
        <w:rPr>
          <w:rFonts w:hint="eastAsia"/>
        </w:rPr>
        <w:t xml:space="preserve">It is well known that fluid can be adsorbed on solid surfaces (Langmuir, 1918; Masel, 1996). In conventional rocks where the pore size is large (in the order of </w:t>
      </w:r>
      <w:r w:rsidR="00A26E28">
        <w:rPr>
          <w:rFonts w:hint="eastAsia"/>
        </w:rPr>
        <w:t>millimeters</w:t>
      </w:r>
      <w:r>
        <w:rPr>
          <w:rFonts w:hint="eastAsia"/>
        </w:rPr>
        <w:t xml:space="preserve">), the amount of fluid adsorbed is usually ignored compare to large portion of the bulk fluid. When the pore size becomes extremely small in shale rocks (order of 1-100 nm), the surface area to volume ratio of these pores becomes significant. The space occupied by adsorbed fluid is comparable to that of the bulk fluid and is no longer negligible. Although the processes of adsorption have been well studied in the past century, hydrocarbon adsorption in shales remains a challenge because of the complexity of the reservoir environment: high-pressure-high-temperature condition, strong heterogeneity of the porous rock (Loucks et al., 2012), and multi-component fluid content. It is a common belief that the fluid is in bulk state in fractures, inorganic pores and the center portion of the large organic pores, while the adsorbed fluid is mainly associated with the organic constituent of shale (Ambrose et al. 2012). Some progress has been made toward the understanding of adsorption in shale recently. Ambrose et al. (2012) performed molecular dynamic simulations to predict the density distribution of pure methane in nanometer slit graphite pores at 353 K and 21 MPa. Results showed multi-layer adsorption of methane occurred on the graphite walls with width ranging from 1.14 to 3.93 nm. Didar and Akkutlu (2013) performed Monte Carlo simulations to study the fluid behaviors of binary hydrocarbon mixtures (C1/C2 and C1/C3). They found that the fluid molecules of the heavier component preferred to stay in the adsorbed phase. Mosher et al. (2013) used grand canonical Monte Carlo (GCMC) simulations to investigate methane adsorption in mircro- and mesoporous carbons. Results showed that methane adsorption loading was highly sensitive to pore size. The maximum methane excess adsorption at 298 K in 0.4-nm size pore was 12.5 times greater than that in the 9.0-nm size pore. These molecular simulation studies provide details of fluid behaviors in nanoscale pores; however, they are computationally intensive. </w:t>
      </w:r>
      <w:r w:rsidR="009A6EB2">
        <w:rPr>
          <w:rFonts w:hint="eastAsia"/>
        </w:rPr>
        <w:t>It</w:t>
      </w:r>
      <w:r>
        <w:rPr>
          <w:rFonts w:hint="eastAsia"/>
        </w:rPr>
        <w:t xml:space="preserve"> limits applications in simulating bigger scale processes (order of approximately 100 nm and bigger).</w:t>
      </w:r>
    </w:p>
    <w:p w14:paraId="1ACAA9D3" w14:textId="22263CA6" w:rsidR="0085272D" w:rsidRDefault="0096367E" w:rsidP="00695279">
      <w:pPr>
        <w:spacing w:after="100" w:afterAutospacing="1"/>
        <w:jc w:val="both"/>
      </w:pPr>
      <w:r>
        <w:rPr>
          <w:rFonts w:hint="eastAsia"/>
        </w:rPr>
        <w:t>For pure fluid, capillary condensation describes the phenomenon that the vapor to liquid phase transition happens below the saturation vapor pressure of the fluid in confined pore space. Such process has been known and studi</w:t>
      </w:r>
      <w:r w:rsidR="00BF6F3F">
        <w:rPr>
          <w:rFonts w:hint="eastAsia"/>
        </w:rPr>
        <w:t>ed over a century (Thomson, 1872</w:t>
      </w:r>
      <w:r>
        <w:rPr>
          <w:rFonts w:hint="eastAsia"/>
        </w:rPr>
        <w:t xml:space="preserve">). Capillary condensation can be seen in adsorption isotherm experiments when the temperature is below the fluid critical temperature, where a sudden or rapid increase in fluid adsorbed amount occurs before the saturation pressure and a hysteresis loop may occur during the process of adsorption and desorption (Thommes et al., 2015). There are also many models available to predict the phase transitions of capillary condensation, such as Grand Canonical Monte Carlo (GCMC) simulation, Gibbs Ensemble Monte Carlo (GEMC) simulation, Quench Molecular Dynamics, Density Functional Theory (DFT) (Tarazona et al. 1987; Gelb et al. 1999; Monson 2005). Although capillary condensation is nothing new, the petroleum industry has just started to </w:t>
      </w:r>
      <w:r w:rsidR="00695279">
        <w:rPr>
          <w:rFonts w:hint="eastAsia"/>
        </w:rPr>
        <w:t xml:space="preserve">get more attentions on this </w:t>
      </w:r>
      <w:r w:rsidR="00695279">
        <w:t>subject</w:t>
      </w:r>
      <w:r>
        <w:rPr>
          <w:rFonts w:hint="eastAsia"/>
        </w:rPr>
        <w:t xml:space="preserve"> due to the recent boom of unconventional shale resources and its potential existence in those very tight shale resource rocks (5-10 nm pore sizes)</w:t>
      </w:r>
      <w:r w:rsidR="00605D18">
        <w:rPr>
          <w:rFonts w:hint="eastAsia"/>
        </w:rPr>
        <w:t>.</w:t>
      </w:r>
      <w:r w:rsidR="00F609C5">
        <w:t xml:space="preserve"> </w:t>
      </w:r>
      <w:r>
        <w:rPr>
          <w:rFonts w:hint="eastAsia"/>
        </w:rPr>
        <w:t xml:space="preserve">In one of earlier papers (Chen et al. 2012), capillary condensation of n-hexane was observed in the shale core plugs. This was the first evidence of capillary condensation of hydrocarbon in shale resource rocks. In a latter paper (Chen et al. 2013), it was pointed out that the capillary condensation does not occur in shales if the hydrocarbon is nearly 100% methane because the reservoir temperature is much higher than the methane critical temperature (190.6 K). Instead, capillary condensation may occur when the petroleum fluid contains sufficient amounts of intermediate and/or heavy components, which is the case for many condensate gas shale plays such as the Eagle Ford, Barnett and Marcellus shales. However, many of the condensate fluids exhibit retrograde behaviors. That is, one may experience two dew point pressures of the fluid during one isothermal compression or expansion. In this case, capillary condensation can shift both the upper and lower dew point pressures from their bulk values. Such changes may have significant impact on fluid-in-place if the original reservoir pressure is close to the dew point pressure. Meanwhile, it can also help to predict the condensate dropout for different pore sizes under the influence of capillary condensation. Presence of capillary condensation in shale reservoirs can have significant impact in reserve estimation and </w:t>
      </w:r>
      <w:r>
        <w:rPr>
          <w:lang w:eastAsia="zh-CN"/>
        </w:rPr>
        <w:t>“</w:t>
      </w:r>
      <w:r>
        <w:rPr>
          <w:rFonts w:hint="eastAsia"/>
        </w:rPr>
        <w:t>gas</w:t>
      </w:r>
      <w:r>
        <w:rPr>
          <w:lang w:eastAsia="zh-CN"/>
        </w:rPr>
        <w:t>”</w:t>
      </w:r>
      <w:r>
        <w:rPr>
          <w:rFonts w:hint="eastAsia"/>
        </w:rPr>
        <w:t xml:space="preserve"> production. If ind</w:t>
      </w:r>
      <w:r w:rsidR="009609B8">
        <w:rPr>
          <w:rFonts w:hint="eastAsia"/>
        </w:rPr>
        <w:t xml:space="preserve">eed, some or a majority of the </w:t>
      </w:r>
      <w:r>
        <w:rPr>
          <w:rFonts w:hint="eastAsia"/>
        </w:rPr>
        <w:t>hydrocarbon exists as liquid-like condensation in some shale reservoirs, the reserves would be much higher than current industry model predicted. In addition, the presence of capillary condensation in nanopore throats and/or small pores can block gas flow and, thus, alter matrix transport during production. Therefore, occurrence of capillary condensation needs to be carefully evaluated to predict production in shale reservoir engineering.</w:t>
      </w:r>
    </w:p>
    <w:p w14:paraId="6BE1B434" w14:textId="77777777" w:rsidR="0085272D" w:rsidRDefault="0096367E" w:rsidP="00695279">
      <w:pPr>
        <w:spacing w:after="100" w:afterAutospacing="1"/>
        <w:jc w:val="both"/>
        <w:rPr>
          <w:lang w:eastAsia="zh-CN"/>
        </w:rPr>
      </w:pPr>
      <w:r>
        <w:rPr>
          <w:rFonts w:hint="eastAsia"/>
        </w:rPr>
        <w:t>In this chapter, we use the SLD model building upon thermodynamic equilibrium relations to predict fluid density distributions and adsorption for both pure components and mixtures. The SLD model is one type of DFT and was first developed by Rangarajan et al. (1995) to study the physical adsorption over large pressure ranges including the supercritical ranges. The model considers both the fluid-fluid interactions from equations of state and fluid-pore wall interactions from Lennard-Jones potential energy functions. A modified PR-EOS (Chen et al., 1997) is used to account for the modified fluid-fluid interactions under confinement. Lee</w:t>
      </w:r>
      <w:r>
        <w:rPr>
          <w:rFonts w:hint="eastAsia"/>
        </w:rPr>
        <w:t>’</w:t>
      </w:r>
      <w:r>
        <w:rPr>
          <w:rFonts w:hint="eastAsia"/>
        </w:rPr>
        <w:t>s partially integrated 10-4 Lennard-Jones potential (Lee, 1988) is adopted to predict the fluid-pore wall interactions between hydrocarbon molecules and surface wall. We then use Young-Laplace equation coupled with original PR-EOS to account for the capillarity effects and predict capillary condensation of a binary mixture in a heterogeneous pore system. In addition, the Young-Laplace equation is modified to consider the effects of the thickness of the adsorbed layer on pore radius. The reason to use original PR-EOS instead of a modified one is that we exclude the adsorbed fluid near the surface wall and treat the fluid in the center as bulk fluid.</w:t>
      </w:r>
    </w:p>
    <w:p w14:paraId="4CCB23B4" w14:textId="77777777" w:rsidR="0085272D" w:rsidRDefault="0085272D">
      <w:pPr>
        <w:rPr>
          <w:lang w:eastAsia="zh-CN"/>
        </w:rPr>
      </w:pPr>
    </w:p>
    <w:p w14:paraId="28259120" w14:textId="77777777" w:rsidR="0085272D" w:rsidRDefault="0085272D"/>
    <w:p w14:paraId="443D3F35" w14:textId="77777777" w:rsidR="0085272D" w:rsidRDefault="0096367E" w:rsidP="00764EEC">
      <w:pPr>
        <w:pStyle w:val="Head1"/>
        <w:outlineLvl w:val="1"/>
        <w:rPr>
          <w:rFonts w:asciiTheme="majorHAnsi" w:hAnsiTheme="majorHAnsi"/>
          <w:bCs/>
          <w:iCs/>
          <w:szCs w:val="28"/>
          <w:lang w:eastAsia="zh-CN"/>
        </w:rPr>
      </w:pPr>
      <w:bookmarkStart w:id="50" w:name="_Toc508114166"/>
      <w:r>
        <w:rPr>
          <w:rFonts w:asciiTheme="majorHAnsi" w:hAnsiTheme="majorHAnsi" w:hint="eastAsia"/>
          <w:bCs/>
          <w:iCs/>
          <w:szCs w:val="28"/>
          <w:lang w:eastAsia="zh-CN"/>
        </w:rPr>
        <w:t>6.2 Modified Young-Laplace Equation</w:t>
      </w:r>
      <w:bookmarkEnd w:id="50"/>
    </w:p>
    <w:p w14:paraId="7CAEB223" w14:textId="77777777" w:rsidR="0085272D" w:rsidRDefault="0096367E">
      <w:pPr>
        <w:contextualSpacing/>
        <w:jc w:val="both"/>
        <w:rPr>
          <w:rFonts w:hAnsi="Arial" w:cs="Arial"/>
        </w:rPr>
      </w:pPr>
      <w:r>
        <w:rPr>
          <w:rFonts w:hAnsi="Arial" w:cs="Arial"/>
        </w:rPr>
        <w:t>In physics, the Young-Laplace equation is used to describe the pressure difference across the interface between the wetting phase and the non-wetting phase in a media. Such pressure difference is known as capillary pressure shown in Eq</w:t>
      </w:r>
      <w:r>
        <w:rPr>
          <w:rFonts w:hAnsi="Arial" w:cs="Arial" w:hint="eastAsia"/>
          <w:lang w:eastAsia="zh-CN"/>
        </w:rPr>
        <w:t>uation 6.1</w:t>
      </w:r>
      <w:r>
        <w:rPr>
          <w:rFonts w:hAnsi="Arial" w:cs="Arial"/>
        </w:rPr>
        <w:t>:</w:t>
      </w:r>
    </w:p>
    <w:p w14:paraId="54F4D968" w14:textId="77777777" w:rsidR="0085272D" w:rsidRDefault="0096367E">
      <w:pPr>
        <w:tabs>
          <w:tab w:val="right" w:leader="dot" w:pos="8460"/>
        </w:tabs>
        <w:contextualSpacing/>
        <w:rPr>
          <w:rFonts w:hAnsi="Arial" w:cs="Arial"/>
          <w:lang w:eastAsia="zh-CN"/>
        </w:rPr>
      </w:pPr>
      <w:r>
        <w:rPr>
          <w:rFonts w:hAnsi="Arial" w:cs="Arial"/>
          <w:noProof/>
          <w:position w:val="-14"/>
          <w:lang w:eastAsia="zh-CN" w:bidi="ar-SA"/>
        </w:rPr>
        <w:drawing>
          <wp:inline distT="0" distB="0" distL="114300" distR="114300" wp14:anchorId="2CC155E2" wp14:editId="1008944C">
            <wp:extent cx="1447800" cy="254000"/>
            <wp:effectExtent l="0" t="0" r="0" b="13970"/>
            <wp:docPr id="46"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1"/>
                    <pic:cNvPicPr>
                      <a:picLocks noChangeAspect="1"/>
                    </pic:cNvPicPr>
                  </pic:nvPicPr>
                  <pic:blipFill>
                    <a:blip r:embed="rId144"/>
                    <a:stretch>
                      <a:fillRect/>
                    </a:stretch>
                  </pic:blipFill>
                  <pic:spPr>
                    <a:xfrm>
                      <a:off x="0" y="0"/>
                      <a:ext cx="1447800" cy="254000"/>
                    </a:xfrm>
                    <a:prstGeom prst="rect">
                      <a:avLst/>
                    </a:prstGeom>
                    <a:noFill/>
                    <a:ln w="9525">
                      <a:noFill/>
                    </a:ln>
                  </pic:spPr>
                </pic:pic>
              </a:graphicData>
            </a:graphic>
          </wp:inline>
        </w:drawing>
      </w:r>
      <w:r>
        <w:rPr>
          <w:rFonts w:hAnsi="Arial" w:cs="Arial"/>
          <w:lang w:eastAsia="zh-CN"/>
        </w:rPr>
        <w:tab/>
        <w:t>(</w:t>
      </w:r>
      <w:r>
        <w:rPr>
          <w:rFonts w:hAnsi="Arial" w:cs="Arial" w:hint="eastAsia"/>
          <w:lang w:eastAsia="zh-CN"/>
        </w:rPr>
        <w:t>6.1</w:t>
      </w:r>
      <w:r>
        <w:rPr>
          <w:rFonts w:hAnsi="Arial" w:cs="Arial"/>
          <w:lang w:eastAsia="zh-CN"/>
        </w:rPr>
        <w:t>)</w:t>
      </w:r>
    </w:p>
    <w:p w14:paraId="50454BD0" w14:textId="13E3B239" w:rsidR="0085272D" w:rsidRDefault="0096367E">
      <w:pPr>
        <w:contextualSpacing/>
        <w:jc w:val="both"/>
        <w:rPr>
          <w:rFonts w:hAnsi="Arial" w:cs="Arial"/>
        </w:rPr>
      </w:pPr>
      <w:r>
        <w:rPr>
          <w:rFonts w:hAnsi="Arial" w:cs="Arial"/>
        </w:rPr>
        <w:t xml:space="preserve">where </w:t>
      </w:r>
      <w:r>
        <w:rPr>
          <w:rFonts w:hAnsi="Arial" w:cs="Arial"/>
          <w:i/>
        </w:rPr>
        <w:t>P</w:t>
      </w:r>
      <w:r>
        <w:rPr>
          <w:rFonts w:hAnsi="Arial" w:cs="Arial"/>
          <w:vertAlign w:val="subscript"/>
        </w:rPr>
        <w:t>C</w:t>
      </w:r>
      <w:r>
        <w:rPr>
          <w:rFonts w:hAnsi="Arial" w:cs="Arial"/>
        </w:rPr>
        <w:t xml:space="preserve"> is the capillary pressure. In an oil/gas two phase system, gas is the non-wetting phase and oil is the wetting phase. When the oil and gas are inside a porous system, the pore networks were treated as tube shaped. The Young-Laplace equation in such a </w:t>
      </w:r>
      <w:r w:rsidR="00695279">
        <w:rPr>
          <w:rFonts w:hAnsi="Arial" w:cs="Arial"/>
        </w:rPr>
        <w:t>tube-shaped</w:t>
      </w:r>
      <w:r>
        <w:rPr>
          <w:rFonts w:hAnsi="Arial" w:cs="Arial"/>
        </w:rPr>
        <w:t xml:space="preserve"> pore system can be written as</w:t>
      </w:r>
    </w:p>
    <w:p w14:paraId="0D7A4D06" w14:textId="77777777" w:rsidR="0085272D" w:rsidRDefault="0096367E">
      <w:pPr>
        <w:tabs>
          <w:tab w:val="right" w:leader="dot" w:pos="8460"/>
        </w:tabs>
        <w:contextualSpacing/>
        <w:rPr>
          <w:rFonts w:hAnsi="Arial" w:cs="Arial"/>
          <w:lang w:eastAsia="zh-CN"/>
        </w:rPr>
      </w:pPr>
      <w:r>
        <w:rPr>
          <w:rFonts w:hAnsi="Arial" w:cs="Arial"/>
          <w:noProof/>
          <w:position w:val="-24"/>
          <w:lang w:eastAsia="zh-CN" w:bidi="ar-SA"/>
        </w:rPr>
        <w:drawing>
          <wp:inline distT="0" distB="0" distL="114300" distR="114300" wp14:anchorId="342DEF3E" wp14:editId="613FE9E0">
            <wp:extent cx="1536700" cy="393700"/>
            <wp:effectExtent l="0" t="0" r="6350" b="5715"/>
            <wp:docPr id="4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2"/>
                    <pic:cNvPicPr>
                      <a:picLocks noChangeAspect="1"/>
                    </pic:cNvPicPr>
                  </pic:nvPicPr>
                  <pic:blipFill>
                    <a:blip r:embed="rId145"/>
                    <a:stretch>
                      <a:fillRect/>
                    </a:stretch>
                  </pic:blipFill>
                  <pic:spPr>
                    <a:xfrm>
                      <a:off x="0" y="0"/>
                      <a:ext cx="1536700" cy="393700"/>
                    </a:xfrm>
                    <a:prstGeom prst="rect">
                      <a:avLst/>
                    </a:prstGeom>
                    <a:noFill/>
                    <a:ln w="9525">
                      <a:noFill/>
                    </a:ln>
                  </pic:spPr>
                </pic:pic>
              </a:graphicData>
            </a:graphic>
          </wp:inline>
        </w:drawing>
      </w:r>
      <w:r>
        <w:rPr>
          <w:rFonts w:hAnsi="Arial" w:cs="Arial"/>
          <w:lang w:eastAsia="zh-CN"/>
        </w:rPr>
        <w:tab/>
        <w:t>(</w:t>
      </w:r>
      <w:r>
        <w:rPr>
          <w:rFonts w:hAnsi="Arial" w:cs="Arial" w:hint="eastAsia"/>
          <w:lang w:eastAsia="zh-CN"/>
        </w:rPr>
        <w:t>6.2</w:t>
      </w:r>
      <w:r>
        <w:rPr>
          <w:rFonts w:hAnsi="Arial" w:cs="Arial"/>
          <w:lang w:eastAsia="zh-CN"/>
        </w:rPr>
        <w:t>)</w:t>
      </w:r>
    </w:p>
    <w:p w14:paraId="27E98638" w14:textId="4C12332B" w:rsidR="0085272D" w:rsidRDefault="0096367E">
      <w:pPr>
        <w:tabs>
          <w:tab w:val="right" w:leader="dot" w:pos="8460"/>
        </w:tabs>
        <w:contextualSpacing/>
        <w:jc w:val="both"/>
        <w:rPr>
          <w:rFonts w:hAnsi="Arial" w:cs="Arial"/>
          <w:lang w:eastAsia="zh-CN"/>
        </w:rPr>
      </w:pPr>
      <w:r>
        <w:rPr>
          <w:rFonts w:hAnsi="Arial" w:cs="Arial"/>
          <w:lang w:eastAsia="zh-CN"/>
        </w:rPr>
        <w:t xml:space="preserve">where </w:t>
      </w:r>
      <w:r>
        <w:rPr>
          <w:rFonts w:hAnsi="Arial" w:cs="Arial"/>
          <w:i/>
          <w:lang w:eastAsia="zh-CN"/>
        </w:rPr>
        <w:t>γ</w:t>
      </w:r>
      <w:r>
        <w:rPr>
          <w:rFonts w:hAnsi="Arial" w:cs="Arial"/>
          <w:lang w:eastAsia="zh-CN"/>
        </w:rPr>
        <w:t xml:space="preserve"> is the interfacial tension, </w:t>
      </w:r>
      <w:r>
        <w:rPr>
          <w:rFonts w:hAnsi="Arial" w:cs="Arial"/>
          <w:i/>
          <w:lang w:eastAsia="zh-CN"/>
        </w:rPr>
        <w:t>r</w:t>
      </w:r>
      <w:r>
        <w:rPr>
          <w:rFonts w:hAnsi="Arial" w:cs="Arial"/>
          <w:lang w:eastAsia="zh-CN"/>
        </w:rPr>
        <w:t xml:space="preserve"> is the pore radius and </w:t>
      </w:r>
      <w:r>
        <w:rPr>
          <w:rFonts w:hAnsi="Arial" w:cs="Arial"/>
          <w:i/>
          <w:lang w:eastAsia="zh-CN"/>
        </w:rPr>
        <w:t>θ</w:t>
      </w:r>
      <w:r>
        <w:rPr>
          <w:rFonts w:hAnsi="Arial" w:cs="Arial"/>
          <w:lang w:eastAsia="zh-CN"/>
        </w:rPr>
        <w:t xml:space="preserve"> is the contact angle of the oil/gas interface to the pore wall. Since the pore wall is covered with the adsorbed fluid, the oil and gas phases in the center of the pore have no direct contact to the pore wall and they are completely wet to the adsorbed layers. </w:t>
      </w:r>
      <w:r w:rsidR="00695279">
        <w:rPr>
          <w:rFonts w:hAnsi="Arial" w:cs="Arial"/>
          <w:lang w:eastAsia="zh-CN"/>
        </w:rPr>
        <w:t>Therefore,</w:t>
      </w:r>
      <w:r>
        <w:rPr>
          <w:rFonts w:hAnsi="Arial" w:cs="Arial"/>
          <w:lang w:eastAsia="zh-CN"/>
        </w:rPr>
        <w:t xml:space="preserve"> the contact angle</w:t>
      </w:r>
      <w:r>
        <w:rPr>
          <w:rFonts w:hAnsi="Arial" w:cs="Arial"/>
          <w:i/>
          <w:lang w:eastAsia="zh-CN"/>
        </w:rPr>
        <w:t xml:space="preserve"> </w:t>
      </w:r>
      <w:r>
        <w:rPr>
          <w:rFonts w:hAnsi="Arial" w:cs="Arial"/>
          <w:i/>
          <w:lang w:eastAsia="zh-CN"/>
        </w:rPr>
        <w:t>θ</w:t>
      </w:r>
      <w:r>
        <w:rPr>
          <w:rFonts w:hAnsi="Arial" w:cs="Arial"/>
          <w:lang w:eastAsia="zh-CN"/>
        </w:rPr>
        <w:t xml:space="preserve"> is 0. Meanwhile, the thickness of the adsorbed fluid can also reduce the pore space occupied by bulk oil and gas fluid, causing the reduction of the pore radius. To correct this, the effective pore radius should be used in </w:t>
      </w:r>
      <w:r>
        <w:rPr>
          <w:rFonts w:hAnsi="Arial" w:cs="Arial"/>
        </w:rPr>
        <w:t>Eq</w:t>
      </w:r>
      <w:r>
        <w:rPr>
          <w:rFonts w:hAnsi="Arial" w:cs="Arial" w:hint="eastAsia"/>
          <w:lang w:eastAsia="zh-CN"/>
        </w:rPr>
        <w:t>uation 6.2</w:t>
      </w:r>
      <w:r>
        <w:rPr>
          <w:rFonts w:hAnsi="Arial" w:cs="Arial"/>
          <w:lang w:eastAsia="zh-CN"/>
        </w:rPr>
        <w:t xml:space="preserve"> by subtracting the original pore radius by the adsorption thickness </w:t>
      </w:r>
      <w:r>
        <w:rPr>
          <w:rFonts w:hAnsi="Arial" w:cs="Arial"/>
          <w:i/>
          <w:lang w:eastAsia="zh-CN"/>
        </w:rPr>
        <w:t>t</w:t>
      </w:r>
      <w:r>
        <w:rPr>
          <w:rFonts w:hAnsi="Arial" w:cs="Arial"/>
          <w:lang w:eastAsia="zh-CN"/>
        </w:rPr>
        <w:t xml:space="preserve">, similar to the classical treatment by BJH </w:t>
      </w:r>
      <w:r w:rsidR="000759E2">
        <w:rPr>
          <w:rFonts w:hAnsi="Arial" w:cs="Arial"/>
          <w:lang w:eastAsia="zh-CN"/>
        </w:rPr>
        <w:fldChar w:fldCharType="begin"/>
      </w:r>
      <w:r>
        <w:rPr>
          <w:rFonts w:hAnsi="Arial" w:cs="Arial"/>
          <w:lang w:eastAsia="zh-CN"/>
        </w:rPr>
        <w:instrText xml:space="preserve"> ADDIN EN.CITE &lt;EndNote&gt;&lt;Cite&gt;&lt;Author&gt;Barrett&lt;/Author&gt;&lt;Year&gt;1951&lt;/Year&gt;&lt;RecNum&gt;590&lt;/RecNum&gt;&lt;DisplayText&gt;(Barrett et al., 1951)&lt;/DisplayText&gt;&lt;record&gt;&lt;rec-number&gt;590&lt;/rec-number&gt;&lt;foreign-keys&gt;&lt;key app="EN" db-id="xtrv29serts9t3ertemxxatjr5tw2z9vvd0s" timestamp="1447791304"&gt;590&lt;/key&gt;&lt;/foreign-keys&gt;&lt;ref-type name="Journal Article"&gt;17&lt;/ref-type&gt;&lt;contributors&gt;&lt;authors&gt;&lt;author&gt;Barrett, Elliott P.&lt;/author&gt;&lt;author&gt;Joyner, Leslie G.&lt;/author&gt;&lt;author&gt;Halenda, Paul P.&lt;/author&gt;&lt;/authors&gt;&lt;/contributors&gt;&lt;titles&gt;&lt;title&gt;The Determination of Pore Volume and Area Distributions in Porous Substances. I. Computations from Nitrogen Isotherms&lt;/title&gt;&lt;secondary-title&gt;Journal of the American Chemical Society&lt;/secondary-title&gt;&lt;/titles&gt;&lt;periodical&gt;&lt;full-title&gt;Journal of the American Chemical Society&lt;/full-title&gt;&lt;/periodical&gt;&lt;pages&gt;373-380&lt;/pages&gt;&lt;volume&gt;73&lt;/volume&gt;&lt;number&gt;1&lt;/number&gt;&lt;dates&gt;&lt;year&gt;1951&lt;/year&gt;&lt;pub-dates&gt;&lt;date&gt;1951/01/01&lt;/date&gt;&lt;/pub-dates&gt;&lt;/dates&gt;&lt;publisher&gt;American Chemical Society&lt;/publisher&gt;&lt;isbn&gt;0002-7863&lt;/isbn&gt;&lt;urls&gt;&lt;related-urls&gt;&lt;url&gt;http://dx.doi.org/10.1021/ja01145a126&lt;/url&gt;&lt;/related-urls&gt;&lt;/urls&gt;&lt;electronic-resource-num&gt;10.1021/ja01145a126&lt;/electronic-resource-num&gt;&lt;/record&gt;&lt;/Cite&gt;&lt;/EndNote&gt;</w:instrText>
      </w:r>
      <w:r w:rsidR="000759E2">
        <w:rPr>
          <w:rFonts w:hAnsi="Arial" w:cs="Arial"/>
          <w:lang w:eastAsia="zh-CN"/>
        </w:rPr>
        <w:fldChar w:fldCharType="separate"/>
      </w:r>
      <w:r>
        <w:rPr>
          <w:rFonts w:hAnsi="Arial" w:cs="Arial"/>
          <w:lang w:eastAsia="zh-CN"/>
        </w:rPr>
        <w:t>(Barrett et al., 1951)</w:t>
      </w:r>
      <w:r w:rsidR="000759E2">
        <w:rPr>
          <w:rFonts w:hAnsi="Arial" w:cs="Arial"/>
          <w:lang w:eastAsia="zh-CN"/>
        </w:rPr>
        <w:fldChar w:fldCharType="end"/>
      </w:r>
      <w:r>
        <w:rPr>
          <w:rFonts w:hAnsi="Arial" w:cs="Arial"/>
          <w:lang w:eastAsia="zh-CN"/>
        </w:rPr>
        <w:t xml:space="preserve">. </w:t>
      </w:r>
      <w:r>
        <w:rPr>
          <w:rFonts w:hAnsi="Arial" w:cs="Arial"/>
        </w:rPr>
        <w:t>Eq</w:t>
      </w:r>
      <w:r>
        <w:rPr>
          <w:rFonts w:hAnsi="Arial" w:cs="Arial" w:hint="eastAsia"/>
          <w:lang w:eastAsia="zh-CN"/>
        </w:rPr>
        <w:t>uation 6.3</w:t>
      </w:r>
      <w:r>
        <w:rPr>
          <w:rFonts w:hAnsi="Arial" w:cs="Arial"/>
          <w:lang w:eastAsia="zh-CN"/>
        </w:rPr>
        <w:t xml:space="preserve"> then becomes:</w:t>
      </w:r>
    </w:p>
    <w:p w14:paraId="44CEDE2C" w14:textId="77777777" w:rsidR="0085272D" w:rsidRDefault="0096367E">
      <w:pPr>
        <w:tabs>
          <w:tab w:val="right" w:leader="dot" w:pos="8460"/>
        </w:tabs>
        <w:contextualSpacing/>
        <w:rPr>
          <w:rFonts w:hAnsi="Arial" w:cs="Arial"/>
          <w:lang w:eastAsia="zh-CN"/>
        </w:rPr>
      </w:pPr>
      <w:r>
        <w:rPr>
          <w:rFonts w:hAnsi="Arial" w:cs="Arial"/>
          <w:noProof/>
          <w:position w:val="-24"/>
          <w:lang w:eastAsia="zh-CN" w:bidi="ar-SA"/>
        </w:rPr>
        <w:drawing>
          <wp:inline distT="0" distB="0" distL="114300" distR="114300" wp14:anchorId="6BFC13BC" wp14:editId="408DF993">
            <wp:extent cx="1308100" cy="393700"/>
            <wp:effectExtent l="0" t="0" r="0" b="5715"/>
            <wp:docPr id="5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3"/>
                    <pic:cNvPicPr>
                      <a:picLocks noChangeAspect="1"/>
                    </pic:cNvPicPr>
                  </pic:nvPicPr>
                  <pic:blipFill>
                    <a:blip r:embed="rId146"/>
                    <a:stretch>
                      <a:fillRect/>
                    </a:stretch>
                  </pic:blipFill>
                  <pic:spPr>
                    <a:xfrm>
                      <a:off x="0" y="0"/>
                      <a:ext cx="1308100" cy="393700"/>
                    </a:xfrm>
                    <a:prstGeom prst="rect">
                      <a:avLst/>
                    </a:prstGeom>
                    <a:noFill/>
                    <a:ln w="9525">
                      <a:noFill/>
                    </a:ln>
                  </pic:spPr>
                </pic:pic>
              </a:graphicData>
            </a:graphic>
          </wp:inline>
        </w:drawing>
      </w:r>
      <w:r>
        <w:rPr>
          <w:rFonts w:hAnsi="Arial" w:cs="Arial"/>
          <w:lang w:eastAsia="zh-CN"/>
        </w:rPr>
        <w:tab/>
        <w:t>(</w:t>
      </w:r>
      <w:r>
        <w:rPr>
          <w:rFonts w:hAnsi="Arial" w:cs="Arial" w:hint="eastAsia"/>
          <w:lang w:eastAsia="zh-CN"/>
        </w:rPr>
        <w:t>6.3</w:t>
      </w:r>
      <w:r>
        <w:rPr>
          <w:rFonts w:hAnsi="Arial" w:cs="Arial"/>
          <w:lang w:eastAsia="zh-CN"/>
        </w:rPr>
        <w:t>)</w:t>
      </w:r>
    </w:p>
    <w:p w14:paraId="26E84013" w14:textId="77777777" w:rsidR="00695279" w:rsidRDefault="0096367E" w:rsidP="00695279">
      <w:pPr>
        <w:tabs>
          <w:tab w:val="right" w:leader="dot" w:pos="8460"/>
        </w:tabs>
        <w:snapToGrid w:val="0"/>
        <w:spacing w:after="100" w:afterAutospacing="1"/>
        <w:jc w:val="both"/>
        <w:rPr>
          <w:rFonts w:hAnsi="Arial" w:cs="Arial"/>
        </w:rPr>
      </w:pPr>
      <w:r>
        <w:rPr>
          <w:rFonts w:hAnsi="Arial" w:cs="Arial"/>
        </w:rPr>
        <w:t>Eq</w:t>
      </w:r>
      <w:r>
        <w:rPr>
          <w:rFonts w:hAnsi="Arial" w:cs="Arial" w:hint="eastAsia"/>
          <w:lang w:eastAsia="zh-CN"/>
        </w:rPr>
        <w:t>uation 6.3</w:t>
      </w:r>
      <w:r>
        <w:rPr>
          <w:rFonts w:hAnsi="Arial" w:cs="Arial"/>
          <w:lang w:eastAsia="zh-CN"/>
        </w:rPr>
        <w:t xml:space="preserve"> is the modified version of the </w:t>
      </w:r>
      <w:r>
        <w:rPr>
          <w:rFonts w:hAnsi="Arial" w:cs="Arial"/>
        </w:rPr>
        <w:t>Young-Laplace equation in a capillary tube. In fact, people have been aware of the importance of the adsorption thickness in shales on gas-in-place, pore size reduction and other aspects in the past few years (Ambrose et al. 2012; Li et al. 2014; Tan and Piri 2015), but there is no clear and accurate path for calculation of the adsorption thickness. Although attempts have been made by using the Shapiro</w:t>
      </w:r>
      <w:r>
        <w:rPr>
          <w:rFonts w:hAnsi="Arial" w:cs="Arial"/>
        </w:rPr>
        <w:t>’</w:t>
      </w:r>
      <w:r>
        <w:rPr>
          <w:rFonts w:hAnsi="Arial" w:cs="Arial"/>
        </w:rPr>
        <w:t>s adsorption film model (Shapiro and Stenby 1996) to estimate the adsorption film thickness as an approximation (Li et al. 2013; Li et al. 2014), the many assumptions of the model and its limitation that it is applicable only close to the dew point pressure makes the model less attractive and impractical over larger pressure range. In the next section, we propose a new method to predict the adsorption thickness from fluid density distributions across the pore calculated from the SLD model. The determined value of the adsorption thickness is then adopted in Eq</w:t>
      </w:r>
      <w:r>
        <w:rPr>
          <w:rFonts w:hAnsi="Arial" w:cs="Arial" w:hint="eastAsia"/>
          <w:lang w:eastAsia="zh-CN"/>
        </w:rPr>
        <w:t>uation 6.3</w:t>
      </w:r>
      <w:r>
        <w:rPr>
          <w:rFonts w:hAnsi="Arial" w:cs="Arial"/>
        </w:rPr>
        <w:t xml:space="preserve"> for pore radius correction.</w:t>
      </w:r>
    </w:p>
    <w:p w14:paraId="354C5739" w14:textId="36EED046" w:rsidR="0085272D" w:rsidRDefault="0096367E" w:rsidP="00695279">
      <w:pPr>
        <w:tabs>
          <w:tab w:val="right" w:leader="dot" w:pos="8460"/>
        </w:tabs>
        <w:spacing w:after="100" w:afterAutospacing="1"/>
        <w:contextualSpacing/>
        <w:jc w:val="both"/>
        <w:rPr>
          <w:rFonts w:hAnsi="Arial" w:cs="Arial"/>
        </w:rPr>
      </w:pPr>
      <w:r>
        <w:rPr>
          <w:rFonts w:hAnsi="Arial" w:cs="Arial"/>
          <w:lang w:eastAsia="zh-CN"/>
        </w:rPr>
        <w:t xml:space="preserve">In </w:t>
      </w:r>
      <w:r>
        <w:rPr>
          <w:rFonts w:hAnsi="Arial" w:cs="Arial"/>
        </w:rPr>
        <w:t>Eq</w:t>
      </w:r>
      <w:r>
        <w:rPr>
          <w:rFonts w:hAnsi="Arial" w:cs="Arial" w:hint="eastAsia"/>
          <w:lang w:eastAsia="zh-CN"/>
        </w:rPr>
        <w:t>uation 6.3</w:t>
      </w:r>
      <w:r>
        <w:rPr>
          <w:rFonts w:hAnsi="Arial" w:cs="Arial"/>
          <w:lang w:eastAsia="zh-CN"/>
        </w:rPr>
        <w:t xml:space="preserve">, the interfacial tension </w:t>
      </w:r>
      <w:r>
        <w:rPr>
          <w:rFonts w:hAnsi="Arial" w:cs="Arial"/>
          <w:i/>
          <w:lang w:eastAsia="zh-CN"/>
        </w:rPr>
        <w:t>γ</w:t>
      </w:r>
      <w:r>
        <w:rPr>
          <w:rFonts w:hAnsi="Arial" w:cs="Arial"/>
          <w:lang w:eastAsia="zh-CN"/>
        </w:rPr>
        <w:t xml:space="preserve"> is determined by the parachor equation:</w:t>
      </w:r>
    </w:p>
    <w:p w14:paraId="4CBAFA9A" w14:textId="77777777" w:rsidR="0085272D" w:rsidRDefault="0096367E">
      <w:pPr>
        <w:tabs>
          <w:tab w:val="right" w:leader="dot" w:pos="8460"/>
        </w:tabs>
        <w:contextualSpacing/>
        <w:rPr>
          <w:rFonts w:hAnsi="Arial" w:cs="Arial"/>
          <w:lang w:eastAsia="zh-CN"/>
        </w:rPr>
      </w:pPr>
      <w:r>
        <w:rPr>
          <w:rFonts w:hAnsi="Arial" w:cs="Arial"/>
          <w:noProof/>
          <w:position w:val="-32"/>
          <w:lang w:eastAsia="zh-CN" w:bidi="ar-SA"/>
        </w:rPr>
        <w:drawing>
          <wp:inline distT="0" distB="0" distL="114300" distR="114300" wp14:anchorId="21AC53FF" wp14:editId="6B1F1E13">
            <wp:extent cx="1841500" cy="508000"/>
            <wp:effectExtent l="0" t="0" r="6350" b="5715"/>
            <wp:docPr id="4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4"/>
                    <pic:cNvPicPr>
                      <a:picLocks noChangeAspect="1"/>
                    </pic:cNvPicPr>
                  </pic:nvPicPr>
                  <pic:blipFill>
                    <a:blip r:embed="rId147"/>
                    <a:stretch>
                      <a:fillRect/>
                    </a:stretch>
                  </pic:blipFill>
                  <pic:spPr>
                    <a:xfrm>
                      <a:off x="0" y="0"/>
                      <a:ext cx="1841500" cy="508000"/>
                    </a:xfrm>
                    <a:prstGeom prst="rect">
                      <a:avLst/>
                    </a:prstGeom>
                    <a:noFill/>
                    <a:ln w="9525">
                      <a:noFill/>
                    </a:ln>
                  </pic:spPr>
                </pic:pic>
              </a:graphicData>
            </a:graphic>
          </wp:inline>
        </w:drawing>
      </w:r>
      <w:r>
        <w:rPr>
          <w:rFonts w:hAnsi="Arial" w:cs="Arial"/>
          <w:lang w:eastAsia="zh-CN"/>
        </w:rPr>
        <w:tab/>
        <w:t>(</w:t>
      </w:r>
      <w:r>
        <w:rPr>
          <w:rFonts w:hAnsi="Arial" w:cs="Arial" w:hint="eastAsia"/>
          <w:lang w:eastAsia="zh-CN"/>
        </w:rPr>
        <w:t>6.4</w:t>
      </w:r>
      <w:r>
        <w:rPr>
          <w:rFonts w:hAnsi="Arial" w:cs="Arial"/>
          <w:lang w:eastAsia="zh-CN"/>
        </w:rPr>
        <w:t>)</w:t>
      </w:r>
    </w:p>
    <w:p w14:paraId="3C2CB811" w14:textId="77777777" w:rsidR="0085272D" w:rsidRDefault="0096367E">
      <w:pPr>
        <w:tabs>
          <w:tab w:val="right" w:leader="dot" w:pos="8460"/>
        </w:tabs>
        <w:contextualSpacing/>
        <w:jc w:val="both"/>
        <w:rPr>
          <w:rFonts w:hAnsi="Arial" w:cs="Arial"/>
        </w:rPr>
      </w:pPr>
      <w:r>
        <w:rPr>
          <w:rFonts w:hAnsi="Arial" w:cs="Arial"/>
          <w:lang w:eastAsia="zh-CN"/>
        </w:rPr>
        <w:t xml:space="preserve">where </w:t>
      </w:r>
      <w:r>
        <w:rPr>
          <w:rFonts w:hAnsi="Arial" w:cs="Arial"/>
          <w:i/>
          <w:lang w:eastAsia="zh-CN"/>
        </w:rPr>
        <w:t>Pch</w:t>
      </w:r>
      <w:r>
        <w:rPr>
          <w:rFonts w:hAnsi="Arial" w:cs="Arial"/>
          <w:vertAlign w:val="subscript"/>
          <w:lang w:eastAsia="zh-CN"/>
        </w:rPr>
        <w:t xml:space="preserve">i </w:t>
      </w:r>
      <w:r>
        <w:rPr>
          <w:rFonts w:hAnsi="Arial" w:cs="Arial"/>
          <w:lang w:eastAsia="zh-CN"/>
        </w:rPr>
        <w:t xml:space="preserve">is the Parachor of component </w:t>
      </w:r>
      <w:r>
        <w:rPr>
          <w:rFonts w:hAnsi="Arial" w:cs="Arial"/>
          <w:i/>
          <w:lang w:eastAsia="zh-CN"/>
        </w:rPr>
        <w:t>i</w:t>
      </w:r>
      <w:r>
        <w:rPr>
          <w:rFonts w:hAnsi="Arial" w:cs="Arial"/>
          <w:lang w:eastAsia="zh-CN"/>
        </w:rPr>
        <w:t xml:space="preserve">, </w:t>
      </w:r>
      <w:r>
        <w:rPr>
          <w:rFonts w:hAnsi="Arial" w:cs="Arial"/>
          <w:i/>
          <w:lang w:eastAsia="zh-CN"/>
        </w:rPr>
        <w:t>x</w:t>
      </w:r>
      <w:r>
        <w:rPr>
          <w:rFonts w:hAnsi="Arial" w:cs="Arial"/>
          <w:i/>
          <w:vertAlign w:val="subscript"/>
          <w:lang w:eastAsia="zh-CN"/>
        </w:rPr>
        <w:t>i</w:t>
      </w:r>
      <w:r>
        <w:rPr>
          <w:rFonts w:hAnsi="Arial" w:cs="Arial"/>
          <w:lang w:eastAsia="zh-CN"/>
        </w:rPr>
        <w:t xml:space="preserve"> and </w:t>
      </w:r>
      <w:r>
        <w:rPr>
          <w:rFonts w:hAnsi="Arial" w:cs="Arial"/>
          <w:i/>
          <w:lang w:eastAsia="zh-CN"/>
        </w:rPr>
        <w:t>y</w:t>
      </w:r>
      <w:r>
        <w:rPr>
          <w:rFonts w:hAnsi="Arial" w:cs="Arial"/>
          <w:i/>
          <w:vertAlign w:val="subscript"/>
          <w:lang w:eastAsia="zh-CN"/>
        </w:rPr>
        <w:t>i</w:t>
      </w:r>
      <w:r>
        <w:rPr>
          <w:rFonts w:hAnsi="Arial" w:cs="Arial"/>
          <w:lang w:eastAsia="zh-CN"/>
        </w:rPr>
        <w:t xml:space="preserve"> are the composition of component </w:t>
      </w:r>
      <w:r>
        <w:rPr>
          <w:rFonts w:hAnsi="Arial" w:cs="Arial"/>
          <w:i/>
          <w:lang w:eastAsia="zh-CN"/>
        </w:rPr>
        <w:t>i</w:t>
      </w:r>
      <w:r>
        <w:rPr>
          <w:rFonts w:hAnsi="Arial" w:cs="Arial"/>
          <w:lang w:eastAsia="zh-CN"/>
        </w:rPr>
        <w:t xml:space="preserve"> in oil and gas phases respectively and </w:t>
      </w:r>
      <w:r>
        <w:rPr>
          <w:rFonts w:hAnsi="Arial" w:cs="Arial"/>
          <w:noProof/>
          <w:position w:val="-12"/>
          <w:lang w:eastAsia="zh-CN" w:bidi="ar-SA"/>
        </w:rPr>
        <w:drawing>
          <wp:inline distT="0" distB="0" distL="114300" distR="114300" wp14:anchorId="23D1A0D6" wp14:editId="3C13F4CE">
            <wp:extent cx="254000" cy="254000"/>
            <wp:effectExtent l="0" t="0" r="0" b="13970"/>
            <wp:docPr id="47"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5"/>
                    <pic:cNvPicPr>
                      <a:picLocks noChangeAspect="1"/>
                    </pic:cNvPicPr>
                  </pic:nvPicPr>
                  <pic:blipFill>
                    <a:blip r:embed="rId148"/>
                    <a:stretch>
                      <a:fillRect/>
                    </a:stretch>
                  </pic:blipFill>
                  <pic:spPr>
                    <a:xfrm>
                      <a:off x="0" y="0"/>
                      <a:ext cx="254000" cy="254000"/>
                    </a:xfrm>
                    <a:prstGeom prst="rect">
                      <a:avLst/>
                    </a:prstGeom>
                    <a:noFill/>
                    <a:ln w="9525">
                      <a:noFill/>
                    </a:ln>
                  </pic:spPr>
                </pic:pic>
              </a:graphicData>
            </a:graphic>
          </wp:inline>
        </w:drawing>
      </w:r>
      <w:r>
        <w:rPr>
          <w:rFonts w:hAnsi="Arial" w:cs="Arial"/>
        </w:rPr>
        <w:t xml:space="preserve"> and </w:t>
      </w:r>
      <w:r>
        <w:rPr>
          <w:rFonts w:hAnsi="Arial" w:cs="Arial"/>
          <w:noProof/>
          <w:position w:val="-12"/>
          <w:lang w:eastAsia="zh-CN" w:bidi="ar-SA"/>
        </w:rPr>
        <w:drawing>
          <wp:inline distT="0" distB="0" distL="114300" distR="114300" wp14:anchorId="64A34C1D" wp14:editId="67ABE719">
            <wp:extent cx="254000" cy="254000"/>
            <wp:effectExtent l="0" t="0" r="0" b="13970"/>
            <wp:docPr id="5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6"/>
                    <pic:cNvPicPr>
                      <a:picLocks noChangeAspect="1"/>
                    </pic:cNvPicPr>
                  </pic:nvPicPr>
                  <pic:blipFill>
                    <a:blip r:embed="rId149"/>
                    <a:stretch>
                      <a:fillRect/>
                    </a:stretch>
                  </pic:blipFill>
                  <pic:spPr>
                    <a:xfrm>
                      <a:off x="0" y="0"/>
                      <a:ext cx="254000" cy="254000"/>
                    </a:xfrm>
                    <a:prstGeom prst="rect">
                      <a:avLst/>
                    </a:prstGeom>
                    <a:noFill/>
                    <a:ln w="9525">
                      <a:noFill/>
                    </a:ln>
                  </pic:spPr>
                </pic:pic>
              </a:graphicData>
            </a:graphic>
          </wp:inline>
        </w:drawing>
      </w:r>
      <w:r>
        <w:rPr>
          <w:rFonts w:hAnsi="Arial" w:cs="Arial"/>
        </w:rPr>
        <w:t>are the bulk molar density of the oil phase and gas phase, respectively. To calculate the fluid composition and density in both phases, an equation of state is needed and PR-EOS is used. While in the PR-EOS, instead of using the same pressure, the oil pressure and gas pressure are used separately in the corresponding phases. With known gas pressure, an iterative method is used to update the interfacial tension to calculate the oil pressure using Eq</w:t>
      </w:r>
      <w:r>
        <w:rPr>
          <w:rFonts w:hAnsi="Arial" w:cs="Arial" w:hint="eastAsia"/>
          <w:lang w:eastAsia="zh-CN"/>
        </w:rPr>
        <w:t>uation 6.3</w:t>
      </w:r>
      <w:r>
        <w:rPr>
          <w:rFonts w:hAnsi="Arial" w:cs="Arial"/>
        </w:rPr>
        <w:t>. Successive substitution is used here for convergence. We then apply such PR-EOS considering the capillary effects to the phase split calculations to estimate the adjusted saturation pressures (dew point pressures or bubble point pressures) by given fluid composition, temperature and pore radius. In the condensate/ retrograde gas region, this shift in dew pressures is the feature of capillary condensation of the hydrocarbon mixture.</w:t>
      </w:r>
    </w:p>
    <w:p w14:paraId="1A9E4104" w14:textId="77777777" w:rsidR="0085272D" w:rsidRDefault="0085272D"/>
    <w:p w14:paraId="4430EBF4" w14:textId="77777777" w:rsidR="0085272D" w:rsidRDefault="0096367E" w:rsidP="00764EEC">
      <w:pPr>
        <w:pStyle w:val="Head1"/>
        <w:jc w:val="both"/>
        <w:outlineLvl w:val="1"/>
        <w:rPr>
          <w:rFonts w:asciiTheme="majorHAnsi" w:hAnsiTheme="majorHAnsi"/>
          <w:bCs/>
          <w:iCs/>
          <w:szCs w:val="28"/>
          <w:lang w:eastAsia="zh-CN"/>
        </w:rPr>
      </w:pPr>
      <w:bookmarkStart w:id="51" w:name="_Toc508114167"/>
      <w:r>
        <w:rPr>
          <w:rFonts w:asciiTheme="majorHAnsi" w:hAnsiTheme="majorHAnsi" w:hint="eastAsia"/>
          <w:bCs/>
          <w:iCs/>
          <w:szCs w:val="28"/>
          <w:lang w:eastAsia="zh-CN"/>
        </w:rPr>
        <w:t xml:space="preserve">6.3 Adsorption Thickness Determination </w:t>
      </w:r>
      <w:r w:rsidR="007461C3">
        <w:rPr>
          <w:rFonts w:asciiTheme="majorHAnsi" w:hAnsiTheme="majorHAnsi"/>
          <w:bCs/>
          <w:iCs/>
          <w:szCs w:val="28"/>
          <w:lang w:eastAsia="zh-CN"/>
        </w:rPr>
        <w:t>w</w:t>
      </w:r>
      <w:r>
        <w:rPr>
          <w:rFonts w:asciiTheme="majorHAnsi" w:hAnsiTheme="majorHAnsi" w:hint="eastAsia"/>
          <w:bCs/>
          <w:iCs/>
          <w:szCs w:val="28"/>
          <w:lang w:eastAsia="zh-CN"/>
        </w:rPr>
        <w:t>ith the Presence of Capillary Condensation</w:t>
      </w:r>
      <w:bookmarkEnd w:id="51"/>
    </w:p>
    <w:p w14:paraId="23D8BDA5" w14:textId="77777777" w:rsidR="0085272D" w:rsidRDefault="0096367E">
      <w:pPr>
        <w:tabs>
          <w:tab w:val="right" w:leader="dot" w:pos="8460"/>
        </w:tabs>
        <w:spacing w:after="240"/>
        <w:contextualSpacing/>
        <w:jc w:val="both"/>
        <w:rPr>
          <w:rFonts w:hAnsi="Arial" w:cs="Arial"/>
        </w:rPr>
      </w:pPr>
      <w:r>
        <w:rPr>
          <w:rFonts w:hAnsi="Arial" w:cs="Arial"/>
        </w:rPr>
        <w:t>The fluid density distributions across the pore for both pure components and mixtures as well as the compositional distributions of mixtures were calculated from the SLD model</w:t>
      </w:r>
      <w:r>
        <w:rPr>
          <w:rFonts w:hAnsi="Arial" w:cs="Arial" w:hint="eastAsia"/>
          <w:lang w:eastAsia="zh-CN"/>
        </w:rPr>
        <w:t>, as we discussed in Chapter 3</w:t>
      </w:r>
      <w:r>
        <w:rPr>
          <w:rFonts w:hAnsi="Arial" w:cs="Arial"/>
        </w:rPr>
        <w:t>. In this paragraph, as an example, we show typical density and compositional distributions of a synthetic binary mixture that contains 50% methane and 50% ethane in an 8-nm pore at 350 K and 10 MPa (</w:t>
      </w:r>
      <w:r>
        <w:rPr>
          <w:rFonts w:hAnsi="Arial" w:cs="Arial" w:hint="eastAsia"/>
          <w:b/>
          <w:bCs/>
          <w:lang w:eastAsia="zh-CN"/>
        </w:rPr>
        <w:t>Figure</w:t>
      </w:r>
      <w:r>
        <w:rPr>
          <w:rFonts w:hAnsi="Arial" w:cs="Arial"/>
          <w:b/>
          <w:bCs/>
        </w:rPr>
        <w:t xml:space="preserve"> </w:t>
      </w:r>
      <w:r>
        <w:rPr>
          <w:rFonts w:hAnsi="Arial" w:cs="Arial" w:hint="eastAsia"/>
          <w:b/>
          <w:bCs/>
          <w:lang w:eastAsia="zh-CN"/>
        </w:rPr>
        <w:t>6.1</w:t>
      </w:r>
      <w:r>
        <w:rPr>
          <w:rFonts w:hAnsi="Arial" w:cs="Arial"/>
        </w:rPr>
        <w:t xml:space="preserve">). </w:t>
      </w:r>
      <w:r>
        <w:rPr>
          <w:rFonts w:hAnsi="Arial" w:cs="Arial" w:hint="eastAsia"/>
          <w:lang w:eastAsia="zh-CN"/>
        </w:rPr>
        <w:t xml:space="preserve">The figure </w:t>
      </w:r>
      <w:r>
        <w:rPr>
          <w:rFonts w:hAnsi="Arial" w:cs="Arial"/>
        </w:rPr>
        <w:t xml:space="preserve">shows </w:t>
      </w:r>
      <w:r>
        <w:rPr>
          <w:rFonts w:hAnsi="Arial" w:cs="Arial" w:hint="eastAsia"/>
          <w:lang w:eastAsia="zh-CN"/>
        </w:rPr>
        <w:t xml:space="preserve">that </w:t>
      </w:r>
      <w:r>
        <w:rPr>
          <w:rFonts w:hAnsi="Arial" w:cs="Arial"/>
        </w:rPr>
        <w:t xml:space="preserve">the fluid density increases rapidly approaching the wall but continuously without a clear boundary between the adsorbed region and the bulk region, indicating that there is no clear interface between the </w:t>
      </w:r>
      <w:r>
        <w:rPr>
          <w:rFonts w:hAnsi="Arial" w:cs="Arial"/>
        </w:rPr>
        <w:t>“</w:t>
      </w:r>
      <w:r>
        <w:rPr>
          <w:rFonts w:hAnsi="Arial" w:cs="Arial"/>
        </w:rPr>
        <w:t>so-called</w:t>
      </w:r>
      <w:r>
        <w:rPr>
          <w:rFonts w:hAnsi="Arial" w:cs="Arial"/>
        </w:rPr>
        <w:t>”</w:t>
      </w:r>
      <w:r>
        <w:rPr>
          <w:rFonts w:hAnsi="Arial" w:cs="Arial"/>
        </w:rPr>
        <w:t xml:space="preserve"> adsorbed phase and the bulk phase in a pore that is just a few nanometers wide. In order words, the fluid does not experience a </w:t>
      </w:r>
      <w:r>
        <w:rPr>
          <w:rFonts w:hAnsi="Arial" w:cs="Arial"/>
        </w:rPr>
        <w:t>“</w:t>
      </w:r>
      <w:r>
        <w:rPr>
          <w:rFonts w:hAnsi="Arial" w:cs="Arial"/>
        </w:rPr>
        <w:t>phase-transition</w:t>
      </w:r>
      <w:r>
        <w:rPr>
          <w:rFonts w:hAnsi="Arial" w:cs="Arial"/>
        </w:rPr>
        <w:t>”</w:t>
      </w:r>
      <w:r>
        <w:rPr>
          <w:rFonts w:hAnsi="Arial" w:cs="Arial"/>
        </w:rPr>
        <w:t xml:space="preserve"> in the near-wall region, although its density and the properties deviate significantly from those of the bulk fluid. This finding implies that the traditional theories, which treat the adsorption layer as a well-defined homogeneous liquid-like thin film (Evans et al. 1986; Shapiro and Stenby 1996), may not be suitable for hydrocarbon adsorption at subsurface conditions in shales, where many of the pores are in the order of nanometer.</w:t>
      </w:r>
    </w:p>
    <w:p w14:paraId="4CF019CA" w14:textId="77777777" w:rsidR="0085272D" w:rsidRDefault="0096367E">
      <w:pPr>
        <w:tabs>
          <w:tab w:val="right" w:leader="dot" w:pos="8460"/>
        </w:tabs>
        <w:spacing w:after="240"/>
        <w:ind w:leftChars="200" w:left="480"/>
        <w:contextualSpacing/>
        <w:jc w:val="both"/>
        <w:rPr>
          <w:rFonts w:ascii="Arial" w:hAnsi="Arial" w:cs="Arial"/>
          <w:b/>
        </w:rPr>
      </w:pPr>
      <w:r>
        <w:rPr>
          <w:rFonts w:ascii="Arial" w:hAnsi="Arial" w:cs="Arial" w:hint="eastAsia"/>
          <w:b/>
          <w:noProof/>
          <w:lang w:eastAsia="zh-CN" w:bidi="ar-SA"/>
        </w:rPr>
        <w:drawing>
          <wp:inline distT="0" distB="0" distL="0" distR="0" wp14:anchorId="48CD9FDE" wp14:editId="137AF62C">
            <wp:extent cx="4612640" cy="3594100"/>
            <wp:effectExtent l="0" t="0" r="16510" b="6350"/>
            <wp:docPr id="61" name="Picture 38" descr="Macintosh HD:Users:erln: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38" descr="Macintosh HD:Users:erln:Desktop:untitled.jpg"/>
                    <pic:cNvPicPr>
                      <a:picLocks noChangeAspect="1" noChangeArrowheads="1"/>
                    </pic:cNvPicPr>
                  </pic:nvPicPr>
                  <pic:blipFill>
                    <a:blip r:embed="rId150">
                      <a:extLst>
                        <a:ext uri="{28A0092B-C50C-407E-A947-70E740481C1C}">
                          <a14:useLocalDpi xmlns:a14="http://schemas.microsoft.com/office/drawing/2010/main" val="0"/>
                        </a:ext>
                      </a:extLst>
                    </a:blip>
                    <a:srcRect l="3713" t="4244" r="7427" b="3448"/>
                    <a:stretch>
                      <a:fillRect/>
                    </a:stretch>
                  </pic:blipFill>
                  <pic:spPr>
                    <a:xfrm>
                      <a:off x="0" y="0"/>
                      <a:ext cx="4613652" cy="3594518"/>
                    </a:xfrm>
                    <a:prstGeom prst="rect">
                      <a:avLst/>
                    </a:prstGeom>
                    <a:noFill/>
                    <a:ln>
                      <a:noFill/>
                    </a:ln>
                  </pic:spPr>
                </pic:pic>
              </a:graphicData>
            </a:graphic>
          </wp:inline>
        </w:drawing>
      </w:r>
    </w:p>
    <w:p w14:paraId="321A32B9" w14:textId="77777777" w:rsidR="0085272D" w:rsidRDefault="0096367E" w:rsidP="007461C3">
      <w:pPr>
        <w:tabs>
          <w:tab w:val="right" w:leader="dot" w:pos="8460"/>
        </w:tabs>
        <w:spacing w:after="240"/>
        <w:contextualSpacing/>
        <w:jc w:val="center"/>
        <w:rPr>
          <w:b/>
          <w:bCs/>
        </w:rPr>
      </w:pPr>
      <w:r>
        <w:rPr>
          <w:b/>
          <w:bCs/>
        </w:rPr>
        <w:t>Fig</w:t>
      </w:r>
      <w:r>
        <w:rPr>
          <w:rFonts w:hint="eastAsia"/>
          <w:b/>
          <w:bCs/>
          <w:lang w:eastAsia="zh-CN"/>
        </w:rPr>
        <w:t>ure 6.1</w:t>
      </w:r>
      <w:r>
        <w:rPr>
          <w:b/>
          <w:bCs/>
        </w:rPr>
        <w:t>—</w:t>
      </w:r>
      <w:r>
        <w:rPr>
          <w:rFonts w:hint="eastAsia"/>
          <w:b/>
          <w:bCs/>
        </w:rPr>
        <w:t>Density distribution of equal molar C1/C2 binary mixture an 8-nm pore at 350 K and 10 MPa. Only half of the symmetric pore is shown.</w:t>
      </w:r>
    </w:p>
    <w:p w14:paraId="3218C2F7" w14:textId="77777777" w:rsidR="0085272D" w:rsidRDefault="0085272D">
      <w:pPr>
        <w:tabs>
          <w:tab w:val="right" w:leader="dot" w:pos="8460"/>
        </w:tabs>
        <w:spacing w:after="240"/>
        <w:contextualSpacing/>
        <w:jc w:val="both"/>
        <w:rPr>
          <w:rFonts w:ascii="Arial" w:hAnsi="Arial" w:cs="Arial"/>
          <w:b/>
        </w:rPr>
      </w:pPr>
    </w:p>
    <w:p w14:paraId="7AFC5CD0" w14:textId="77777777" w:rsidR="0085272D" w:rsidRDefault="0096367E">
      <w:pPr>
        <w:tabs>
          <w:tab w:val="right" w:leader="dot" w:pos="8460"/>
        </w:tabs>
        <w:spacing w:after="240"/>
        <w:contextualSpacing/>
        <w:jc w:val="both"/>
        <w:rPr>
          <w:rFonts w:hAnsi="Arial" w:cs="Arial"/>
          <w:lang w:eastAsia="zh-CN"/>
        </w:rPr>
      </w:pPr>
      <w:r>
        <w:rPr>
          <w:rFonts w:hAnsi="Arial" w:cs="Arial" w:hint="eastAsia"/>
          <w:lang w:eastAsia="zh-CN"/>
        </w:rPr>
        <w:t>I</w:t>
      </w:r>
      <w:r>
        <w:rPr>
          <w:rFonts w:hAnsi="Arial" w:cs="Arial"/>
        </w:rPr>
        <w:t xml:space="preserve">t is important to determine the adsorption thickness in order to calculate the effective pore radius. Although there is no clear transition between the adsorbed and the bulk region, an artificial cut-off is desired for this purpose. Walton and Quirke (1989) stated that the structure of the adsorbed layers was independent of the bulk region in the pore. It indicates the fluid in the adsorbed region is not sensitive to the phase transition, i.e. capillary condensation, in the bulk in the center of the pore. This supports the idea that an effective pore radius should be used to predict the capillary condensation because the bulk fluid cannot </w:t>
      </w:r>
      <w:r>
        <w:rPr>
          <w:rFonts w:hAnsi="Arial" w:cs="Arial"/>
        </w:rPr>
        <w:t>“</w:t>
      </w:r>
      <w:r>
        <w:rPr>
          <w:rFonts w:hAnsi="Arial" w:cs="Arial"/>
        </w:rPr>
        <w:t>feel</w:t>
      </w:r>
      <w:r>
        <w:rPr>
          <w:rFonts w:hAnsi="Arial" w:cs="Arial"/>
        </w:rPr>
        <w:t>”</w:t>
      </w:r>
      <w:r>
        <w:rPr>
          <w:rFonts w:hAnsi="Arial" w:cs="Arial"/>
        </w:rPr>
        <w:t xml:space="preserve"> the real pore size with the presence of the adsorbed layers. Based on the criteria of adsorbed region definition from Walton and Quirke (1989), discrete density profiles of hydrocarbons in nanopores are used to evaluate the density change of each molecular layer over a large pressure range including a phase change. Consider pure ethane confined in a 5.33 nm wide slit graphite pore at 300 K, </w:t>
      </w:r>
      <w:r>
        <w:rPr>
          <w:rFonts w:hAnsi="Arial" w:cs="Arial" w:hint="eastAsia"/>
          <w:b/>
          <w:bCs/>
          <w:lang w:eastAsia="zh-CN"/>
        </w:rPr>
        <w:t>Figure</w:t>
      </w:r>
      <w:r>
        <w:rPr>
          <w:rFonts w:hAnsi="Arial" w:cs="Arial"/>
          <w:b/>
          <w:bCs/>
        </w:rPr>
        <w:t xml:space="preserve"> </w:t>
      </w:r>
      <w:r>
        <w:rPr>
          <w:rFonts w:hAnsi="Arial" w:cs="Arial" w:hint="eastAsia"/>
          <w:b/>
          <w:bCs/>
          <w:lang w:eastAsia="zh-CN"/>
        </w:rPr>
        <w:t>6.2</w:t>
      </w:r>
      <w:r>
        <w:rPr>
          <w:rFonts w:hAnsi="Arial" w:cs="Arial"/>
        </w:rPr>
        <w:t xml:space="preserve"> shows a series of ethane discrete density profiles in half of the pore with bulk pressure ranges from 0.5 to 50 MPa. A discrete density profile is generated by averaging the continuous fluid density within each molecular layer (with its width equals to the molecular diameter) across the pore. As we can see from the figure, six ethane</w:t>
      </w:r>
      <w:r>
        <w:rPr>
          <w:rFonts w:hAnsi="Arial" w:cs="Arial" w:hint="eastAsia"/>
          <w:lang w:eastAsia="zh-CN"/>
        </w:rPr>
        <w:t>-l</w:t>
      </w:r>
      <w:r>
        <w:rPr>
          <w:rFonts w:hAnsi="Arial" w:cs="Arial"/>
        </w:rPr>
        <w:t xml:space="preserve">ayers occupy the half space of the pore. The averaged ethane density at each layer is building up as pressure increases. Phase transition from vapor-like fluid to liquid-like fluid in the center region of the pore is seen between 4 and 4.5 MPa (the saturation pressure </w:t>
      </w:r>
      <w:r>
        <w:rPr>
          <w:rFonts w:hAnsi="Arial" w:cs="Arial" w:hint="eastAsia"/>
          <w:lang w:eastAsia="zh-CN"/>
        </w:rPr>
        <w:t xml:space="preserve">of ethane at 300 K </w:t>
      </w:r>
      <w:r>
        <w:rPr>
          <w:rFonts w:hAnsi="Arial" w:cs="Arial"/>
        </w:rPr>
        <w:t xml:space="preserve">is 4.36 MPa). </w:t>
      </w:r>
      <w:r>
        <w:rPr>
          <w:rFonts w:hAnsi="Arial" w:cs="Arial" w:hint="eastAsia"/>
          <w:b/>
          <w:bCs/>
          <w:lang w:eastAsia="zh-CN"/>
        </w:rPr>
        <w:t>Figure</w:t>
      </w:r>
      <w:r>
        <w:rPr>
          <w:rFonts w:hAnsi="Arial" w:cs="Arial"/>
          <w:b/>
          <w:bCs/>
        </w:rPr>
        <w:t xml:space="preserve"> </w:t>
      </w:r>
      <w:r>
        <w:rPr>
          <w:rFonts w:hAnsi="Arial" w:cs="Arial" w:hint="eastAsia"/>
          <w:b/>
          <w:bCs/>
          <w:lang w:eastAsia="zh-CN"/>
        </w:rPr>
        <w:t>6.3</w:t>
      </w:r>
      <w:r>
        <w:rPr>
          <w:rFonts w:hAnsi="Arial" w:cs="Arial"/>
          <w:b/>
          <w:bCs/>
        </w:rPr>
        <w:t xml:space="preserve"> </w:t>
      </w:r>
      <w:r>
        <w:rPr>
          <w:rFonts w:hAnsi="Arial" w:cs="Arial"/>
        </w:rPr>
        <w:t>shows density change with respect to pressure for each of the six ethane-layers from 0.5 to 50 MPa. The red dashed line in the figure represents the bulk vapor saturation pressure (4.36 MPa), above which the vapor-liquid phase transition will happen</w:t>
      </w:r>
      <w:r>
        <w:rPr>
          <w:rFonts w:hAnsi="Arial" w:cs="Arial" w:hint="eastAsia"/>
          <w:lang w:eastAsia="zh-CN"/>
        </w:rPr>
        <w:t xml:space="preserve"> in bulk</w:t>
      </w:r>
      <w:r>
        <w:rPr>
          <w:rFonts w:hAnsi="Arial" w:cs="Arial"/>
        </w:rPr>
        <w:t xml:space="preserve">. It is clear to see that layer 1, which is the layer closest to the left wall, has the highest density and becomes almost constant when the pressure is larger than 3.5 MPa. This means layer 1 becomes </w:t>
      </w:r>
      <w:r>
        <w:rPr>
          <w:rFonts w:hAnsi="Arial" w:cs="Arial"/>
        </w:rPr>
        <w:t>“</w:t>
      </w:r>
      <w:r>
        <w:rPr>
          <w:rFonts w:hAnsi="Arial" w:cs="Arial"/>
        </w:rPr>
        <w:t>saturated</w:t>
      </w:r>
      <w:r>
        <w:rPr>
          <w:rFonts w:hAnsi="Arial" w:cs="Arial"/>
        </w:rPr>
        <w:t>”</w:t>
      </w:r>
      <w:r>
        <w:rPr>
          <w:rFonts w:hAnsi="Arial" w:cs="Arial"/>
        </w:rPr>
        <w:t xml:space="preserve"> with ethane molecules after pressure reaches about 3.5 MPa and becomes insensitive to further pressure increase or the phase changes </w:t>
      </w:r>
      <w:r>
        <w:rPr>
          <w:rFonts w:hAnsi="Arial" w:cs="Arial" w:hint="eastAsia"/>
          <w:lang w:eastAsia="zh-CN"/>
        </w:rPr>
        <w:t>inside</w:t>
      </w:r>
      <w:r>
        <w:rPr>
          <w:rFonts w:hAnsi="Arial" w:cs="Arial"/>
        </w:rPr>
        <w:t xml:space="preserve"> the pore. For the second layer, the density is much lower and close to bulk density </w:t>
      </w:r>
      <w:r>
        <w:rPr>
          <w:rFonts w:hAnsi="Arial" w:cs="Arial" w:hint="eastAsia"/>
          <w:lang w:eastAsia="zh-CN"/>
        </w:rPr>
        <w:t>for</w:t>
      </w:r>
      <w:r>
        <w:rPr>
          <w:rFonts w:hAnsi="Arial" w:cs="Arial"/>
        </w:rPr>
        <w:t xml:space="preserve"> pressure less</w:t>
      </w:r>
      <w:r>
        <w:rPr>
          <w:rFonts w:hAnsi="Arial" w:cs="Arial" w:hint="eastAsia"/>
          <w:lang w:eastAsia="zh-CN"/>
        </w:rPr>
        <w:t xml:space="preserve"> than </w:t>
      </w:r>
      <w:r>
        <w:rPr>
          <w:rFonts w:hAnsi="Arial" w:cs="Arial"/>
        </w:rPr>
        <w:t xml:space="preserve">0.5 MPa. After that, its density starts to build up rapidly in the pressure range of 0.5 to 3.5 MPa and becomes almost </w:t>
      </w:r>
      <w:r>
        <w:rPr>
          <w:rFonts w:hAnsi="Arial" w:cs="Arial"/>
        </w:rPr>
        <w:t>“</w:t>
      </w:r>
      <w:r>
        <w:rPr>
          <w:rFonts w:hAnsi="Arial" w:cs="Arial"/>
        </w:rPr>
        <w:t>saturated</w:t>
      </w:r>
      <w:r>
        <w:rPr>
          <w:rFonts w:hAnsi="Arial" w:cs="Arial"/>
        </w:rPr>
        <w:t>”</w:t>
      </w:r>
      <w:r>
        <w:rPr>
          <w:rFonts w:hAnsi="Arial" w:cs="Arial"/>
        </w:rPr>
        <w:t xml:space="preserve"> thereafter. These two layers, since their densities stabilize </w:t>
      </w:r>
      <w:r>
        <w:rPr>
          <w:rFonts w:hAnsi="Arial" w:cs="Arial" w:hint="eastAsia"/>
          <w:lang w:eastAsia="zh-CN"/>
        </w:rPr>
        <w:t>at pressure much less than</w:t>
      </w:r>
      <w:r>
        <w:rPr>
          <w:rFonts w:hAnsi="Arial" w:cs="Arial"/>
        </w:rPr>
        <w:t xml:space="preserve"> the vapor-liquid phase transition</w:t>
      </w:r>
      <w:r>
        <w:rPr>
          <w:rFonts w:hAnsi="Arial" w:cs="Arial" w:hint="eastAsia"/>
          <w:lang w:eastAsia="zh-CN"/>
        </w:rPr>
        <w:t xml:space="preserve"> pressure</w:t>
      </w:r>
      <w:r>
        <w:rPr>
          <w:rFonts w:hAnsi="Arial" w:cs="Arial"/>
        </w:rPr>
        <w:t xml:space="preserve">, are considered as adsorbed layers. </w:t>
      </w:r>
      <w:r>
        <w:rPr>
          <w:rFonts w:hAnsi="Arial" w:cs="Arial" w:hint="eastAsia"/>
          <w:lang w:eastAsia="zh-CN"/>
        </w:rPr>
        <w:t xml:space="preserve">Therefore, the adsorption thickness in this case equals to two ethane molecular diameters. </w:t>
      </w:r>
      <w:r>
        <w:rPr>
          <w:rFonts w:hAnsi="Arial" w:cs="Arial"/>
        </w:rPr>
        <w:t xml:space="preserve">For the rest four layers, sharp changes in density are observed indicating the occurrence of phase transition. It is, however, surprised to see that the phase transition happened at different pressures for different layers, but all lower than the bulk saturation pressure. The closer the layer is to the wall, the earlier the phase transition occurs. If we subtract the original pore radius by two adsorbed ethane layers, the effective pore radius is obtained to be 1.78 nm instead of 2.67 nm. We then use the modified Yong-Laplace equation to predict the confined vapor saturation pressure (blue dashed line in </w:t>
      </w:r>
      <w:r>
        <w:rPr>
          <w:rFonts w:hAnsi="Arial" w:cs="Arial" w:hint="eastAsia"/>
          <w:lang w:eastAsia="zh-CN"/>
        </w:rPr>
        <w:t>Figure</w:t>
      </w:r>
      <w:r>
        <w:rPr>
          <w:rFonts w:hAnsi="Arial" w:cs="Arial"/>
        </w:rPr>
        <w:t xml:space="preserve"> </w:t>
      </w:r>
      <w:r>
        <w:rPr>
          <w:rFonts w:hAnsi="Arial" w:cs="Arial" w:hint="eastAsia"/>
          <w:lang w:eastAsia="zh-CN"/>
        </w:rPr>
        <w:t>6.3</w:t>
      </w:r>
      <w:r>
        <w:rPr>
          <w:rFonts w:hAnsi="Arial" w:cs="Arial"/>
        </w:rPr>
        <w:t>). As we can see, it is able to predict the confined vapor saturation pressure of the two ethane layers in the center of the pore. The phase transition of the two layers closer to the wall happens even earlier than what is predicted, due to the relatively stronger fluid-pore wall interactions.</w:t>
      </w:r>
      <w:r>
        <w:rPr>
          <w:rFonts w:hAnsi="Arial" w:cs="Arial" w:hint="eastAsia"/>
          <w:lang w:eastAsia="zh-CN"/>
        </w:rPr>
        <w:t xml:space="preserve"> We define these two layers as transition layers since they do not follow exactly neither adsorption process nor phase transition process but lies in between. It can be found from this case that capillary condensation can occur in the center of the pore and the transition pressure can be predicted by the </w:t>
      </w:r>
      <w:r>
        <w:rPr>
          <w:rFonts w:hAnsi="Arial" w:cs="Arial"/>
        </w:rPr>
        <w:t>modified Yong-Laplace equation</w:t>
      </w:r>
      <w:r>
        <w:rPr>
          <w:rFonts w:hAnsi="Arial" w:cs="Arial" w:hint="eastAsia"/>
          <w:lang w:eastAsia="zh-CN"/>
        </w:rPr>
        <w:t xml:space="preserve">. While in the region near the pore wall where adsorption is dominated, the fluid cannot feel the phase transition because the space has been already fulfilled due to strong </w:t>
      </w:r>
      <w:r>
        <w:rPr>
          <w:rFonts w:hAnsi="Arial" w:cs="Arial"/>
        </w:rPr>
        <w:t>fluid-wall interactions</w:t>
      </w:r>
      <w:r>
        <w:rPr>
          <w:rFonts w:hAnsi="Arial" w:cs="Arial" w:hint="eastAsia"/>
          <w:lang w:eastAsia="zh-CN"/>
        </w:rPr>
        <w:t xml:space="preserve">. </w:t>
      </w:r>
    </w:p>
    <w:p w14:paraId="3E8184A9" w14:textId="77777777" w:rsidR="0085272D" w:rsidRDefault="0085272D">
      <w:pPr>
        <w:jc w:val="both"/>
        <w:rPr>
          <w:rFonts w:ascii="Arial" w:hAnsi="Arial" w:cs="Arial"/>
        </w:rPr>
      </w:pPr>
    </w:p>
    <w:p w14:paraId="09CB0CDB" w14:textId="77777777" w:rsidR="007461C3" w:rsidRDefault="007461C3" w:rsidP="007461C3">
      <w:pPr>
        <w:ind w:leftChars="200" w:left="480"/>
        <w:jc w:val="both"/>
        <w:rPr>
          <w:rFonts w:ascii="Arial" w:hAnsi="Arial" w:cs="Arial"/>
        </w:rPr>
      </w:pPr>
      <w:r>
        <w:rPr>
          <w:rFonts w:ascii="Arial" w:hAnsi="Arial" w:cs="Arial"/>
          <w:noProof/>
          <w:lang w:eastAsia="zh-CN" w:bidi="ar-SA"/>
        </w:rPr>
        <w:drawing>
          <wp:inline distT="0" distB="0" distL="0" distR="0" wp14:anchorId="6F42A663" wp14:editId="6AF60AD7">
            <wp:extent cx="4943475" cy="2889636"/>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957517" cy="2897844"/>
                    </a:xfrm>
                    <a:prstGeom prst="rect">
                      <a:avLst/>
                    </a:prstGeom>
                    <a:noFill/>
                  </pic:spPr>
                </pic:pic>
              </a:graphicData>
            </a:graphic>
          </wp:inline>
        </w:drawing>
      </w:r>
    </w:p>
    <w:p w14:paraId="4DB8EFA5" w14:textId="77777777" w:rsidR="0085272D" w:rsidRDefault="0096367E">
      <w:pPr>
        <w:spacing w:line="360" w:lineRule="auto"/>
        <w:ind w:firstLine="288"/>
        <w:contextualSpacing/>
        <w:jc w:val="center"/>
        <w:rPr>
          <w:rFonts w:ascii="Arial" w:hAnsi="Arial" w:cs="Arial"/>
        </w:rPr>
      </w:pPr>
      <w:r>
        <w:rPr>
          <w:b/>
          <w:bCs/>
        </w:rPr>
        <w:t>Fig</w:t>
      </w:r>
      <w:r>
        <w:rPr>
          <w:rFonts w:hint="eastAsia"/>
          <w:b/>
          <w:bCs/>
          <w:lang w:eastAsia="zh-CN"/>
        </w:rPr>
        <w:t>ure 6.2</w:t>
      </w:r>
      <w:r>
        <w:rPr>
          <w:b/>
          <w:bCs/>
        </w:rPr>
        <w:t>—Ethane discrete density profiles in left half of the pore with bulk pressure ranges from 0.5 to 50 MPa.</w:t>
      </w:r>
    </w:p>
    <w:p w14:paraId="4ACE6EB9" w14:textId="77777777" w:rsidR="0085272D" w:rsidRDefault="007461C3" w:rsidP="007461C3">
      <w:pPr>
        <w:ind w:leftChars="100" w:left="240"/>
        <w:rPr>
          <w:rFonts w:ascii="Arial" w:hAnsi="Arial" w:cs="Arial"/>
        </w:rPr>
      </w:pPr>
      <w:r>
        <w:rPr>
          <w:rFonts w:ascii="Arial" w:hAnsi="Arial" w:cs="Arial"/>
          <w:noProof/>
          <w:lang w:eastAsia="zh-CN" w:bidi="ar-SA"/>
        </w:rPr>
        <w:drawing>
          <wp:inline distT="0" distB="0" distL="0" distR="0" wp14:anchorId="7C0AC314" wp14:editId="43EAC289">
            <wp:extent cx="4933950" cy="329128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935734" cy="3292470"/>
                    </a:xfrm>
                    <a:prstGeom prst="rect">
                      <a:avLst/>
                    </a:prstGeom>
                    <a:noFill/>
                  </pic:spPr>
                </pic:pic>
              </a:graphicData>
            </a:graphic>
          </wp:inline>
        </w:drawing>
      </w:r>
    </w:p>
    <w:p w14:paraId="6C7A8A9E" w14:textId="77777777" w:rsidR="0085272D" w:rsidRPr="007461C3" w:rsidRDefault="0096367E" w:rsidP="007461C3">
      <w:pPr>
        <w:spacing w:line="360" w:lineRule="auto"/>
        <w:ind w:firstLine="288"/>
        <w:contextualSpacing/>
        <w:jc w:val="center"/>
        <w:rPr>
          <w:b/>
          <w:bCs/>
          <w:lang w:eastAsia="zh-CN"/>
        </w:rPr>
      </w:pPr>
      <w:r>
        <w:rPr>
          <w:b/>
          <w:bCs/>
        </w:rPr>
        <w:t>Fig</w:t>
      </w:r>
      <w:r>
        <w:rPr>
          <w:rFonts w:hint="eastAsia"/>
          <w:b/>
          <w:bCs/>
          <w:lang w:eastAsia="zh-CN"/>
        </w:rPr>
        <w:t>ure 6.3</w:t>
      </w:r>
      <w:r>
        <w:rPr>
          <w:b/>
          <w:bCs/>
        </w:rPr>
        <w:t>—Ethane density change with respect to pressure for each of the six ethane</w:t>
      </w:r>
      <w:r>
        <w:rPr>
          <w:rFonts w:hint="eastAsia"/>
          <w:b/>
          <w:bCs/>
          <w:lang w:eastAsia="zh-CN"/>
        </w:rPr>
        <w:t>-</w:t>
      </w:r>
      <w:r>
        <w:rPr>
          <w:b/>
          <w:bCs/>
        </w:rPr>
        <w:t>layers from 0.5 to 50 MPa</w:t>
      </w:r>
      <w:r>
        <w:rPr>
          <w:rFonts w:hint="eastAsia"/>
          <w:b/>
          <w:bCs/>
          <w:lang w:eastAsia="zh-CN"/>
        </w:rPr>
        <w:t xml:space="preserve"> at 300 K</w:t>
      </w:r>
      <w:r>
        <w:rPr>
          <w:b/>
          <w:bCs/>
        </w:rPr>
        <w:t>.</w:t>
      </w:r>
      <w:r>
        <w:rPr>
          <w:rFonts w:hint="eastAsia"/>
          <w:b/>
          <w:bCs/>
          <w:lang w:eastAsia="zh-CN"/>
        </w:rPr>
        <w:t xml:space="preserve"> The red dashed line is the bulk ethane saturation pressure and the blue dashed line is the confined saturation pressure calculated by the modified Young-Laplace Equation.</w:t>
      </w:r>
    </w:p>
    <w:p w14:paraId="3424C051" w14:textId="77777777" w:rsidR="0085272D" w:rsidRDefault="0096367E" w:rsidP="00764EEC">
      <w:pPr>
        <w:pStyle w:val="Head1"/>
        <w:jc w:val="both"/>
        <w:outlineLvl w:val="1"/>
        <w:rPr>
          <w:rFonts w:asciiTheme="majorHAnsi" w:hAnsiTheme="majorHAnsi"/>
          <w:bCs/>
          <w:iCs/>
          <w:szCs w:val="28"/>
          <w:lang w:eastAsia="zh-CN"/>
        </w:rPr>
      </w:pPr>
      <w:bookmarkStart w:id="52" w:name="_Toc508114168"/>
      <w:r>
        <w:rPr>
          <w:rFonts w:asciiTheme="majorHAnsi" w:hAnsiTheme="majorHAnsi" w:hint="eastAsia"/>
          <w:bCs/>
          <w:iCs/>
          <w:szCs w:val="28"/>
          <w:lang w:eastAsia="zh-CN"/>
        </w:rPr>
        <w:t>6.4 Adsorption Isotherms in Heterogeneous Nanopore Systems Above Cricondentherm Temperature</w:t>
      </w:r>
      <w:bookmarkEnd w:id="52"/>
    </w:p>
    <w:p w14:paraId="00F2B314" w14:textId="77777777" w:rsidR="0085272D" w:rsidRDefault="0096367E" w:rsidP="00CA3733">
      <w:pPr>
        <w:snapToGrid w:val="0"/>
        <w:spacing w:after="240"/>
        <w:jc w:val="both"/>
        <w:rPr>
          <w:rFonts w:hAnsi="Arial" w:cs="Arial"/>
        </w:rPr>
      </w:pPr>
      <w:r>
        <w:rPr>
          <w:rFonts w:hAnsi="Arial" w:cs="Arial"/>
        </w:rPr>
        <w:t>Adsorption isotherms describe the equilibrium state of fluid sorption in a porous material with incremental pressures at constant temperature. In physical chemistry and material science area, adsorption isotherms have been utilized to investigate the pore structures and pore size distribution (PSD) of the material as well as fluid separations over a long time. While in our study, with known pore structures and PSD from petrophysical analysis, we aim to use adsorption isotherms to predict the storage capacities of hydrocarbons in shales at reservoir conditions.</w:t>
      </w:r>
    </w:p>
    <w:p w14:paraId="79CCBCF6" w14:textId="30E9DE3B" w:rsidR="009013AC" w:rsidRDefault="0096367E" w:rsidP="00695279">
      <w:pPr>
        <w:snapToGrid w:val="0"/>
        <w:spacing w:after="240"/>
        <w:jc w:val="both"/>
        <w:rPr>
          <w:rFonts w:hAnsi="Arial" w:cs="Arial"/>
        </w:rPr>
      </w:pPr>
      <w:r>
        <w:rPr>
          <w:rFonts w:hAnsi="Arial" w:cs="Arial"/>
        </w:rPr>
        <w:t xml:space="preserve">In </w:t>
      </w:r>
      <w:r w:rsidR="00CA3733">
        <w:rPr>
          <w:rFonts w:hAnsi="Arial" w:cs="Arial"/>
        </w:rPr>
        <w:t>Chapter 4</w:t>
      </w:r>
      <w:r w:rsidR="006243C0">
        <w:rPr>
          <w:rFonts w:hAnsi="Arial" w:cs="Arial"/>
        </w:rPr>
        <w:t>.4</w:t>
      </w:r>
      <w:r>
        <w:rPr>
          <w:rFonts w:hAnsi="Arial" w:cs="Arial"/>
        </w:rPr>
        <w:t xml:space="preserve">, adsorption isotherms of pure hydrocarbon components and their mixtures in a single pore system were generated using the SLD model. The results were in good agreement with experimental studies and molecular simulations. In this </w:t>
      </w:r>
      <w:r w:rsidR="009969A4">
        <w:rPr>
          <w:rFonts w:hAnsi="Arial" w:cs="Arial"/>
        </w:rPr>
        <w:t>part,</w:t>
      </w:r>
      <w:r>
        <w:rPr>
          <w:rFonts w:hAnsi="Arial" w:cs="Arial"/>
        </w:rPr>
        <w:t xml:space="preserve"> we extend the method to a heterogeneous pore system to investigate the fluid behavior in different size pores at variety pressure conditions. Consider a pore system contains two parallel graphite pores with different pore sizes, 8 and 20 nm, respectively. The pores have slit shape and the same pore volume and are connected to a bulk system where the pressure, temperature and fluid composition are assumed to be constant. A binary mixture of 50% methane (C1) and 50% propane (C3) is used. The temperature is fixed and the pressure range is from 0.01 to 50 MPa. The system temperature is chosen to be higher than the temperature at cricondentherm point of the C1/C3 mixture so that the pressure path is on the right side of the two-phase envelop of the mixture on a Pressure-Temperature (PT) phase diagram (as shown in </w:t>
      </w:r>
      <w:r>
        <w:rPr>
          <w:rFonts w:hAnsi="Arial" w:cs="Arial" w:hint="eastAsia"/>
          <w:b/>
          <w:lang w:eastAsia="zh-CN"/>
        </w:rPr>
        <w:t>Figure</w:t>
      </w:r>
      <w:r>
        <w:rPr>
          <w:rFonts w:hAnsi="Arial" w:cs="Arial"/>
          <w:b/>
        </w:rPr>
        <w:t xml:space="preserve"> 6</w:t>
      </w:r>
      <w:r>
        <w:rPr>
          <w:rFonts w:hAnsi="Arial" w:cs="Arial" w:hint="eastAsia"/>
          <w:b/>
          <w:lang w:eastAsia="zh-CN"/>
        </w:rPr>
        <w:t>.4</w:t>
      </w:r>
      <w:r>
        <w:rPr>
          <w:rFonts w:hAnsi="Arial" w:cs="Arial"/>
        </w:rPr>
        <w:t xml:space="preserve">). In this case, capillary condensation does not occur along the isothermal pressure path (details of capillary condensation and its effects are discussed in the next section). </w:t>
      </w:r>
    </w:p>
    <w:p w14:paraId="3E7A1A23" w14:textId="77777777" w:rsidR="009013AC" w:rsidRDefault="009013AC" w:rsidP="009013AC">
      <w:pPr>
        <w:spacing w:line="360" w:lineRule="auto"/>
        <w:ind w:left="720" w:firstLine="288"/>
        <w:contextualSpacing/>
        <w:jc w:val="both"/>
        <w:rPr>
          <w:rFonts w:ascii="Arial" w:hAnsi="Arial" w:cs="Arial"/>
          <w:b/>
        </w:rPr>
      </w:pPr>
      <w:r>
        <w:rPr>
          <w:rFonts w:ascii="Arial" w:hAnsi="Arial" w:cs="Arial"/>
          <w:b/>
          <w:noProof/>
          <w:lang w:eastAsia="zh-CN" w:bidi="ar-SA"/>
        </w:rPr>
        <w:drawing>
          <wp:inline distT="0" distB="0" distL="0" distR="0" wp14:anchorId="2035EDBE" wp14:editId="4FEE620C">
            <wp:extent cx="4191000" cy="3384232"/>
            <wp:effectExtent l="0" t="0" r="0" b="0"/>
            <wp:docPr id="143" name="Picture 15" descr="Macintosh HD:Users:erln:Documents:MATLAB:UTEC2016:figur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cintosh HD:Users:erln:Documents:MATLAB:UTEC2016:figure_6.jpg"/>
                    <pic:cNvPicPr>
                      <a:picLocks noChangeAspect="1" noChangeArrowheads="1"/>
                    </pic:cNvPicPr>
                  </pic:nvPicPr>
                  <pic:blipFill>
                    <a:blip r:embed="rId153">
                      <a:extLst>
                        <a:ext uri="{28A0092B-C50C-407E-A947-70E740481C1C}">
                          <a14:useLocalDpi xmlns:a14="http://schemas.microsoft.com/office/drawing/2010/main" val="0"/>
                        </a:ext>
                      </a:extLst>
                    </a:blip>
                    <a:srcRect l="7479" t="5697" r="7052" b="2279"/>
                    <a:stretch>
                      <a:fillRect/>
                    </a:stretch>
                  </pic:blipFill>
                  <pic:spPr>
                    <a:xfrm>
                      <a:off x="0" y="0"/>
                      <a:ext cx="4198817" cy="3390545"/>
                    </a:xfrm>
                    <a:prstGeom prst="rect">
                      <a:avLst/>
                    </a:prstGeom>
                    <a:noFill/>
                    <a:ln>
                      <a:noFill/>
                    </a:ln>
                  </pic:spPr>
                </pic:pic>
              </a:graphicData>
            </a:graphic>
          </wp:inline>
        </w:drawing>
      </w:r>
    </w:p>
    <w:p w14:paraId="6D497DF7" w14:textId="77777777" w:rsidR="009013AC" w:rsidRDefault="009013AC" w:rsidP="009013AC">
      <w:pPr>
        <w:spacing w:line="360" w:lineRule="auto"/>
        <w:ind w:firstLine="288"/>
        <w:contextualSpacing/>
        <w:jc w:val="center"/>
        <w:rPr>
          <w:rFonts w:cstheme="minorHAnsi"/>
        </w:rPr>
      </w:pPr>
      <w:r w:rsidRPr="009013AC">
        <w:rPr>
          <w:rFonts w:cstheme="minorHAnsi"/>
          <w:b/>
        </w:rPr>
        <w:t>Figure 6.4</w:t>
      </w:r>
      <w:r w:rsidR="004C381B">
        <w:rPr>
          <w:b/>
          <w:bCs/>
        </w:rPr>
        <w:t>—</w:t>
      </w:r>
      <w:r w:rsidRPr="009013AC">
        <w:rPr>
          <w:rFonts w:cstheme="minorHAnsi"/>
          <w:b/>
        </w:rPr>
        <w:t>T</w:t>
      </w:r>
      <w:r w:rsidRPr="009013AC">
        <w:rPr>
          <w:rFonts w:cstheme="minorHAnsi"/>
          <w:b/>
          <w:lang w:eastAsia="zh-CN"/>
        </w:rPr>
        <w:t>he bulk t</w:t>
      </w:r>
      <w:r w:rsidRPr="009013AC">
        <w:rPr>
          <w:rFonts w:cstheme="minorHAnsi"/>
          <w:b/>
        </w:rPr>
        <w:t>wo phase envelope of equal molar C1/C3 mixture and the isothermal pressure path at 360 K from 0.01 to 50 MPa.</w:t>
      </w:r>
      <w:r w:rsidRPr="009013AC">
        <w:rPr>
          <w:rFonts w:cstheme="minorHAnsi"/>
        </w:rPr>
        <w:t xml:space="preserve"> </w:t>
      </w:r>
    </w:p>
    <w:p w14:paraId="377250FC" w14:textId="77777777" w:rsidR="009013AC" w:rsidRDefault="009013AC" w:rsidP="009013AC">
      <w:pPr>
        <w:spacing w:line="360" w:lineRule="auto"/>
        <w:ind w:firstLine="288"/>
        <w:contextualSpacing/>
        <w:jc w:val="center"/>
        <w:rPr>
          <w:rFonts w:cstheme="minorHAnsi"/>
          <w:b/>
        </w:rPr>
      </w:pPr>
    </w:p>
    <w:p w14:paraId="3799AEE3" w14:textId="77777777" w:rsidR="009013AC" w:rsidRDefault="009013AC" w:rsidP="00695279">
      <w:pPr>
        <w:contextualSpacing/>
        <w:jc w:val="both"/>
        <w:rPr>
          <w:rFonts w:hAnsi="Arial" w:cs="Arial"/>
        </w:rPr>
      </w:pPr>
      <w:r>
        <w:rPr>
          <w:rFonts w:hAnsi="Arial" w:cs="Arial" w:hint="eastAsia"/>
          <w:b/>
          <w:lang w:eastAsia="zh-CN"/>
        </w:rPr>
        <w:t>Figure</w:t>
      </w:r>
      <w:r>
        <w:rPr>
          <w:rFonts w:hAnsi="Arial" w:cs="Arial"/>
          <w:b/>
        </w:rPr>
        <w:t xml:space="preserve"> </w:t>
      </w:r>
      <w:r>
        <w:rPr>
          <w:rFonts w:hAnsi="Arial" w:cs="Arial" w:hint="eastAsia"/>
          <w:b/>
          <w:lang w:eastAsia="zh-CN"/>
        </w:rPr>
        <w:t>6.5</w:t>
      </w:r>
      <w:r>
        <w:rPr>
          <w:rFonts w:hAnsi="Arial" w:cs="Arial"/>
        </w:rPr>
        <w:t xml:space="preserve"> shows the total adsorption isotherm and the partial adsorption isotherms of each component in each pore over the pressure range. Without the information of the adsorbent, the fluid content is shown as molar density. </w:t>
      </w:r>
      <w:r>
        <w:rPr>
          <w:rFonts w:hAnsi="Arial" w:cs="Arial" w:hint="eastAsia"/>
          <w:bCs/>
          <w:lang w:eastAsia="zh-CN"/>
        </w:rPr>
        <w:t>Figure</w:t>
      </w:r>
      <w:r>
        <w:rPr>
          <w:rFonts w:hAnsi="Arial" w:cs="Arial"/>
          <w:bCs/>
        </w:rPr>
        <w:t xml:space="preserve"> </w:t>
      </w:r>
      <w:r>
        <w:rPr>
          <w:rFonts w:hAnsi="Arial" w:cs="Arial" w:hint="eastAsia"/>
          <w:bCs/>
          <w:lang w:eastAsia="zh-CN"/>
        </w:rPr>
        <w:t>6.5</w:t>
      </w:r>
      <w:r>
        <w:rPr>
          <w:rFonts w:hAnsi="Arial" w:cs="Arial"/>
          <w:bCs/>
        </w:rPr>
        <w:t xml:space="preserve">a </w:t>
      </w:r>
      <w:r>
        <w:rPr>
          <w:rFonts w:hAnsi="Arial" w:cs="Arial"/>
        </w:rPr>
        <w:t xml:space="preserve">gives the amount of total, bulk and adsorbed fluid from 0.01 to 50 MPa. When the pressure is lower than 5 MPa, the pores mainly contains adsorbed fluid. As pressure get higher, bulk fluid density becomes dominant and the amount of adsorbed fluid even starts to decrease as pressure reaches 8 MPa. This indicates that the confined fluid tends to behave similar to bulk fluid in terms of density at high pressure. </w:t>
      </w:r>
      <w:r>
        <w:rPr>
          <w:rFonts w:hAnsi="Arial" w:cs="Arial" w:hint="eastAsia"/>
          <w:bCs/>
          <w:lang w:eastAsia="zh-CN"/>
        </w:rPr>
        <w:t>Figure</w:t>
      </w:r>
      <w:r>
        <w:rPr>
          <w:rFonts w:hAnsi="Arial" w:cs="Arial"/>
          <w:bCs/>
        </w:rPr>
        <w:t xml:space="preserve"> </w:t>
      </w:r>
      <w:r>
        <w:rPr>
          <w:rFonts w:hAnsi="Arial" w:cs="Arial" w:hint="eastAsia"/>
          <w:bCs/>
          <w:lang w:eastAsia="zh-CN"/>
        </w:rPr>
        <w:t>6.5</w:t>
      </w:r>
      <w:r>
        <w:rPr>
          <w:rFonts w:hAnsi="Arial" w:cs="Arial"/>
          <w:bCs/>
        </w:rPr>
        <w:t>b</w:t>
      </w:r>
      <w:r>
        <w:rPr>
          <w:rFonts w:hAnsi="Arial" w:cs="Arial"/>
        </w:rPr>
        <w:t xml:space="preserve"> shows the partial adsorption isotherms of each component in each pore. The adsorbed and bulk fluid is not distinguished. As we can see from the plot, the amount of C3 stored is higher than C1 in each pore. This is the result of preferential adsorption of heavy component (C3) compare to light component (C1) in organic nanopores. Larger attraction forces between pore wall molecules and propane fluid molecules bring more propane than methane into the pore space, especially at low-pressure range and in smaller pores.</w:t>
      </w:r>
    </w:p>
    <w:p w14:paraId="2B29092F" w14:textId="77777777" w:rsidR="00695279" w:rsidRDefault="00695279" w:rsidP="00695279">
      <w:pPr>
        <w:contextualSpacing/>
        <w:jc w:val="both"/>
        <w:rPr>
          <w:rFonts w:hAnsi="Arial" w:cs="Arial"/>
        </w:rPr>
      </w:pPr>
    </w:p>
    <w:p w14:paraId="60522471" w14:textId="77777777" w:rsidR="00695279" w:rsidRDefault="00695279" w:rsidP="00695279">
      <w:pPr>
        <w:contextualSpacing/>
        <w:jc w:val="both"/>
        <w:rPr>
          <w:rFonts w:hAnsi="Arial" w:cs="Arial"/>
        </w:rPr>
      </w:pPr>
    </w:p>
    <w:p w14:paraId="1DD6FE0D" w14:textId="77777777" w:rsidR="009013AC" w:rsidRPr="009013AC" w:rsidRDefault="009013AC" w:rsidP="009013AC">
      <w:pPr>
        <w:spacing w:line="360" w:lineRule="auto"/>
        <w:contextualSpacing/>
        <w:jc w:val="both"/>
        <w:rPr>
          <w:rFonts w:cstheme="minorHAnsi"/>
          <w:b/>
        </w:rPr>
      </w:pPr>
    </w:p>
    <w:p w14:paraId="5BDD0C6B" w14:textId="77777777" w:rsidR="009013AC" w:rsidRDefault="009013AC" w:rsidP="009013AC">
      <w:pPr>
        <w:spacing w:line="360" w:lineRule="auto"/>
        <w:ind w:left="576" w:firstLine="288"/>
        <w:contextualSpacing/>
        <w:jc w:val="both"/>
        <w:rPr>
          <w:rFonts w:ascii="Arial" w:hAnsi="Arial" w:cs="Arial"/>
        </w:rPr>
      </w:pPr>
      <w:r>
        <w:rPr>
          <w:rFonts w:ascii="Arial" w:hAnsi="Arial" w:cs="Arial"/>
          <w:noProof/>
          <w:lang w:eastAsia="zh-CN" w:bidi="ar-SA"/>
        </w:rPr>
        <w:drawing>
          <wp:inline distT="0" distB="0" distL="0" distR="0" wp14:anchorId="07343FE7" wp14:editId="7786C8B2">
            <wp:extent cx="4086225" cy="3166082"/>
            <wp:effectExtent l="0" t="0" r="0" b="0"/>
            <wp:docPr id="2" name="Picture 2" descr="Macintosh HD:Users:erln:Documents:MATLAB:UTEC2016:figure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cintosh HD:Users:erln:Documents:MATLAB:UTEC2016:figure7a.jpg"/>
                    <pic:cNvPicPr>
                      <a:picLocks noChangeAspect="1" noChangeArrowheads="1"/>
                    </pic:cNvPicPr>
                  </pic:nvPicPr>
                  <pic:blipFill>
                    <a:blip r:embed="rId154">
                      <a:extLst>
                        <a:ext uri="{28A0092B-C50C-407E-A947-70E740481C1C}">
                          <a14:useLocalDpi xmlns:a14="http://schemas.microsoft.com/office/drawing/2010/main" val="0"/>
                        </a:ext>
                      </a:extLst>
                    </a:blip>
                    <a:srcRect l="4487" t="5413" r="7265" b="3420"/>
                    <a:stretch>
                      <a:fillRect/>
                    </a:stretch>
                  </pic:blipFill>
                  <pic:spPr>
                    <a:xfrm>
                      <a:off x="0" y="0"/>
                      <a:ext cx="4086225" cy="3166082"/>
                    </a:xfrm>
                    <a:prstGeom prst="rect">
                      <a:avLst/>
                    </a:prstGeom>
                    <a:noFill/>
                    <a:ln>
                      <a:noFill/>
                    </a:ln>
                  </pic:spPr>
                </pic:pic>
              </a:graphicData>
            </a:graphic>
          </wp:inline>
        </w:drawing>
      </w:r>
    </w:p>
    <w:p w14:paraId="4A323A97" w14:textId="77777777" w:rsidR="009013AC" w:rsidRDefault="009013AC" w:rsidP="009013AC">
      <w:pPr>
        <w:spacing w:line="360" w:lineRule="auto"/>
        <w:ind w:left="720" w:firstLine="288"/>
        <w:contextualSpacing/>
        <w:jc w:val="both"/>
        <w:rPr>
          <w:rFonts w:ascii="Arial" w:hAnsi="Arial" w:cs="Arial"/>
        </w:rPr>
      </w:pPr>
      <w:r>
        <w:rPr>
          <w:rFonts w:ascii="Arial" w:hAnsi="Arial" w:cs="Arial"/>
          <w:noProof/>
          <w:lang w:eastAsia="zh-CN" w:bidi="ar-SA"/>
        </w:rPr>
        <w:drawing>
          <wp:inline distT="0" distB="0" distL="0" distR="0" wp14:anchorId="3D33F45B" wp14:editId="25927C89">
            <wp:extent cx="3943350" cy="3172250"/>
            <wp:effectExtent l="0" t="0" r="0" b="0"/>
            <wp:docPr id="144" name="Picture 4" descr="Macintosh HD:Users:erln:Documents:MATLAB:UTEC2016:figur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cintosh HD:Users:erln:Documents:MATLAB:UTEC2016:figure7.jpg"/>
                    <pic:cNvPicPr>
                      <a:picLocks noChangeAspect="1" noChangeArrowheads="1"/>
                    </pic:cNvPicPr>
                  </pic:nvPicPr>
                  <pic:blipFill>
                    <a:blip r:embed="rId155">
                      <a:extLst>
                        <a:ext uri="{28A0092B-C50C-407E-A947-70E740481C1C}">
                          <a14:useLocalDpi xmlns:a14="http://schemas.microsoft.com/office/drawing/2010/main" val="0"/>
                        </a:ext>
                      </a:extLst>
                    </a:blip>
                    <a:srcRect l="5769" t="3704" r="7906" b="3704"/>
                    <a:stretch>
                      <a:fillRect/>
                    </a:stretch>
                  </pic:blipFill>
                  <pic:spPr>
                    <a:xfrm>
                      <a:off x="0" y="0"/>
                      <a:ext cx="3943350" cy="3172250"/>
                    </a:xfrm>
                    <a:prstGeom prst="rect">
                      <a:avLst/>
                    </a:prstGeom>
                    <a:noFill/>
                    <a:ln>
                      <a:noFill/>
                    </a:ln>
                  </pic:spPr>
                </pic:pic>
              </a:graphicData>
            </a:graphic>
          </wp:inline>
        </w:drawing>
      </w:r>
    </w:p>
    <w:p w14:paraId="03FE84E8" w14:textId="77777777" w:rsidR="009013AC" w:rsidRDefault="009013AC" w:rsidP="009013AC">
      <w:pPr>
        <w:spacing w:line="360" w:lineRule="auto"/>
        <w:ind w:firstLine="288"/>
        <w:contextualSpacing/>
        <w:jc w:val="center"/>
        <w:rPr>
          <w:rFonts w:cstheme="minorHAnsi"/>
        </w:rPr>
      </w:pPr>
      <w:r>
        <w:rPr>
          <w:rFonts w:cstheme="minorHAnsi"/>
          <w:b/>
        </w:rPr>
        <w:t>Figure 6.5</w:t>
      </w:r>
      <w:r w:rsidR="004C381B">
        <w:rPr>
          <w:b/>
          <w:bCs/>
        </w:rPr>
        <w:t>—</w:t>
      </w:r>
      <w:r w:rsidRPr="009013AC">
        <w:rPr>
          <w:rFonts w:cstheme="minorHAnsi"/>
          <w:b/>
        </w:rPr>
        <w:t>Adsorption isotherms of C1/C3 mixture in a two-pore system. (a) Total, bulk and adsorbed fluid content of C1/C3 mixture. (b) The C1 and C3 fluid content in 8 and 20 nm pores.</w:t>
      </w:r>
      <w:r w:rsidRPr="009013AC">
        <w:rPr>
          <w:rFonts w:cstheme="minorHAnsi"/>
        </w:rPr>
        <w:t xml:space="preserve"> </w:t>
      </w:r>
    </w:p>
    <w:p w14:paraId="4A4CF11F" w14:textId="77777777" w:rsidR="00695279" w:rsidRDefault="00695279" w:rsidP="009013AC">
      <w:pPr>
        <w:spacing w:line="360" w:lineRule="auto"/>
        <w:ind w:firstLine="288"/>
        <w:contextualSpacing/>
        <w:jc w:val="center"/>
        <w:rPr>
          <w:rFonts w:cstheme="minorHAnsi"/>
        </w:rPr>
      </w:pPr>
    </w:p>
    <w:p w14:paraId="187474DC" w14:textId="77777777" w:rsidR="002F4565" w:rsidRPr="009013AC" w:rsidRDefault="002F4565" w:rsidP="009013AC">
      <w:pPr>
        <w:spacing w:line="360" w:lineRule="auto"/>
        <w:ind w:firstLine="288"/>
        <w:contextualSpacing/>
        <w:jc w:val="center"/>
        <w:rPr>
          <w:rFonts w:cstheme="minorHAnsi"/>
        </w:rPr>
      </w:pPr>
    </w:p>
    <w:p w14:paraId="563D67C9" w14:textId="7BA1FE5D" w:rsidR="0085272D" w:rsidRDefault="0096367E" w:rsidP="009013AC">
      <w:pPr>
        <w:snapToGrid w:val="0"/>
        <w:jc w:val="both"/>
        <w:rPr>
          <w:rFonts w:hAnsi="Arial" w:cs="Arial"/>
          <w:lang w:eastAsia="zh-CN"/>
        </w:rPr>
      </w:pPr>
      <w:r>
        <w:rPr>
          <w:rFonts w:hAnsi="Arial" w:cs="Arial" w:hint="eastAsia"/>
          <w:b/>
          <w:lang w:eastAsia="zh-CN"/>
        </w:rPr>
        <w:t>Figure</w:t>
      </w:r>
      <w:r>
        <w:rPr>
          <w:rFonts w:hAnsi="Arial" w:cs="Arial"/>
          <w:b/>
        </w:rPr>
        <w:t xml:space="preserve"> </w:t>
      </w:r>
      <w:r>
        <w:rPr>
          <w:rFonts w:hAnsi="Arial" w:cs="Arial" w:hint="eastAsia"/>
          <w:b/>
          <w:lang w:eastAsia="zh-CN"/>
        </w:rPr>
        <w:t>6.6</w:t>
      </w:r>
      <w:r>
        <w:rPr>
          <w:rFonts w:hAnsi="Arial" w:cs="Arial"/>
        </w:rPr>
        <w:t xml:space="preserve"> shows the plots of the ratio C3/C1 in the 8 nm and 20 nm pores over the pressure range, illustrating the selectivity of C3 over C1. The selectivity describes the ratio of the total amount of one component over the other in a binary mixture. In this case, the value of selectivity is the ratio of the amount of C3 to C1 at any particular pressure. When pressure is low, the pore space is mainly filled with C3 and therefore C3 composition keeps increasing as pressure goes higher. The effect of preferable adsorption of C3 is more significant in the </w:t>
      </w:r>
      <w:r w:rsidR="00695279">
        <w:rPr>
          <w:rFonts w:hAnsi="Arial" w:cs="Arial"/>
        </w:rPr>
        <w:t>8-nm</w:t>
      </w:r>
      <w:r>
        <w:rPr>
          <w:rFonts w:hAnsi="Arial" w:cs="Arial"/>
        </w:rPr>
        <w:t xml:space="preserve"> pore than that in the 20 nm pore, where the average fluid-pore wall interaction is relatively much weaker. When the pressure reaches about 8 MPa, maximum values of C3 selectivity are seen in both pores (2.04 and 1.34 for 8 and 20 nm pores, respectively), according to </w:t>
      </w:r>
      <w:r>
        <w:rPr>
          <w:rFonts w:hAnsi="Arial" w:cs="Arial" w:hint="eastAsia"/>
          <w:lang w:eastAsia="zh-CN"/>
        </w:rPr>
        <w:t>Figure</w:t>
      </w:r>
      <w:r>
        <w:rPr>
          <w:rFonts w:hAnsi="Arial" w:cs="Arial"/>
        </w:rPr>
        <w:t xml:space="preserve"> 8. Further increase in pressure results in declination in C3 selectivity, which decreases fast at first and then slows down as pressure gets higher and has the values of 1.42 and 1.16 for 8 and 20 nm pores at 50 MPa, respectively. This implies that at high pressure the density of bulk phase is high and close to the adsorbed phase. It is obvious, from </w:t>
      </w:r>
      <w:r>
        <w:rPr>
          <w:rFonts w:hAnsi="Arial" w:cs="Arial" w:hint="eastAsia"/>
          <w:lang w:eastAsia="zh-CN"/>
        </w:rPr>
        <w:t>Figure</w:t>
      </w:r>
      <w:r>
        <w:rPr>
          <w:rFonts w:hAnsi="Arial" w:cs="Arial"/>
        </w:rPr>
        <w:t xml:space="preserve"> 7 and </w:t>
      </w:r>
      <w:r>
        <w:rPr>
          <w:rFonts w:hAnsi="Arial" w:cs="Arial" w:hint="eastAsia"/>
          <w:lang w:eastAsia="zh-CN"/>
        </w:rPr>
        <w:t>Figure</w:t>
      </w:r>
      <w:r>
        <w:rPr>
          <w:rFonts w:hAnsi="Arial" w:cs="Arial"/>
        </w:rPr>
        <w:t xml:space="preserve"> 8, that 8 nm pore contains larger amount of C3 while 20 nm pores has larger amount of C1, indicating that heavier molecules are more likely to stay in smaller pores. The size of pores in kerogen can have very wide distribution from a few nm to a few hundred nm. Our calculation suggests that heavier component tends to accumulate into smaller pores while methane stays in larger pores.</w:t>
      </w:r>
    </w:p>
    <w:p w14:paraId="0CC36A02" w14:textId="77777777" w:rsidR="0085272D" w:rsidRDefault="0085272D">
      <w:pPr>
        <w:pStyle w:val="para"/>
        <w:rPr>
          <w:rFonts w:asciiTheme="majorHAnsi" w:hAnsiTheme="majorHAnsi"/>
          <w:b/>
          <w:bCs/>
          <w:iCs/>
          <w:sz w:val="28"/>
          <w:szCs w:val="28"/>
          <w:lang w:eastAsia="zh-CN" w:bidi="en-US"/>
        </w:rPr>
      </w:pPr>
    </w:p>
    <w:p w14:paraId="3FC675FD" w14:textId="77777777" w:rsidR="0085272D" w:rsidRDefault="0085272D">
      <w:pPr>
        <w:pStyle w:val="para1"/>
        <w:rPr>
          <w:rFonts w:asciiTheme="majorHAnsi" w:hAnsiTheme="majorHAnsi"/>
          <w:b/>
          <w:bCs/>
          <w:iCs/>
          <w:sz w:val="28"/>
          <w:szCs w:val="28"/>
          <w:lang w:eastAsia="zh-CN" w:bidi="en-US"/>
        </w:rPr>
      </w:pPr>
    </w:p>
    <w:p w14:paraId="3BA94BA5" w14:textId="77777777" w:rsidR="0085272D" w:rsidRDefault="009013AC" w:rsidP="009013AC">
      <w:pPr>
        <w:pStyle w:val="para1"/>
        <w:ind w:leftChars="300" w:left="720"/>
        <w:rPr>
          <w:rFonts w:asciiTheme="majorHAnsi" w:hAnsiTheme="majorHAnsi"/>
          <w:b/>
          <w:bCs/>
          <w:iCs/>
          <w:sz w:val="28"/>
          <w:szCs w:val="28"/>
          <w:lang w:eastAsia="zh-CN" w:bidi="en-US"/>
        </w:rPr>
      </w:pPr>
      <w:r>
        <w:rPr>
          <w:rFonts w:ascii="Arial" w:hAnsi="Arial" w:cs="Arial"/>
          <w:b/>
          <w:noProof/>
          <w:lang w:eastAsia="zh-CN"/>
        </w:rPr>
        <w:drawing>
          <wp:inline distT="0" distB="0" distL="0" distR="0" wp14:anchorId="5530BFBA" wp14:editId="4A38367C">
            <wp:extent cx="4076700" cy="3279751"/>
            <wp:effectExtent l="0" t="0" r="0" b="0"/>
            <wp:docPr id="145" name="Picture 13" descr="Macintosh HD:Users:erln:Documents:MATLAB:UTEC2016:figur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cintosh HD:Users:erln:Documents:MATLAB:UTEC2016:figure8.jpg"/>
                    <pic:cNvPicPr>
                      <a:picLocks noChangeAspect="1" noChangeArrowheads="1"/>
                    </pic:cNvPicPr>
                  </pic:nvPicPr>
                  <pic:blipFill>
                    <a:blip r:embed="rId156">
                      <a:extLst>
                        <a:ext uri="{28A0092B-C50C-407E-A947-70E740481C1C}">
                          <a14:useLocalDpi xmlns:a14="http://schemas.microsoft.com/office/drawing/2010/main" val="0"/>
                        </a:ext>
                      </a:extLst>
                    </a:blip>
                    <a:srcRect l="6624" t="5698" r="8119" b="2850"/>
                    <a:stretch>
                      <a:fillRect/>
                    </a:stretch>
                  </pic:blipFill>
                  <pic:spPr>
                    <a:xfrm>
                      <a:off x="0" y="0"/>
                      <a:ext cx="4082125" cy="3284116"/>
                    </a:xfrm>
                    <a:prstGeom prst="rect">
                      <a:avLst/>
                    </a:prstGeom>
                    <a:noFill/>
                    <a:ln>
                      <a:noFill/>
                    </a:ln>
                  </pic:spPr>
                </pic:pic>
              </a:graphicData>
            </a:graphic>
          </wp:inline>
        </w:drawing>
      </w:r>
    </w:p>
    <w:p w14:paraId="68C7BF86" w14:textId="77777777" w:rsidR="009013AC" w:rsidRPr="009013AC" w:rsidRDefault="009013AC" w:rsidP="009013AC">
      <w:pPr>
        <w:spacing w:line="360" w:lineRule="auto"/>
        <w:ind w:firstLine="288"/>
        <w:contextualSpacing/>
        <w:jc w:val="center"/>
        <w:rPr>
          <w:rFonts w:cstheme="minorHAnsi"/>
          <w:b/>
        </w:rPr>
      </w:pPr>
      <w:r w:rsidRPr="009013AC">
        <w:rPr>
          <w:rFonts w:cstheme="minorHAnsi"/>
          <w:b/>
        </w:rPr>
        <w:t>Figure 6.6</w:t>
      </w:r>
      <w:r w:rsidR="004C381B">
        <w:rPr>
          <w:b/>
          <w:bCs/>
        </w:rPr>
        <w:t>—</w:t>
      </w:r>
      <w:r w:rsidRPr="009013AC">
        <w:rPr>
          <w:rFonts w:cstheme="minorHAnsi"/>
          <w:b/>
        </w:rPr>
        <w:t>Selectivity of C3 over C1 in 8 and 20 nm pores over the pressure range of 0.01 to 50 MPa.</w:t>
      </w:r>
    </w:p>
    <w:p w14:paraId="520B5590" w14:textId="77777777" w:rsidR="009013AC" w:rsidRDefault="009013AC">
      <w:pPr>
        <w:pStyle w:val="para1"/>
        <w:rPr>
          <w:rFonts w:asciiTheme="majorHAnsi" w:hAnsiTheme="majorHAnsi"/>
          <w:b/>
          <w:bCs/>
          <w:iCs/>
          <w:sz w:val="28"/>
          <w:szCs w:val="28"/>
          <w:lang w:eastAsia="zh-CN" w:bidi="en-US"/>
        </w:rPr>
      </w:pPr>
    </w:p>
    <w:p w14:paraId="17DE6602" w14:textId="77777777" w:rsidR="009013AC" w:rsidRDefault="009013AC">
      <w:pPr>
        <w:pStyle w:val="para1"/>
        <w:rPr>
          <w:rFonts w:asciiTheme="majorHAnsi" w:hAnsiTheme="majorHAnsi"/>
          <w:b/>
          <w:bCs/>
          <w:iCs/>
          <w:sz w:val="28"/>
          <w:szCs w:val="28"/>
          <w:lang w:eastAsia="zh-CN" w:bidi="en-US"/>
        </w:rPr>
      </w:pPr>
    </w:p>
    <w:p w14:paraId="10A842CE" w14:textId="77777777" w:rsidR="00695279" w:rsidRDefault="00695279">
      <w:pPr>
        <w:pStyle w:val="para1"/>
        <w:rPr>
          <w:rFonts w:asciiTheme="majorHAnsi" w:hAnsiTheme="majorHAnsi"/>
          <w:b/>
          <w:bCs/>
          <w:iCs/>
          <w:sz w:val="28"/>
          <w:szCs w:val="28"/>
          <w:lang w:eastAsia="zh-CN" w:bidi="en-US"/>
        </w:rPr>
      </w:pPr>
    </w:p>
    <w:p w14:paraId="7B94348F" w14:textId="77777777" w:rsidR="00695279" w:rsidRPr="009013AC" w:rsidRDefault="00695279">
      <w:pPr>
        <w:pStyle w:val="para1"/>
        <w:rPr>
          <w:rFonts w:asciiTheme="majorHAnsi" w:hAnsiTheme="majorHAnsi"/>
          <w:b/>
          <w:bCs/>
          <w:iCs/>
          <w:sz w:val="28"/>
          <w:szCs w:val="28"/>
          <w:lang w:eastAsia="zh-CN" w:bidi="en-US"/>
        </w:rPr>
      </w:pPr>
    </w:p>
    <w:p w14:paraId="49FC1565" w14:textId="77777777" w:rsidR="0085272D" w:rsidRDefault="0096367E">
      <w:pPr>
        <w:rPr>
          <w:lang w:eastAsia="zh-CN"/>
        </w:rPr>
      </w:pPr>
      <w:r>
        <w:rPr>
          <w:rFonts w:asciiTheme="majorHAnsi" w:hAnsiTheme="majorHAnsi" w:hint="eastAsia"/>
          <w:b/>
          <w:bCs/>
          <w:iCs/>
          <w:sz w:val="28"/>
          <w:szCs w:val="28"/>
          <w:lang w:eastAsia="zh-CN"/>
        </w:rPr>
        <w:t>6.5 Capillary Condensation of Retrograde Mixtures</w:t>
      </w:r>
    </w:p>
    <w:p w14:paraId="66CDA625" w14:textId="77C06E62" w:rsidR="0085272D" w:rsidRDefault="0096367E">
      <w:pPr>
        <w:spacing w:after="240"/>
        <w:contextualSpacing/>
        <w:jc w:val="both"/>
        <w:rPr>
          <w:rFonts w:hAnsi="Arial" w:cs="Arial"/>
        </w:rPr>
      </w:pPr>
      <w:r>
        <w:rPr>
          <w:rFonts w:hAnsi="Arial" w:cs="Arial"/>
        </w:rPr>
        <w:t xml:space="preserve">In this section, we investigate the effects of capillary condensation on retrograde hydrocarbon fluid with the presence of adsorption in heterogeneous pore system. Consider a binary mixture of methane (C1) and n-pentane (nC5) confined in a pore system that contains two parallel graphite pores with the same pore volume but different pore sizes, 14 and 24 nm in diameter, respectively. The pores are assumed to be connected to an open system with fixed temperature of 360 K and fluid composition of 80% C1 and 20% nC5. The adsorption region contains two layers of molecules with the thickness of 1.1 nm based on the adsorption thickness calculation. </w:t>
      </w:r>
      <w:r w:rsidR="007461C3">
        <w:rPr>
          <w:rFonts w:hAnsi="Arial" w:cs="Arial"/>
        </w:rPr>
        <w:t>Therefore,</w:t>
      </w:r>
      <w:r>
        <w:rPr>
          <w:rFonts w:hAnsi="Arial" w:cs="Arial"/>
        </w:rPr>
        <w:t xml:space="preserve"> the effective radiuses of the two pores become 5.9 and 9.9 nm, respectively. The isothermal pressure path from 0.1 to 20 MPa at 360 K travels through the </w:t>
      </w:r>
      <w:r w:rsidR="00695279">
        <w:rPr>
          <w:rFonts w:hAnsi="Arial" w:cs="Arial"/>
        </w:rPr>
        <w:t>two-phase</w:t>
      </w:r>
      <w:r>
        <w:rPr>
          <w:rFonts w:hAnsi="Arial" w:cs="Arial"/>
        </w:rPr>
        <w:t xml:space="preserve"> region of the mixture, as shown in </w:t>
      </w:r>
      <w:r>
        <w:rPr>
          <w:rFonts w:hAnsi="Arial" w:cs="Arial" w:hint="eastAsia"/>
          <w:b/>
          <w:lang w:eastAsia="zh-CN"/>
        </w:rPr>
        <w:t>Figure</w:t>
      </w:r>
      <w:r>
        <w:rPr>
          <w:rFonts w:hAnsi="Arial" w:cs="Arial"/>
          <w:b/>
        </w:rPr>
        <w:t xml:space="preserve"> </w:t>
      </w:r>
      <w:r>
        <w:rPr>
          <w:rFonts w:hAnsi="Arial" w:cs="Arial" w:hint="eastAsia"/>
          <w:b/>
          <w:lang w:eastAsia="zh-CN"/>
        </w:rPr>
        <w:t>6.7</w:t>
      </w:r>
      <w:r>
        <w:rPr>
          <w:rFonts w:hAnsi="Arial" w:cs="Arial"/>
        </w:rPr>
        <w:t>. The pressure path intersects twice with the dew point line of the phase envelop, which indicates the retrograde behavior of the fluid. The two-phase envelop in the plot is for bulk fluid. However, it is known that the two-phase envelop will shift due to capillary effects (Li et al</w:t>
      </w:r>
      <w:r w:rsidR="009969A4">
        <w:rPr>
          <w:rFonts w:hAnsi="Arial" w:cs="Arial"/>
        </w:rPr>
        <w:t>. 2014; Jin and Firoozabadi 2016</w:t>
      </w:r>
      <w:r>
        <w:rPr>
          <w:rFonts w:hAnsi="Arial" w:cs="Arial"/>
        </w:rPr>
        <w:t xml:space="preserve">). </w:t>
      </w:r>
      <w:r>
        <w:rPr>
          <w:rFonts w:hAnsi="Arial" w:cs="Arial" w:hint="eastAsia"/>
          <w:b/>
          <w:lang w:eastAsia="zh-CN"/>
        </w:rPr>
        <w:t>Figure</w:t>
      </w:r>
      <w:r>
        <w:rPr>
          <w:rFonts w:hAnsi="Arial" w:cs="Arial"/>
          <w:b/>
        </w:rPr>
        <w:t xml:space="preserve"> </w:t>
      </w:r>
      <w:r>
        <w:rPr>
          <w:rFonts w:hAnsi="Arial" w:cs="Arial" w:hint="eastAsia"/>
          <w:b/>
          <w:lang w:eastAsia="zh-CN"/>
        </w:rPr>
        <w:t>6.8</w:t>
      </w:r>
      <w:r>
        <w:rPr>
          <w:rFonts w:hAnsi="Arial" w:cs="Arial"/>
        </w:rPr>
        <w:t xml:space="preserve"> gives the adsorption isotherms of each component in each pore and their total. From the </w:t>
      </w:r>
      <w:r w:rsidR="009969A4">
        <w:rPr>
          <w:rFonts w:hAnsi="Arial" w:cs="Arial"/>
        </w:rPr>
        <w:t>plot,</w:t>
      </w:r>
      <w:r>
        <w:rPr>
          <w:rFonts w:hAnsi="Arial" w:cs="Arial"/>
        </w:rPr>
        <w:t xml:space="preserve"> we can see that the total fluid content experiences two sudden declines. The two jumps are the sign of capillary condensation in </w:t>
      </w:r>
      <w:r>
        <w:rPr>
          <w:rFonts w:hAnsi="Arial" w:cs="Arial" w:hint="eastAsia"/>
          <w:lang w:eastAsia="zh-CN"/>
        </w:rPr>
        <w:t xml:space="preserve">the </w:t>
      </w:r>
      <w:r>
        <w:rPr>
          <w:rFonts w:hAnsi="Arial" w:cs="Arial"/>
        </w:rPr>
        <w:t xml:space="preserve">two </w:t>
      </w:r>
      <w:r>
        <w:rPr>
          <w:rFonts w:hAnsi="Arial" w:cs="Arial" w:hint="eastAsia"/>
          <w:lang w:eastAsia="zh-CN"/>
        </w:rPr>
        <w:t xml:space="preserve">different size </w:t>
      </w:r>
      <w:r>
        <w:rPr>
          <w:rFonts w:hAnsi="Arial" w:cs="Arial"/>
        </w:rPr>
        <w:t xml:space="preserve">pores respectively, while the two sudden decreases represent the capillary evaporation of the fluid confined in the two pores. Note that the fluid content change is much larger for capillary condensation than capillary evaporation due to the fact that the capillary evaporation happens at a much higher pressure where the density different between the liquid and the vapor is much smaller compare to that at capillary condensation. From quantitative point of view, the capillary condensation in 14 and 24 nm pores occurs at 2.6 MPa and 2.8 MPa, respectively; the capillary evaporation in the two pores occurs at 15.6 and 15.7 MPa, respectively, while the bulk lower and upper dew point pressures of the mixture at 360 K are 3.1 and 15.5 MPa, respectively. As we can figure out, the capillary condensation happens before the pressure reaches the lower dew point pressure and the capillary evaporation occurs after the pressure exceeds the upper dew point pressure. This is how the two-phase envelop shifts under the effects of capillarity. We can see that the smaller the pore size, the larger the shift of the dew point pressures one can have. It is also observed that the shift of lower dew point pressure is more significant than that of the upper dew point pressure under the same confining environment. On the other hand, the partial adsorption isotherms of each component in each pore in </w:t>
      </w:r>
      <w:r>
        <w:rPr>
          <w:rFonts w:hAnsi="Arial" w:cs="Arial" w:hint="eastAsia"/>
          <w:lang w:eastAsia="zh-CN"/>
        </w:rPr>
        <w:t>Figure</w:t>
      </w:r>
      <w:r>
        <w:rPr>
          <w:rFonts w:hAnsi="Arial" w:cs="Arial"/>
        </w:rPr>
        <w:t xml:space="preserve"> </w:t>
      </w:r>
      <w:r>
        <w:rPr>
          <w:rFonts w:hAnsi="Arial" w:cs="Arial" w:hint="eastAsia"/>
          <w:lang w:eastAsia="zh-CN"/>
        </w:rPr>
        <w:t>6.8</w:t>
      </w:r>
      <w:r>
        <w:rPr>
          <w:rFonts w:hAnsi="Arial" w:cs="Arial"/>
        </w:rPr>
        <w:t xml:space="preserve"> give more detailed information on the fluid behavior during the process of the phase transition. During the process of capillary condensation, there is a huge jump in nC5 content and a slight decrease in C1 content indicating the phase change from vapor-like fluid to liquid. As pressure increases in the </w:t>
      </w:r>
      <w:r w:rsidR="000C2E54">
        <w:rPr>
          <w:rFonts w:hAnsi="Arial" w:cs="Arial"/>
        </w:rPr>
        <w:t>two-phase</w:t>
      </w:r>
      <w:r>
        <w:rPr>
          <w:rFonts w:hAnsi="Arial" w:cs="Arial"/>
        </w:rPr>
        <w:t xml:space="preserve"> region, nC5 content decreases while the amount of C1 increases based on the flash calculation results. Note that although the liquid fraction changes with pressure, we assume the pores are fully filled with condensed liquid once capillary condensation happens due to the assumption that the pores are connected to an infinite large open system. At capillary evaporation, slight but steep changes of C1 and nC5 contents imply the phase change from liquid to vapor. When the pressure is higher than the capillary evaporation point, there is no more capillary condensation. However, at these pressures the density of the fluid in the pores is not far from the liquid.</w:t>
      </w:r>
    </w:p>
    <w:p w14:paraId="7A6BCD34" w14:textId="77777777" w:rsidR="009013AC" w:rsidRDefault="009013AC" w:rsidP="009013AC">
      <w:pPr>
        <w:spacing w:line="360" w:lineRule="auto"/>
        <w:ind w:firstLine="288"/>
        <w:contextualSpacing/>
        <w:jc w:val="center"/>
        <w:rPr>
          <w:rFonts w:ascii="Arial" w:hAnsi="Arial" w:cs="Arial"/>
          <w:b/>
          <w:lang w:eastAsia="zh-CN"/>
        </w:rPr>
      </w:pPr>
      <w:r>
        <w:rPr>
          <w:rFonts w:ascii="Arial" w:hAnsi="Arial" w:cs="Arial" w:hint="eastAsia"/>
          <w:b/>
          <w:noProof/>
          <w:lang w:eastAsia="zh-CN" w:bidi="ar-SA"/>
        </w:rPr>
        <w:drawing>
          <wp:inline distT="0" distB="0" distL="0" distR="0" wp14:anchorId="698F0CCF" wp14:editId="38F5A72D">
            <wp:extent cx="3800475" cy="3076575"/>
            <wp:effectExtent l="0" t="0" r="0" b="0"/>
            <wp:docPr id="146" name="Picture 41" descr="Macintosh HD:Users:erln:Documents:MATLAB:UTEC2016:figu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cintosh HD:Users:erln:Documents:MATLAB:UTEC2016:figure9.jpg"/>
                    <pic:cNvPicPr>
                      <a:picLocks noChangeAspect="1" noChangeArrowheads="1"/>
                    </pic:cNvPicPr>
                  </pic:nvPicPr>
                  <pic:blipFill>
                    <a:blip r:embed="rId157">
                      <a:extLst>
                        <a:ext uri="{28A0092B-C50C-407E-A947-70E740481C1C}">
                          <a14:useLocalDpi xmlns:a14="http://schemas.microsoft.com/office/drawing/2010/main" val="0"/>
                        </a:ext>
                      </a:extLst>
                    </a:blip>
                    <a:srcRect l="7691" t="5128" r="7052" b="2848"/>
                    <a:stretch>
                      <a:fillRect/>
                    </a:stretch>
                  </pic:blipFill>
                  <pic:spPr>
                    <a:xfrm>
                      <a:off x="0" y="0"/>
                      <a:ext cx="3818052" cy="3090804"/>
                    </a:xfrm>
                    <a:prstGeom prst="rect">
                      <a:avLst/>
                    </a:prstGeom>
                    <a:noFill/>
                    <a:ln>
                      <a:noFill/>
                    </a:ln>
                  </pic:spPr>
                </pic:pic>
              </a:graphicData>
            </a:graphic>
          </wp:inline>
        </w:drawing>
      </w:r>
    </w:p>
    <w:p w14:paraId="14AC3616" w14:textId="77777777" w:rsidR="009013AC" w:rsidRPr="009013AC" w:rsidRDefault="009013AC" w:rsidP="009013AC">
      <w:pPr>
        <w:spacing w:line="360" w:lineRule="auto"/>
        <w:ind w:firstLine="288"/>
        <w:contextualSpacing/>
        <w:jc w:val="center"/>
        <w:rPr>
          <w:rFonts w:cstheme="minorHAnsi"/>
          <w:b/>
          <w:lang w:eastAsia="zh-CN"/>
        </w:rPr>
      </w:pPr>
      <w:r w:rsidRPr="009013AC">
        <w:rPr>
          <w:rFonts w:cstheme="minorHAnsi"/>
          <w:b/>
        </w:rPr>
        <w:t>Figure 6.7</w:t>
      </w:r>
      <w:r w:rsidR="004C381B">
        <w:rPr>
          <w:b/>
          <w:bCs/>
        </w:rPr>
        <w:t>—</w:t>
      </w:r>
      <w:r w:rsidRPr="009013AC">
        <w:rPr>
          <w:rFonts w:cstheme="minorHAnsi"/>
          <w:b/>
        </w:rPr>
        <w:t xml:space="preserve">The </w:t>
      </w:r>
      <w:r w:rsidRPr="009013AC">
        <w:rPr>
          <w:rFonts w:cstheme="minorHAnsi"/>
          <w:b/>
          <w:lang w:eastAsia="zh-CN"/>
        </w:rPr>
        <w:t xml:space="preserve">bulk </w:t>
      </w:r>
      <w:r w:rsidRPr="009013AC">
        <w:rPr>
          <w:rFonts w:cstheme="minorHAnsi"/>
          <w:b/>
        </w:rPr>
        <w:t>two phase envelop of a binary mixture with composition of 80% C1 and 20% nC5 and the isothermal pressure path at 360 K from 0.01 to 20 MPa.</w:t>
      </w:r>
    </w:p>
    <w:p w14:paraId="2DA39693" w14:textId="47372D29" w:rsidR="0085272D" w:rsidRDefault="00695279" w:rsidP="00695279">
      <w:pPr>
        <w:spacing w:after="240"/>
        <w:ind w:left="720"/>
        <w:contextualSpacing/>
        <w:jc w:val="both"/>
        <w:rPr>
          <w:rFonts w:hAnsi="Arial" w:cs="Arial"/>
        </w:rPr>
      </w:pPr>
      <w:r>
        <w:rPr>
          <w:rFonts w:hAnsi="Arial" w:cs="Arial" w:hint="eastAsia"/>
        </w:rPr>
        <w:t xml:space="preserve">      </w:t>
      </w:r>
      <w:r w:rsidR="009013AC">
        <w:rPr>
          <w:rFonts w:ascii="Arial" w:hAnsi="Arial" w:cs="Arial"/>
          <w:b/>
          <w:noProof/>
          <w:lang w:eastAsia="zh-CN" w:bidi="ar-SA"/>
        </w:rPr>
        <w:drawing>
          <wp:inline distT="0" distB="0" distL="0" distR="0" wp14:anchorId="71BFD836" wp14:editId="198F3D26">
            <wp:extent cx="4062799" cy="3157769"/>
            <wp:effectExtent l="0" t="0" r="0" b="0"/>
            <wp:docPr id="147" name="Picture 17" descr="Macintosh HD:Users:erln:Documents:MATLAB:UTEC2016:figur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cintosh HD:Users:erln:Documents:MATLAB:UTEC2016:figure10.jpg"/>
                    <pic:cNvPicPr>
                      <a:picLocks noChangeAspect="1" noChangeArrowheads="1"/>
                    </pic:cNvPicPr>
                  </pic:nvPicPr>
                  <pic:blipFill>
                    <a:blip r:embed="rId158">
                      <a:extLst>
                        <a:ext uri="{28A0092B-C50C-407E-A947-70E740481C1C}">
                          <a14:useLocalDpi xmlns:a14="http://schemas.microsoft.com/office/drawing/2010/main" val="0"/>
                        </a:ext>
                      </a:extLst>
                    </a:blip>
                    <a:srcRect l="4060" t="5413" r="7693" b="3134"/>
                    <a:stretch>
                      <a:fillRect/>
                    </a:stretch>
                  </pic:blipFill>
                  <pic:spPr>
                    <a:xfrm>
                      <a:off x="0" y="0"/>
                      <a:ext cx="4082047" cy="3172730"/>
                    </a:xfrm>
                    <a:prstGeom prst="rect">
                      <a:avLst/>
                    </a:prstGeom>
                    <a:noFill/>
                    <a:ln>
                      <a:noFill/>
                    </a:ln>
                  </pic:spPr>
                </pic:pic>
              </a:graphicData>
            </a:graphic>
          </wp:inline>
        </w:drawing>
      </w:r>
    </w:p>
    <w:p w14:paraId="77D46229" w14:textId="77777777" w:rsidR="009013AC" w:rsidRDefault="009013AC" w:rsidP="009013AC">
      <w:pPr>
        <w:spacing w:line="360" w:lineRule="auto"/>
        <w:ind w:firstLine="288"/>
        <w:contextualSpacing/>
        <w:jc w:val="center"/>
        <w:rPr>
          <w:rFonts w:cstheme="minorHAnsi"/>
          <w:b/>
        </w:rPr>
      </w:pPr>
      <w:r>
        <w:rPr>
          <w:rFonts w:cstheme="minorHAnsi"/>
          <w:b/>
        </w:rPr>
        <w:t>Figure 6.8</w:t>
      </w:r>
      <w:r w:rsidR="004C381B">
        <w:rPr>
          <w:b/>
          <w:bCs/>
        </w:rPr>
        <w:t>—</w:t>
      </w:r>
      <w:r w:rsidRPr="009013AC">
        <w:rPr>
          <w:rFonts w:cstheme="minorHAnsi"/>
          <w:b/>
        </w:rPr>
        <w:t>Adsorption isotherms of each component in each pore and their total of a binary mixture with composition of 80% C1 and 20% nC5 at 360 K from 0.01 to 20 MPa.</w:t>
      </w:r>
    </w:p>
    <w:p w14:paraId="5D584865" w14:textId="77777777" w:rsidR="0085272D" w:rsidRDefault="0096367E">
      <w:pPr>
        <w:pStyle w:val="Heading1"/>
        <w:ind w:left="240" w:right="240"/>
      </w:pPr>
      <w:bookmarkStart w:id="53" w:name="_Toc508114169"/>
      <w:r>
        <w:t xml:space="preserve">Chapter </w:t>
      </w:r>
      <w:r>
        <w:rPr>
          <w:rFonts w:hint="eastAsia"/>
          <w:lang w:eastAsia="zh-CN"/>
        </w:rPr>
        <w:t>7</w:t>
      </w:r>
      <w:r>
        <w:t xml:space="preserve">: </w:t>
      </w:r>
      <w:r>
        <w:rPr>
          <w:rFonts w:hint="eastAsia"/>
          <w:lang w:eastAsia="zh-CN"/>
        </w:rPr>
        <w:t>Molecular Dynamic</w:t>
      </w:r>
      <w:r w:rsidR="00E848F9">
        <w:rPr>
          <w:rFonts w:hint="eastAsia"/>
          <w:lang w:eastAsia="zh-CN"/>
        </w:rPr>
        <w:t>s</w:t>
      </w:r>
      <w:r>
        <w:rPr>
          <w:rFonts w:hint="eastAsia"/>
          <w:lang w:eastAsia="zh-CN"/>
        </w:rPr>
        <w:t xml:space="preserve"> Simulation</w:t>
      </w:r>
      <w:r w:rsidR="00E848F9">
        <w:rPr>
          <w:rFonts w:hint="eastAsia"/>
          <w:lang w:eastAsia="zh-CN"/>
        </w:rPr>
        <w:t>s</w:t>
      </w:r>
      <w:r>
        <w:rPr>
          <w:rFonts w:hint="eastAsia"/>
          <w:lang w:eastAsia="zh-CN"/>
        </w:rPr>
        <w:t xml:space="preserve"> of Hydrocarbons in Nanopores</w:t>
      </w:r>
      <w:bookmarkEnd w:id="53"/>
    </w:p>
    <w:p w14:paraId="1EDE2E6C" w14:textId="77777777" w:rsidR="0085272D" w:rsidRDefault="0096367E" w:rsidP="00764EEC">
      <w:pPr>
        <w:pStyle w:val="Head1"/>
        <w:outlineLvl w:val="1"/>
        <w:rPr>
          <w:rFonts w:asciiTheme="majorHAnsi" w:hAnsiTheme="majorHAnsi"/>
          <w:bCs/>
          <w:iCs/>
          <w:szCs w:val="28"/>
          <w:lang w:eastAsia="zh-CN"/>
        </w:rPr>
      </w:pPr>
      <w:bookmarkStart w:id="54" w:name="_Toc508114170"/>
      <w:r>
        <w:rPr>
          <w:rFonts w:asciiTheme="majorHAnsi" w:hAnsiTheme="majorHAnsi" w:hint="eastAsia"/>
          <w:bCs/>
          <w:iCs/>
          <w:szCs w:val="28"/>
          <w:lang w:eastAsia="zh-CN"/>
        </w:rPr>
        <w:t>7.1 Background and Previous Work</w:t>
      </w:r>
      <w:bookmarkEnd w:id="54"/>
    </w:p>
    <w:p w14:paraId="4CA7B602" w14:textId="32337478" w:rsidR="0085272D" w:rsidRPr="00F40A8C" w:rsidRDefault="0096367E" w:rsidP="002A3B11">
      <w:pPr>
        <w:spacing w:after="100" w:afterAutospacing="1"/>
        <w:jc w:val="both"/>
      </w:pPr>
      <w:r>
        <w:rPr>
          <w:rFonts w:hAnsi="Arial" w:cs="Arial" w:hint="eastAsia"/>
          <w:lang w:eastAsia="zh-CN"/>
        </w:rPr>
        <w:t>In Chemical Engineering, molecular simulation techniques have been applied to study confined phase behavior for many years (</w:t>
      </w:r>
      <w:r w:rsidR="00254D1A">
        <w:rPr>
          <w:rFonts w:hAnsi="Arial" w:cs="Arial"/>
          <w:lang w:eastAsia="zh-CN"/>
        </w:rPr>
        <w:t>Evans, 1990; Gelb et al., 1999; Koga et al., 2001; Frenkel and Smit, 2001; Alcoutlabi and McKenna, 2005</w:t>
      </w:r>
      <w:r>
        <w:rPr>
          <w:rFonts w:hAnsi="Arial" w:cs="Arial" w:hint="eastAsia"/>
          <w:lang w:eastAsia="zh-CN"/>
        </w:rPr>
        <w:t xml:space="preserve">). Their main purposes </w:t>
      </w:r>
      <w:r w:rsidR="002C1BAC">
        <w:rPr>
          <w:rFonts w:hAnsi="Arial" w:cs="Arial"/>
          <w:lang w:eastAsia="zh-CN"/>
        </w:rPr>
        <w:t>are</w:t>
      </w:r>
      <w:r>
        <w:rPr>
          <w:rFonts w:hAnsi="Arial" w:cs="Arial" w:hint="eastAsia"/>
          <w:lang w:eastAsia="zh-CN"/>
        </w:rPr>
        <w:t xml:space="preserve"> to investigate the fluid properties in n</w:t>
      </w:r>
      <w:r w:rsidR="002C1BAC">
        <w:rPr>
          <w:rFonts w:hAnsi="Arial" w:cs="Arial" w:hint="eastAsia"/>
          <w:lang w:eastAsia="zh-CN"/>
        </w:rPr>
        <w:t xml:space="preserve">anoporous materials, such as carbon nanotubes, </w:t>
      </w:r>
      <w:r w:rsidR="002C1BAC">
        <w:rPr>
          <w:rFonts w:hAnsi="Arial" w:cs="Arial"/>
          <w:lang w:eastAsia="zh-CN"/>
        </w:rPr>
        <w:t>polymers and porous glasses</w:t>
      </w:r>
      <w:r>
        <w:rPr>
          <w:rFonts w:hAnsi="Arial" w:cs="Arial" w:hint="eastAsia"/>
          <w:lang w:eastAsia="zh-CN"/>
        </w:rPr>
        <w:t xml:space="preserve">. Until recently, because of the booming of shale comes to public, when people realize that fluid behavior in shale media is substantially different from that in conventional reservoirs, they </w:t>
      </w:r>
      <w:r w:rsidR="00D40EF1">
        <w:rPr>
          <w:rFonts w:hAnsi="Arial" w:cs="Arial"/>
          <w:lang w:eastAsia="zh-CN"/>
        </w:rPr>
        <w:t xml:space="preserve">have </w:t>
      </w:r>
      <w:r>
        <w:rPr>
          <w:rFonts w:hAnsi="Arial" w:cs="Arial" w:hint="eastAsia"/>
          <w:lang w:eastAsia="zh-CN"/>
        </w:rPr>
        <w:t>start</w:t>
      </w:r>
      <w:r w:rsidR="00D40EF1">
        <w:rPr>
          <w:rFonts w:hAnsi="Arial" w:cs="Arial"/>
          <w:lang w:eastAsia="zh-CN"/>
        </w:rPr>
        <w:t>ed</w:t>
      </w:r>
      <w:r>
        <w:rPr>
          <w:rFonts w:hAnsi="Arial" w:cs="Arial" w:hint="eastAsia"/>
          <w:lang w:eastAsia="zh-CN"/>
        </w:rPr>
        <w:t xml:space="preserve"> to utilize molecular simulation</w:t>
      </w:r>
      <w:r w:rsidR="00A56DC6">
        <w:rPr>
          <w:rFonts w:hAnsi="Arial" w:cs="Arial"/>
          <w:lang w:eastAsia="zh-CN"/>
        </w:rPr>
        <w:t xml:space="preserve"> technique</w:t>
      </w:r>
      <w:r>
        <w:rPr>
          <w:rFonts w:hAnsi="Arial" w:cs="Arial" w:hint="eastAsia"/>
          <w:lang w:eastAsia="zh-CN"/>
        </w:rPr>
        <w:t>s to help understand the fluid behavior</w:t>
      </w:r>
      <w:r w:rsidR="00A56DC6">
        <w:rPr>
          <w:rFonts w:hAnsi="Arial" w:cs="Arial"/>
          <w:lang w:eastAsia="zh-CN"/>
        </w:rPr>
        <w:t>s</w:t>
      </w:r>
      <w:r>
        <w:rPr>
          <w:rFonts w:hAnsi="Arial" w:cs="Arial" w:hint="eastAsia"/>
          <w:lang w:eastAsia="zh-CN"/>
        </w:rPr>
        <w:t xml:space="preserve"> in shales. </w:t>
      </w:r>
      <w:r w:rsidR="000D4347">
        <w:rPr>
          <w:rFonts w:hint="eastAsia"/>
        </w:rPr>
        <w:t>Ambrose et al. (2012) performed a molecular dynamic</w:t>
      </w:r>
      <w:r w:rsidR="008826E4">
        <w:rPr>
          <w:rFonts w:hint="eastAsia"/>
        </w:rPr>
        <w:t>s</w:t>
      </w:r>
      <w:r w:rsidR="000D4347">
        <w:rPr>
          <w:rFonts w:hint="eastAsia"/>
        </w:rPr>
        <w:t xml:space="preserve"> simulation study to investigate the adsorption of methane in a graphite slit. Density profiles of methane across the pore were obtained from molecular dynamic studies. From the methane density profiles, they found that the density values of the adsorbed layers were usually 2 to 2.5 times higher than the methane bulk density.</w:t>
      </w:r>
      <w:r w:rsidR="000D4347">
        <w:rPr>
          <w:rFonts w:ascii="Arial" w:hAnsi="Arial" w:cs="Arial" w:hint="eastAsia"/>
          <w:color w:val="222222"/>
          <w:sz w:val="20"/>
          <w:szCs w:val="20"/>
          <w:shd w:val="clear" w:color="auto" w:fill="FFFFFF"/>
        </w:rPr>
        <w:t xml:space="preserve"> </w:t>
      </w:r>
      <w:r w:rsidR="000D4347">
        <w:rPr>
          <w:rFonts w:hint="eastAsia"/>
        </w:rPr>
        <w:t xml:space="preserve">Didar and Akkutlu (2013) performed Monte Carlo simulations to study the fluid behaviors of binary hydrocarbon mixtures (C1/C2 and C1/C3). They found that the fluid molecules of the heavier component preferred to stay in the adsorbed phase. Mosher et al. (2013) used grand canonical Monte Carlo (GCMC) simulations to investigate methane adsorption in mircro- and mesoporous carbons. Results showed that methane adsorption loading was highly sensitive to pore size. The maximum methane excess adsorption at 298 K in 0.4-nm size pore was 12.5 times greater than that in the 9.0-nm size pore. </w:t>
      </w:r>
      <w:r w:rsidR="00714165">
        <w:t>Welch and Piri (2015) performed molecular dynamic</w:t>
      </w:r>
      <w:r w:rsidR="00C01C28">
        <w:rPr>
          <w:rFonts w:hint="eastAsia"/>
        </w:rPr>
        <w:t>s</w:t>
      </w:r>
      <w:r w:rsidR="00714165">
        <w:t xml:space="preserve"> simulations to</w:t>
      </w:r>
      <w:r w:rsidR="00194192">
        <w:t xml:space="preserve"> in</w:t>
      </w:r>
      <w:r w:rsidR="00714165">
        <w:t xml:space="preserve">vestigate </w:t>
      </w:r>
      <w:r w:rsidR="00194192">
        <w:t>retrograde condensation of ethane and heptane in oil-wet nanopores to represent the confined hydrocarbon fluid behavior in organic nanopores in shales.</w:t>
      </w:r>
      <w:r w:rsidR="00645211">
        <w:t xml:space="preserve"> From the results, they concluded that molecular dynamic</w:t>
      </w:r>
      <w:r w:rsidR="00C01C28">
        <w:rPr>
          <w:rFonts w:hint="eastAsia"/>
        </w:rPr>
        <w:t>s</w:t>
      </w:r>
      <w:r w:rsidR="00645211">
        <w:t xml:space="preserve"> simulations with appropriate force field are able to capture </w:t>
      </w:r>
      <w:r w:rsidR="00645211" w:rsidRPr="00645211">
        <w:t>the phenomenon of re</w:t>
      </w:r>
      <w:r w:rsidR="00645211">
        <w:t>trograde phase behavior for the particular hydrocarbon</w:t>
      </w:r>
      <w:r w:rsidR="00645211" w:rsidRPr="00645211">
        <w:t xml:space="preserve"> binary fluid</w:t>
      </w:r>
      <w:r w:rsidR="00645211">
        <w:t>. They found that</w:t>
      </w:r>
      <w:r w:rsidR="00645211" w:rsidRPr="00645211">
        <w:t xml:space="preserve"> high oil-wet </w:t>
      </w:r>
      <w:r w:rsidR="00645211">
        <w:t>nanoscale pore is more likely to induce condensation at lower pressures than the bulk at 310 K</w:t>
      </w:r>
      <w:r w:rsidR="00F40A8C">
        <w:t xml:space="preserve">. But the same is not seen at 365 K due to the sealing effect of the condensation to the narrow pores which may slow down the processes. </w:t>
      </w:r>
      <w:r w:rsidR="000D4347">
        <w:t xml:space="preserve">Sedghi et al. (2016) </w:t>
      </w:r>
      <w:r w:rsidR="0078078A">
        <w:t>utilized large-scale molecular dynamic</w:t>
      </w:r>
      <w:r w:rsidR="00874651">
        <w:rPr>
          <w:rFonts w:hint="eastAsia"/>
        </w:rPr>
        <w:t>s</w:t>
      </w:r>
      <w:r w:rsidR="0078078A">
        <w:t xml:space="preserve"> simulations to perform the oil-water/brine displacements in a calcite nanopore</w:t>
      </w:r>
      <w:r w:rsidR="00123A89">
        <w:t xml:space="preserve"> which represents shale inorganic matrix. The threshold capillary pressure</w:t>
      </w:r>
      <w:r w:rsidR="006B53FF">
        <w:t>s</w:t>
      </w:r>
      <w:r w:rsidR="00123A89">
        <w:t xml:space="preserve"> between oil and water/brine in calcite </w:t>
      </w:r>
      <w:r w:rsidR="006A6824">
        <w:t xml:space="preserve">that account for fluid-wall interactions </w:t>
      </w:r>
      <w:r w:rsidR="006B53FF">
        <w:t xml:space="preserve">are obtained under variety of oil composition, water salinity and temperature and pressure conditions. </w:t>
      </w:r>
      <w:r w:rsidR="006A6824">
        <w:t xml:space="preserve">They found that </w:t>
      </w:r>
      <w:r w:rsidR="00714165">
        <w:t>because of the adsorption of water layers on calcite pore walls and the strong ordering of water molecules in those adsorbed layers, the threshold capillary pressure obtained from molecular dynamic</w:t>
      </w:r>
      <w:r w:rsidR="00C01C28">
        <w:rPr>
          <w:rFonts w:hint="eastAsia"/>
        </w:rPr>
        <w:t>s</w:t>
      </w:r>
      <w:r w:rsidR="00714165" w:rsidRPr="00714165">
        <w:t xml:space="preserve"> </w:t>
      </w:r>
      <w:r w:rsidR="00714165">
        <w:t>simulations is greater than expected from conventional techniques such as Mayer-Stowe-Princen (MSP) method.</w:t>
      </w:r>
      <w:r w:rsidR="00F40A8C">
        <w:rPr>
          <w:rFonts w:hint="eastAsia"/>
          <w:lang w:eastAsia="zh-CN"/>
        </w:rPr>
        <w:t xml:space="preserve"> </w:t>
      </w:r>
      <w:r>
        <w:rPr>
          <w:rFonts w:hAnsi="Arial" w:cs="Arial" w:hint="eastAsia"/>
          <w:lang w:eastAsia="zh-CN"/>
        </w:rPr>
        <w:t xml:space="preserve">(some of these reviews may be appeared in the previous chapters scatteredly, they are assembled here to serve for the integrity of previous work reviews for this chapter).  </w:t>
      </w:r>
    </w:p>
    <w:p w14:paraId="58FE3D39" w14:textId="53946AB1" w:rsidR="00FA65B2" w:rsidRDefault="007F2C21" w:rsidP="00FA65B2">
      <w:pPr>
        <w:spacing w:after="100" w:afterAutospacing="1"/>
        <w:jc w:val="both"/>
        <w:rPr>
          <w:rFonts w:hAnsi="Arial" w:cs="Arial"/>
          <w:lang w:eastAsia="zh-CN"/>
        </w:rPr>
      </w:pPr>
      <w:r>
        <w:rPr>
          <w:rFonts w:hAnsi="Arial" w:cs="Arial" w:hint="eastAsia"/>
          <w:lang w:eastAsia="zh-CN"/>
        </w:rPr>
        <w:t>In this work, LAMMPS was adopted as the Molecular Dynamic</w:t>
      </w:r>
      <w:r w:rsidR="00C01C28">
        <w:rPr>
          <w:rFonts w:hAnsi="Arial" w:cs="Arial" w:hint="eastAsia"/>
          <w:lang w:eastAsia="zh-CN"/>
        </w:rPr>
        <w:t>s</w:t>
      </w:r>
      <w:r>
        <w:rPr>
          <w:rFonts w:hAnsi="Arial" w:cs="Arial" w:hint="eastAsia"/>
          <w:lang w:eastAsia="zh-CN"/>
        </w:rPr>
        <w:t xml:space="preserve"> Simulator for the investigation of the confined phase </w:t>
      </w:r>
      <w:r>
        <w:rPr>
          <w:rFonts w:hAnsi="Arial" w:cs="Arial"/>
          <w:lang w:eastAsia="zh-CN"/>
        </w:rPr>
        <w:t>behavior</w:t>
      </w:r>
      <w:r>
        <w:rPr>
          <w:rFonts w:hAnsi="Arial" w:cs="Arial" w:hint="eastAsia"/>
          <w:lang w:eastAsia="zh-CN"/>
        </w:rPr>
        <w:t xml:space="preserve"> studies. LAMMPS, also known as </w:t>
      </w:r>
      <w:r w:rsidRPr="007F2C21">
        <w:rPr>
          <w:rFonts w:hAnsi="Arial" w:cs="Arial"/>
          <w:lang w:eastAsia="zh-CN"/>
        </w:rPr>
        <w:t>Large-scale Atomic/Molecular Massively Parallel Simulator</w:t>
      </w:r>
      <w:r>
        <w:rPr>
          <w:rFonts w:hAnsi="Arial" w:cs="Arial" w:hint="eastAsia"/>
          <w:lang w:eastAsia="zh-CN"/>
        </w:rPr>
        <w:t xml:space="preserve">, </w:t>
      </w:r>
      <w:r w:rsidRPr="007F2C21">
        <w:rPr>
          <w:rFonts w:hAnsi="Arial" w:cs="Arial"/>
          <w:lang w:eastAsia="zh-CN"/>
        </w:rPr>
        <w:t xml:space="preserve">is a classical molecular dynamics </w:t>
      </w:r>
      <w:r w:rsidR="00446426">
        <w:rPr>
          <w:rFonts w:hAnsi="Arial" w:cs="Arial"/>
          <w:lang w:eastAsia="zh-CN"/>
        </w:rPr>
        <w:t xml:space="preserve">open-source </w:t>
      </w:r>
      <w:r w:rsidRPr="007F2C21">
        <w:rPr>
          <w:rFonts w:hAnsi="Arial" w:cs="Arial"/>
          <w:lang w:eastAsia="zh-CN"/>
        </w:rPr>
        <w:t>code that models an ensemble of particles in a liquid, solid, or gaseous state. It can model atomic, polymeric, biological, metallic, granular, and coarse-grained systems using a variety of force fields and boundary conditions.</w:t>
      </w:r>
      <w:r w:rsidR="00457976">
        <w:rPr>
          <w:rFonts w:hAnsi="Arial" w:cs="Arial"/>
          <w:lang w:eastAsia="zh-CN"/>
        </w:rPr>
        <w:t xml:space="preserve"> The force field</w:t>
      </w:r>
      <w:r w:rsidR="00446426">
        <w:rPr>
          <w:rFonts w:hAnsi="Arial" w:cs="Arial"/>
          <w:lang w:eastAsia="zh-CN"/>
        </w:rPr>
        <w:t xml:space="preserve"> mentioned here refer</w:t>
      </w:r>
      <w:r w:rsidR="00457976">
        <w:rPr>
          <w:rFonts w:hAnsi="Arial" w:cs="Arial"/>
          <w:lang w:eastAsia="zh-CN"/>
        </w:rPr>
        <w:t>s</w:t>
      </w:r>
      <w:r w:rsidR="00446426">
        <w:rPr>
          <w:rFonts w:hAnsi="Arial" w:cs="Arial"/>
          <w:lang w:eastAsia="zh-CN"/>
        </w:rPr>
        <w:t xml:space="preserve"> to </w:t>
      </w:r>
      <w:r w:rsidR="00446426" w:rsidRPr="00446426">
        <w:rPr>
          <w:rFonts w:hAnsi="Arial" w:cs="Arial"/>
          <w:lang w:eastAsia="zh-CN"/>
        </w:rPr>
        <w:t>a set of parameter</w:t>
      </w:r>
      <w:r w:rsidR="00446426">
        <w:rPr>
          <w:rFonts w:hAnsi="Arial" w:cs="Arial"/>
          <w:lang w:eastAsia="zh-CN"/>
        </w:rPr>
        <w:t>s</w:t>
      </w:r>
      <w:r w:rsidR="00446426" w:rsidRPr="00446426">
        <w:rPr>
          <w:rFonts w:hAnsi="Arial" w:cs="Arial"/>
          <w:lang w:eastAsia="zh-CN"/>
        </w:rPr>
        <w:t xml:space="preserve"> and equations for use in molecular mechanics simulations</w:t>
      </w:r>
      <w:r w:rsidR="00446426">
        <w:rPr>
          <w:rFonts w:hAnsi="Arial" w:cs="Arial"/>
          <w:lang w:eastAsia="zh-CN"/>
        </w:rPr>
        <w:t xml:space="preserve">. </w:t>
      </w:r>
      <w:r w:rsidR="00457976">
        <w:rPr>
          <w:rFonts w:hAnsi="Arial" w:cs="Arial"/>
          <w:lang w:eastAsia="zh-CN"/>
        </w:rPr>
        <w:t xml:space="preserve">It is </w:t>
      </w:r>
      <w:r w:rsidR="006F4352">
        <w:rPr>
          <w:rFonts w:hAnsi="Arial" w:cs="Arial" w:hint="eastAsia"/>
          <w:lang w:eastAsia="zh-CN"/>
        </w:rPr>
        <w:t>designed</w:t>
      </w:r>
      <w:r w:rsidR="00457976">
        <w:rPr>
          <w:rFonts w:hAnsi="Arial" w:cs="Arial"/>
          <w:lang w:eastAsia="zh-CN"/>
        </w:rPr>
        <w:t xml:space="preserve"> </w:t>
      </w:r>
      <w:r w:rsidR="006F4352">
        <w:rPr>
          <w:rFonts w:hAnsi="Arial" w:cs="Arial" w:hint="eastAsia"/>
          <w:lang w:eastAsia="zh-CN"/>
        </w:rPr>
        <w:t>to model</w:t>
      </w:r>
      <w:r w:rsidR="00457976">
        <w:rPr>
          <w:rFonts w:hAnsi="Arial" w:cs="Arial"/>
          <w:lang w:eastAsia="zh-CN"/>
        </w:rPr>
        <w:t xml:space="preserve"> the </w:t>
      </w:r>
      <w:r w:rsidR="00457976" w:rsidRPr="00457976">
        <w:rPr>
          <w:rFonts w:hAnsi="Arial" w:cs="Arial"/>
          <w:lang w:eastAsia="zh-CN"/>
        </w:rPr>
        <w:t>potential energy of a system of atoms</w:t>
      </w:r>
      <w:r w:rsidR="008769A5">
        <w:rPr>
          <w:rFonts w:hAnsi="Arial" w:cs="Arial"/>
          <w:lang w:eastAsia="zh-CN"/>
        </w:rPr>
        <w:t xml:space="preserve">. The force field we adopted in this study is </w:t>
      </w:r>
      <w:r w:rsidR="00CF6552">
        <w:rPr>
          <w:rFonts w:hAnsi="Arial" w:cs="Arial"/>
          <w:lang w:eastAsia="zh-CN"/>
        </w:rPr>
        <w:t xml:space="preserve">the </w:t>
      </w:r>
      <w:r w:rsidR="00EF410C">
        <w:rPr>
          <w:rFonts w:hAnsi="Arial" w:cs="Arial"/>
          <w:lang w:eastAsia="zh-CN"/>
        </w:rPr>
        <w:t xml:space="preserve">one </w:t>
      </w:r>
      <w:r w:rsidR="00CF6552">
        <w:rPr>
          <w:rFonts w:hAnsi="Arial" w:cs="Arial"/>
          <w:lang w:eastAsia="zh-CN"/>
        </w:rPr>
        <w:t>in</w:t>
      </w:r>
      <w:r w:rsidR="00EF410C">
        <w:rPr>
          <w:rFonts w:hAnsi="Arial" w:cs="Arial"/>
          <w:lang w:eastAsia="zh-CN"/>
        </w:rPr>
        <w:t xml:space="preserve"> </w:t>
      </w:r>
      <w:r w:rsidR="008769A5">
        <w:rPr>
          <w:rFonts w:hAnsi="Arial" w:cs="Arial"/>
          <w:lang w:eastAsia="zh-CN"/>
        </w:rPr>
        <w:t xml:space="preserve">the </w:t>
      </w:r>
      <w:r w:rsidR="008769A5" w:rsidRPr="008769A5">
        <w:rPr>
          <w:rFonts w:hAnsi="Arial" w:cs="Arial"/>
          <w:lang w:eastAsia="zh-CN"/>
        </w:rPr>
        <w:t>Transferable Potentials for Phase Equilibria</w:t>
      </w:r>
      <w:r w:rsidR="008769A5">
        <w:rPr>
          <w:rFonts w:hAnsi="Arial" w:cs="Arial"/>
          <w:lang w:eastAsia="zh-CN"/>
        </w:rPr>
        <w:t xml:space="preserve"> (TraPPE)</w:t>
      </w:r>
      <w:r w:rsidR="002A3B11" w:rsidRPr="002A3B11">
        <w:rPr>
          <w:rFonts w:hAnsi="Arial" w:cs="Arial"/>
          <w:lang w:eastAsia="zh-CN"/>
        </w:rPr>
        <w:t xml:space="preserve"> </w:t>
      </w:r>
      <w:r w:rsidR="002A3B11">
        <w:rPr>
          <w:rFonts w:hAnsi="Arial" w:cs="Arial"/>
          <w:lang w:eastAsia="zh-CN"/>
        </w:rPr>
        <w:t>force field</w:t>
      </w:r>
      <w:r w:rsidR="008769A5">
        <w:rPr>
          <w:rFonts w:hAnsi="Arial" w:cs="Arial"/>
          <w:lang w:eastAsia="zh-CN"/>
        </w:rPr>
        <w:t xml:space="preserve"> </w:t>
      </w:r>
      <w:r w:rsidR="002A3B11">
        <w:rPr>
          <w:rFonts w:hAnsi="Arial" w:cs="Arial"/>
          <w:lang w:eastAsia="zh-CN"/>
        </w:rPr>
        <w:t>family</w:t>
      </w:r>
      <w:r w:rsidR="004F41EF">
        <w:rPr>
          <w:rFonts w:hAnsi="Arial" w:cs="Arial"/>
          <w:lang w:eastAsia="zh-CN"/>
        </w:rPr>
        <w:t xml:space="preserve"> </w:t>
      </w:r>
      <w:r w:rsidR="00EF410C">
        <w:rPr>
          <w:rFonts w:hAnsi="Arial" w:cs="Arial"/>
          <w:lang w:eastAsia="zh-CN"/>
        </w:rPr>
        <w:t xml:space="preserve">that is particularly for n-alkanes </w:t>
      </w:r>
      <w:r w:rsidR="008769A5">
        <w:rPr>
          <w:rFonts w:hAnsi="Arial" w:cs="Arial"/>
          <w:lang w:eastAsia="zh-CN"/>
        </w:rPr>
        <w:t xml:space="preserve">(Martin and Siepmann, 1998). </w:t>
      </w:r>
    </w:p>
    <w:p w14:paraId="2C7F8D06" w14:textId="068322AA" w:rsidR="00851A0B" w:rsidRDefault="00C656E5" w:rsidP="0096367E">
      <w:pPr>
        <w:jc w:val="both"/>
        <w:rPr>
          <w:rFonts w:hAnsi="Arial" w:cs="Arial"/>
          <w:lang w:eastAsia="zh-CN"/>
        </w:rPr>
      </w:pPr>
      <w:r>
        <w:rPr>
          <w:rFonts w:hAnsi="Arial" w:cs="Arial" w:hint="eastAsia"/>
          <w:lang w:eastAsia="zh-CN"/>
        </w:rPr>
        <w:t xml:space="preserve">All MD simulations were performed in parallel using the TraPPE-United Atom (UA) force </w:t>
      </w:r>
      <w:r>
        <w:rPr>
          <w:rFonts w:hAnsi="Arial" w:cs="Arial"/>
          <w:lang w:eastAsia="zh-CN"/>
        </w:rPr>
        <w:t>field</w:t>
      </w:r>
      <w:r>
        <w:rPr>
          <w:rFonts w:hAnsi="Arial" w:cs="Arial" w:hint="eastAsia"/>
          <w:lang w:eastAsia="zh-CN"/>
        </w:rPr>
        <w:t xml:space="preserve"> in LAMMPS the stable version.</w:t>
      </w:r>
      <w:r w:rsidR="00FA65B2">
        <w:rPr>
          <w:rFonts w:hAnsi="Arial" w:cs="Arial" w:hint="eastAsia"/>
          <w:lang w:eastAsia="zh-CN"/>
        </w:rPr>
        <w:t xml:space="preserve"> </w:t>
      </w:r>
      <w:r w:rsidR="00F3145F">
        <w:rPr>
          <w:rFonts w:hAnsi="Arial" w:cs="Arial" w:hint="eastAsia"/>
          <w:lang w:eastAsia="zh-CN"/>
        </w:rPr>
        <w:t xml:space="preserve">From best </w:t>
      </w:r>
      <w:r w:rsidR="00F3145F">
        <w:rPr>
          <w:rFonts w:hAnsi="Arial" w:cs="Arial"/>
          <w:lang w:eastAsia="zh-CN"/>
        </w:rPr>
        <w:t>practice</w:t>
      </w:r>
      <w:r w:rsidR="00F3145F">
        <w:rPr>
          <w:rFonts w:hAnsi="Arial" w:cs="Arial" w:hint="eastAsia"/>
          <w:lang w:eastAsia="zh-CN"/>
        </w:rPr>
        <w:t xml:space="preserve"> and preliminary investigations, the c</w:t>
      </w:r>
      <w:r w:rsidR="00FA65B2">
        <w:rPr>
          <w:rFonts w:hAnsi="Arial" w:cs="Arial" w:hint="eastAsia"/>
          <w:lang w:eastAsia="zh-CN"/>
        </w:rPr>
        <w:t xml:space="preserve">utoff radius was set to be </w:t>
      </w:r>
      <w:r w:rsidR="00F3145F">
        <w:rPr>
          <w:rFonts w:hAnsi="Arial" w:cs="Arial" w:hint="eastAsia"/>
          <w:lang w:eastAsia="zh-CN"/>
        </w:rPr>
        <w:t>1.5</w:t>
      </w:r>
      <w:r w:rsidR="00FA65B2">
        <w:rPr>
          <w:rFonts w:hAnsi="Arial" w:cs="Arial" w:hint="eastAsia"/>
          <w:lang w:eastAsia="zh-CN"/>
        </w:rPr>
        <w:t xml:space="preserve"> nm</w:t>
      </w:r>
      <w:r w:rsidR="00F3145F">
        <w:rPr>
          <w:rFonts w:hAnsi="Arial" w:cs="Arial" w:hint="eastAsia"/>
          <w:lang w:eastAsia="zh-CN"/>
        </w:rPr>
        <w:t xml:space="preserve"> and the time step of the simulation was 2.0 fmsec.</w:t>
      </w:r>
      <w:r w:rsidR="00851A0B">
        <w:rPr>
          <w:rFonts w:hAnsi="Arial" w:cs="Arial" w:hint="eastAsia"/>
          <w:lang w:eastAsia="zh-CN"/>
        </w:rPr>
        <w:t xml:space="preserve"> All the simulations were performed using constant NPT </w:t>
      </w:r>
      <w:r w:rsidR="00B35EE6">
        <w:rPr>
          <w:rFonts w:hAnsi="Arial" w:cs="Arial"/>
          <w:lang w:eastAsia="zh-CN"/>
        </w:rPr>
        <w:t xml:space="preserve">or NVT </w:t>
      </w:r>
      <w:r w:rsidR="00851A0B">
        <w:rPr>
          <w:rFonts w:hAnsi="Arial" w:cs="Arial" w:hint="eastAsia"/>
          <w:lang w:eastAsia="zh-CN"/>
        </w:rPr>
        <w:t>time integration via Nose/Hoover thermostat and barostat. The solid</w:t>
      </w:r>
      <w:r w:rsidR="00434302">
        <w:rPr>
          <w:rFonts w:hAnsi="Arial" w:cs="Arial" w:hint="eastAsia"/>
          <w:lang w:eastAsia="zh-CN"/>
        </w:rPr>
        <w:t xml:space="preserve"> wall</w:t>
      </w:r>
      <w:r w:rsidR="00851A0B">
        <w:rPr>
          <w:rFonts w:hAnsi="Arial" w:cs="Arial" w:hint="eastAsia"/>
          <w:lang w:eastAsia="zh-CN"/>
        </w:rPr>
        <w:t xml:space="preserve"> configurations </w:t>
      </w:r>
      <w:r w:rsidR="00434302">
        <w:rPr>
          <w:rFonts w:hAnsi="Arial" w:cs="Arial" w:hint="eastAsia"/>
          <w:lang w:eastAsia="zh-CN"/>
        </w:rPr>
        <w:t xml:space="preserve">(if any) </w:t>
      </w:r>
      <w:r w:rsidR="00851A0B">
        <w:rPr>
          <w:rFonts w:hAnsi="Arial" w:cs="Arial" w:hint="eastAsia"/>
          <w:lang w:eastAsia="zh-CN"/>
        </w:rPr>
        <w:t xml:space="preserve">were all fixed in the simulation, built from Virtual </w:t>
      </w:r>
      <w:r w:rsidR="00D37BB9">
        <w:rPr>
          <w:rFonts w:hAnsi="Arial" w:cs="Arial" w:hint="eastAsia"/>
          <w:lang w:eastAsia="zh-CN"/>
        </w:rPr>
        <w:t xml:space="preserve">NanoLab 2016.4. </w:t>
      </w:r>
      <w:r w:rsidR="00D37BB9">
        <w:rPr>
          <w:rFonts w:hAnsi="Arial" w:cs="Arial"/>
          <w:lang w:eastAsia="zh-CN"/>
        </w:rPr>
        <w:t>T</w:t>
      </w:r>
      <w:r w:rsidR="00851A0B">
        <w:rPr>
          <w:rFonts w:hAnsi="Arial" w:cs="Arial" w:hint="eastAsia"/>
          <w:lang w:eastAsia="zh-CN"/>
        </w:rPr>
        <w:t>he initial configurations of the</w:t>
      </w:r>
      <w:r w:rsidR="009B338D">
        <w:rPr>
          <w:rFonts w:hAnsi="Arial" w:cs="Arial"/>
          <w:lang w:eastAsia="zh-CN"/>
        </w:rPr>
        <w:t xml:space="preserve"> fluid distributions in the</w:t>
      </w:r>
      <w:r w:rsidR="00851A0B">
        <w:rPr>
          <w:rFonts w:hAnsi="Arial" w:cs="Arial" w:hint="eastAsia"/>
          <w:lang w:eastAsia="zh-CN"/>
        </w:rPr>
        <w:t xml:space="preserve"> simulation boxes were built from Packmol, which is an open source software that is designed for initial configurations of MD simulations by packing optimization.</w:t>
      </w:r>
    </w:p>
    <w:p w14:paraId="3451E670" w14:textId="77777777" w:rsidR="004C381B" w:rsidRDefault="004C381B" w:rsidP="0096367E">
      <w:pPr>
        <w:jc w:val="both"/>
        <w:rPr>
          <w:rFonts w:hAnsi="Arial" w:cs="Arial"/>
          <w:lang w:eastAsia="zh-CN"/>
        </w:rPr>
      </w:pPr>
    </w:p>
    <w:p w14:paraId="1D8136E5" w14:textId="77777777" w:rsidR="00A12AF1" w:rsidRPr="0096367E" w:rsidRDefault="00A12AF1" w:rsidP="0096367E">
      <w:pPr>
        <w:jc w:val="both"/>
        <w:rPr>
          <w:rFonts w:hAnsi="Arial" w:cs="Arial"/>
          <w:lang w:eastAsia="zh-CN"/>
        </w:rPr>
      </w:pPr>
    </w:p>
    <w:p w14:paraId="45022690" w14:textId="77777777" w:rsidR="0085272D" w:rsidRDefault="0096367E" w:rsidP="00764EEC">
      <w:pPr>
        <w:pStyle w:val="Head1"/>
        <w:jc w:val="both"/>
        <w:outlineLvl w:val="1"/>
        <w:rPr>
          <w:rFonts w:asciiTheme="majorHAnsi" w:hAnsiTheme="majorHAnsi"/>
          <w:bCs/>
          <w:iCs/>
          <w:szCs w:val="28"/>
          <w:lang w:eastAsia="zh-CN"/>
        </w:rPr>
      </w:pPr>
      <w:bookmarkStart w:id="55" w:name="_Toc508114171"/>
      <w:r>
        <w:rPr>
          <w:rFonts w:asciiTheme="majorHAnsi" w:hAnsiTheme="majorHAnsi" w:hint="eastAsia"/>
          <w:bCs/>
          <w:iCs/>
          <w:szCs w:val="28"/>
          <w:lang w:eastAsia="zh-CN"/>
        </w:rPr>
        <w:t xml:space="preserve">7.2 Investigate </w:t>
      </w:r>
      <w:r w:rsidR="00E848F9">
        <w:rPr>
          <w:rFonts w:asciiTheme="majorHAnsi" w:hAnsiTheme="majorHAnsi" w:hint="eastAsia"/>
          <w:bCs/>
          <w:iCs/>
          <w:szCs w:val="28"/>
          <w:lang w:eastAsia="zh-CN"/>
        </w:rPr>
        <w:t xml:space="preserve">Bulk </w:t>
      </w:r>
      <w:r>
        <w:rPr>
          <w:rFonts w:asciiTheme="majorHAnsi" w:hAnsiTheme="majorHAnsi" w:hint="eastAsia"/>
          <w:bCs/>
          <w:iCs/>
          <w:szCs w:val="28"/>
          <w:lang w:eastAsia="zh-CN"/>
        </w:rPr>
        <w:t>Phase Transition of Binary Hydrocarbon Mixture Using Molecular Dynamic</w:t>
      </w:r>
      <w:r w:rsidR="00E848F9">
        <w:rPr>
          <w:rFonts w:asciiTheme="majorHAnsi" w:hAnsiTheme="majorHAnsi" w:hint="eastAsia"/>
          <w:bCs/>
          <w:iCs/>
          <w:szCs w:val="28"/>
          <w:lang w:eastAsia="zh-CN"/>
        </w:rPr>
        <w:t>s</w:t>
      </w:r>
      <w:r>
        <w:rPr>
          <w:rFonts w:asciiTheme="majorHAnsi" w:hAnsiTheme="majorHAnsi" w:hint="eastAsia"/>
          <w:bCs/>
          <w:iCs/>
          <w:szCs w:val="28"/>
          <w:lang w:eastAsia="zh-CN"/>
        </w:rPr>
        <w:t xml:space="preserve"> Simulation</w:t>
      </w:r>
      <w:r w:rsidR="00E848F9">
        <w:rPr>
          <w:rFonts w:asciiTheme="majorHAnsi" w:hAnsiTheme="majorHAnsi" w:hint="eastAsia"/>
          <w:bCs/>
          <w:iCs/>
          <w:szCs w:val="28"/>
          <w:lang w:eastAsia="zh-CN"/>
        </w:rPr>
        <w:t>s</w:t>
      </w:r>
      <w:bookmarkEnd w:id="55"/>
    </w:p>
    <w:p w14:paraId="7E8E2DE9" w14:textId="00294E29" w:rsidR="0085272D" w:rsidRPr="008D010A" w:rsidRDefault="00434302" w:rsidP="00434302">
      <w:pPr>
        <w:pStyle w:val="para"/>
        <w:spacing w:line="480" w:lineRule="auto"/>
        <w:rPr>
          <w:rFonts w:asciiTheme="minorHAnsi" w:hAnsi="Arial" w:cs="Arial"/>
          <w:sz w:val="36"/>
          <w:szCs w:val="24"/>
          <w:lang w:eastAsia="zh-CN" w:bidi="en-US"/>
        </w:rPr>
      </w:pPr>
      <w:r>
        <w:rPr>
          <w:rFonts w:asciiTheme="minorHAnsi" w:hAnsi="Arial" w:cs="Arial" w:hint="eastAsia"/>
          <w:sz w:val="24"/>
          <w:szCs w:val="24"/>
          <w:lang w:eastAsia="zh-CN" w:bidi="en-US"/>
        </w:rPr>
        <w:t xml:space="preserve">In order to evaluate the performance of </w:t>
      </w:r>
      <w:r w:rsidR="009A3E86">
        <w:rPr>
          <w:rFonts w:asciiTheme="minorHAnsi" w:hAnsi="Arial" w:cs="Arial"/>
          <w:sz w:val="24"/>
          <w:szCs w:val="24"/>
          <w:lang w:eastAsia="zh-CN" w:bidi="en-US"/>
        </w:rPr>
        <w:t>MD</w:t>
      </w:r>
      <w:r>
        <w:rPr>
          <w:rFonts w:asciiTheme="minorHAnsi" w:hAnsi="Arial" w:cs="Arial" w:hint="eastAsia"/>
          <w:sz w:val="24"/>
          <w:szCs w:val="24"/>
          <w:lang w:eastAsia="zh-CN" w:bidi="en-US"/>
        </w:rPr>
        <w:t xml:space="preserve"> simulations of hydrocarbon mixture </w:t>
      </w:r>
      <w:r w:rsidR="00B13B50">
        <w:rPr>
          <w:rFonts w:asciiTheme="minorHAnsi" w:hAnsi="Arial" w:cs="Arial"/>
          <w:sz w:val="24"/>
          <w:szCs w:val="24"/>
          <w:lang w:eastAsia="zh-CN" w:bidi="en-US"/>
        </w:rPr>
        <w:t xml:space="preserve">phase behavior </w:t>
      </w:r>
      <w:r>
        <w:rPr>
          <w:rFonts w:asciiTheme="minorHAnsi" w:hAnsi="Arial" w:cs="Arial" w:hint="eastAsia"/>
          <w:sz w:val="24"/>
          <w:szCs w:val="24"/>
          <w:lang w:eastAsia="zh-CN" w:bidi="en-US"/>
        </w:rPr>
        <w:t xml:space="preserve">quantitatively, a phase separation simulation of bulk C1/n-C4 binary fluid was performed. </w:t>
      </w:r>
      <w:r w:rsidR="00806573">
        <w:rPr>
          <w:rFonts w:asciiTheme="minorHAnsi" w:hAnsi="Arial" w:cs="Arial"/>
          <w:sz w:val="24"/>
          <w:szCs w:val="24"/>
          <w:lang w:eastAsia="zh-CN" w:bidi="en-US"/>
        </w:rPr>
        <w:t>By using Packmol, a</w:t>
      </w:r>
      <w:r w:rsidR="00586285">
        <w:rPr>
          <w:rFonts w:asciiTheme="minorHAnsi" w:hAnsi="Arial" w:cs="Arial"/>
          <w:sz w:val="24"/>
          <w:szCs w:val="24"/>
          <w:lang w:eastAsia="zh-CN" w:bidi="en-US"/>
        </w:rPr>
        <w:t xml:space="preserve"> total number of 25,000 methane molecules and 1,000 n-butane molecules were generated in a </w:t>
      </w:r>
      <w:r w:rsidR="002E7D77">
        <w:rPr>
          <w:rFonts w:asciiTheme="minorHAnsi" w:hAnsi="Arial" w:cs="Arial"/>
          <w:sz w:val="24"/>
          <w:szCs w:val="24"/>
          <w:lang w:eastAsia="zh-CN" w:bidi="en-US"/>
        </w:rPr>
        <w:t xml:space="preserve">30 nm long cubic space, as shown in </w:t>
      </w:r>
      <w:r w:rsidR="002E7D77" w:rsidRPr="002E7D77">
        <w:rPr>
          <w:rFonts w:asciiTheme="minorHAnsi" w:hAnsi="Arial" w:cs="Arial"/>
          <w:b/>
          <w:sz w:val="24"/>
          <w:szCs w:val="24"/>
          <w:lang w:eastAsia="zh-CN" w:bidi="en-US"/>
        </w:rPr>
        <w:t>Figure 7.1</w:t>
      </w:r>
      <w:r w:rsidR="002E7D77">
        <w:rPr>
          <w:rFonts w:asciiTheme="minorHAnsi" w:hAnsi="Arial" w:cs="Arial"/>
          <w:sz w:val="24"/>
          <w:szCs w:val="24"/>
          <w:lang w:eastAsia="zh-CN" w:bidi="en-US"/>
        </w:rPr>
        <w:t xml:space="preserve">. </w:t>
      </w:r>
      <w:r w:rsidR="009975E5">
        <w:rPr>
          <w:rFonts w:asciiTheme="minorHAnsi" w:hAnsi="Arial" w:cs="Arial"/>
          <w:sz w:val="24"/>
          <w:szCs w:val="24"/>
          <w:lang w:eastAsia="zh-CN" w:bidi="en-US"/>
        </w:rPr>
        <w:t>The methane molecules are in blue color and n-butane molecules are shown in red. Only the carbon atoms are s</w:t>
      </w:r>
      <w:r w:rsidR="0006398D">
        <w:rPr>
          <w:rFonts w:asciiTheme="minorHAnsi" w:hAnsi="Arial" w:cs="Arial"/>
          <w:sz w:val="24"/>
          <w:szCs w:val="24"/>
          <w:lang w:eastAsia="zh-CN" w:bidi="en-US"/>
        </w:rPr>
        <w:t xml:space="preserve">hown because in the simulation carbon and hydrogen atoms are </w:t>
      </w:r>
      <w:r w:rsidR="008D010A">
        <w:rPr>
          <w:rFonts w:asciiTheme="minorHAnsi" w:hAnsi="Arial" w:cs="Arial"/>
          <w:sz w:val="24"/>
          <w:szCs w:val="24"/>
          <w:lang w:eastAsia="zh-CN" w:bidi="en-US"/>
        </w:rPr>
        <w:t>defined as a group</w:t>
      </w:r>
      <w:r w:rsidR="008B3EB7">
        <w:rPr>
          <w:rFonts w:asciiTheme="minorHAnsi" w:hAnsi="Arial" w:cs="Arial"/>
          <w:sz w:val="24"/>
          <w:szCs w:val="24"/>
          <w:lang w:eastAsia="zh-CN" w:bidi="en-US"/>
        </w:rPr>
        <w:t xml:space="preserve"> (pseudo-atom)</w:t>
      </w:r>
      <w:r w:rsidR="008D010A">
        <w:rPr>
          <w:rFonts w:asciiTheme="minorHAnsi" w:hAnsi="Arial" w:cs="Arial"/>
          <w:sz w:val="24"/>
          <w:szCs w:val="24"/>
          <w:lang w:eastAsia="zh-CN" w:bidi="en-US"/>
        </w:rPr>
        <w:t>. For example, a methane molecule contains a group of CH</w:t>
      </w:r>
      <w:r w:rsidR="008D010A">
        <w:rPr>
          <w:rFonts w:asciiTheme="minorHAnsi" w:hAnsi="Arial" w:cs="Arial"/>
          <w:sz w:val="24"/>
          <w:szCs w:val="24"/>
          <w:vertAlign w:val="subscript"/>
          <w:lang w:eastAsia="zh-CN" w:bidi="en-US"/>
        </w:rPr>
        <w:t>4</w:t>
      </w:r>
      <w:r w:rsidR="008D010A">
        <w:rPr>
          <w:rFonts w:asciiTheme="minorHAnsi" w:hAnsi="Arial" w:cs="Arial"/>
          <w:sz w:val="24"/>
          <w:szCs w:val="24"/>
          <w:lang w:eastAsia="zh-CN" w:bidi="en-US"/>
        </w:rPr>
        <w:t>; a n-butane molecule contains two groups of CH</w:t>
      </w:r>
      <w:r w:rsidR="008D010A">
        <w:rPr>
          <w:rFonts w:asciiTheme="minorHAnsi" w:hAnsi="Arial" w:cs="Arial"/>
          <w:sz w:val="24"/>
          <w:szCs w:val="24"/>
          <w:vertAlign w:val="subscript"/>
          <w:lang w:eastAsia="zh-CN" w:bidi="en-US"/>
        </w:rPr>
        <w:t>3</w:t>
      </w:r>
      <w:r w:rsidR="008D010A">
        <w:rPr>
          <w:rFonts w:asciiTheme="minorHAnsi" w:hAnsi="Arial" w:cs="Arial"/>
          <w:sz w:val="24"/>
          <w:szCs w:val="24"/>
          <w:lang w:eastAsia="zh-CN" w:bidi="en-US"/>
        </w:rPr>
        <w:t xml:space="preserve"> and two CH</w:t>
      </w:r>
      <w:r w:rsidR="008D010A">
        <w:rPr>
          <w:rFonts w:asciiTheme="minorHAnsi" w:hAnsi="Arial" w:cs="Arial"/>
          <w:sz w:val="24"/>
          <w:szCs w:val="24"/>
          <w:vertAlign w:val="subscript"/>
          <w:lang w:eastAsia="zh-CN" w:bidi="en-US"/>
        </w:rPr>
        <w:t>2</w:t>
      </w:r>
      <w:r w:rsidR="008D010A">
        <w:rPr>
          <w:rFonts w:asciiTheme="minorHAnsi" w:hAnsi="Arial" w:cs="Arial"/>
          <w:sz w:val="24"/>
          <w:szCs w:val="24"/>
          <w:lang w:eastAsia="zh-CN" w:bidi="en-US"/>
        </w:rPr>
        <w:t xml:space="preserve">. The force field parameters for </w:t>
      </w:r>
      <w:r w:rsidR="008D010A">
        <w:rPr>
          <w:rFonts w:asciiTheme="minorHAnsi" w:hAnsi="Arial" w:cs="Arial" w:hint="eastAsia"/>
          <w:sz w:val="24"/>
          <w:szCs w:val="24"/>
          <w:lang w:eastAsia="zh-CN" w:bidi="en-US"/>
        </w:rPr>
        <w:t>C1/n-C4</w:t>
      </w:r>
      <w:r w:rsidR="008D010A">
        <w:rPr>
          <w:rFonts w:asciiTheme="minorHAnsi" w:hAnsi="Arial" w:cs="Arial"/>
          <w:sz w:val="24"/>
          <w:szCs w:val="24"/>
          <w:lang w:eastAsia="zh-CN" w:bidi="en-US"/>
        </w:rPr>
        <w:t xml:space="preserve"> mixture are obtained from </w:t>
      </w:r>
      <w:r w:rsidR="008D010A">
        <w:rPr>
          <w:rFonts w:hAnsi="Arial" w:cs="Arial" w:hint="eastAsia"/>
          <w:sz w:val="24"/>
          <w:lang w:eastAsia="zh-CN"/>
        </w:rPr>
        <w:t>TraPPE-</w:t>
      </w:r>
      <w:r w:rsidR="008D010A" w:rsidRPr="008D010A">
        <w:rPr>
          <w:rFonts w:hAnsi="Arial" w:cs="Arial" w:hint="eastAsia"/>
          <w:sz w:val="24"/>
          <w:lang w:eastAsia="zh-CN"/>
        </w:rPr>
        <w:t>UA</w:t>
      </w:r>
      <w:r w:rsidR="008D010A">
        <w:rPr>
          <w:rFonts w:hAnsi="Arial" w:cs="Arial" w:hint="eastAsia"/>
          <w:sz w:val="24"/>
          <w:lang w:eastAsia="zh-CN"/>
        </w:rPr>
        <w:t xml:space="preserve"> and are shown in </w:t>
      </w:r>
      <w:r w:rsidR="008D010A" w:rsidRPr="008D010A">
        <w:rPr>
          <w:rFonts w:hAnsi="Arial" w:cs="Arial" w:hint="eastAsia"/>
          <w:b/>
          <w:sz w:val="24"/>
          <w:lang w:eastAsia="zh-CN"/>
        </w:rPr>
        <w:t>Table 7.1</w:t>
      </w:r>
      <w:r w:rsidR="008D010A">
        <w:rPr>
          <w:rFonts w:hAnsi="Arial" w:cs="Arial" w:hint="eastAsia"/>
          <w:sz w:val="24"/>
          <w:lang w:eastAsia="zh-CN"/>
        </w:rPr>
        <w:t xml:space="preserve">. </w:t>
      </w:r>
    </w:p>
    <w:p w14:paraId="2F844E6A" w14:textId="7909B681" w:rsidR="00C656E5" w:rsidRDefault="00806573" w:rsidP="00434302">
      <w:pPr>
        <w:pStyle w:val="para1"/>
        <w:spacing w:line="480" w:lineRule="auto"/>
        <w:rPr>
          <w:lang w:eastAsia="zh-CN" w:bidi="en-US"/>
        </w:rPr>
      </w:pPr>
      <w:r>
        <w:rPr>
          <w:noProof/>
          <w:lang w:eastAsia="zh-CN"/>
        </w:rPr>
        <w:drawing>
          <wp:inline distT="0" distB="0" distL="0" distR="0" wp14:anchorId="51DE779E" wp14:editId="4DF85034">
            <wp:extent cx="5052060" cy="3789045"/>
            <wp:effectExtent l="0" t="0" r="0" b="0"/>
            <wp:docPr id="37" name="Picture 37" descr="Figure%2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igure%207.1.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58675" cy="3794006"/>
                    </a:xfrm>
                    <a:prstGeom prst="rect">
                      <a:avLst/>
                    </a:prstGeom>
                    <a:noFill/>
                    <a:ln>
                      <a:noFill/>
                    </a:ln>
                  </pic:spPr>
                </pic:pic>
              </a:graphicData>
            </a:graphic>
          </wp:inline>
        </w:drawing>
      </w:r>
    </w:p>
    <w:p w14:paraId="4A29C7B0" w14:textId="270FD113" w:rsidR="00806573" w:rsidRDefault="00806573" w:rsidP="00806573">
      <w:pPr>
        <w:pStyle w:val="para1"/>
        <w:spacing w:line="480" w:lineRule="auto"/>
        <w:jc w:val="center"/>
        <w:rPr>
          <w:rFonts w:asciiTheme="minorHAnsi" w:hAnsiTheme="minorHAnsi" w:cstheme="minorHAnsi"/>
          <w:b/>
          <w:sz w:val="24"/>
          <w:szCs w:val="24"/>
          <w:lang w:bidi="en-US"/>
        </w:rPr>
      </w:pPr>
      <w:r>
        <w:rPr>
          <w:rFonts w:asciiTheme="minorHAnsi" w:hAnsiTheme="minorHAnsi" w:cstheme="minorHAnsi"/>
          <w:b/>
          <w:sz w:val="24"/>
          <w:szCs w:val="24"/>
          <w:lang w:bidi="en-US"/>
        </w:rPr>
        <w:t>Figure 7.1</w:t>
      </w:r>
      <w:r w:rsidRPr="00806573">
        <w:rPr>
          <w:rFonts w:asciiTheme="minorHAnsi" w:hAnsiTheme="minorHAnsi" w:cstheme="minorHAnsi"/>
          <w:b/>
          <w:sz w:val="24"/>
          <w:szCs w:val="24"/>
          <w:lang w:bidi="en-US"/>
        </w:rPr>
        <w:t xml:space="preserve">—The </w:t>
      </w:r>
      <w:r>
        <w:rPr>
          <w:rFonts w:asciiTheme="minorHAnsi" w:hAnsiTheme="minorHAnsi" w:cstheme="minorHAnsi"/>
          <w:b/>
          <w:sz w:val="24"/>
          <w:szCs w:val="24"/>
          <w:lang w:bidi="en-US"/>
        </w:rPr>
        <w:t xml:space="preserve">initial configuration of </w:t>
      </w:r>
      <w:r w:rsidRPr="00806573">
        <w:rPr>
          <w:rFonts w:asciiTheme="minorHAnsi" w:hAnsiTheme="minorHAnsi" w:cstheme="minorHAnsi" w:hint="eastAsia"/>
          <w:b/>
          <w:sz w:val="24"/>
          <w:szCs w:val="24"/>
          <w:lang w:bidi="en-US"/>
        </w:rPr>
        <w:t>C1/n-C4 binary fluid</w:t>
      </w:r>
      <w:r>
        <w:rPr>
          <w:rFonts w:asciiTheme="minorHAnsi" w:hAnsiTheme="minorHAnsi" w:cstheme="minorHAnsi"/>
          <w:b/>
          <w:sz w:val="24"/>
          <w:szCs w:val="24"/>
          <w:lang w:bidi="en-US"/>
        </w:rPr>
        <w:t xml:space="preserve"> that contains </w:t>
      </w:r>
      <w:r w:rsidRPr="00806573">
        <w:rPr>
          <w:rFonts w:asciiTheme="minorHAnsi" w:hAnsiTheme="minorHAnsi" w:cstheme="minorHAnsi"/>
          <w:b/>
          <w:sz w:val="24"/>
          <w:szCs w:val="24"/>
          <w:lang w:bidi="en-US"/>
        </w:rPr>
        <w:t>25,000 methane molecules and 1,000 n-butane molecules</w:t>
      </w:r>
      <w:r w:rsidR="007C571D">
        <w:rPr>
          <w:rFonts w:asciiTheme="minorHAnsi" w:hAnsiTheme="minorHAnsi" w:cstheme="minorHAnsi"/>
          <w:b/>
          <w:sz w:val="24"/>
          <w:szCs w:val="24"/>
          <w:lang w:bidi="en-US"/>
        </w:rPr>
        <w:t>, built from Packmol</w:t>
      </w:r>
    </w:p>
    <w:p w14:paraId="220D14C3" w14:textId="77777777" w:rsidR="00C66BC0" w:rsidRDefault="00C66BC0" w:rsidP="00806573">
      <w:pPr>
        <w:pStyle w:val="para1"/>
        <w:spacing w:line="480" w:lineRule="auto"/>
        <w:jc w:val="center"/>
        <w:rPr>
          <w:rFonts w:asciiTheme="minorHAnsi" w:hAnsiTheme="minorHAnsi" w:cstheme="minorHAnsi"/>
          <w:b/>
          <w:sz w:val="24"/>
          <w:szCs w:val="24"/>
          <w:lang w:bidi="en-US"/>
        </w:rPr>
      </w:pPr>
    </w:p>
    <w:p w14:paraId="52426B08" w14:textId="77777777" w:rsidR="008B3EB7" w:rsidRDefault="008B3EB7" w:rsidP="00806573">
      <w:pPr>
        <w:pStyle w:val="para1"/>
        <w:spacing w:line="480" w:lineRule="auto"/>
        <w:jc w:val="center"/>
        <w:rPr>
          <w:rFonts w:asciiTheme="minorHAnsi" w:hAnsiTheme="minorHAnsi" w:cstheme="minorHAnsi"/>
          <w:b/>
          <w:sz w:val="24"/>
          <w:szCs w:val="24"/>
          <w:lang w:bidi="en-US"/>
        </w:rPr>
      </w:pPr>
    </w:p>
    <w:p w14:paraId="5910FDBA" w14:textId="77777777" w:rsidR="008B3EB7" w:rsidRDefault="008B3EB7" w:rsidP="00806573">
      <w:pPr>
        <w:pStyle w:val="para1"/>
        <w:spacing w:line="480" w:lineRule="auto"/>
        <w:jc w:val="center"/>
        <w:rPr>
          <w:rFonts w:asciiTheme="minorHAnsi" w:hAnsiTheme="minorHAnsi" w:cstheme="minorHAnsi"/>
          <w:b/>
          <w:sz w:val="24"/>
          <w:szCs w:val="24"/>
          <w:lang w:bidi="en-US"/>
        </w:rPr>
      </w:pPr>
    </w:p>
    <w:p w14:paraId="42ADEE99" w14:textId="77777777" w:rsidR="008B3EB7" w:rsidRDefault="008B3EB7" w:rsidP="00806573">
      <w:pPr>
        <w:pStyle w:val="para1"/>
        <w:spacing w:line="480" w:lineRule="auto"/>
        <w:jc w:val="center"/>
        <w:rPr>
          <w:rFonts w:asciiTheme="minorHAnsi" w:hAnsiTheme="minorHAnsi" w:cstheme="minorHAnsi"/>
          <w:b/>
          <w:sz w:val="24"/>
          <w:szCs w:val="24"/>
          <w:lang w:bidi="en-US"/>
        </w:rPr>
      </w:pPr>
    </w:p>
    <w:tbl>
      <w:tblPr>
        <w:tblStyle w:val="TableGrid"/>
        <w:tblW w:w="7222" w:type="dxa"/>
        <w:tblInd w:w="720" w:type="dxa"/>
        <w:tblLayout w:type="fixed"/>
        <w:tblLook w:val="04A0" w:firstRow="1" w:lastRow="0" w:firstColumn="1" w:lastColumn="0" w:noHBand="0" w:noVBand="1"/>
      </w:tblPr>
      <w:tblGrid>
        <w:gridCol w:w="2632"/>
        <w:gridCol w:w="2250"/>
        <w:gridCol w:w="2340"/>
      </w:tblGrid>
      <w:tr w:rsidR="00BF4914" w:rsidRPr="008B3EB7" w14:paraId="1F368032" w14:textId="77777777" w:rsidTr="00BF4914">
        <w:tc>
          <w:tcPr>
            <w:tcW w:w="7222" w:type="dxa"/>
            <w:gridSpan w:val="3"/>
            <w:tcBorders>
              <w:bottom w:val="single" w:sz="4" w:space="0" w:color="auto"/>
            </w:tcBorders>
            <w:vAlign w:val="center"/>
          </w:tcPr>
          <w:p w14:paraId="04612E36" w14:textId="2F4D9900" w:rsidR="00C66BC0" w:rsidRPr="008B3EB7" w:rsidRDefault="00C66BC0" w:rsidP="00C66BC0">
            <w:pPr>
              <w:spacing w:line="360" w:lineRule="auto"/>
              <w:jc w:val="center"/>
              <w:rPr>
                <w:rFonts w:cstheme="minorHAnsi"/>
                <w:b/>
              </w:rPr>
            </w:pPr>
            <w:r w:rsidRPr="008B3EB7">
              <w:rPr>
                <w:rFonts w:cstheme="minorHAnsi"/>
                <w:b/>
              </w:rPr>
              <w:t xml:space="preserve">Table 7.1: </w:t>
            </w:r>
            <w:r w:rsidRPr="008B3EB7">
              <w:rPr>
                <w:rFonts w:cstheme="minorHAnsi" w:hint="eastAsia"/>
                <w:b/>
              </w:rPr>
              <w:t>C1/n-C4</w:t>
            </w:r>
            <w:r w:rsidRPr="008B3EB7">
              <w:rPr>
                <w:rFonts w:cstheme="minorHAnsi"/>
                <w:b/>
              </w:rPr>
              <w:t xml:space="preserve"> mixture force field parameters from </w:t>
            </w:r>
            <w:r w:rsidRPr="008B3EB7">
              <w:rPr>
                <w:rFonts w:cstheme="minorHAnsi" w:hint="eastAsia"/>
                <w:b/>
              </w:rPr>
              <w:t>TraPPE-UA</w:t>
            </w:r>
          </w:p>
        </w:tc>
      </w:tr>
      <w:tr w:rsidR="00BF4914" w:rsidRPr="008B3EB7" w14:paraId="3B23F559" w14:textId="77777777" w:rsidTr="00BF4914">
        <w:tc>
          <w:tcPr>
            <w:tcW w:w="2632" w:type="dxa"/>
            <w:tcBorders>
              <w:bottom w:val="nil"/>
              <w:right w:val="nil"/>
            </w:tcBorders>
            <w:vAlign w:val="center"/>
          </w:tcPr>
          <w:p w14:paraId="25A73F12" w14:textId="77777777" w:rsidR="008B3EB7" w:rsidRDefault="008B3EB7" w:rsidP="002106DB">
            <w:pPr>
              <w:spacing w:line="360" w:lineRule="auto"/>
              <w:jc w:val="center"/>
              <w:rPr>
                <w:rFonts w:cstheme="minorHAnsi"/>
              </w:rPr>
            </w:pPr>
          </w:p>
          <w:p w14:paraId="08E0C8F2" w14:textId="5DE7DC9A" w:rsidR="008B3EB7" w:rsidRPr="00B97B00" w:rsidRDefault="008B3EB7" w:rsidP="002106DB">
            <w:pPr>
              <w:spacing w:line="360" w:lineRule="auto"/>
              <w:jc w:val="center"/>
              <w:rPr>
                <w:rFonts w:cstheme="minorHAnsi"/>
                <w:u w:val="single"/>
              </w:rPr>
            </w:pPr>
            <w:r w:rsidRPr="00B97B00">
              <w:rPr>
                <w:rFonts w:cstheme="minorHAnsi"/>
                <w:u w:val="single"/>
              </w:rPr>
              <w:t>Group</w:t>
            </w:r>
          </w:p>
        </w:tc>
        <w:tc>
          <w:tcPr>
            <w:tcW w:w="2250" w:type="dxa"/>
            <w:tcBorders>
              <w:left w:val="nil"/>
              <w:bottom w:val="nil"/>
              <w:right w:val="nil"/>
            </w:tcBorders>
            <w:vAlign w:val="center"/>
          </w:tcPr>
          <w:p w14:paraId="1C2B6710" w14:textId="77777777" w:rsidR="008B3EB7" w:rsidRDefault="008B3EB7" w:rsidP="002106DB">
            <w:pPr>
              <w:spacing w:line="360" w:lineRule="auto"/>
              <w:jc w:val="center"/>
              <w:rPr>
                <w:rFonts w:cstheme="minorHAnsi"/>
              </w:rPr>
            </w:pPr>
          </w:p>
          <w:p w14:paraId="3289AA08" w14:textId="30B9AE18" w:rsidR="008B3EB7" w:rsidRPr="00B97B00" w:rsidRDefault="008B3EB7" w:rsidP="002106DB">
            <w:pPr>
              <w:spacing w:line="360" w:lineRule="auto"/>
              <w:jc w:val="center"/>
              <w:rPr>
                <w:rFonts w:cstheme="minorHAnsi"/>
                <w:u w:val="single"/>
              </w:rPr>
            </w:pPr>
            <w:r w:rsidRPr="00B97B00">
              <w:rPr>
                <w:rFonts w:cstheme="minorHAnsi"/>
                <w:u w:val="single"/>
              </w:rPr>
              <w:t>ε/k</w:t>
            </w:r>
            <w:r w:rsidRPr="00B97B00">
              <w:rPr>
                <w:rFonts w:cstheme="minorHAnsi"/>
                <w:u w:val="single"/>
                <w:vertAlign w:val="subscript"/>
              </w:rPr>
              <w:t>B</w:t>
            </w:r>
            <w:r w:rsidRPr="00B97B00">
              <w:rPr>
                <w:rFonts w:cstheme="minorHAnsi"/>
                <w:u w:val="single"/>
              </w:rPr>
              <w:t xml:space="preserve"> [K]</w:t>
            </w:r>
          </w:p>
        </w:tc>
        <w:tc>
          <w:tcPr>
            <w:tcW w:w="2340" w:type="dxa"/>
            <w:tcBorders>
              <w:left w:val="nil"/>
              <w:bottom w:val="nil"/>
            </w:tcBorders>
            <w:vAlign w:val="center"/>
          </w:tcPr>
          <w:p w14:paraId="481D9C44" w14:textId="77777777" w:rsidR="008B3EB7" w:rsidRDefault="008B3EB7" w:rsidP="002106DB">
            <w:pPr>
              <w:spacing w:line="360" w:lineRule="auto"/>
              <w:jc w:val="center"/>
              <w:rPr>
                <w:rFonts w:cstheme="minorHAnsi"/>
              </w:rPr>
            </w:pPr>
          </w:p>
          <w:p w14:paraId="293A42DE" w14:textId="63D0EA95" w:rsidR="008B3EB7" w:rsidRPr="00B97B00" w:rsidRDefault="008B3EB7" w:rsidP="002106DB">
            <w:pPr>
              <w:spacing w:line="360" w:lineRule="auto"/>
              <w:jc w:val="center"/>
              <w:rPr>
                <w:rFonts w:cstheme="minorHAnsi"/>
                <w:u w:val="single"/>
              </w:rPr>
            </w:pPr>
            <w:r w:rsidRPr="00B97B00">
              <w:rPr>
                <w:rFonts w:cstheme="minorHAnsi"/>
                <w:u w:val="single"/>
              </w:rPr>
              <w:t>σ [Å]</w:t>
            </w:r>
          </w:p>
        </w:tc>
      </w:tr>
      <w:tr w:rsidR="00BF4914" w:rsidRPr="008B3EB7" w14:paraId="5E5FD99B" w14:textId="77777777" w:rsidTr="00BF4914">
        <w:tc>
          <w:tcPr>
            <w:tcW w:w="2632" w:type="dxa"/>
            <w:tcBorders>
              <w:top w:val="nil"/>
              <w:bottom w:val="nil"/>
              <w:right w:val="nil"/>
            </w:tcBorders>
            <w:vAlign w:val="center"/>
          </w:tcPr>
          <w:p w14:paraId="6D8821BC" w14:textId="2AB6A87A" w:rsidR="008B3EB7" w:rsidRPr="008B3EB7" w:rsidRDefault="008B3EB7" w:rsidP="002106DB">
            <w:pPr>
              <w:spacing w:line="360" w:lineRule="auto"/>
              <w:jc w:val="center"/>
              <w:rPr>
                <w:rFonts w:cstheme="minorHAnsi"/>
              </w:rPr>
            </w:pPr>
            <w:r w:rsidRPr="008B3EB7">
              <w:rPr>
                <w:rFonts w:hAnsi="Arial" w:cs="Arial"/>
                <w:lang w:eastAsia="zh-CN"/>
              </w:rPr>
              <w:t>CH</w:t>
            </w:r>
            <w:r w:rsidRPr="008B3EB7">
              <w:rPr>
                <w:rFonts w:hAnsi="Arial" w:cs="Arial"/>
                <w:vertAlign w:val="subscript"/>
                <w:lang w:eastAsia="zh-CN"/>
              </w:rPr>
              <w:t>4</w:t>
            </w:r>
          </w:p>
        </w:tc>
        <w:tc>
          <w:tcPr>
            <w:tcW w:w="2250" w:type="dxa"/>
            <w:tcBorders>
              <w:top w:val="nil"/>
              <w:left w:val="nil"/>
              <w:bottom w:val="nil"/>
              <w:right w:val="nil"/>
            </w:tcBorders>
            <w:vAlign w:val="center"/>
          </w:tcPr>
          <w:p w14:paraId="1A83114D" w14:textId="1B5F0D7A" w:rsidR="008B3EB7" w:rsidRPr="008B3EB7" w:rsidRDefault="008B3EB7" w:rsidP="002106DB">
            <w:pPr>
              <w:spacing w:line="360" w:lineRule="auto"/>
              <w:jc w:val="center"/>
              <w:rPr>
                <w:rFonts w:cstheme="minorHAnsi"/>
              </w:rPr>
            </w:pPr>
            <w:r>
              <w:rPr>
                <w:rFonts w:cstheme="minorHAnsi"/>
              </w:rPr>
              <w:t>148.0</w:t>
            </w:r>
          </w:p>
        </w:tc>
        <w:tc>
          <w:tcPr>
            <w:tcW w:w="2340" w:type="dxa"/>
            <w:tcBorders>
              <w:top w:val="nil"/>
              <w:left w:val="nil"/>
              <w:bottom w:val="nil"/>
            </w:tcBorders>
            <w:vAlign w:val="center"/>
          </w:tcPr>
          <w:p w14:paraId="501C07B0" w14:textId="6E474C7E" w:rsidR="008B3EB7" w:rsidRPr="008B3EB7" w:rsidRDefault="008B3EB7" w:rsidP="008B3EB7">
            <w:pPr>
              <w:spacing w:line="360" w:lineRule="auto"/>
              <w:jc w:val="center"/>
              <w:rPr>
                <w:rFonts w:cstheme="minorHAnsi"/>
              </w:rPr>
            </w:pPr>
            <w:r w:rsidRPr="008B3EB7">
              <w:rPr>
                <w:rFonts w:cstheme="minorHAnsi"/>
              </w:rPr>
              <w:t>3</w:t>
            </w:r>
            <w:r>
              <w:rPr>
                <w:rFonts w:cstheme="minorHAnsi"/>
              </w:rPr>
              <w:t>.730</w:t>
            </w:r>
          </w:p>
        </w:tc>
      </w:tr>
      <w:tr w:rsidR="00BF4914" w:rsidRPr="008B3EB7" w14:paraId="75D5ED39" w14:textId="77777777" w:rsidTr="00BF4914">
        <w:tc>
          <w:tcPr>
            <w:tcW w:w="2632" w:type="dxa"/>
            <w:tcBorders>
              <w:top w:val="nil"/>
              <w:bottom w:val="nil"/>
              <w:right w:val="nil"/>
            </w:tcBorders>
            <w:vAlign w:val="center"/>
          </w:tcPr>
          <w:p w14:paraId="1E2BF404" w14:textId="4D46D184" w:rsidR="008B3EB7" w:rsidRPr="008B3EB7" w:rsidRDefault="008B3EB7" w:rsidP="002106DB">
            <w:pPr>
              <w:spacing w:line="360" w:lineRule="auto"/>
              <w:jc w:val="center"/>
              <w:rPr>
                <w:rFonts w:cstheme="minorHAnsi"/>
              </w:rPr>
            </w:pPr>
            <w:r w:rsidRPr="008B3EB7">
              <w:rPr>
                <w:rFonts w:hAnsi="Arial" w:cs="Arial"/>
                <w:lang w:eastAsia="zh-CN"/>
              </w:rPr>
              <w:t>CH</w:t>
            </w:r>
            <w:r w:rsidRPr="008B3EB7">
              <w:rPr>
                <w:rFonts w:hAnsi="Arial" w:cs="Arial"/>
                <w:vertAlign w:val="subscript"/>
                <w:lang w:eastAsia="zh-CN"/>
              </w:rPr>
              <w:t>3</w:t>
            </w:r>
          </w:p>
        </w:tc>
        <w:tc>
          <w:tcPr>
            <w:tcW w:w="2250" w:type="dxa"/>
            <w:tcBorders>
              <w:top w:val="nil"/>
              <w:left w:val="nil"/>
              <w:bottom w:val="nil"/>
              <w:right w:val="nil"/>
            </w:tcBorders>
            <w:vAlign w:val="center"/>
          </w:tcPr>
          <w:p w14:paraId="173CF5BA" w14:textId="4D2DEB0F" w:rsidR="008B3EB7" w:rsidRPr="008B3EB7" w:rsidRDefault="001E729C" w:rsidP="002106DB">
            <w:pPr>
              <w:spacing w:line="360" w:lineRule="auto"/>
              <w:jc w:val="center"/>
              <w:rPr>
                <w:rFonts w:cstheme="minorHAnsi"/>
              </w:rPr>
            </w:pPr>
            <w:r>
              <w:rPr>
                <w:rFonts w:cstheme="minorHAnsi"/>
              </w:rPr>
              <w:t>98.0</w:t>
            </w:r>
          </w:p>
        </w:tc>
        <w:tc>
          <w:tcPr>
            <w:tcW w:w="2340" w:type="dxa"/>
            <w:tcBorders>
              <w:top w:val="nil"/>
              <w:left w:val="nil"/>
              <w:bottom w:val="nil"/>
            </w:tcBorders>
            <w:vAlign w:val="center"/>
          </w:tcPr>
          <w:p w14:paraId="0BB9E6BF" w14:textId="2DB93B9A" w:rsidR="008B3EB7" w:rsidRPr="008B3EB7" w:rsidRDefault="001E729C" w:rsidP="008B3EB7">
            <w:pPr>
              <w:spacing w:line="360" w:lineRule="auto"/>
              <w:jc w:val="center"/>
              <w:rPr>
                <w:rFonts w:cstheme="minorHAnsi"/>
              </w:rPr>
            </w:pPr>
            <w:r>
              <w:rPr>
                <w:rFonts w:cstheme="minorHAnsi"/>
              </w:rPr>
              <w:t>3.750</w:t>
            </w:r>
          </w:p>
        </w:tc>
      </w:tr>
      <w:tr w:rsidR="00BF4914" w:rsidRPr="008B3EB7" w14:paraId="25F09D1C" w14:textId="77777777" w:rsidTr="00BF4914">
        <w:tc>
          <w:tcPr>
            <w:tcW w:w="2632" w:type="dxa"/>
            <w:tcBorders>
              <w:top w:val="nil"/>
              <w:right w:val="nil"/>
            </w:tcBorders>
            <w:vAlign w:val="center"/>
          </w:tcPr>
          <w:p w14:paraId="2AFA9A9F" w14:textId="03D9B6B2" w:rsidR="008B3EB7" w:rsidRPr="008B3EB7" w:rsidRDefault="008B3EB7" w:rsidP="002106DB">
            <w:pPr>
              <w:spacing w:line="360" w:lineRule="auto"/>
              <w:jc w:val="center"/>
              <w:rPr>
                <w:rFonts w:cstheme="minorHAnsi"/>
              </w:rPr>
            </w:pPr>
            <w:r w:rsidRPr="008B3EB7">
              <w:rPr>
                <w:rFonts w:hAnsi="Arial" w:cs="Arial"/>
                <w:lang w:eastAsia="zh-CN"/>
              </w:rPr>
              <w:t>CH</w:t>
            </w:r>
            <w:r w:rsidRPr="008B3EB7">
              <w:rPr>
                <w:rFonts w:hAnsi="Arial" w:cs="Arial"/>
                <w:vertAlign w:val="subscript"/>
                <w:lang w:eastAsia="zh-CN"/>
              </w:rPr>
              <w:t>2</w:t>
            </w:r>
          </w:p>
        </w:tc>
        <w:tc>
          <w:tcPr>
            <w:tcW w:w="2250" w:type="dxa"/>
            <w:tcBorders>
              <w:top w:val="nil"/>
              <w:left w:val="nil"/>
              <w:right w:val="nil"/>
            </w:tcBorders>
            <w:vAlign w:val="center"/>
          </w:tcPr>
          <w:p w14:paraId="6B0A836D" w14:textId="00EDAB09" w:rsidR="008B3EB7" w:rsidRPr="008B3EB7" w:rsidRDefault="001E729C" w:rsidP="002106DB">
            <w:pPr>
              <w:spacing w:line="360" w:lineRule="auto"/>
              <w:jc w:val="center"/>
              <w:rPr>
                <w:rFonts w:cstheme="minorHAnsi"/>
              </w:rPr>
            </w:pPr>
            <w:r>
              <w:rPr>
                <w:rFonts w:cstheme="minorHAnsi"/>
              </w:rPr>
              <w:t>46.0</w:t>
            </w:r>
          </w:p>
        </w:tc>
        <w:tc>
          <w:tcPr>
            <w:tcW w:w="2340" w:type="dxa"/>
            <w:tcBorders>
              <w:top w:val="nil"/>
              <w:left w:val="nil"/>
            </w:tcBorders>
            <w:vAlign w:val="center"/>
          </w:tcPr>
          <w:p w14:paraId="577B080C" w14:textId="3950459D" w:rsidR="008B3EB7" w:rsidRPr="008B3EB7" w:rsidRDefault="00BF4914" w:rsidP="008B3EB7">
            <w:pPr>
              <w:spacing w:line="360" w:lineRule="auto"/>
              <w:rPr>
                <w:rFonts w:cstheme="minorHAnsi"/>
              </w:rPr>
            </w:pPr>
            <w:r>
              <w:rPr>
                <w:rFonts w:cstheme="minorHAnsi"/>
              </w:rPr>
              <w:t xml:space="preserve">           </w:t>
            </w:r>
            <w:r w:rsidR="001E729C">
              <w:rPr>
                <w:rFonts w:cstheme="minorHAnsi"/>
              </w:rPr>
              <w:t xml:space="preserve">  3.950</w:t>
            </w:r>
          </w:p>
        </w:tc>
      </w:tr>
    </w:tbl>
    <w:p w14:paraId="6AE23D93" w14:textId="77777777" w:rsidR="00C66BC0" w:rsidRDefault="00C66BC0" w:rsidP="00806573">
      <w:pPr>
        <w:pStyle w:val="para1"/>
        <w:spacing w:line="480" w:lineRule="auto"/>
        <w:jc w:val="center"/>
        <w:rPr>
          <w:rFonts w:asciiTheme="minorHAnsi" w:hAnsiTheme="minorHAnsi" w:cstheme="minorHAnsi"/>
          <w:b/>
          <w:sz w:val="24"/>
          <w:szCs w:val="24"/>
          <w:lang w:bidi="en-US"/>
        </w:rPr>
      </w:pPr>
    </w:p>
    <w:p w14:paraId="54A39B90" w14:textId="77777777" w:rsidR="00806573" w:rsidRDefault="00806573" w:rsidP="00806573">
      <w:pPr>
        <w:pStyle w:val="para1"/>
        <w:spacing w:line="480" w:lineRule="auto"/>
        <w:ind w:firstLine="0"/>
        <w:rPr>
          <w:rFonts w:asciiTheme="minorHAnsi" w:hAnsiTheme="minorHAnsi" w:cstheme="minorHAnsi"/>
          <w:b/>
          <w:sz w:val="24"/>
          <w:szCs w:val="24"/>
          <w:lang w:bidi="en-US"/>
        </w:rPr>
      </w:pPr>
    </w:p>
    <w:p w14:paraId="07393A5B" w14:textId="7D1CD991" w:rsidR="00806573" w:rsidRDefault="00255C1A" w:rsidP="00E6065B">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NPT ensemble was used in this constant pressure simulation system. </w:t>
      </w:r>
      <w:r w:rsidR="00CD2527">
        <w:rPr>
          <w:rFonts w:asciiTheme="minorHAnsi" w:hAnsi="Arial" w:cs="Arial"/>
          <w:sz w:val="24"/>
          <w:szCs w:val="24"/>
          <w:lang w:eastAsia="zh-CN" w:bidi="en-US"/>
        </w:rPr>
        <w:t xml:space="preserve">The temperature and pressure of the simulation are fixed at 200 K and 3.49 MPa, respectively. </w:t>
      </w:r>
      <w:r w:rsidR="00CD2527" w:rsidRPr="00CD2527">
        <w:rPr>
          <w:rFonts w:asciiTheme="minorHAnsi" w:hAnsi="Arial" w:cs="Arial"/>
          <w:b/>
          <w:sz w:val="24"/>
          <w:szCs w:val="24"/>
          <w:lang w:eastAsia="zh-CN" w:bidi="en-US"/>
        </w:rPr>
        <w:t>Figure 7.2</w:t>
      </w:r>
      <w:r w:rsidR="00CD2527">
        <w:rPr>
          <w:rFonts w:asciiTheme="minorHAnsi" w:hAnsi="Arial" w:cs="Arial"/>
          <w:sz w:val="24"/>
          <w:szCs w:val="24"/>
          <w:lang w:eastAsia="zh-CN" w:bidi="en-US"/>
        </w:rPr>
        <w:t xml:space="preserve"> shows the snapshots of the simulation </w:t>
      </w:r>
      <w:r w:rsidR="00997A12">
        <w:rPr>
          <w:rFonts w:asciiTheme="minorHAnsi" w:hAnsi="Arial" w:cs="Arial"/>
          <w:sz w:val="24"/>
          <w:szCs w:val="24"/>
          <w:lang w:eastAsia="zh-CN" w:bidi="en-US"/>
        </w:rPr>
        <w:t>where t = 0</w:t>
      </w:r>
      <w:r w:rsidR="00C73673">
        <w:rPr>
          <w:rFonts w:asciiTheme="minorHAnsi" w:hAnsi="Arial" w:cs="Arial"/>
          <w:sz w:val="24"/>
          <w:szCs w:val="24"/>
          <w:lang w:eastAsia="zh-CN" w:bidi="en-US"/>
        </w:rPr>
        <w:t xml:space="preserve"> ns</w:t>
      </w:r>
      <w:r w:rsidR="00997A12">
        <w:rPr>
          <w:rFonts w:asciiTheme="minorHAnsi" w:hAnsi="Arial" w:cs="Arial"/>
          <w:sz w:val="24"/>
          <w:szCs w:val="24"/>
          <w:lang w:eastAsia="zh-CN" w:bidi="en-US"/>
        </w:rPr>
        <w:t xml:space="preserve">, </w:t>
      </w:r>
      <w:r w:rsidR="00C73673">
        <w:rPr>
          <w:rFonts w:asciiTheme="minorHAnsi" w:hAnsi="Arial" w:cs="Arial"/>
          <w:sz w:val="24"/>
          <w:szCs w:val="24"/>
          <w:lang w:eastAsia="zh-CN" w:bidi="en-US"/>
        </w:rPr>
        <w:t xml:space="preserve">0.16 ns, </w:t>
      </w:r>
      <w:r w:rsidR="00D9110D">
        <w:rPr>
          <w:rFonts w:asciiTheme="minorHAnsi" w:hAnsi="Arial" w:cs="Arial"/>
          <w:sz w:val="24"/>
          <w:szCs w:val="24"/>
          <w:lang w:eastAsia="zh-CN" w:bidi="en-US"/>
        </w:rPr>
        <w:t xml:space="preserve">0.5 ns, </w:t>
      </w:r>
      <w:r w:rsidR="00284A88">
        <w:rPr>
          <w:rFonts w:asciiTheme="minorHAnsi" w:hAnsi="Arial" w:cs="Arial"/>
          <w:sz w:val="24"/>
          <w:szCs w:val="24"/>
          <w:lang w:eastAsia="zh-CN" w:bidi="en-US"/>
        </w:rPr>
        <w:t>4 ns,</w:t>
      </w:r>
      <w:r w:rsidR="00633BB0">
        <w:rPr>
          <w:rFonts w:asciiTheme="minorHAnsi" w:hAnsi="Arial" w:cs="Arial"/>
          <w:sz w:val="24"/>
          <w:szCs w:val="24"/>
          <w:lang w:eastAsia="zh-CN" w:bidi="en-US"/>
        </w:rPr>
        <w:t xml:space="preserve"> 15 ns</w:t>
      </w:r>
      <w:r w:rsidR="00BB5980">
        <w:rPr>
          <w:rFonts w:asciiTheme="minorHAnsi" w:hAnsi="Arial" w:cs="Arial"/>
          <w:sz w:val="24"/>
          <w:szCs w:val="24"/>
          <w:lang w:eastAsia="zh-CN" w:bidi="en-US"/>
        </w:rPr>
        <w:t xml:space="preserve"> and 20 ns.</w:t>
      </w:r>
      <w:r w:rsidR="002A4253">
        <w:rPr>
          <w:rFonts w:asciiTheme="minorHAnsi" w:hAnsi="Arial" w:cs="Arial"/>
          <w:sz w:val="24"/>
          <w:szCs w:val="24"/>
          <w:lang w:eastAsia="zh-CN" w:bidi="en-US"/>
        </w:rPr>
        <w:t xml:space="preserve"> As we can see, </w:t>
      </w:r>
      <w:r w:rsidR="00405B67">
        <w:rPr>
          <w:rFonts w:asciiTheme="minorHAnsi" w:hAnsi="Arial" w:cs="Arial"/>
          <w:sz w:val="24"/>
          <w:szCs w:val="24"/>
          <w:lang w:eastAsia="zh-CN" w:bidi="en-US"/>
        </w:rPr>
        <w:t>beginning the second graph, condensation dropouts start to show</w:t>
      </w:r>
      <w:r w:rsidR="000E10FE">
        <w:rPr>
          <w:rFonts w:asciiTheme="minorHAnsi" w:hAnsi="Arial" w:cs="Arial"/>
          <w:sz w:val="24"/>
          <w:szCs w:val="24"/>
          <w:lang w:eastAsia="zh-CN" w:bidi="en-US"/>
        </w:rPr>
        <w:t xml:space="preserve"> and are finally accumulated into one large dropout. The figure shows clearly the phase separation processes within 20 ns of time, starts from vapor phase and ends to vapor-liquid equilibrium. As we can see, the liquid phase is more concentrated with red molecules, which are n-butane molecules, and the vapor phase is more concentrated with blue molecules, which are methane molecules. </w:t>
      </w:r>
    </w:p>
    <w:p w14:paraId="44CF62ED" w14:textId="56D38E14" w:rsidR="00153B90" w:rsidRDefault="00A565D3" w:rsidP="00255C1A">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sz w:val="24"/>
          <w:szCs w:val="24"/>
          <w:lang w:eastAsia="zh-CN" w:bidi="en-US"/>
        </w:rPr>
        <w:t xml:space="preserve">Since all the 3D coordinates of each molecules </w:t>
      </w:r>
      <w:r w:rsidR="00E6065B">
        <w:rPr>
          <w:rFonts w:asciiTheme="minorHAnsi" w:hAnsi="Arial" w:cs="Arial"/>
          <w:sz w:val="24"/>
          <w:szCs w:val="24"/>
          <w:lang w:eastAsia="zh-CN" w:bidi="en-US"/>
        </w:rPr>
        <w:t>in the simulation box have been recorded by the system, it is possible to compare the results of MD simulation and PR-EOS quantitatively regarding phase properties.</w:t>
      </w:r>
      <w:r w:rsidR="006F088D">
        <w:rPr>
          <w:rFonts w:asciiTheme="minorHAnsi" w:hAnsi="Arial" w:cs="Arial"/>
          <w:sz w:val="24"/>
          <w:szCs w:val="24"/>
          <w:lang w:eastAsia="zh-CN" w:bidi="en-US"/>
        </w:rPr>
        <w:t xml:space="preserve"> In </w:t>
      </w:r>
      <w:r w:rsidR="006F088D" w:rsidRPr="009C0C20">
        <w:rPr>
          <w:rFonts w:asciiTheme="minorHAnsi" w:hAnsi="Arial" w:cs="Arial"/>
          <w:b/>
          <w:sz w:val="24"/>
          <w:szCs w:val="24"/>
          <w:lang w:eastAsia="zh-CN" w:bidi="en-US"/>
        </w:rPr>
        <w:t>Table 7.2</w:t>
      </w:r>
      <w:r w:rsidR="006F088D">
        <w:rPr>
          <w:rFonts w:asciiTheme="minorHAnsi" w:hAnsi="Arial" w:cs="Arial"/>
          <w:sz w:val="24"/>
          <w:szCs w:val="24"/>
          <w:lang w:eastAsia="zh-CN" w:bidi="en-US"/>
        </w:rPr>
        <w:t xml:space="preserve">, the </w:t>
      </w:r>
      <w:r w:rsidR="009C0C20">
        <w:rPr>
          <w:rFonts w:asciiTheme="minorHAnsi" w:hAnsi="Arial" w:cs="Arial"/>
          <w:sz w:val="24"/>
          <w:szCs w:val="24"/>
          <w:lang w:eastAsia="zh-CN" w:bidi="en-US"/>
        </w:rPr>
        <w:t>fluid compositions and fluid densities of each component in each phase obtained from both MD simulation and PR-EOS at 200 K and 3.49 MPa are shown.</w:t>
      </w:r>
    </w:p>
    <w:p w14:paraId="4E8EB330" w14:textId="75BB5EFC" w:rsidR="00AB0A84" w:rsidRDefault="00216EFB" w:rsidP="00806573">
      <w:pPr>
        <w:pStyle w:val="para1"/>
        <w:spacing w:line="480" w:lineRule="auto"/>
        <w:ind w:firstLine="0"/>
        <w:rPr>
          <w:rFonts w:asciiTheme="minorHAnsi" w:hAnsi="Arial" w:cs="Arial"/>
          <w:sz w:val="24"/>
          <w:szCs w:val="24"/>
          <w:lang w:eastAsia="zh-CN" w:bidi="en-US"/>
        </w:rPr>
      </w:pPr>
      <w:r>
        <w:rPr>
          <w:rFonts w:asciiTheme="minorHAnsi" w:hAnsiTheme="minorHAnsi" w:cstheme="minorHAnsi"/>
          <w:b/>
          <w:noProof/>
          <w:sz w:val="24"/>
          <w:szCs w:val="24"/>
          <w:lang w:eastAsia="zh-CN"/>
        </w:rPr>
        <w:drawing>
          <wp:anchor distT="0" distB="0" distL="114300" distR="114300" simplePos="0" relativeHeight="251711488" behindDoc="0" locked="0" layoutInCell="1" allowOverlap="1" wp14:anchorId="7094D8AD" wp14:editId="5C10F343">
            <wp:simplePos x="0" y="0"/>
            <wp:positionH relativeFrom="page">
              <wp:posOffset>1435100</wp:posOffset>
            </wp:positionH>
            <wp:positionV relativeFrom="paragraph">
              <wp:posOffset>342900</wp:posOffset>
            </wp:positionV>
            <wp:extent cx="2376170" cy="2276475"/>
            <wp:effectExtent l="0" t="0" r="0" b="0"/>
            <wp:wrapThrough wrapText="bothSides">
              <wp:wrapPolygon edited="0">
                <wp:start x="0" y="0"/>
                <wp:lineTo x="0" y="21449"/>
                <wp:lineTo x="21473" y="21449"/>
                <wp:lineTo x="21473" y="0"/>
                <wp:lineTo x="0" y="0"/>
              </wp:wrapPolygon>
            </wp:wrapThrough>
            <wp:docPr id="42" name="Picture 42" descr="figures/Figure%207.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igures/Figure%207.2-1(0).jpg"/>
                    <pic:cNvPicPr>
                      <a:picLocks noChangeAspect="1" noChangeArrowheads="1"/>
                    </pic:cNvPicPr>
                  </pic:nvPicPr>
                  <pic:blipFill rotWithShape="1">
                    <a:blip r:embed="rId160">
                      <a:extLst>
                        <a:ext uri="{28A0092B-C50C-407E-A947-70E740481C1C}">
                          <a14:useLocalDpi xmlns:a14="http://schemas.microsoft.com/office/drawing/2010/main" val="0"/>
                        </a:ext>
                      </a:extLst>
                    </a:blip>
                    <a:srcRect l="16981" t="6603" r="17217" b="5976"/>
                    <a:stretch/>
                  </pic:blipFill>
                  <pic:spPr bwMode="auto">
                    <a:xfrm>
                      <a:off x="0" y="0"/>
                      <a:ext cx="2376170" cy="2276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12E833" w14:textId="71581D59" w:rsidR="00153B90" w:rsidRDefault="003705BC" w:rsidP="00806573">
      <w:pPr>
        <w:pStyle w:val="para1"/>
        <w:spacing w:line="480" w:lineRule="auto"/>
        <w:ind w:firstLine="0"/>
        <w:rPr>
          <w:rFonts w:asciiTheme="minorHAnsi" w:hAnsiTheme="minorHAnsi" w:cstheme="minorHAnsi"/>
          <w:b/>
          <w:sz w:val="24"/>
          <w:szCs w:val="24"/>
          <w:lang w:bidi="en-US"/>
        </w:rPr>
      </w:pPr>
      <w:r>
        <w:rPr>
          <w:rFonts w:asciiTheme="minorHAnsi" w:hAnsiTheme="minorHAnsi" w:cstheme="minorHAnsi"/>
          <w:b/>
          <w:noProof/>
          <w:sz w:val="24"/>
          <w:szCs w:val="24"/>
          <w:lang w:eastAsia="zh-CN"/>
        </w:rPr>
        <w:drawing>
          <wp:anchor distT="0" distB="0" distL="114300" distR="114300" simplePos="0" relativeHeight="251718656" behindDoc="0" locked="0" layoutInCell="1" allowOverlap="1" wp14:anchorId="4586FFE9" wp14:editId="3CB60521">
            <wp:simplePos x="0" y="0"/>
            <wp:positionH relativeFrom="column">
              <wp:posOffset>-26670</wp:posOffset>
            </wp:positionH>
            <wp:positionV relativeFrom="paragraph">
              <wp:posOffset>2370455</wp:posOffset>
            </wp:positionV>
            <wp:extent cx="2374265" cy="2286000"/>
            <wp:effectExtent l="0" t="0" r="0" b="0"/>
            <wp:wrapTight wrapText="bothSides">
              <wp:wrapPolygon edited="0">
                <wp:start x="0" y="0"/>
                <wp:lineTo x="0" y="21360"/>
                <wp:lineTo x="21259" y="21360"/>
                <wp:lineTo x="21259" y="0"/>
                <wp:lineTo x="0" y="0"/>
              </wp:wrapPolygon>
            </wp:wrapTight>
            <wp:docPr id="44" name="Picture 44" descr="figures/Figure%207.2-3(1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figures/Figure%207.2-3(125).jpg"/>
                    <pic:cNvPicPr>
                      <a:picLocks noChangeAspect="1" noChangeArrowheads="1"/>
                    </pic:cNvPicPr>
                  </pic:nvPicPr>
                  <pic:blipFill rotWithShape="1">
                    <a:blip r:embed="rId161">
                      <a:extLst>
                        <a:ext uri="{28A0092B-C50C-407E-A947-70E740481C1C}">
                          <a14:useLocalDpi xmlns:a14="http://schemas.microsoft.com/office/drawing/2010/main" val="0"/>
                        </a:ext>
                      </a:extLst>
                    </a:blip>
                    <a:srcRect l="15330" t="4088" r="15330" b="4403"/>
                    <a:stretch/>
                  </pic:blipFill>
                  <pic:spPr bwMode="auto">
                    <a:xfrm>
                      <a:off x="0" y="0"/>
                      <a:ext cx="2374265"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3A71">
        <w:rPr>
          <w:noProof/>
          <w:lang w:eastAsia="zh-CN"/>
        </w:rPr>
        <w:drawing>
          <wp:inline distT="0" distB="0" distL="0" distR="0" wp14:anchorId="700880FF" wp14:editId="582CE58D">
            <wp:extent cx="2286000" cy="2258568"/>
            <wp:effectExtent l="0" t="0" r="0" b="0"/>
            <wp:docPr id="43" name="Picture 43" descr="figures/Figure%207.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igures/Figure%207.2-2(40).jpg"/>
                    <pic:cNvPicPr>
                      <a:picLocks noChangeAspect="1" noChangeArrowheads="1"/>
                    </pic:cNvPicPr>
                  </pic:nvPicPr>
                  <pic:blipFill rotWithShape="1">
                    <a:blip r:embed="rId162">
                      <a:extLst>
                        <a:ext uri="{28A0092B-C50C-407E-A947-70E740481C1C}">
                          <a14:useLocalDpi xmlns:a14="http://schemas.microsoft.com/office/drawing/2010/main" val="0"/>
                        </a:ext>
                      </a:extLst>
                    </a:blip>
                    <a:srcRect l="16981" t="6604" r="17217" b="6604"/>
                    <a:stretch/>
                  </pic:blipFill>
                  <pic:spPr bwMode="auto">
                    <a:xfrm>
                      <a:off x="0" y="0"/>
                      <a:ext cx="2286000" cy="2258568"/>
                    </a:xfrm>
                    <a:prstGeom prst="rect">
                      <a:avLst/>
                    </a:prstGeom>
                    <a:noFill/>
                    <a:ln>
                      <a:noFill/>
                    </a:ln>
                    <a:extLst>
                      <a:ext uri="{53640926-AAD7-44D8-BBD7-CCE9431645EC}">
                        <a14:shadowObscured xmlns:a14="http://schemas.microsoft.com/office/drawing/2010/main"/>
                      </a:ext>
                    </a:extLst>
                  </pic:spPr>
                </pic:pic>
              </a:graphicData>
            </a:graphic>
          </wp:inline>
        </w:drawing>
      </w:r>
    </w:p>
    <w:p w14:paraId="733359C4" w14:textId="0B4857AC" w:rsidR="00AB0A84" w:rsidRPr="00806573" w:rsidRDefault="00403A71" w:rsidP="00806573">
      <w:pPr>
        <w:pStyle w:val="para1"/>
        <w:spacing w:line="480" w:lineRule="auto"/>
        <w:ind w:firstLine="0"/>
        <w:rPr>
          <w:rFonts w:asciiTheme="minorHAnsi" w:hAnsiTheme="minorHAnsi" w:cstheme="minorHAnsi"/>
          <w:b/>
          <w:sz w:val="24"/>
          <w:szCs w:val="24"/>
          <w:lang w:bidi="en-US"/>
        </w:rPr>
      </w:pPr>
      <w:r>
        <w:rPr>
          <w:noProof/>
          <w:lang w:eastAsia="zh-CN"/>
        </w:rPr>
        <w:drawing>
          <wp:inline distT="0" distB="0" distL="0" distR="0" wp14:anchorId="755EECE5" wp14:editId="1C2AE622">
            <wp:extent cx="2286000" cy="2286000"/>
            <wp:effectExtent l="0" t="0" r="0" b="0"/>
            <wp:docPr id="45" name="Picture 45" descr="figures/Figure%207.2-4(1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figures/Figure%207.2-4(1000).jpg"/>
                    <pic:cNvPicPr>
                      <a:picLocks noChangeAspect="1" noChangeArrowheads="1"/>
                    </pic:cNvPicPr>
                  </pic:nvPicPr>
                  <pic:blipFill rotWithShape="1">
                    <a:blip r:embed="rId163">
                      <a:extLst>
                        <a:ext uri="{28A0092B-C50C-407E-A947-70E740481C1C}">
                          <a14:useLocalDpi xmlns:a14="http://schemas.microsoft.com/office/drawing/2010/main" val="0"/>
                        </a:ext>
                      </a:extLst>
                    </a:blip>
                    <a:srcRect l="15094" t="3460" r="15094" b="3145"/>
                    <a:stretch/>
                  </pic:blipFill>
                  <pic:spPr bwMode="auto">
                    <a:xfrm>
                      <a:off x="0" y="0"/>
                      <a:ext cx="228600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3FDE7AE3" w14:textId="0353A552" w:rsidR="00806573" w:rsidRPr="00C656E5" w:rsidRDefault="00AB0A84" w:rsidP="00AB0A84">
      <w:pPr>
        <w:pStyle w:val="para1"/>
        <w:spacing w:line="480" w:lineRule="auto"/>
        <w:ind w:firstLine="0"/>
        <w:rPr>
          <w:lang w:eastAsia="zh-CN" w:bidi="en-US"/>
        </w:rPr>
      </w:pPr>
      <w:r>
        <w:rPr>
          <w:noProof/>
          <w:lang w:eastAsia="zh-CN"/>
        </w:rPr>
        <w:drawing>
          <wp:inline distT="0" distB="0" distL="0" distR="0" wp14:anchorId="41ABC74B" wp14:editId="2CE96EC8">
            <wp:extent cx="2313432" cy="2286000"/>
            <wp:effectExtent l="0" t="0" r="0" b="0"/>
            <wp:docPr id="53" name="Picture 53" descr="figures/Figure%207.2-5(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igures/Figure%207.2-5(3750).jpg"/>
                    <pic:cNvPicPr>
                      <a:picLocks noChangeAspect="1" noChangeArrowheads="1"/>
                    </pic:cNvPicPr>
                  </pic:nvPicPr>
                  <pic:blipFill rotWithShape="1">
                    <a:blip r:embed="rId164">
                      <a:extLst>
                        <a:ext uri="{28A0092B-C50C-407E-A947-70E740481C1C}">
                          <a14:useLocalDpi xmlns:a14="http://schemas.microsoft.com/office/drawing/2010/main" val="0"/>
                        </a:ext>
                      </a:extLst>
                    </a:blip>
                    <a:srcRect l="15094" t="3774" r="14858" b="4088"/>
                    <a:stretch/>
                  </pic:blipFill>
                  <pic:spPr bwMode="auto">
                    <a:xfrm>
                      <a:off x="0" y="0"/>
                      <a:ext cx="2313432" cy="2286000"/>
                    </a:xfrm>
                    <a:prstGeom prst="rect">
                      <a:avLst/>
                    </a:prstGeom>
                    <a:noFill/>
                    <a:ln>
                      <a:noFill/>
                    </a:ln>
                    <a:extLst>
                      <a:ext uri="{53640926-AAD7-44D8-BBD7-CCE9431645EC}">
                        <a14:shadowObscured xmlns:a14="http://schemas.microsoft.com/office/drawing/2010/main"/>
                      </a:ext>
                    </a:extLst>
                  </pic:spPr>
                </pic:pic>
              </a:graphicData>
            </a:graphic>
          </wp:inline>
        </w:drawing>
      </w:r>
      <w:r>
        <w:rPr>
          <w:lang w:eastAsia="zh-CN" w:bidi="en-US"/>
        </w:rPr>
        <w:t xml:space="preserve">     </w:t>
      </w:r>
      <w:r>
        <w:rPr>
          <w:rFonts w:asciiTheme="minorHAnsi" w:hAnsi="Arial" w:cs="Arial"/>
          <w:noProof/>
          <w:sz w:val="24"/>
          <w:szCs w:val="24"/>
          <w:lang w:eastAsia="zh-CN"/>
        </w:rPr>
        <w:drawing>
          <wp:inline distT="0" distB="0" distL="0" distR="0" wp14:anchorId="26E9AEA7" wp14:editId="214EF322">
            <wp:extent cx="2286000" cy="2286000"/>
            <wp:effectExtent l="0" t="0" r="0" b="0"/>
            <wp:docPr id="56" name="Picture 56" descr="figures/Figure%207.2-6(5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figures/Figure%207.2-6(5000).jpg"/>
                    <pic:cNvPicPr>
                      <a:picLocks noChangeAspect="1" noChangeArrowheads="1"/>
                    </pic:cNvPicPr>
                  </pic:nvPicPr>
                  <pic:blipFill rotWithShape="1">
                    <a:blip r:embed="rId165">
                      <a:extLst>
                        <a:ext uri="{28A0092B-C50C-407E-A947-70E740481C1C}">
                          <a14:useLocalDpi xmlns:a14="http://schemas.microsoft.com/office/drawing/2010/main" val="0"/>
                        </a:ext>
                      </a:extLst>
                    </a:blip>
                    <a:srcRect l="15094" t="3144" r="15094" b="3459"/>
                    <a:stretch/>
                  </pic:blipFill>
                  <pic:spPr bwMode="auto">
                    <a:xfrm>
                      <a:off x="0" y="0"/>
                      <a:ext cx="2286000" cy="2286000"/>
                    </a:xfrm>
                    <a:prstGeom prst="rect">
                      <a:avLst/>
                    </a:prstGeom>
                    <a:noFill/>
                    <a:ln>
                      <a:noFill/>
                    </a:ln>
                    <a:extLst>
                      <a:ext uri="{53640926-AAD7-44D8-BBD7-CCE9431645EC}">
                        <a14:shadowObscured xmlns:a14="http://schemas.microsoft.com/office/drawing/2010/main"/>
                      </a:ext>
                    </a:extLst>
                  </pic:spPr>
                </pic:pic>
              </a:graphicData>
            </a:graphic>
          </wp:inline>
        </w:drawing>
      </w:r>
    </w:p>
    <w:p w14:paraId="01C0FB46" w14:textId="60E8A2CC" w:rsidR="0085272D" w:rsidRDefault="00C654CE" w:rsidP="002A4253">
      <w:pPr>
        <w:pStyle w:val="para"/>
        <w:spacing w:line="480" w:lineRule="auto"/>
        <w:jc w:val="center"/>
        <w:rPr>
          <w:rFonts w:asciiTheme="minorHAnsi" w:hAnsiTheme="minorHAnsi" w:cstheme="minorHAnsi"/>
          <w:b/>
          <w:sz w:val="24"/>
          <w:szCs w:val="24"/>
          <w:lang w:bidi="en-US"/>
        </w:rPr>
      </w:pPr>
      <w:r>
        <w:rPr>
          <w:rFonts w:asciiTheme="minorHAnsi" w:hAnsiTheme="minorHAnsi" w:cstheme="minorHAnsi"/>
          <w:b/>
          <w:sz w:val="24"/>
          <w:szCs w:val="24"/>
          <w:lang w:bidi="en-US"/>
        </w:rPr>
        <w:t>Figure 7.2</w:t>
      </w:r>
      <w:r w:rsidRPr="00806573">
        <w:rPr>
          <w:rFonts w:asciiTheme="minorHAnsi" w:hAnsiTheme="minorHAnsi" w:cstheme="minorHAnsi"/>
          <w:b/>
          <w:sz w:val="24"/>
          <w:szCs w:val="24"/>
          <w:lang w:bidi="en-US"/>
        </w:rPr>
        <w:t>—T</w:t>
      </w:r>
      <w:r w:rsidR="002A4253">
        <w:rPr>
          <w:rFonts w:asciiTheme="minorHAnsi" w:hAnsiTheme="minorHAnsi" w:cstheme="minorHAnsi"/>
          <w:b/>
          <w:sz w:val="24"/>
          <w:szCs w:val="24"/>
          <w:lang w:bidi="en-US"/>
        </w:rPr>
        <w:t xml:space="preserve">he </w:t>
      </w:r>
      <w:r w:rsidR="002A4253">
        <w:rPr>
          <w:rFonts w:asciiTheme="minorHAnsi" w:hAnsi="Arial" w:cs="Arial"/>
          <w:sz w:val="24"/>
          <w:szCs w:val="24"/>
          <w:lang w:eastAsia="zh-CN" w:bidi="en-US"/>
        </w:rPr>
        <w:t>s</w:t>
      </w:r>
      <w:r w:rsidR="002A4253" w:rsidRPr="002A4253">
        <w:rPr>
          <w:rFonts w:asciiTheme="minorHAnsi" w:hAnsiTheme="minorHAnsi" w:cstheme="minorHAnsi"/>
          <w:b/>
          <w:sz w:val="24"/>
          <w:szCs w:val="24"/>
          <w:lang w:bidi="en-US"/>
        </w:rPr>
        <w:t xml:space="preserve">napshots of the </w:t>
      </w:r>
      <w:r w:rsidR="002A4253">
        <w:rPr>
          <w:rFonts w:asciiTheme="minorHAnsi" w:hAnsiTheme="minorHAnsi" w:cstheme="minorHAnsi"/>
          <w:b/>
          <w:sz w:val="24"/>
          <w:szCs w:val="24"/>
          <w:lang w:bidi="en-US"/>
        </w:rPr>
        <w:t xml:space="preserve">MD </w:t>
      </w:r>
      <w:r w:rsidR="002A4253" w:rsidRPr="002A4253">
        <w:rPr>
          <w:rFonts w:asciiTheme="minorHAnsi" w:hAnsiTheme="minorHAnsi" w:cstheme="minorHAnsi"/>
          <w:b/>
          <w:sz w:val="24"/>
          <w:szCs w:val="24"/>
          <w:lang w:bidi="en-US"/>
        </w:rPr>
        <w:t>simulation where t = 0 ns, 0.16 ns, 0.5 ns, 4 ns, 15 ns and 20 ns</w:t>
      </w:r>
    </w:p>
    <w:p w14:paraId="529AD112" w14:textId="77777777" w:rsidR="007D65E5" w:rsidRDefault="007D65E5" w:rsidP="007D65E5">
      <w:pPr>
        <w:pStyle w:val="para1"/>
        <w:rPr>
          <w:lang w:bidi="en-US"/>
        </w:rPr>
      </w:pPr>
    </w:p>
    <w:tbl>
      <w:tblPr>
        <w:tblStyle w:val="TableGrid"/>
        <w:tblW w:w="0" w:type="auto"/>
        <w:tblLook w:val="04A0" w:firstRow="1" w:lastRow="0" w:firstColumn="1" w:lastColumn="0" w:noHBand="0" w:noVBand="1"/>
      </w:tblPr>
      <w:tblGrid>
        <w:gridCol w:w="3266"/>
        <w:gridCol w:w="2550"/>
        <w:gridCol w:w="2670"/>
      </w:tblGrid>
      <w:tr w:rsidR="00B97B00" w:rsidRPr="00A12AF1" w14:paraId="15F545CF" w14:textId="77777777" w:rsidTr="00B76373">
        <w:trPr>
          <w:trHeight w:val="611"/>
        </w:trPr>
        <w:tc>
          <w:tcPr>
            <w:tcW w:w="8712" w:type="dxa"/>
            <w:gridSpan w:val="3"/>
            <w:tcBorders>
              <w:bottom w:val="single" w:sz="4" w:space="0" w:color="auto"/>
            </w:tcBorders>
          </w:tcPr>
          <w:p w14:paraId="28210623" w14:textId="6DA7E412" w:rsidR="00B97B00" w:rsidRPr="00A12AF1" w:rsidRDefault="00B97B00" w:rsidP="00B97B00">
            <w:pPr>
              <w:pStyle w:val="para1"/>
              <w:ind w:firstLine="0"/>
              <w:jc w:val="center"/>
              <w:rPr>
                <w:sz w:val="24"/>
                <w:szCs w:val="24"/>
                <w:lang w:bidi="en-US"/>
              </w:rPr>
            </w:pPr>
            <w:r w:rsidRPr="00A12AF1">
              <w:rPr>
                <w:rFonts w:cstheme="minorHAnsi"/>
                <w:b/>
                <w:sz w:val="24"/>
                <w:szCs w:val="24"/>
              </w:rPr>
              <w:t>Table 7.2: Phase property results from both MD simulation and PR-EOS at 200 K and 3.49 MPa</w:t>
            </w:r>
          </w:p>
        </w:tc>
      </w:tr>
      <w:tr w:rsidR="001D23FE" w:rsidRPr="00A12AF1" w14:paraId="6E0A5B4A" w14:textId="77777777" w:rsidTr="00B76373">
        <w:trPr>
          <w:trHeight w:val="504"/>
        </w:trPr>
        <w:tc>
          <w:tcPr>
            <w:tcW w:w="3352" w:type="dxa"/>
            <w:tcBorders>
              <w:bottom w:val="nil"/>
              <w:right w:val="nil"/>
            </w:tcBorders>
            <w:vAlign w:val="center"/>
          </w:tcPr>
          <w:p w14:paraId="43B1A576" w14:textId="02C413A4" w:rsidR="001D23FE" w:rsidRPr="00A12AF1" w:rsidRDefault="001D23FE" w:rsidP="003F336A">
            <w:pPr>
              <w:pStyle w:val="para1"/>
              <w:ind w:firstLine="0"/>
              <w:jc w:val="center"/>
              <w:rPr>
                <w:sz w:val="24"/>
                <w:szCs w:val="24"/>
                <w:lang w:bidi="en-US"/>
              </w:rPr>
            </w:pPr>
          </w:p>
        </w:tc>
        <w:tc>
          <w:tcPr>
            <w:tcW w:w="2610" w:type="dxa"/>
            <w:tcBorders>
              <w:left w:val="nil"/>
              <w:bottom w:val="nil"/>
              <w:right w:val="nil"/>
            </w:tcBorders>
            <w:vAlign w:val="center"/>
          </w:tcPr>
          <w:p w14:paraId="11256A6D" w14:textId="227D8914" w:rsidR="001D23FE" w:rsidRPr="00A12AF1" w:rsidRDefault="001D23FE" w:rsidP="003F336A">
            <w:pPr>
              <w:pStyle w:val="para1"/>
              <w:ind w:firstLine="0"/>
              <w:jc w:val="center"/>
              <w:rPr>
                <w:sz w:val="24"/>
                <w:szCs w:val="24"/>
                <w:u w:val="single"/>
                <w:lang w:bidi="en-US"/>
              </w:rPr>
            </w:pPr>
            <w:r w:rsidRPr="00A12AF1">
              <w:rPr>
                <w:rFonts w:cstheme="minorHAnsi"/>
                <w:sz w:val="24"/>
                <w:szCs w:val="24"/>
                <w:u w:val="single"/>
              </w:rPr>
              <w:t>MD simulation</w:t>
            </w:r>
          </w:p>
        </w:tc>
        <w:tc>
          <w:tcPr>
            <w:tcW w:w="2750" w:type="dxa"/>
            <w:tcBorders>
              <w:left w:val="nil"/>
              <w:bottom w:val="nil"/>
            </w:tcBorders>
            <w:vAlign w:val="center"/>
          </w:tcPr>
          <w:p w14:paraId="637080CE" w14:textId="7EF9C837" w:rsidR="001D23FE" w:rsidRPr="00A12AF1" w:rsidRDefault="001D23FE" w:rsidP="003F336A">
            <w:pPr>
              <w:pStyle w:val="para1"/>
              <w:ind w:firstLine="0"/>
              <w:jc w:val="center"/>
              <w:rPr>
                <w:sz w:val="24"/>
                <w:szCs w:val="24"/>
                <w:u w:val="single"/>
                <w:lang w:bidi="en-US"/>
              </w:rPr>
            </w:pPr>
            <w:r w:rsidRPr="00A12AF1">
              <w:rPr>
                <w:rFonts w:cstheme="minorHAnsi"/>
                <w:sz w:val="24"/>
                <w:szCs w:val="24"/>
                <w:u w:val="single"/>
              </w:rPr>
              <w:t>PR-EOS</w:t>
            </w:r>
          </w:p>
        </w:tc>
      </w:tr>
      <w:tr w:rsidR="001D23FE" w:rsidRPr="00A12AF1" w14:paraId="5999F7AE" w14:textId="77777777" w:rsidTr="00B76373">
        <w:trPr>
          <w:trHeight w:val="504"/>
        </w:trPr>
        <w:tc>
          <w:tcPr>
            <w:tcW w:w="3352" w:type="dxa"/>
            <w:tcBorders>
              <w:top w:val="nil"/>
              <w:bottom w:val="nil"/>
              <w:right w:val="nil"/>
            </w:tcBorders>
            <w:vAlign w:val="center"/>
          </w:tcPr>
          <w:p w14:paraId="74D8DF30" w14:textId="1ACA4870" w:rsidR="001D23FE" w:rsidRPr="00A12AF1" w:rsidRDefault="001D23FE" w:rsidP="003F336A">
            <w:pPr>
              <w:pStyle w:val="para1"/>
              <w:ind w:firstLine="0"/>
              <w:jc w:val="center"/>
              <w:rPr>
                <w:sz w:val="24"/>
                <w:szCs w:val="24"/>
                <w:lang w:bidi="en-US"/>
              </w:rPr>
            </w:pPr>
            <w:r w:rsidRPr="00A12AF1">
              <w:rPr>
                <w:sz w:val="24"/>
                <w:szCs w:val="24"/>
                <w:lang w:bidi="en-US"/>
              </w:rPr>
              <w:t>C1-nC4 composition in liquid</w:t>
            </w:r>
          </w:p>
        </w:tc>
        <w:tc>
          <w:tcPr>
            <w:tcW w:w="2610" w:type="dxa"/>
            <w:tcBorders>
              <w:top w:val="nil"/>
              <w:left w:val="nil"/>
              <w:bottom w:val="nil"/>
              <w:right w:val="nil"/>
            </w:tcBorders>
            <w:vAlign w:val="center"/>
          </w:tcPr>
          <w:p w14:paraId="3EF73CA8" w14:textId="29BFD248" w:rsidR="001D23FE" w:rsidRPr="00A12AF1" w:rsidRDefault="003F336A" w:rsidP="003F336A">
            <w:pPr>
              <w:pStyle w:val="para1"/>
              <w:ind w:firstLine="0"/>
              <w:jc w:val="center"/>
              <w:rPr>
                <w:sz w:val="24"/>
                <w:szCs w:val="24"/>
                <w:lang w:bidi="en-US"/>
              </w:rPr>
            </w:pPr>
            <w:r>
              <w:rPr>
                <w:sz w:val="24"/>
                <w:szCs w:val="24"/>
                <w:lang w:bidi="en-US"/>
              </w:rPr>
              <w:t>59.4%-</w:t>
            </w:r>
            <w:r w:rsidR="003D6197">
              <w:rPr>
                <w:sz w:val="24"/>
                <w:szCs w:val="24"/>
                <w:lang w:bidi="en-US"/>
              </w:rPr>
              <w:t>40.6%</w:t>
            </w:r>
          </w:p>
        </w:tc>
        <w:tc>
          <w:tcPr>
            <w:tcW w:w="2750" w:type="dxa"/>
            <w:tcBorders>
              <w:top w:val="nil"/>
              <w:left w:val="nil"/>
              <w:bottom w:val="nil"/>
            </w:tcBorders>
            <w:vAlign w:val="center"/>
          </w:tcPr>
          <w:p w14:paraId="2DDEDB90" w14:textId="71F98C76" w:rsidR="001D23FE" w:rsidRPr="00A12AF1" w:rsidRDefault="00A12AF1" w:rsidP="003F336A">
            <w:pPr>
              <w:pStyle w:val="para1"/>
              <w:ind w:firstLine="0"/>
              <w:jc w:val="center"/>
              <w:rPr>
                <w:sz w:val="24"/>
                <w:szCs w:val="24"/>
                <w:lang w:bidi="en-US"/>
              </w:rPr>
            </w:pPr>
            <w:r w:rsidRPr="00A12AF1">
              <w:rPr>
                <w:sz w:val="24"/>
                <w:szCs w:val="24"/>
                <w:lang w:bidi="en-US"/>
              </w:rPr>
              <w:t>59.0%-41.0%</w:t>
            </w:r>
          </w:p>
        </w:tc>
      </w:tr>
      <w:tr w:rsidR="001D23FE" w:rsidRPr="00A12AF1" w14:paraId="3C9F5A50" w14:textId="77777777" w:rsidTr="00B76373">
        <w:trPr>
          <w:trHeight w:val="504"/>
        </w:trPr>
        <w:tc>
          <w:tcPr>
            <w:tcW w:w="3352" w:type="dxa"/>
            <w:tcBorders>
              <w:top w:val="nil"/>
              <w:bottom w:val="nil"/>
              <w:right w:val="nil"/>
            </w:tcBorders>
            <w:vAlign w:val="center"/>
          </w:tcPr>
          <w:p w14:paraId="10A6E97B" w14:textId="1BB2BC5B" w:rsidR="001D23FE" w:rsidRPr="00A12AF1" w:rsidRDefault="001D23FE" w:rsidP="003F336A">
            <w:pPr>
              <w:pStyle w:val="para1"/>
              <w:ind w:firstLine="0"/>
              <w:jc w:val="center"/>
              <w:rPr>
                <w:sz w:val="24"/>
                <w:szCs w:val="24"/>
                <w:lang w:bidi="en-US"/>
              </w:rPr>
            </w:pPr>
            <w:r w:rsidRPr="00A12AF1">
              <w:rPr>
                <w:sz w:val="24"/>
                <w:szCs w:val="24"/>
                <w:lang w:bidi="en-US"/>
              </w:rPr>
              <w:t>Liquid density (mol/cm</w:t>
            </w:r>
            <w:r w:rsidRPr="00A12AF1">
              <w:rPr>
                <w:sz w:val="24"/>
                <w:szCs w:val="24"/>
                <w:vertAlign w:val="superscript"/>
                <w:lang w:bidi="en-US"/>
              </w:rPr>
              <w:t>3</w:t>
            </w:r>
            <w:r w:rsidRPr="00A12AF1">
              <w:rPr>
                <w:sz w:val="24"/>
                <w:szCs w:val="24"/>
                <w:lang w:bidi="en-US"/>
              </w:rPr>
              <w:t>)</w:t>
            </w:r>
          </w:p>
        </w:tc>
        <w:tc>
          <w:tcPr>
            <w:tcW w:w="2610" w:type="dxa"/>
            <w:tcBorders>
              <w:top w:val="nil"/>
              <w:left w:val="nil"/>
              <w:bottom w:val="nil"/>
              <w:right w:val="nil"/>
            </w:tcBorders>
            <w:vAlign w:val="center"/>
          </w:tcPr>
          <w:p w14:paraId="6E57C68F" w14:textId="056A0D98" w:rsidR="001D23FE" w:rsidRPr="00A12AF1" w:rsidRDefault="00FB4673" w:rsidP="003F336A">
            <w:pPr>
              <w:pStyle w:val="para1"/>
              <w:ind w:firstLine="0"/>
              <w:jc w:val="center"/>
              <w:rPr>
                <w:sz w:val="24"/>
                <w:szCs w:val="24"/>
                <w:lang w:bidi="en-US"/>
              </w:rPr>
            </w:pPr>
            <w:r>
              <w:rPr>
                <w:sz w:val="24"/>
                <w:szCs w:val="24"/>
                <w:lang w:bidi="en-US"/>
              </w:rPr>
              <w:t>0.0167</w:t>
            </w:r>
          </w:p>
        </w:tc>
        <w:tc>
          <w:tcPr>
            <w:tcW w:w="2750" w:type="dxa"/>
            <w:tcBorders>
              <w:top w:val="nil"/>
              <w:left w:val="nil"/>
              <w:bottom w:val="nil"/>
            </w:tcBorders>
            <w:vAlign w:val="center"/>
          </w:tcPr>
          <w:p w14:paraId="3869599B" w14:textId="0EDD6554" w:rsidR="001D23FE" w:rsidRPr="00A12AF1" w:rsidRDefault="00FB4673" w:rsidP="003F336A">
            <w:pPr>
              <w:pStyle w:val="para1"/>
              <w:ind w:firstLine="0"/>
              <w:jc w:val="center"/>
              <w:rPr>
                <w:sz w:val="24"/>
                <w:szCs w:val="24"/>
                <w:lang w:bidi="en-US"/>
              </w:rPr>
            </w:pPr>
            <w:r w:rsidRPr="00A12AF1">
              <w:rPr>
                <w:sz w:val="24"/>
                <w:szCs w:val="24"/>
                <w:lang w:bidi="en-US"/>
              </w:rPr>
              <w:t>0.0170</w:t>
            </w:r>
          </w:p>
        </w:tc>
      </w:tr>
      <w:tr w:rsidR="001D23FE" w:rsidRPr="00A12AF1" w14:paraId="2CE475C9" w14:textId="77777777" w:rsidTr="00B76373">
        <w:trPr>
          <w:trHeight w:val="504"/>
        </w:trPr>
        <w:tc>
          <w:tcPr>
            <w:tcW w:w="3352" w:type="dxa"/>
            <w:tcBorders>
              <w:top w:val="nil"/>
              <w:bottom w:val="nil"/>
              <w:right w:val="nil"/>
            </w:tcBorders>
            <w:vAlign w:val="center"/>
          </w:tcPr>
          <w:p w14:paraId="0683435D" w14:textId="79B2AA24" w:rsidR="001D23FE" w:rsidRPr="00A12AF1" w:rsidRDefault="001D23FE" w:rsidP="003F336A">
            <w:pPr>
              <w:pStyle w:val="para1"/>
              <w:ind w:firstLine="0"/>
              <w:jc w:val="center"/>
              <w:rPr>
                <w:sz w:val="24"/>
                <w:szCs w:val="24"/>
                <w:lang w:bidi="en-US"/>
              </w:rPr>
            </w:pPr>
            <w:r w:rsidRPr="00A12AF1">
              <w:rPr>
                <w:sz w:val="24"/>
                <w:szCs w:val="24"/>
                <w:lang w:bidi="en-US"/>
              </w:rPr>
              <w:t>C1-nC4 composition in vapor</w:t>
            </w:r>
          </w:p>
        </w:tc>
        <w:tc>
          <w:tcPr>
            <w:tcW w:w="2610" w:type="dxa"/>
            <w:tcBorders>
              <w:top w:val="nil"/>
              <w:left w:val="nil"/>
              <w:bottom w:val="nil"/>
              <w:right w:val="nil"/>
            </w:tcBorders>
            <w:vAlign w:val="center"/>
          </w:tcPr>
          <w:p w14:paraId="74BBF131" w14:textId="5A823C99" w:rsidR="001D23FE" w:rsidRPr="00A12AF1" w:rsidRDefault="00D3626D" w:rsidP="003F336A">
            <w:pPr>
              <w:pStyle w:val="para1"/>
              <w:ind w:firstLine="0"/>
              <w:jc w:val="center"/>
              <w:rPr>
                <w:sz w:val="24"/>
                <w:szCs w:val="24"/>
                <w:lang w:bidi="en-US"/>
              </w:rPr>
            </w:pPr>
            <w:r>
              <w:rPr>
                <w:rFonts w:hint="eastAsia"/>
                <w:sz w:val="24"/>
                <w:szCs w:val="24"/>
                <w:lang w:bidi="en-US"/>
              </w:rPr>
              <w:t>99.7</w:t>
            </w:r>
            <w:r w:rsidR="00FB4673">
              <w:rPr>
                <w:rFonts w:hint="eastAsia"/>
                <w:sz w:val="24"/>
                <w:szCs w:val="24"/>
                <w:lang w:bidi="en-US"/>
              </w:rPr>
              <w:t>%-0.3%</w:t>
            </w:r>
          </w:p>
        </w:tc>
        <w:tc>
          <w:tcPr>
            <w:tcW w:w="2750" w:type="dxa"/>
            <w:tcBorders>
              <w:top w:val="nil"/>
              <w:left w:val="nil"/>
              <w:bottom w:val="nil"/>
            </w:tcBorders>
            <w:vAlign w:val="center"/>
          </w:tcPr>
          <w:p w14:paraId="6920DDA8" w14:textId="3865831B" w:rsidR="001D23FE" w:rsidRPr="00A12AF1" w:rsidRDefault="00A12AF1" w:rsidP="003F336A">
            <w:pPr>
              <w:pStyle w:val="para1"/>
              <w:ind w:firstLine="0"/>
              <w:jc w:val="center"/>
              <w:rPr>
                <w:sz w:val="24"/>
                <w:szCs w:val="24"/>
                <w:lang w:bidi="en-US"/>
              </w:rPr>
            </w:pPr>
            <w:r w:rsidRPr="00A12AF1">
              <w:rPr>
                <w:sz w:val="24"/>
                <w:szCs w:val="24"/>
                <w:lang w:bidi="en-US"/>
              </w:rPr>
              <w:t>99.8%-0.2%</w:t>
            </w:r>
          </w:p>
        </w:tc>
      </w:tr>
      <w:tr w:rsidR="001D23FE" w:rsidRPr="00A12AF1" w14:paraId="1A13E91E" w14:textId="77777777" w:rsidTr="00B76373">
        <w:trPr>
          <w:trHeight w:val="504"/>
        </w:trPr>
        <w:tc>
          <w:tcPr>
            <w:tcW w:w="3352" w:type="dxa"/>
            <w:tcBorders>
              <w:top w:val="nil"/>
              <w:right w:val="nil"/>
            </w:tcBorders>
            <w:vAlign w:val="center"/>
          </w:tcPr>
          <w:p w14:paraId="0D9D32A5" w14:textId="1E79020E" w:rsidR="001D23FE" w:rsidRPr="00A12AF1" w:rsidRDefault="001D23FE" w:rsidP="003F336A">
            <w:pPr>
              <w:pStyle w:val="para1"/>
              <w:ind w:firstLine="0"/>
              <w:jc w:val="center"/>
              <w:rPr>
                <w:sz w:val="24"/>
                <w:szCs w:val="24"/>
                <w:lang w:bidi="en-US"/>
              </w:rPr>
            </w:pPr>
            <w:r w:rsidRPr="00A12AF1">
              <w:rPr>
                <w:sz w:val="24"/>
                <w:szCs w:val="24"/>
                <w:lang w:bidi="en-US"/>
              </w:rPr>
              <w:t>Vapor density (mol/cm</w:t>
            </w:r>
            <w:r w:rsidRPr="00A12AF1">
              <w:rPr>
                <w:sz w:val="24"/>
                <w:szCs w:val="24"/>
                <w:vertAlign w:val="superscript"/>
                <w:lang w:bidi="en-US"/>
              </w:rPr>
              <w:t>3</w:t>
            </w:r>
            <w:r w:rsidRPr="00A12AF1">
              <w:rPr>
                <w:sz w:val="24"/>
                <w:szCs w:val="24"/>
                <w:lang w:bidi="en-US"/>
              </w:rPr>
              <w:t>)</w:t>
            </w:r>
          </w:p>
        </w:tc>
        <w:tc>
          <w:tcPr>
            <w:tcW w:w="2610" w:type="dxa"/>
            <w:tcBorders>
              <w:top w:val="nil"/>
              <w:left w:val="nil"/>
              <w:right w:val="nil"/>
            </w:tcBorders>
            <w:vAlign w:val="center"/>
          </w:tcPr>
          <w:p w14:paraId="62AC898E" w14:textId="3F8E7DE4" w:rsidR="001D23FE" w:rsidRPr="00A12AF1" w:rsidRDefault="007A27FD" w:rsidP="003F336A">
            <w:pPr>
              <w:pStyle w:val="para1"/>
              <w:ind w:firstLine="0"/>
              <w:jc w:val="center"/>
              <w:rPr>
                <w:sz w:val="24"/>
                <w:szCs w:val="24"/>
                <w:lang w:bidi="en-US"/>
              </w:rPr>
            </w:pPr>
            <w:r>
              <w:rPr>
                <w:rFonts w:hint="eastAsia"/>
                <w:sz w:val="24"/>
                <w:szCs w:val="24"/>
                <w:lang w:bidi="en-US"/>
              </w:rPr>
              <w:t>0.0035</w:t>
            </w:r>
          </w:p>
        </w:tc>
        <w:tc>
          <w:tcPr>
            <w:tcW w:w="2750" w:type="dxa"/>
            <w:tcBorders>
              <w:top w:val="nil"/>
              <w:left w:val="nil"/>
            </w:tcBorders>
            <w:vAlign w:val="center"/>
          </w:tcPr>
          <w:p w14:paraId="1025ED79" w14:textId="5E850C39" w:rsidR="001D23FE" w:rsidRPr="00A12AF1" w:rsidRDefault="00FB4673" w:rsidP="003F336A">
            <w:pPr>
              <w:pStyle w:val="para1"/>
              <w:ind w:firstLine="0"/>
              <w:jc w:val="center"/>
              <w:rPr>
                <w:sz w:val="24"/>
                <w:szCs w:val="24"/>
                <w:lang w:bidi="en-US"/>
              </w:rPr>
            </w:pPr>
            <w:r>
              <w:rPr>
                <w:rFonts w:hint="eastAsia"/>
                <w:sz w:val="24"/>
                <w:szCs w:val="24"/>
                <w:lang w:bidi="en-US"/>
              </w:rPr>
              <w:t>0.0032</w:t>
            </w:r>
          </w:p>
        </w:tc>
      </w:tr>
    </w:tbl>
    <w:p w14:paraId="18537B67" w14:textId="77777777" w:rsidR="007D65E5" w:rsidRPr="00A12AF1" w:rsidRDefault="007D65E5" w:rsidP="007D65E5">
      <w:pPr>
        <w:pStyle w:val="para1"/>
        <w:rPr>
          <w:sz w:val="24"/>
          <w:szCs w:val="24"/>
          <w:lang w:bidi="en-US"/>
        </w:rPr>
      </w:pPr>
    </w:p>
    <w:p w14:paraId="691A8870" w14:textId="77777777" w:rsidR="007D65E5" w:rsidRDefault="007D65E5" w:rsidP="007D65E5">
      <w:pPr>
        <w:pStyle w:val="para1"/>
        <w:rPr>
          <w:lang w:bidi="en-US"/>
        </w:rPr>
      </w:pPr>
    </w:p>
    <w:p w14:paraId="27705246" w14:textId="77777777" w:rsidR="0084043F" w:rsidRDefault="0084043F" w:rsidP="007D65E5">
      <w:pPr>
        <w:pStyle w:val="para1"/>
        <w:rPr>
          <w:lang w:bidi="en-US"/>
        </w:rPr>
      </w:pPr>
    </w:p>
    <w:p w14:paraId="573621D6" w14:textId="2BB0A737" w:rsidR="00216EFB" w:rsidRDefault="00216EFB" w:rsidP="00216EFB">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As we can see from Table 7.2, </w:t>
      </w:r>
      <w:r w:rsidR="00624AD5">
        <w:rPr>
          <w:rFonts w:asciiTheme="minorHAnsi" w:hAnsi="Arial" w:cs="Arial" w:hint="eastAsia"/>
          <w:sz w:val="24"/>
          <w:szCs w:val="24"/>
          <w:lang w:eastAsia="zh-CN" w:bidi="en-US"/>
        </w:rPr>
        <w:t xml:space="preserve">the results from MD simulation and PR-EOS consist with each other for both liquid and vapor </w:t>
      </w:r>
      <w:r w:rsidR="00D72B8A">
        <w:rPr>
          <w:rFonts w:asciiTheme="minorHAnsi" w:hAnsi="Arial" w:cs="Arial"/>
          <w:sz w:val="24"/>
          <w:szCs w:val="24"/>
          <w:lang w:eastAsia="zh-CN" w:bidi="en-US"/>
        </w:rPr>
        <w:t xml:space="preserve">fluid </w:t>
      </w:r>
      <w:r w:rsidR="00624AD5">
        <w:rPr>
          <w:rFonts w:asciiTheme="minorHAnsi" w:hAnsi="Arial" w:cs="Arial" w:hint="eastAsia"/>
          <w:sz w:val="24"/>
          <w:szCs w:val="24"/>
          <w:lang w:eastAsia="zh-CN" w:bidi="en-US"/>
        </w:rPr>
        <w:t>property predictions.</w:t>
      </w:r>
      <w:r w:rsidR="006D1884">
        <w:rPr>
          <w:rFonts w:asciiTheme="minorHAnsi" w:hAnsi="Arial" w:cs="Arial" w:hint="eastAsia"/>
          <w:sz w:val="24"/>
          <w:szCs w:val="24"/>
          <w:lang w:eastAsia="zh-CN" w:bidi="en-US"/>
        </w:rPr>
        <w:t xml:space="preserve"> The results give confidence that the MD simulations are able to capture the </w:t>
      </w:r>
      <w:r w:rsidR="00A405B7">
        <w:rPr>
          <w:rFonts w:asciiTheme="minorHAnsi" w:hAnsi="Arial" w:cs="Arial"/>
          <w:sz w:val="24"/>
          <w:szCs w:val="24"/>
          <w:lang w:eastAsia="zh-CN" w:bidi="en-US"/>
        </w:rPr>
        <w:t>phase behavior of hydrocarbon mixtures precisely.</w:t>
      </w:r>
    </w:p>
    <w:p w14:paraId="75B7FBAF" w14:textId="6AB710E2" w:rsidR="007D65E5" w:rsidRDefault="007D65E5" w:rsidP="00216EFB">
      <w:pPr>
        <w:pStyle w:val="para1"/>
        <w:ind w:firstLine="0"/>
        <w:rPr>
          <w:lang w:bidi="en-US"/>
        </w:rPr>
      </w:pPr>
    </w:p>
    <w:p w14:paraId="2E3F6D33" w14:textId="77777777" w:rsidR="007D65E5" w:rsidRDefault="007D65E5" w:rsidP="007D65E5">
      <w:pPr>
        <w:pStyle w:val="para1"/>
        <w:rPr>
          <w:lang w:bidi="en-US"/>
        </w:rPr>
      </w:pPr>
    </w:p>
    <w:p w14:paraId="524D047C" w14:textId="77777777" w:rsidR="007D65E5" w:rsidRPr="007D65E5" w:rsidRDefault="007D65E5" w:rsidP="007D65E5">
      <w:pPr>
        <w:pStyle w:val="para1"/>
        <w:rPr>
          <w:lang w:bidi="en-US"/>
        </w:rPr>
      </w:pPr>
    </w:p>
    <w:p w14:paraId="637459D6" w14:textId="77777777" w:rsidR="0085272D" w:rsidRDefault="0096367E" w:rsidP="00764EEC">
      <w:pPr>
        <w:pStyle w:val="Head1"/>
        <w:jc w:val="both"/>
        <w:outlineLvl w:val="1"/>
        <w:rPr>
          <w:rFonts w:asciiTheme="majorHAnsi" w:hAnsiTheme="majorHAnsi"/>
          <w:bCs/>
          <w:iCs/>
          <w:szCs w:val="28"/>
          <w:lang w:eastAsia="zh-CN"/>
        </w:rPr>
      </w:pPr>
      <w:bookmarkStart w:id="56" w:name="_Toc508114172"/>
      <w:r>
        <w:rPr>
          <w:rFonts w:asciiTheme="majorHAnsi" w:hAnsiTheme="majorHAnsi" w:hint="eastAsia"/>
          <w:bCs/>
          <w:iCs/>
          <w:szCs w:val="28"/>
          <w:lang w:eastAsia="zh-CN"/>
        </w:rPr>
        <w:t>7.3 Investigate Confined Hydrocarbon Mixture Fluid Behavior in Organic Nanopores</w:t>
      </w:r>
      <w:r w:rsidR="003F3293">
        <w:rPr>
          <w:rFonts w:asciiTheme="majorHAnsi" w:hAnsiTheme="majorHAnsi"/>
          <w:bCs/>
          <w:iCs/>
          <w:szCs w:val="28"/>
          <w:lang w:eastAsia="zh-CN"/>
        </w:rPr>
        <w:t xml:space="preserve"> </w:t>
      </w:r>
      <w:r w:rsidR="003F3293">
        <w:rPr>
          <w:rFonts w:asciiTheme="majorHAnsi" w:hAnsiTheme="majorHAnsi" w:hint="eastAsia"/>
          <w:bCs/>
          <w:iCs/>
          <w:szCs w:val="28"/>
          <w:lang w:eastAsia="zh-CN"/>
        </w:rPr>
        <w:t>Using Molecular Dynamic</w:t>
      </w:r>
      <w:r w:rsidR="00E848F9">
        <w:rPr>
          <w:rFonts w:asciiTheme="majorHAnsi" w:hAnsiTheme="majorHAnsi" w:hint="eastAsia"/>
          <w:bCs/>
          <w:iCs/>
          <w:szCs w:val="28"/>
          <w:lang w:eastAsia="zh-CN"/>
        </w:rPr>
        <w:t>s</w:t>
      </w:r>
      <w:r w:rsidR="003F3293">
        <w:rPr>
          <w:rFonts w:asciiTheme="majorHAnsi" w:hAnsiTheme="majorHAnsi" w:hint="eastAsia"/>
          <w:bCs/>
          <w:iCs/>
          <w:szCs w:val="28"/>
          <w:lang w:eastAsia="zh-CN"/>
        </w:rPr>
        <w:t xml:space="preserve"> Simulation</w:t>
      </w:r>
      <w:r w:rsidR="00E848F9">
        <w:rPr>
          <w:rFonts w:asciiTheme="majorHAnsi" w:hAnsiTheme="majorHAnsi" w:hint="eastAsia"/>
          <w:bCs/>
          <w:iCs/>
          <w:szCs w:val="28"/>
          <w:lang w:eastAsia="zh-CN"/>
        </w:rPr>
        <w:t>s</w:t>
      </w:r>
      <w:bookmarkEnd w:id="56"/>
    </w:p>
    <w:p w14:paraId="01A7436F" w14:textId="21308757" w:rsidR="0085272D" w:rsidRDefault="00493012" w:rsidP="00383E12">
      <w:pPr>
        <w:pStyle w:val="para"/>
        <w:spacing w:after="100" w:afterAutospacing="1" w:line="480" w:lineRule="auto"/>
        <w:rPr>
          <w:rFonts w:asciiTheme="minorHAnsi" w:hAnsi="Arial" w:cs="Arial"/>
          <w:sz w:val="24"/>
          <w:szCs w:val="24"/>
          <w:lang w:eastAsia="zh-CN" w:bidi="en-US"/>
        </w:rPr>
      </w:pPr>
      <w:r>
        <w:rPr>
          <w:rFonts w:asciiTheme="minorHAnsi" w:hAnsi="Arial" w:cs="Arial"/>
          <w:sz w:val="24"/>
          <w:szCs w:val="24"/>
          <w:lang w:eastAsia="zh-CN" w:bidi="en-US"/>
        </w:rPr>
        <w:t>In</w:t>
      </w:r>
      <w:r>
        <w:rPr>
          <w:rFonts w:asciiTheme="minorHAnsi" w:hAnsi="Arial" w:cs="Arial" w:hint="eastAsia"/>
          <w:sz w:val="24"/>
          <w:szCs w:val="24"/>
          <w:lang w:eastAsia="zh-CN" w:bidi="en-US"/>
        </w:rPr>
        <w:t xml:space="preserve"> the pre</w:t>
      </w:r>
      <w:r>
        <w:rPr>
          <w:rFonts w:asciiTheme="minorHAnsi" w:hAnsi="Arial" w:cs="Arial"/>
          <w:sz w:val="24"/>
          <w:szCs w:val="24"/>
          <w:lang w:eastAsia="zh-CN" w:bidi="en-US"/>
        </w:rPr>
        <w:t xml:space="preserve">vious section, </w:t>
      </w:r>
      <w:r w:rsidR="00EE7397">
        <w:rPr>
          <w:rFonts w:asciiTheme="minorHAnsi" w:hAnsi="Arial" w:cs="Arial"/>
          <w:sz w:val="24"/>
          <w:szCs w:val="24"/>
          <w:lang w:eastAsia="zh-CN" w:bidi="en-US"/>
        </w:rPr>
        <w:t xml:space="preserve">MD </w:t>
      </w:r>
      <w:r w:rsidR="005B57FB">
        <w:rPr>
          <w:rFonts w:asciiTheme="minorHAnsi" w:hAnsi="Arial" w:cs="Arial" w:hint="eastAsia"/>
          <w:sz w:val="24"/>
          <w:szCs w:val="24"/>
          <w:lang w:eastAsia="zh-CN" w:bidi="en-US"/>
        </w:rPr>
        <w:t>simulation was performed to predict the l</w:t>
      </w:r>
      <w:r w:rsidR="00DF7D67">
        <w:rPr>
          <w:rFonts w:asciiTheme="minorHAnsi" w:hAnsi="Arial" w:cs="Arial" w:hint="eastAsia"/>
          <w:sz w:val="24"/>
          <w:szCs w:val="24"/>
          <w:lang w:eastAsia="zh-CN" w:bidi="en-US"/>
        </w:rPr>
        <w:t>iquid-vapor phase separation processes of C1/n-C4 binary mixture</w:t>
      </w:r>
      <w:r w:rsidR="00EC5BFE">
        <w:rPr>
          <w:rFonts w:asciiTheme="minorHAnsi" w:hAnsi="Arial" w:cs="Arial" w:hint="eastAsia"/>
          <w:sz w:val="24"/>
          <w:szCs w:val="24"/>
          <w:lang w:eastAsia="zh-CN" w:bidi="en-US"/>
        </w:rPr>
        <w:t xml:space="preserve"> in bulk. The results </w:t>
      </w:r>
      <w:r w:rsidR="00383E12">
        <w:rPr>
          <w:rFonts w:asciiTheme="minorHAnsi" w:hAnsi="Arial" w:cs="Arial" w:hint="eastAsia"/>
          <w:sz w:val="24"/>
          <w:szCs w:val="24"/>
          <w:lang w:eastAsia="zh-CN" w:bidi="en-US"/>
        </w:rPr>
        <w:t xml:space="preserve">were compared with PR-EOS and gave good match. In this section, MD simulations were extended to investigate the fluid </w:t>
      </w:r>
      <w:r w:rsidR="00383E12">
        <w:rPr>
          <w:rFonts w:asciiTheme="minorHAnsi" w:hAnsi="Arial" w:cs="Arial"/>
          <w:sz w:val="24"/>
          <w:szCs w:val="24"/>
          <w:lang w:eastAsia="zh-CN" w:bidi="en-US"/>
        </w:rPr>
        <w:t>behavior</w:t>
      </w:r>
      <w:r w:rsidR="00383E12">
        <w:rPr>
          <w:rFonts w:asciiTheme="minorHAnsi" w:hAnsi="Arial" w:cs="Arial" w:hint="eastAsia"/>
          <w:sz w:val="24"/>
          <w:szCs w:val="24"/>
          <w:lang w:eastAsia="zh-CN" w:bidi="en-US"/>
        </w:rPr>
        <w:t xml:space="preserve"> in confined space rather than in bulk. Attractive </w:t>
      </w:r>
      <w:r w:rsidR="00383E12">
        <w:rPr>
          <w:rFonts w:asciiTheme="minorHAnsi" w:hAnsi="Arial" w:cs="Arial"/>
          <w:sz w:val="24"/>
          <w:szCs w:val="24"/>
          <w:lang w:eastAsia="zh-CN" w:bidi="en-US"/>
        </w:rPr>
        <w:t>graphite</w:t>
      </w:r>
      <w:r w:rsidR="00383E12">
        <w:rPr>
          <w:rFonts w:asciiTheme="minorHAnsi" w:hAnsi="Arial" w:cs="Arial" w:hint="eastAsia"/>
          <w:sz w:val="24"/>
          <w:szCs w:val="24"/>
          <w:lang w:eastAsia="zh-CN" w:bidi="en-US"/>
        </w:rPr>
        <w:t xml:space="preserve"> walls were implemented into the system to represent confinement.</w:t>
      </w:r>
    </w:p>
    <w:p w14:paraId="08D2B7E5" w14:textId="75DB633E" w:rsidR="0085272D" w:rsidRDefault="00B96DAA" w:rsidP="00142AED">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In the first simulation, two graphite sheets </w:t>
      </w:r>
      <w:r w:rsidR="004E6F5C">
        <w:rPr>
          <w:rFonts w:asciiTheme="minorHAnsi" w:hAnsi="Arial" w:cs="Arial" w:hint="eastAsia"/>
          <w:sz w:val="24"/>
          <w:szCs w:val="24"/>
          <w:lang w:eastAsia="zh-CN" w:bidi="en-US"/>
        </w:rPr>
        <w:t xml:space="preserve">spacing 5 nm were generated to represent an organic pore with </w:t>
      </w:r>
      <w:r w:rsidR="00142AED">
        <w:rPr>
          <w:rFonts w:asciiTheme="minorHAnsi" w:hAnsi="Arial" w:cs="Arial" w:hint="eastAsia"/>
          <w:sz w:val="24"/>
          <w:szCs w:val="24"/>
          <w:lang w:eastAsia="zh-CN" w:bidi="en-US"/>
        </w:rPr>
        <w:t xml:space="preserve">uniform </w:t>
      </w:r>
      <w:r w:rsidR="00142AED">
        <w:rPr>
          <w:rFonts w:asciiTheme="minorHAnsi" w:hAnsi="Arial" w:cs="Arial"/>
          <w:sz w:val="24"/>
          <w:szCs w:val="24"/>
          <w:lang w:eastAsia="zh-CN" w:bidi="en-US"/>
        </w:rPr>
        <w:t>width</w:t>
      </w:r>
      <w:r w:rsidR="00142AED">
        <w:rPr>
          <w:rFonts w:asciiTheme="minorHAnsi" w:hAnsi="Arial" w:cs="Arial" w:hint="eastAsia"/>
          <w:sz w:val="24"/>
          <w:szCs w:val="24"/>
          <w:lang w:eastAsia="zh-CN" w:bidi="en-US"/>
        </w:rPr>
        <w:t xml:space="preserve"> of 5 nm.</w:t>
      </w:r>
      <w:r w:rsidR="00C21DEE">
        <w:rPr>
          <w:rFonts w:asciiTheme="minorHAnsi" w:hAnsi="Arial" w:cs="Arial" w:hint="eastAsia"/>
          <w:sz w:val="24"/>
          <w:szCs w:val="24"/>
          <w:lang w:eastAsia="zh-CN" w:bidi="en-US"/>
        </w:rPr>
        <w:t xml:space="preserve"> </w:t>
      </w:r>
      <w:r w:rsidR="005C0629">
        <w:rPr>
          <w:rFonts w:asciiTheme="minorHAnsi" w:hAnsi="Arial" w:cs="Arial" w:hint="eastAsia"/>
          <w:sz w:val="24"/>
          <w:szCs w:val="24"/>
          <w:lang w:eastAsia="zh-CN" w:bidi="en-US"/>
        </w:rPr>
        <w:t xml:space="preserve">Inside the pore, </w:t>
      </w:r>
      <w:r w:rsidR="00FB5804">
        <w:rPr>
          <w:rFonts w:asciiTheme="minorHAnsi" w:hAnsi="Arial" w:cs="Arial" w:hint="eastAsia"/>
          <w:sz w:val="24"/>
          <w:szCs w:val="24"/>
          <w:lang w:eastAsia="zh-CN" w:bidi="en-US"/>
        </w:rPr>
        <w:t xml:space="preserve">a total of 2,800 hydrocarbon molecules including 2,500 methane molecules (color in blue) and 300 n-butane (color in red) molecules were placed randomly inside the pore, as shown in </w:t>
      </w:r>
      <w:r w:rsidR="00FB5804" w:rsidRPr="00255C1A">
        <w:rPr>
          <w:rFonts w:asciiTheme="minorHAnsi" w:hAnsi="Arial" w:cs="Arial" w:hint="eastAsia"/>
          <w:b/>
          <w:sz w:val="24"/>
          <w:szCs w:val="24"/>
          <w:lang w:eastAsia="zh-CN" w:bidi="en-US"/>
        </w:rPr>
        <w:t>Figure 7.3</w:t>
      </w:r>
      <w:r w:rsidR="00FB5804">
        <w:rPr>
          <w:rFonts w:asciiTheme="minorHAnsi" w:hAnsi="Arial" w:cs="Arial" w:hint="eastAsia"/>
          <w:sz w:val="24"/>
          <w:szCs w:val="24"/>
          <w:lang w:eastAsia="zh-CN" w:bidi="en-US"/>
        </w:rPr>
        <w:t xml:space="preserve">. </w:t>
      </w:r>
    </w:p>
    <w:p w14:paraId="15FD2421" w14:textId="1D09AFE7" w:rsidR="008E3024" w:rsidRDefault="008E3024" w:rsidP="00142AED">
      <w:pPr>
        <w:pStyle w:val="para1"/>
        <w:spacing w:after="100" w:afterAutospacing="1" w:line="480" w:lineRule="auto"/>
        <w:ind w:firstLine="0"/>
        <w:rPr>
          <w:lang w:eastAsia="zh-CN"/>
        </w:rPr>
      </w:pPr>
      <w:r>
        <w:rPr>
          <w:rFonts w:hint="eastAsia"/>
          <w:noProof/>
          <w:lang w:eastAsia="zh-CN"/>
        </w:rPr>
        <w:drawing>
          <wp:inline distT="0" distB="0" distL="0" distR="0" wp14:anchorId="652469BC" wp14:editId="77B2AFA8">
            <wp:extent cx="5384800" cy="4038600"/>
            <wp:effectExtent l="0" t="0" r="0" b="0"/>
            <wp:docPr id="36" name="Picture 36" descr="Figure%2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3" descr="Figure%207.3.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384800" cy="4038600"/>
                    </a:xfrm>
                    <a:prstGeom prst="rect">
                      <a:avLst/>
                    </a:prstGeom>
                    <a:noFill/>
                    <a:ln>
                      <a:noFill/>
                    </a:ln>
                  </pic:spPr>
                </pic:pic>
              </a:graphicData>
            </a:graphic>
          </wp:inline>
        </w:drawing>
      </w:r>
    </w:p>
    <w:p w14:paraId="07CAF540" w14:textId="3C935FAA" w:rsidR="008E3024" w:rsidRDefault="008E3024" w:rsidP="00255C1A">
      <w:pPr>
        <w:pStyle w:val="para1"/>
        <w:spacing w:after="100" w:afterAutospacing="1" w:line="480" w:lineRule="auto"/>
        <w:ind w:firstLine="0"/>
        <w:jc w:val="center"/>
        <w:rPr>
          <w:rFonts w:asciiTheme="minorHAnsi" w:hAnsiTheme="minorHAnsi" w:cstheme="minorHAnsi"/>
          <w:b/>
          <w:sz w:val="24"/>
          <w:szCs w:val="24"/>
          <w:lang w:bidi="en-US"/>
        </w:rPr>
      </w:pPr>
      <w:r>
        <w:rPr>
          <w:rFonts w:asciiTheme="minorHAnsi" w:hAnsiTheme="minorHAnsi" w:cstheme="minorHAnsi"/>
          <w:b/>
          <w:sz w:val="24"/>
          <w:szCs w:val="24"/>
          <w:lang w:bidi="en-US"/>
        </w:rPr>
        <w:t>Figure 7.3</w:t>
      </w:r>
      <w:r w:rsidRPr="00806573">
        <w:rPr>
          <w:rFonts w:asciiTheme="minorHAnsi" w:hAnsiTheme="minorHAnsi" w:cstheme="minorHAnsi"/>
          <w:b/>
          <w:sz w:val="24"/>
          <w:szCs w:val="24"/>
          <w:lang w:bidi="en-US"/>
        </w:rPr>
        <w:t>—</w:t>
      </w:r>
      <w:r>
        <w:rPr>
          <w:rFonts w:asciiTheme="minorHAnsi" w:hAnsiTheme="minorHAnsi" w:cstheme="minorHAnsi" w:hint="eastAsia"/>
          <w:b/>
          <w:sz w:val="24"/>
          <w:szCs w:val="24"/>
          <w:lang w:bidi="en-US"/>
        </w:rPr>
        <w:t xml:space="preserve">The initial configuration of the first simulation. </w:t>
      </w:r>
      <w:r w:rsidR="00255C1A" w:rsidRPr="00255C1A">
        <w:rPr>
          <w:rFonts w:asciiTheme="minorHAnsi" w:hAnsiTheme="minorHAnsi" w:cstheme="minorHAnsi" w:hint="eastAsia"/>
          <w:b/>
          <w:sz w:val="24"/>
          <w:szCs w:val="24"/>
          <w:lang w:bidi="en-US"/>
        </w:rPr>
        <w:t xml:space="preserve">Two graphite sheets represent an organic pore with uniform </w:t>
      </w:r>
      <w:r w:rsidR="00255C1A" w:rsidRPr="00255C1A">
        <w:rPr>
          <w:rFonts w:asciiTheme="minorHAnsi" w:hAnsiTheme="minorHAnsi" w:cstheme="minorHAnsi"/>
          <w:b/>
          <w:sz w:val="24"/>
          <w:szCs w:val="24"/>
          <w:lang w:bidi="en-US"/>
        </w:rPr>
        <w:t>width</w:t>
      </w:r>
      <w:r w:rsidR="00255C1A" w:rsidRPr="00255C1A">
        <w:rPr>
          <w:rFonts w:asciiTheme="minorHAnsi" w:hAnsiTheme="minorHAnsi" w:cstheme="minorHAnsi" w:hint="eastAsia"/>
          <w:b/>
          <w:sz w:val="24"/>
          <w:szCs w:val="24"/>
          <w:lang w:bidi="en-US"/>
        </w:rPr>
        <w:t xml:space="preserve"> of 5 nm. A total 2,500 methane molecules (color in blue) and 300 n-butane (color in red) molecules were placed randomly inside the pore</w:t>
      </w:r>
    </w:p>
    <w:p w14:paraId="17ADEBBD" w14:textId="77777777" w:rsidR="008E3024" w:rsidRDefault="008E3024" w:rsidP="00142AED">
      <w:pPr>
        <w:pStyle w:val="para1"/>
        <w:spacing w:after="100" w:afterAutospacing="1" w:line="480" w:lineRule="auto"/>
        <w:ind w:firstLine="0"/>
        <w:rPr>
          <w:rFonts w:asciiTheme="minorHAnsi" w:hAnsi="Arial" w:cs="Arial"/>
          <w:sz w:val="24"/>
          <w:szCs w:val="24"/>
          <w:lang w:eastAsia="zh-CN" w:bidi="en-US"/>
        </w:rPr>
      </w:pPr>
    </w:p>
    <w:p w14:paraId="25C8F7A4" w14:textId="2CE24C1F" w:rsidR="00255C1A" w:rsidRDefault="00255C1A" w:rsidP="00142AED">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The pore structure is designed to be fixed in the simulation, therefore, the pore volume does not change. NVT ensemble was adopted to handle situation like this where </w:t>
      </w:r>
      <w:r>
        <w:rPr>
          <w:rFonts w:asciiTheme="minorHAnsi" w:hAnsi="Arial" w:cs="Arial"/>
          <w:sz w:val="24"/>
          <w:szCs w:val="24"/>
          <w:lang w:eastAsia="zh-CN" w:bidi="en-US"/>
        </w:rPr>
        <w:t>the</w:t>
      </w:r>
      <w:r>
        <w:rPr>
          <w:rFonts w:asciiTheme="minorHAnsi" w:hAnsi="Arial" w:cs="Arial" w:hint="eastAsia"/>
          <w:sz w:val="24"/>
          <w:szCs w:val="24"/>
          <w:lang w:eastAsia="zh-CN" w:bidi="en-US"/>
        </w:rPr>
        <w:t xml:space="preserve"> system has a constant volume. </w:t>
      </w:r>
      <w:r w:rsidR="00EE5ED7">
        <w:rPr>
          <w:rFonts w:asciiTheme="minorHAnsi" w:hAnsi="Arial" w:cs="Arial" w:hint="eastAsia"/>
          <w:sz w:val="24"/>
          <w:szCs w:val="24"/>
          <w:lang w:eastAsia="zh-CN" w:bidi="en-US"/>
        </w:rPr>
        <w:t xml:space="preserve">The temperature was fixed to be </w:t>
      </w:r>
      <w:r w:rsidR="0012474B">
        <w:rPr>
          <w:rFonts w:asciiTheme="minorHAnsi" w:hAnsi="Arial" w:cs="Arial" w:hint="eastAsia"/>
          <w:sz w:val="24"/>
          <w:szCs w:val="24"/>
          <w:lang w:eastAsia="zh-CN" w:bidi="en-US"/>
        </w:rPr>
        <w:t>253.15 K</w:t>
      </w:r>
      <w:r w:rsidR="000D32FD">
        <w:rPr>
          <w:rFonts w:asciiTheme="minorHAnsi" w:hAnsi="Arial" w:cs="Arial" w:hint="eastAsia"/>
          <w:sz w:val="24"/>
          <w:szCs w:val="24"/>
          <w:lang w:eastAsia="zh-CN" w:bidi="en-US"/>
        </w:rPr>
        <w:t xml:space="preserve">. </w:t>
      </w:r>
      <w:r w:rsidR="00C02C4A">
        <w:rPr>
          <w:rFonts w:asciiTheme="minorHAnsi" w:hAnsi="Arial" w:cs="Arial" w:hint="eastAsia"/>
          <w:sz w:val="24"/>
          <w:szCs w:val="24"/>
          <w:lang w:eastAsia="zh-CN" w:bidi="en-US"/>
        </w:rPr>
        <w:t xml:space="preserve">Below in </w:t>
      </w:r>
      <w:r w:rsidR="00C02C4A" w:rsidRPr="00F20643">
        <w:rPr>
          <w:rFonts w:asciiTheme="minorHAnsi" w:hAnsi="Arial" w:cs="Arial" w:hint="eastAsia"/>
          <w:b/>
          <w:sz w:val="24"/>
          <w:szCs w:val="24"/>
          <w:lang w:eastAsia="zh-CN" w:bidi="en-US"/>
        </w:rPr>
        <w:t>Figure 7.4</w:t>
      </w:r>
      <w:r w:rsidR="00C02C4A">
        <w:rPr>
          <w:rFonts w:asciiTheme="minorHAnsi" w:hAnsi="Arial" w:cs="Arial" w:hint="eastAsia"/>
          <w:sz w:val="24"/>
          <w:szCs w:val="24"/>
          <w:lang w:eastAsia="zh-CN" w:bidi="en-US"/>
        </w:rPr>
        <w:t xml:space="preserve"> are the snapshots </w:t>
      </w:r>
      <w:r w:rsidR="00C02C4A">
        <w:rPr>
          <w:rFonts w:asciiTheme="minorHAnsi" w:hAnsi="Arial" w:cs="Arial"/>
          <w:sz w:val="24"/>
          <w:szCs w:val="24"/>
          <w:lang w:eastAsia="zh-CN" w:bidi="en-US"/>
        </w:rPr>
        <w:t xml:space="preserve">of the simulation where t = 0 ns, </w:t>
      </w:r>
      <w:r w:rsidR="00FF77E8">
        <w:rPr>
          <w:rFonts w:asciiTheme="minorHAnsi" w:hAnsi="Arial" w:cs="Arial"/>
          <w:sz w:val="24"/>
          <w:szCs w:val="24"/>
          <w:lang w:eastAsia="zh-CN" w:bidi="en-US"/>
        </w:rPr>
        <w:t>0.02</w:t>
      </w:r>
      <w:r w:rsidR="00C02C4A">
        <w:rPr>
          <w:rFonts w:asciiTheme="minorHAnsi" w:hAnsi="Arial" w:cs="Arial"/>
          <w:sz w:val="24"/>
          <w:szCs w:val="24"/>
          <w:lang w:eastAsia="zh-CN" w:bidi="en-US"/>
        </w:rPr>
        <w:t xml:space="preserve"> ns, </w:t>
      </w:r>
      <w:r w:rsidR="003D317A">
        <w:rPr>
          <w:rFonts w:asciiTheme="minorHAnsi" w:hAnsi="Arial" w:cs="Arial"/>
          <w:sz w:val="24"/>
          <w:szCs w:val="24"/>
          <w:lang w:eastAsia="zh-CN" w:bidi="en-US"/>
        </w:rPr>
        <w:t>0.074</w:t>
      </w:r>
      <w:r w:rsidR="008B2EB5">
        <w:rPr>
          <w:rFonts w:asciiTheme="minorHAnsi" w:hAnsi="Arial" w:cs="Arial"/>
          <w:sz w:val="24"/>
          <w:szCs w:val="24"/>
          <w:lang w:eastAsia="zh-CN" w:bidi="en-US"/>
        </w:rPr>
        <w:t xml:space="preserve"> ns and</w:t>
      </w:r>
      <w:r w:rsidR="00C02C4A">
        <w:rPr>
          <w:rFonts w:asciiTheme="minorHAnsi" w:hAnsi="Arial" w:cs="Arial"/>
          <w:sz w:val="24"/>
          <w:szCs w:val="24"/>
          <w:lang w:eastAsia="zh-CN" w:bidi="en-US"/>
        </w:rPr>
        <w:t xml:space="preserve"> </w:t>
      </w:r>
      <w:r w:rsidR="008B2EB5">
        <w:rPr>
          <w:rFonts w:asciiTheme="minorHAnsi" w:hAnsi="Arial" w:cs="Arial"/>
          <w:sz w:val="24"/>
          <w:szCs w:val="24"/>
          <w:lang w:eastAsia="zh-CN" w:bidi="en-US"/>
        </w:rPr>
        <w:t>0.</w:t>
      </w:r>
      <w:r w:rsidR="008B2EB5">
        <w:rPr>
          <w:rFonts w:asciiTheme="minorHAnsi" w:hAnsi="Arial" w:cs="Arial" w:hint="eastAsia"/>
          <w:sz w:val="24"/>
          <w:szCs w:val="24"/>
          <w:lang w:eastAsia="zh-CN" w:bidi="en-US"/>
        </w:rPr>
        <w:t>53</w:t>
      </w:r>
      <w:r w:rsidR="00C02C4A">
        <w:rPr>
          <w:rFonts w:asciiTheme="minorHAnsi" w:hAnsi="Arial" w:cs="Arial"/>
          <w:sz w:val="24"/>
          <w:szCs w:val="24"/>
          <w:lang w:eastAsia="zh-CN" w:bidi="en-US"/>
        </w:rPr>
        <w:t xml:space="preserve"> ns</w:t>
      </w:r>
      <w:r w:rsidR="008B2EB5">
        <w:rPr>
          <w:rFonts w:asciiTheme="minorHAnsi" w:hAnsi="Arial" w:cs="Arial" w:hint="eastAsia"/>
          <w:sz w:val="24"/>
          <w:szCs w:val="24"/>
          <w:lang w:eastAsia="zh-CN" w:bidi="en-US"/>
        </w:rPr>
        <w:t>:</w:t>
      </w:r>
    </w:p>
    <w:p w14:paraId="48562BFC" w14:textId="51A04828" w:rsidR="008B2EB5" w:rsidRDefault="00F20643" w:rsidP="00EB199B">
      <w:pPr>
        <w:pStyle w:val="para1"/>
        <w:spacing w:after="100" w:afterAutospacing="1" w:line="480" w:lineRule="auto"/>
        <w:ind w:firstLine="0"/>
        <w:jc w:val="center"/>
        <w:rPr>
          <w:rFonts w:asciiTheme="minorHAnsi" w:hAnsi="Arial" w:cs="Arial"/>
          <w:sz w:val="24"/>
          <w:szCs w:val="24"/>
          <w:lang w:eastAsia="zh-CN" w:bidi="en-US"/>
        </w:rPr>
      </w:pPr>
      <w:r>
        <w:rPr>
          <w:rFonts w:asciiTheme="minorHAnsi" w:hAnsi="Arial" w:cs="Arial" w:hint="eastAsia"/>
          <w:noProof/>
          <w:sz w:val="24"/>
          <w:szCs w:val="24"/>
          <w:lang w:eastAsia="zh-CN"/>
        </w:rPr>
        <w:drawing>
          <wp:inline distT="0" distB="0" distL="0" distR="0" wp14:anchorId="636A4578" wp14:editId="557F9766">
            <wp:extent cx="2477260" cy="1250315"/>
            <wp:effectExtent l="0" t="0" r="0" b="0"/>
            <wp:docPr id="57" name="Picture 57" descr="Figure%2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4" descr="Figure%207.3.png"/>
                    <pic:cNvPicPr>
                      <a:picLocks noChangeAspect="1" noChangeArrowheads="1"/>
                    </pic:cNvPicPr>
                  </pic:nvPicPr>
                  <pic:blipFill rotWithShape="1">
                    <a:blip r:embed="rId166">
                      <a:extLst>
                        <a:ext uri="{28A0092B-C50C-407E-A947-70E740481C1C}">
                          <a14:useLocalDpi xmlns:a14="http://schemas.microsoft.com/office/drawing/2010/main" val="0"/>
                        </a:ext>
                      </a:extLst>
                    </a:blip>
                    <a:srcRect t="16666" b="16038"/>
                    <a:stretch/>
                  </pic:blipFill>
                  <pic:spPr bwMode="auto">
                    <a:xfrm>
                      <a:off x="0" y="0"/>
                      <a:ext cx="2496732" cy="1260143"/>
                    </a:xfrm>
                    <a:prstGeom prst="rect">
                      <a:avLst/>
                    </a:prstGeom>
                    <a:noFill/>
                    <a:ln>
                      <a:noFill/>
                    </a:ln>
                    <a:extLst>
                      <a:ext uri="{53640926-AAD7-44D8-BBD7-CCE9431645EC}">
                        <a14:shadowObscured xmlns:a14="http://schemas.microsoft.com/office/drawing/2010/main"/>
                      </a:ext>
                    </a:extLst>
                  </pic:spPr>
                </pic:pic>
              </a:graphicData>
            </a:graphic>
          </wp:inline>
        </w:drawing>
      </w:r>
      <w:r w:rsidR="00232C7F">
        <w:rPr>
          <w:rFonts w:asciiTheme="minorHAnsi" w:hAnsi="Arial" w:cs="Arial" w:hint="eastAsia"/>
          <w:sz w:val="24"/>
          <w:szCs w:val="24"/>
          <w:lang w:eastAsia="zh-CN" w:bidi="en-US"/>
        </w:rPr>
        <w:t xml:space="preserve"> </w:t>
      </w:r>
      <w:r>
        <w:rPr>
          <w:rFonts w:hint="eastAsia"/>
          <w:noProof/>
          <w:lang w:eastAsia="zh-CN"/>
        </w:rPr>
        <w:drawing>
          <wp:inline distT="0" distB="0" distL="0" distR="0" wp14:anchorId="3A247566" wp14:editId="122CA851">
            <wp:extent cx="2469515" cy="1246406"/>
            <wp:effectExtent l="0" t="0" r="0" b="0"/>
            <wp:docPr id="58" name="Picture 58" descr="Figure%20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5" descr="Figure%207.4-2.png"/>
                    <pic:cNvPicPr>
                      <a:picLocks noChangeAspect="1" noChangeArrowheads="1"/>
                    </pic:cNvPicPr>
                  </pic:nvPicPr>
                  <pic:blipFill rotWithShape="1">
                    <a:blip r:embed="rId167">
                      <a:extLst>
                        <a:ext uri="{28A0092B-C50C-407E-A947-70E740481C1C}">
                          <a14:useLocalDpi xmlns:a14="http://schemas.microsoft.com/office/drawing/2010/main" val="0"/>
                        </a:ext>
                      </a:extLst>
                    </a:blip>
                    <a:srcRect t="16980" b="15723"/>
                    <a:stretch/>
                  </pic:blipFill>
                  <pic:spPr bwMode="auto">
                    <a:xfrm>
                      <a:off x="0" y="0"/>
                      <a:ext cx="2469515" cy="1246406"/>
                    </a:xfrm>
                    <a:prstGeom prst="rect">
                      <a:avLst/>
                    </a:prstGeom>
                    <a:noFill/>
                    <a:ln>
                      <a:noFill/>
                    </a:ln>
                    <a:extLst>
                      <a:ext uri="{53640926-AAD7-44D8-BBD7-CCE9431645EC}">
                        <a14:shadowObscured xmlns:a14="http://schemas.microsoft.com/office/drawing/2010/main"/>
                      </a:ext>
                    </a:extLst>
                  </pic:spPr>
                </pic:pic>
              </a:graphicData>
            </a:graphic>
          </wp:inline>
        </w:drawing>
      </w:r>
    </w:p>
    <w:p w14:paraId="509277C7" w14:textId="5FA3F2DB" w:rsidR="00F20643" w:rsidRDefault="00F20643" w:rsidP="00EB199B">
      <w:pPr>
        <w:pStyle w:val="para1"/>
        <w:spacing w:after="100" w:afterAutospacing="1" w:line="480" w:lineRule="auto"/>
        <w:ind w:firstLine="0"/>
        <w:jc w:val="center"/>
        <w:rPr>
          <w:rFonts w:asciiTheme="minorHAnsi" w:hAnsi="Arial" w:cs="Arial"/>
          <w:sz w:val="24"/>
          <w:szCs w:val="24"/>
          <w:lang w:eastAsia="zh-CN" w:bidi="en-US"/>
        </w:rPr>
      </w:pPr>
      <w:r>
        <w:rPr>
          <w:rFonts w:asciiTheme="minorHAnsi" w:hAnsi="Arial" w:cs="Arial" w:hint="eastAsia"/>
          <w:noProof/>
          <w:sz w:val="24"/>
          <w:szCs w:val="24"/>
          <w:lang w:eastAsia="zh-CN"/>
        </w:rPr>
        <w:drawing>
          <wp:inline distT="0" distB="0" distL="0" distR="0" wp14:anchorId="05593BE1" wp14:editId="13D8B7E4">
            <wp:extent cx="2469515" cy="1246406"/>
            <wp:effectExtent l="0" t="0" r="0" b="0"/>
            <wp:docPr id="59" name="Picture 59" descr="Figure%20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6" descr="Figure%207.4-3.png"/>
                    <pic:cNvPicPr>
                      <a:picLocks noChangeAspect="1" noChangeArrowheads="1"/>
                    </pic:cNvPicPr>
                  </pic:nvPicPr>
                  <pic:blipFill rotWithShape="1">
                    <a:blip r:embed="rId168">
                      <a:extLst>
                        <a:ext uri="{28A0092B-C50C-407E-A947-70E740481C1C}">
                          <a14:useLocalDpi xmlns:a14="http://schemas.microsoft.com/office/drawing/2010/main" val="0"/>
                        </a:ext>
                      </a:extLst>
                    </a:blip>
                    <a:srcRect t="16666" b="16038"/>
                    <a:stretch/>
                  </pic:blipFill>
                  <pic:spPr bwMode="auto">
                    <a:xfrm>
                      <a:off x="0" y="0"/>
                      <a:ext cx="2480403" cy="1251901"/>
                    </a:xfrm>
                    <a:prstGeom prst="rect">
                      <a:avLst/>
                    </a:prstGeom>
                    <a:noFill/>
                    <a:ln>
                      <a:noFill/>
                    </a:ln>
                    <a:extLst>
                      <a:ext uri="{53640926-AAD7-44D8-BBD7-CCE9431645EC}">
                        <a14:shadowObscured xmlns:a14="http://schemas.microsoft.com/office/drawing/2010/main"/>
                      </a:ext>
                    </a:extLst>
                  </pic:spPr>
                </pic:pic>
              </a:graphicData>
            </a:graphic>
          </wp:inline>
        </w:drawing>
      </w:r>
      <w:r w:rsidR="00C11817">
        <w:rPr>
          <w:rFonts w:asciiTheme="minorHAnsi" w:hAnsi="Arial" w:cs="Arial" w:hint="eastAsia"/>
          <w:sz w:val="24"/>
          <w:szCs w:val="24"/>
          <w:lang w:eastAsia="zh-CN" w:bidi="en-US"/>
        </w:rPr>
        <w:t xml:space="preserve"> </w:t>
      </w:r>
      <w:r>
        <w:rPr>
          <w:rFonts w:hint="eastAsia"/>
          <w:noProof/>
          <w:lang w:eastAsia="zh-CN"/>
        </w:rPr>
        <w:drawing>
          <wp:inline distT="0" distB="0" distL="0" distR="0" wp14:anchorId="5C9B9C81" wp14:editId="69D30642">
            <wp:extent cx="2472055" cy="1252220"/>
            <wp:effectExtent l="0" t="0" r="0" b="0"/>
            <wp:docPr id="60" name="Picture 60" descr="Figure%20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7" descr="Figure%207.4-4.png"/>
                    <pic:cNvPicPr>
                      <a:picLocks noChangeAspect="1" noChangeArrowheads="1"/>
                    </pic:cNvPicPr>
                  </pic:nvPicPr>
                  <pic:blipFill rotWithShape="1">
                    <a:blip r:embed="rId169">
                      <a:extLst>
                        <a:ext uri="{28A0092B-C50C-407E-A947-70E740481C1C}">
                          <a14:useLocalDpi xmlns:a14="http://schemas.microsoft.com/office/drawing/2010/main" val="0"/>
                        </a:ext>
                      </a:extLst>
                    </a:blip>
                    <a:srcRect t="16352" b="16038"/>
                    <a:stretch/>
                  </pic:blipFill>
                  <pic:spPr bwMode="auto">
                    <a:xfrm>
                      <a:off x="0" y="0"/>
                      <a:ext cx="2505527" cy="1269175"/>
                    </a:xfrm>
                    <a:prstGeom prst="rect">
                      <a:avLst/>
                    </a:prstGeom>
                    <a:noFill/>
                    <a:ln>
                      <a:noFill/>
                    </a:ln>
                    <a:extLst>
                      <a:ext uri="{53640926-AAD7-44D8-BBD7-CCE9431645EC}">
                        <a14:shadowObscured xmlns:a14="http://schemas.microsoft.com/office/drawing/2010/main"/>
                      </a:ext>
                    </a:extLst>
                  </pic:spPr>
                </pic:pic>
              </a:graphicData>
            </a:graphic>
          </wp:inline>
        </w:drawing>
      </w:r>
    </w:p>
    <w:p w14:paraId="7AAF65A5" w14:textId="7A0270C1" w:rsidR="00F20643" w:rsidRDefault="00F20643" w:rsidP="00F20643">
      <w:pPr>
        <w:pStyle w:val="para1"/>
        <w:spacing w:after="100" w:afterAutospacing="1" w:line="480" w:lineRule="auto"/>
        <w:ind w:firstLine="0"/>
        <w:jc w:val="center"/>
        <w:rPr>
          <w:rFonts w:asciiTheme="minorHAnsi" w:hAnsi="Arial" w:cs="Arial"/>
          <w:sz w:val="24"/>
          <w:szCs w:val="24"/>
          <w:lang w:eastAsia="zh-CN" w:bidi="en-US"/>
        </w:rPr>
      </w:pPr>
      <w:r>
        <w:rPr>
          <w:rFonts w:asciiTheme="minorHAnsi" w:hAnsiTheme="minorHAnsi" w:cstheme="minorHAnsi"/>
          <w:b/>
          <w:sz w:val="24"/>
          <w:szCs w:val="24"/>
          <w:lang w:bidi="en-US"/>
        </w:rPr>
        <w:t>Figure 7.4</w:t>
      </w:r>
      <w:r w:rsidRPr="00806573">
        <w:rPr>
          <w:rFonts w:asciiTheme="minorHAnsi" w:hAnsiTheme="minorHAnsi" w:cstheme="minorHAnsi"/>
          <w:b/>
          <w:sz w:val="24"/>
          <w:szCs w:val="24"/>
          <w:lang w:bidi="en-US"/>
        </w:rPr>
        <w:t>—</w:t>
      </w:r>
      <w:r>
        <w:rPr>
          <w:rFonts w:asciiTheme="minorHAnsi" w:hAnsiTheme="minorHAnsi" w:cstheme="minorHAnsi" w:hint="eastAsia"/>
          <w:b/>
          <w:sz w:val="24"/>
          <w:szCs w:val="24"/>
          <w:lang w:bidi="en-US"/>
        </w:rPr>
        <w:t xml:space="preserve"> The </w:t>
      </w:r>
      <w:r w:rsidRPr="00F20643">
        <w:rPr>
          <w:rFonts w:asciiTheme="minorHAnsi" w:hAnsiTheme="minorHAnsi" w:cstheme="minorHAnsi" w:hint="eastAsia"/>
          <w:b/>
          <w:sz w:val="24"/>
          <w:szCs w:val="24"/>
          <w:lang w:bidi="en-US"/>
        </w:rPr>
        <w:t xml:space="preserve">snapshots </w:t>
      </w:r>
      <w:r w:rsidRPr="00F20643">
        <w:rPr>
          <w:rFonts w:asciiTheme="minorHAnsi" w:hAnsiTheme="minorHAnsi" w:cstheme="minorHAnsi"/>
          <w:b/>
          <w:sz w:val="24"/>
          <w:szCs w:val="24"/>
          <w:lang w:bidi="en-US"/>
        </w:rPr>
        <w:t>of the simulation where t = 0 ns, 0.02 ns</w:t>
      </w:r>
      <w:r>
        <w:rPr>
          <w:rFonts w:asciiTheme="minorHAnsi" w:hAnsiTheme="minorHAnsi" w:cstheme="minorHAnsi" w:hint="eastAsia"/>
          <w:b/>
          <w:sz w:val="24"/>
          <w:szCs w:val="24"/>
          <w:lang w:bidi="en-US"/>
        </w:rPr>
        <w:t xml:space="preserve"> (upper right)</w:t>
      </w:r>
      <w:r w:rsidRPr="00F20643">
        <w:rPr>
          <w:rFonts w:asciiTheme="minorHAnsi" w:hAnsiTheme="minorHAnsi" w:cstheme="minorHAnsi"/>
          <w:b/>
          <w:sz w:val="24"/>
          <w:szCs w:val="24"/>
          <w:lang w:bidi="en-US"/>
        </w:rPr>
        <w:t xml:space="preserve">, 0.074 ns </w:t>
      </w:r>
      <w:r>
        <w:rPr>
          <w:rFonts w:asciiTheme="minorHAnsi" w:hAnsiTheme="minorHAnsi" w:cstheme="minorHAnsi" w:hint="eastAsia"/>
          <w:b/>
          <w:sz w:val="24"/>
          <w:szCs w:val="24"/>
          <w:lang w:bidi="en-US"/>
        </w:rPr>
        <w:t xml:space="preserve">(bottom left) </w:t>
      </w:r>
      <w:r w:rsidRPr="00F20643">
        <w:rPr>
          <w:rFonts w:asciiTheme="minorHAnsi" w:hAnsiTheme="minorHAnsi" w:cstheme="minorHAnsi"/>
          <w:b/>
          <w:sz w:val="24"/>
          <w:szCs w:val="24"/>
          <w:lang w:bidi="en-US"/>
        </w:rPr>
        <w:t>and 0.</w:t>
      </w:r>
      <w:r w:rsidRPr="00F20643">
        <w:rPr>
          <w:rFonts w:asciiTheme="minorHAnsi" w:hAnsiTheme="minorHAnsi" w:cstheme="minorHAnsi" w:hint="eastAsia"/>
          <w:b/>
          <w:sz w:val="24"/>
          <w:szCs w:val="24"/>
          <w:lang w:bidi="en-US"/>
        </w:rPr>
        <w:t>53</w:t>
      </w:r>
      <w:r w:rsidRPr="00F20643">
        <w:rPr>
          <w:rFonts w:asciiTheme="minorHAnsi" w:hAnsiTheme="minorHAnsi" w:cstheme="minorHAnsi"/>
          <w:b/>
          <w:sz w:val="24"/>
          <w:szCs w:val="24"/>
          <w:lang w:bidi="en-US"/>
        </w:rPr>
        <w:t xml:space="preserve"> ns</w:t>
      </w:r>
    </w:p>
    <w:p w14:paraId="2B1C67BB" w14:textId="7AD92171" w:rsidR="00D27883" w:rsidRDefault="00EB199B" w:rsidP="00142AED">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As we can see from Figure 7.4, </w:t>
      </w:r>
      <w:r w:rsidR="00C11817">
        <w:rPr>
          <w:rFonts w:asciiTheme="minorHAnsi" w:hAnsi="Arial" w:cs="Arial" w:hint="eastAsia"/>
          <w:sz w:val="24"/>
          <w:szCs w:val="24"/>
          <w:lang w:eastAsia="zh-CN" w:bidi="en-US"/>
        </w:rPr>
        <w:t xml:space="preserve">when the simulation time gets longer and longer, the n-butane molecules tend to accumulate to the spaces near the pore walls, forming the adsorbed phase. </w:t>
      </w:r>
      <w:r w:rsidR="00CD66B2">
        <w:rPr>
          <w:rFonts w:asciiTheme="minorHAnsi" w:hAnsi="Arial" w:cs="Arial" w:hint="eastAsia"/>
          <w:sz w:val="24"/>
          <w:szCs w:val="24"/>
          <w:lang w:eastAsia="zh-CN" w:bidi="en-US"/>
        </w:rPr>
        <w:t>In the last graph of the figure where simulation time equals 0.53 ns, we can barely see any n-butane molecules in the center of the pore. Almost all the n-butane molecules settle in the adsorbed region with only a few of them to the outside but still not too far from the pore wall.</w:t>
      </w:r>
      <w:r w:rsidR="00105C07">
        <w:rPr>
          <w:rFonts w:asciiTheme="minorHAnsi" w:hAnsi="Arial" w:cs="Arial" w:hint="eastAsia"/>
          <w:sz w:val="24"/>
          <w:szCs w:val="24"/>
          <w:lang w:eastAsia="zh-CN" w:bidi="en-US"/>
        </w:rPr>
        <w:t xml:space="preserve"> For methane molecules, although it is not as obvious as n-butane, it is able to see the density gradient in the direction perpendicular to the pore wall where it is more </w:t>
      </w:r>
      <w:r w:rsidR="00035B03">
        <w:rPr>
          <w:rFonts w:asciiTheme="minorHAnsi" w:hAnsi="Arial" w:cs="Arial" w:hint="eastAsia"/>
          <w:sz w:val="24"/>
          <w:szCs w:val="24"/>
          <w:lang w:eastAsia="zh-CN" w:bidi="en-US"/>
        </w:rPr>
        <w:t>concentrated</w:t>
      </w:r>
      <w:r w:rsidR="006A3937">
        <w:rPr>
          <w:rFonts w:asciiTheme="minorHAnsi" w:hAnsi="Arial" w:cs="Arial" w:hint="eastAsia"/>
          <w:sz w:val="24"/>
          <w:szCs w:val="24"/>
          <w:lang w:eastAsia="zh-CN" w:bidi="en-US"/>
        </w:rPr>
        <w:t xml:space="preserve"> in the regions near the pore wall. </w:t>
      </w:r>
      <w:r w:rsidR="006A3937" w:rsidRPr="006A3937">
        <w:rPr>
          <w:rFonts w:asciiTheme="minorHAnsi" w:hAnsi="Arial" w:cs="Arial" w:hint="eastAsia"/>
          <w:b/>
          <w:sz w:val="24"/>
          <w:szCs w:val="24"/>
          <w:lang w:eastAsia="zh-CN" w:bidi="en-US"/>
        </w:rPr>
        <w:t>Figure 7.5</w:t>
      </w:r>
      <w:r w:rsidR="006A3937">
        <w:rPr>
          <w:rFonts w:asciiTheme="minorHAnsi" w:hAnsi="Arial" w:cs="Arial" w:hint="eastAsia"/>
          <w:sz w:val="24"/>
          <w:szCs w:val="24"/>
          <w:lang w:eastAsia="zh-CN" w:bidi="en-US"/>
        </w:rPr>
        <w:t xml:space="preserve"> gives the averaged layer </w:t>
      </w:r>
      <w:r w:rsidR="003125CC">
        <w:rPr>
          <w:rFonts w:asciiTheme="minorHAnsi" w:hAnsi="Arial" w:cs="Arial"/>
          <w:sz w:val="24"/>
          <w:szCs w:val="24"/>
          <w:lang w:eastAsia="zh-CN" w:bidi="en-US"/>
        </w:rPr>
        <w:t xml:space="preserve">partial </w:t>
      </w:r>
      <w:r w:rsidR="006A3937">
        <w:rPr>
          <w:rFonts w:asciiTheme="minorHAnsi" w:hAnsi="Arial" w:cs="Arial" w:hint="eastAsia"/>
          <w:sz w:val="24"/>
          <w:szCs w:val="24"/>
          <w:lang w:eastAsia="zh-CN" w:bidi="en-US"/>
        </w:rPr>
        <w:t xml:space="preserve">density distributions for the </w:t>
      </w:r>
      <w:r w:rsidR="009C3C67">
        <w:rPr>
          <w:rFonts w:asciiTheme="minorHAnsi" w:hAnsi="Arial" w:cs="Arial"/>
          <w:sz w:val="24"/>
          <w:szCs w:val="24"/>
          <w:lang w:eastAsia="zh-CN" w:bidi="en-US"/>
        </w:rPr>
        <w:t>methane and n-butane</w:t>
      </w:r>
      <w:r w:rsidR="006A3937">
        <w:rPr>
          <w:rFonts w:asciiTheme="minorHAnsi" w:hAnsi="Arial" w:cs="Arial" w:hint="eastAsia"/>
          <w:sz w:val="24"/>
          <w:szCs w:val="24"/>
          <w:lang w:eastAsia="zh-CN" w:bidi="en-US"/>
        </w:rPr>
        <w:t xml:space="preserve"> inside the pore (only half of the pore was shown due to symmetry)</w:t>
      </w:r>
      <w:r w:rsidR="003125CC">
        <w:rPr>
          <w:rFonts w:asciiTheme="minorHAnsi" w:hAnsi="Arial" w:cs="Arial"/>
          <w:sz w:val="24"/>
          <w:szCs w:val="24"/>
          <w:lang w:eastAsia="zh-CN" w:bidi="en-US"/>
        </w:rPr>
        <w:t xml:space="preserve"> and the overall density</w:t>
      </w:r>
      <w:r w:rsidR="006A3937">
        <w:rPr>
          <w:rFonts w:asciiTheme="minorHAnsi" w:hAnsi="Arial" w:cs="Arial" w:hint="eastAsia"/>
          <w:sz w:val="24"/>
          <w:szCs w:val="24"/>
          <w:lang w:eastAsia="zh-CN" w:bidi="en-US"/>
        </w:rPr>
        <w:t xml:space="preserve">. </w:t>
      </w:r>
    </w:p>
    <w:p w14:paraId="1B312D6E" w14:textId="24357045" w:rsidR="00EB199B" w:rsidRDefault="006A3937" w:rsidP="00142AED">
      <w:pPr>
        <w:pStyle w:val="para1"/>
        <w:spacing w:after="100" w:afterAutospacing="1" w:line="480" w:lineRule="auto"/>
        <w:ind w:firstLine="0"/>
        <w:rPr>
          <w:lang w:eastAsia="zh-CN"/>
        </w:rPr>
      </w:pPr>
      <w:r>
        <w:rPr>
          <w:rFonts w:hint="eastAsia"/>
          <w:noProof/>
          <w:lang w:eastAsia="zh-CN"/>
        </w:rPr>
        <w:drawing>
          <wp:inline distT="0" distB="0" distL="0" distR="0" wp14:anchorId="34339EDD" wp14:editId="3E35777B">
            <wp:extent cx="4965700" cy="3429000"/>
            <wp:effectExtent l="0" t="0" r="0" b="0"/>
            <wp:docPr id="62" name="Picture 62" descr="figur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8" descr="figure7.5.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965700" cy="3429000"/>
                    </a:xfrm>
                    <a:prstGeom prst="rect">
                      <a:avLst/>
                    </a:prstGeom>
                    <a:noFill/>
                    <a:ln>
                      <a:noFill/>
                    </a:ln>
                  </pic:spPr>
                </pic:pic>
              </a:graphicData>
            </a:graphic>
          </wp:inline>
        </w:drawing>
      </w:r>
    </w:p>
    <w:p w14:paraId="342DB829" w14:textId="6CD868B4" w:rsidR="006A3937" w:rsidRPr="006A3937" w:rsidRDefault="006A3937" w:rsidP="006A3937">
      <w:pPr>
        <w:pStyle w:val="para1"/>
        <w:spacing w:after="100" w:afterAutospacing="1" w:line="480" w:lineRule="auto"/>
        <w:ind w:firstLine="0"/>
        <w:jc w:val="center"/>
        <w:rPr>
          <w:b/>
          <w:lang w:eastAsia="zh-CN"/>
        </w:rPr>
      </w:pPr>
      <w:r w:rsidRPr="006A3937">
        <w:rPr>
          <w:rFonts w:asciiTheme="minorHAnsi" w:hAnsiTheme="minorHAnsi" w:cstheme="minorHAnsi"/>
          <w:b/>
          <w:sz w:val="24"/>
          <w:szCs w:val="24"/>
          <w:lang w:bidi="en-US"/>
        </w:rPr>
        <w:t>Figure 7.5—</w:t>
      </w:r>
      <w:r w:rsidRPr="006A3937">
        <w:rPr>
          <w:rFonts w:asciiTheme="minorHAnsi" w:hAnsi="Arial" w:cs="Arial" w:hint="eastAsia"/>
          <w:b/>
          <w:sz w:val="24"/>
          <w:szCs w:val="24"/>
          <w:lang w:eastAsia="zh-CN" w:bidi="en-US"/>
        </w:rPr>
        <w:t xml:space="preserve"> The averaged layer density distributions for </w:t>
      </w:r>
      <w:r w:rsidRPr="006A3937">
        <w:rPr>
          <w:rFonts w:asciiTheme="minorHAnsi" w:hAnsi="Arial" w:cs="Arial"/>
          <w:b/>
          <w:sz w:val="24"/>
          <w:szCs w:val="24"/>
          <w:lang w:eastAsia="zh-CN" w:bidi="en-US"/>
        </w:rPr>
        <w:t>methane</w:t>
      </w:r>
      <w:r w:rsidRPr="006A3937">
        <w:rPr>
          <w:rFonts w:asciiTheme="minorHAnsi" w:hAnsi="Arial" w:cs="Arial" w:hint="eastAsia"/>
          <w:b/>
          <w:sz w:val="24"/>
          <w:szCs w:val="24"/>
          <w:lang w:eastAsia="zh-CN" w:bidi="en-US"/>
        </w:rPr>
        <w:t xml:space="preserve"> (blue), n-butane(red) and the mixture total (black). The x-axes Z is the dimensionless pore width</w:t>
      </w:r>
    </w:p>
    <w:p w14:paraId="3120BE97" w14:textId="3489733C" w:rsidR="006A3937" w:rsidRDefault="003659A0" w:rsidP="00142AED">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The density distributions were calculated from </w:t>
      </w:r>
      <w:r w:rsidR="00291E2C">
        <w:rPr>
          <w:rFonts w:asciiTheme="minorHAnsi" w:hAnsi="Arial" w:cs="Arial" w:hint="eastAsia"/>
          <w:sz w:val="24"/>
          <w:szCs w:val="24"/>
          <w:lang w:eastAsia="zh-CN" w:bidi="en-US"/>
        </w:rPr>
        <w:t xml:space="preserve">the average values from every </w:t>
      </w:r>
      <w:r w:rsidR="00291E2C">
        <w:rPr>
          <w:rFonts w:asciiTheme="minorHAnsi" w:hAnsi="Arial" w:cs="Arial"/>
          <w:sz w:val="24"/>
          <w:szCs w:val="24"/>
          <w:lang w:eastAsia="zh-CN" w:bidi="en-US"/>
        </w:rPr>
        <w:t>2,000 simulation</w:t>
      </w:r>
      <w:r w:rsidR="00291E2C">
        <w:rPr>
          <w:rFonts w:asciiTheme="minorHAnsi" w:hAnsi="Arial" w:cs="Arial" w:hint="eastAsia"/>
          <w:sz w:val="24"/>
          <w:szCs w:val="24"/>
          <w:lang w:eastAsia="zh-CN" w:bidi="en-US"/>
        </w:rPr>
        <w:t xml:space="preserve"> time steps between t = 1 ns and t = 1.5 ns. </w:t>
      </w:r>
      <w:r w:rsidR="008B586B">
        <w:rPr>
          <w:rFonts w:asciiTheme="minorHAnsi" w:hAnsi="Arial" w:cs="Arial" w:hint="eastAsia"/>
          <w:sz w:val="24"/>
          <w:szCs w:val="24"/>
          <w:lang w:eastAsia="zh-CN" w:bidi="en-US"/>
        </w:rPr>
        <w:t xml:space="preserve">The length of the layer equals the diameter of the larger molecule, n-butane in this case. A total of five layers </w:t>
      </w:r>
      <w:r w:rsidR="00587C33">
        <w:rPr>
          <w:rFonts w:asciiTheme="minorHAnsi" w:hAnsi="Arial" w:cs="Arial" w:hint="eastAsia"/>
          <w:sz w:val="24"/>
          <w:szCs w:val="24"/>
          <w:lang w:eastAsia="zh-CN" w:bidi="en-US"/>
        </w:rPr>
        <w:t xml:space="preserve">are defined in half of the pore. </w:t>
      </w:r>
      <w:r w:rsidR="00291E2C">
        <w:rPr>
          <w:rFonts w:asciiTheme="minorHAnsi" w:hAnsi="Arial" w:cs="Arial" w:hint="eastAsia"/>
          <w:sz w:val="24"/>
          <w:szCs w:val="24"/>
          <w:lang w:eastAsia="zh-CN" w:bidi="en-US"/>
        </w:rPr>
        <w:t xml:space="preserve">As we can see from Figure 7.5, the density of methane increases gradually from the center of the pore </w:t>
      </w:r>
      <w:r w:rsidR="008B586B">
        <w:rPr>
          <w:rFonts w:asciiTheme="minorHAnsi" w:hAnsi="Arial" w:cs="Arial" w:hint="eastAsia"/>
          <w:sz w:val="24"/>
          <w:szCs w:val="24"/>
          <w:lang w:eastAsia="zh-CN" w:bidi="en-US"/>
        </w:rPr>
        <w:t>(0.088 g/cm</w:t>
      </w:r>
      <w:r w:rsidR="008B586B">
        <w:rPr>
          <w:rFonts w:asciiTheme="minorHAnsi" w:hAnsi="Arial" w:cs="Arial" w:hint="eastAsia"/>
          <w:sz w:val="24"/>
          <w:szCs w:val="24"/>
          <w:vertAlign w:val="superscript"/>
          <w:lang w:eastAsia="zh-CN" w:bidi="en-US"/>
        </w:rPr>
        <w:t>3</w:t>
      </w:r>
      <w:r w:rsidR="008B586B">
        <w:rPr>
          <w:rFonts w:asciiTheme="minorHAnsi" w:hAnsi="Arial" w:cs="Arial" w:hint="eastAsia"/>
          <w:sz w:val="24"/>
          <w:szCs w:val="24"/>
          <w:lang w:eastAsia="zh-CN" w:bidi="en-US"/>
        </w:rPr>
        <w:t xml:space="preserve">) </w:t>
      </w:r>
      <w:r w:rsidR="00291E2C">
        <w:rPr>
          <w:rFonts w:asciiTheme="minorHAnsi" w:hAnsi="Arial" w:cs="Arial" w:hint="eastAsia"/>
          <w:sz w:val="24"/>
          <w:szCs w:val="24"/>
          <w:lang w:eastAsia="zh-CN" w:bidi="en-US"/>
        </w:rPr>
        <w:t>to the pore wall</w:t>
      </w:r>
      <w:r w:rsidR="008B586B">
        <w:rPr>
          <w:rFonts w:asciiTheme="minorHAnsi" w:hAnsi="Arial" w:cs="Arial" w:hint="eastAsia"/>
          <w:sz w:val="24"/>
          <w:szCs w:val="24"/>
          <w:lang w:eastAsia="zh-CN" w:bidi="en-US"/>
        </w:rPr>
        <w:t xml:space="preserve"> (0.248</w:t>
      </w:r>
      <w:r w:rsidR="008B586B" w:rsidRPr="008B586B">
        <w:rPr>
          <w:rFonts w:asciiTheme="minorHAnsi" w:hAnsi="Arial" w:cs="Arial" w:hint="eastAsia"/>
          <w:sz w:val="24"/>
          <w:szCs w:val="24"/>
          <w:lang w:eastAsia="zh-CN" w:bidi="en-US"/>
        </w:rPr>
        <w:t xml:space="preserve"> </w:t>
      </w:r>
      <w:r w:rsidR="008B586B">
        <w:rPr>
          <w:rFonts w:asciiTheme="minorHAnsi" w:hAnsi="Arial" w:cs="Arial" w:hint="eastAsia"/>
          <w:sz w:val="24"/>
          <w:szCs w:val="24"/>
          <w:lang w:eastAsia="zh-CN" w:bidi="en-US"/>
        </w:rPr>
        <w:t>g/cm</w:t>
      </w:r>
      <w:r w:rsidR="008B586B">
        <w:rPr>
          <w:rFonts w:asciiTheme="minorHAnsi" w:hAnsi="Arial" w:cs="Arial" w:hint="eastAsia"/>
          <w:sz w:val="24"/>
          <w:szCs w:val="24"/>
          <w:vertAlign w:val="superscript"/>
          <w:lang w:eastAsia="zh-CN" w:bidi="en-US"/>
        </w:rPr>
        <w:t>3</w:t>
      </w:r>
      <w:r w:rsidR="008B586B">
        <w:rPr>
          <w:rFonts w:asciiTheme="minorHAnsi" w:hAnsi="Arial" w:cs="Arial" w:hint="eastAsia"/>
          <w:sz w:val="24"/>
          <w:szCs w:val="24"/>
          <w:lang w:eastAsia="zh-CN" w:bidi="en-US"/>
        </w:rPr>
        <w:t>). W</w:t>
      </w:r>
      <w:r w:rsidR="00C8309D">
        <w:rPr>
          <w:rFonts w:asciiTheme="minorHAnsi" w:hAnsi="Arial" w:cs="Arial" w:hint="eastAsia"/>
          <w:sz w:val="24"/>
          <w:szCs w:val="24"/>
          <w:lang w:eastAsia="zh-CN" w:bidi="en-US"/>
        </w:rPr>
        <w:t>hile the density of</w:t>
      </w:r>
      <w:r w:rsidR="002F630E">
        <w:rPr>
          <w:rFonts w:asciiTheme="minorHAnsi" w:hAnsi="Arial" w:cs="Arial" w:hint="eastAsia"/>
          <w:sz w:val="24"/>
          <w:szCs w:val="24"/>
          <w:lang w:eastAsia="zh-CN" w:bidi="en-US"/>
        </w:rPr>
        <w:t xml:space="preserve"> n-butane </w:t>
      </w:r>
      <w:r w:rsidR="008B586B">
        <w:rPr>
          <w:rFonts w:asciiTheme="minorHAnsi" w:hAnsi="Arial" w:cs="Arial" w:hint="eastAsia"/>
          <w:sz w:val="24"/>
          <w:szCs w:val="24"/>
          <w:lang w:eastAsia="zh-CN" w:bidi="en-US"/>
        </w:rPr>
        <w:t>is almost zero</w:t>
      </w:r>
      <w:r w:rsidR="00587C33">
        <w:rPr>
          <w:rFonts w:asciiTheme="minorHAnsi" w:hAnsi="Arial" w:cs="Arial" w:hint="eastAsia"/>
          <w:sz w:val="24"/>
          <w:szCs w:val="24"/>
          <w:lang w:eastAsia="zh-CN" w:bidi="en-US"/>
        </w:rPr>
        <w:t xml:space="preserve"> for the four layers in the center and then increase dramatically to 0.228</w:t>
      </w:r>
      <w:r w:rsidR="00587C33" w:rsidRPr="00587C33">
        <w:rPr>
          <w:rFonts w:asciiTheme="minorHAnsi" w:hAnsi="Arial" w:cs="Arial" w:hint="eastAsia"/>
          <w:sz w:val="24"/>
          <w:szCs w:val="24"/>
          <w:lang w:eastAsia="zh-CN" w:bidi="en-US"/>
        </w:rPr>
        <w:t xml:space="preserve"> </w:t>
      </w:r>
      <w:r w:rsidR="00587C33">
        <w:rPr>
          <w:rFonts w:asciiTheme="minorHAnsi" w:hAnsi="Arial" w:cs="Arial" w:hint="eastAsia"/>
          <w:sz w:val="24"/>
          <w:szCs w:val="24"/>
          <w:lang w:eastAsia="zh-CN" w:bidi="en-US"/>
        </w:rPr>
        <w:t>g/cm</w:t>
      </w:r>
      <w:r w:rsidR="00587C33">
        <w:rPr>
          <w:rFonts w:asciiTheme="minorHAnsi" w:hAnsi="Arial" w:cs="Arial" w:hint="eastAsia"/>
          <w:sz w:val="24"/>
          <w:szCs w:val="24"/>
          <w:vertAlign w:val="superscript"/>
          <w:lang w:eastAsia="zh-CN" w:bidi="en-US"/>
        </w:rPr>
        <w:t>3</w:t>
      </w:r>
      <w:r w:rsidR="00587C33">
        <w:rPr>
          <w:rFonts w:asciiTheme="minorHAnsi" w:hAnsi="Arial" w:cs="Arial" w:hint="eastAsia"/>
          <w:sz w:val="24"/>
          <w:szCs w:val="24"/>
          <w:lang w:eastAsia="zh-CN" w:bidi="en-US"/>
        </w:rPr>
        <w:t xml:space="preserve"> in the layer closest to the pore wall, known as the adsorbed layer. The results are consistent with what we see from the</w:t>
      </w:r>
      <w:r w:rsidR="00AB67E1">
        <w:rPr>
          <w:rFonts w:asciiTheme="minorHAnsi" w:hAnsi="Arial" w:cs="Arial" w:hint="eastAsia"/>
          <w:sz w:val="24"/>
          <w:szCs w:val="24"/>
          <w:lang w:eastAsia="zh-CN" w:bidi="en-US"/>
        </w:rPr>
        <w:t xml:space="preserve"> last snapshot</w:t>
      </w:r>
      <w:r w:rsidR="00587C33">
        <w:rPr>
          <w:rFonts w:asciiTheme="minorHAnsi" w:hAnsi="Arial" w:cs="Arial" w:hint="eastAsia"/>
          <w:sz w:val="24"/>
          <w:szCs w:val="24"/>
          <w:lang w:eastAsia="zh-CN" w:bidi="en-US"/>
        </w:rPr>
        <w:t xml:space="preserve"> in Figure 7.4</w:t>
      </w:r>
      <w:r w:rsidR="00AB67E1">
        <w:rPr>
          <w:rFonts w:asciiTheme="minorHAnsi" w:hAnsi="Arial" w:cs="Arial" w:hint="eastAsia"/>
          <w:sz w:val="24"/>
          <w:szCs w:val="24"/>
          <w:lang w:eastAsia="zh-CN" w:bidi="en-US"/>
        </w:rPr>
        <w:t xml:space="preserve">, </w:t>
      </w:r>
      <w:r w:rsidR="00CE2F97">
        <w:rPr>
          <w:rFonts w:asciiTheme="minorHAnsi" w:hAnsi="Arial" w:cs="Arial" w:hint="eastAsia"/>
          <w:sz w:val="24"/>
          <w:szCs w:val="24"/>
          <w:lang w:eastAsia="zh-CN" w:bidi="en-US"/>
        </w:rPr>
        <w:t>where</w:t>
      </w:r>
      <w:r w:rsidR="00AB67E1">
        <w:rPr>
          <w:rFonts w:asciiTheme="minorHAnsi" w:hAnsi="Arial" w:cs="Arial" w:hint="eastAsia"/>
          <w:sz w:val="24"/>
          <w:szCs w:val="24"/>
          <w:lang w:eastAsia="zh-CN" w:bidi="en-US"/>
        </w:rPr>
        <w:t xml:space="preserve"> the system reaches equilibrium from </w:t>
      </w:r>
      <w:r w:rsidR="00CE2F97">
        <w:rPr>
          <w:rFonts w:asciiTheme="minorHAnsi" w:hAnsi="Arial" w:cs="Arial" w:hint="eastAsia"/>
          <w:sz w:val="24"/>
          <w:szCs w:val="24"/>
          <w:lang w:eastAsia="zh-CN" w:bidi="en-US"/>
        </w:rPr>
        <w:t xml:space="preserve">its </w:t>
      </w:r>
      <w:r w:rsidR="00AB67E1">
        <w:rPr>
          <w:rFonts w:asciiTheme="minorHAnsi" w:hAnsi="Arial" w:cs="Arial" w:hint="eastAsia"/>
          <w:sz w:val="24"/>
          <w:szCs w:val="24"/>
          <w:lang w:eastAsia="zh-CN" w:bidi="en-US"/>
        </w:rPr>
        <w:t>initial configuration</w:t>
      </w:r>
      <w:r w:rsidR="00587C33">
        <w:rPr>
          <w:rFonts w:asciiTheme="minorHAnsi" w:hAnsi="Arial" w:cs="Arial" w:hint="eastAsia"/>
          <w:sz w:val="24"/>
          <w:szCs w:val="24"/>
          <w:lang w:eastAsia="zh-CN" w:bidi="en-US"/>
        </w:rPr>
        <w:t>.</w:t>
      </w:r>
    </w:p>
    <w:p w14:paraId="7686CE8E" w14:textId="5A3E1177" w:rsidR="00587C33" w:rsidRDefault="00CE2F97" w:rsidP="00142AED">
      <w:pPr>
        <w:pStyle w:val="para1"/>
        <w:spacing w:after="100" w:afterAutospacing="1" w:line="480" w:lineRule="auto"/>
        <w:ind w:firstLine="0"/>
        <w:rPr>
          <w:rFonts w:asciiTheme="minorHAnsi" w:hAnsi="Arial" w:cs="Arial"/>
          <w:sz w:val="24"/>
          <w:szCs w:val="24"/>
          <w:lang w:eastAsia="zh-CN" w:bidi="en-US"/>
        </w:rPr>
      </w:pPr>
      <w:r>
        <w:rPr>
          <w:rFonts w:asciiTheme="minorHAnsi" w:hAnsi="Arial" w:cs="Arial" w:hint="eastAsia"/>
          <w:sz w:val="24"/>
          <w:szCs w:val="24"/>
          <w:lang w:eastAsia="zh-CN" w:bidi="en-US"/>
        </w:rPr>
        <w:t xml:space="preserve">For the second MD simulation, a two-pore system is introduced to investigate the effects of pore size on fluid </w:t>
      </w:r>
      <w:r>
        <w:rPr>
          <w:rFonts w:asciiTheme="minorHAnsi" w:hAnsi="Arial" w:cs="Arial"/>
          <w:sz w:val="24"/>
          <w:szCs w:val="24"/>
          <w:lang w:eastAsia="zh-CN" w:bidi="en-US"/>
        </w:rPr>
        <w:t>behavior</w:t>
      </w:r>
      <w:r w:rsidR="00E077DF">
        <w:rPr>
          <w:rFonts w:asciiTheme="minorHAnsi" w:hAnsi="Arial" w:cs="Arial" w:hint="eastAsia"/>
          <w:sz w:val="24"/>
          <w:szCs w:val="24"/>
          <w:lang w:eastAsia="zh-CN" w:bidi="en-US"/>
        </w:rPr>
        <w:t>s.</w:t>
      </w:r>
      <w:r w:rsidR="00415ABF">
        <w:rPr>
          <w:rFonts w:asciiTheme="minorHAnsi" w:hAnsi="Arial" w:cs="Arial" w:hint="eastAsia"/>
          <w:sz w:val="24"/>
          <w:szCs w:val="24"/>
          <w:lang w:eastAsia="zh-CN" w:bidi="en-US"/>
        </w:rPr>
        <w:t xml:space="preserve"> </w:t>
      </w:r>
      <w:r w:rsidR="00415ABF" w:rsidRPr="00415ABF">
        <w:rPr>
          <w:rFonts w:asciiTheme="minorHAnsi" w:hAnsi="Arial" w:cs="Arial" w:hint="eastAsia"/>
          <w:b/>
          <w:sz w:val="24"/>
          <w:szCs w:val="24"/>
          <w:lang w:eastAsia="zh-CN" w:bidi="en-US"/>
        </w:rPr>
        <w:t>Figure 7.6</w:t>
      </w:r>
      <w:r w:rsidR="00E077DF">
        <w:rPr>
          <w:rFonts w:asciiTheme="minorHAnsi" w:hAnsi="Arial" w:cs="Arial" w:hint="eastAsia"/>
          <w:sz w:val="24"/>
          <w:szCs w:val="24"/>
          <w:lang w:eastAsia="zh-CN" w:bidi="en-US"/>
        </w:rPr>
        <w:t xml:space="preserve"> shows the initial configuration of the </w:t>
      </w:r>
      <w:r w:rsidR="00E077DF">
        <w:rPr>
          <w:rFonts w:asciiTheme="minorHAnsi" w:hAnsi="Arial" w:cs="Arial"/>
          <w:sz w:val="24"/>
          <w:szCs w:val="24"/>
          <w:lang w:eastAsia="zh-CN" w:bidi="en-US"/>
        </w:rPr>
        <w:t>second</w:t>
      </w:r>
      <w:r w:rsidR="00E077DF">
        <w:rPr>
          <w:rFonts w:asciiTheme="minorHAnsi" w:hAnsi="Arial" w:cs="Arial" w:hint="eastAsia"/>
          <w:sz w:val="24"/>
          <w:szCs w:val="24"/>
          <w:lang w:eastAsia="zh-CN" w:bidi="en-US"/>
        </w:rPr>
        <w:t xml:space="preserve"> MD simulation. </w:t>
      </w:r>
      <w:r w:rsidR="00093982">
        <w:rPr>
          <w:rFonts w:asciiTheme="minorHAnsi" w:hAnsi="Arial" w:cs="Arial" w:hint="eastAsia"/>
          <w:sz w:val="24"/>
          <w:szCs w:val="24"/>
          <w:lang w:eastAsia="zh-CN" w:bidi="en-US"/>
        </w:rPr>
        <w:t xml:space="preserve">Two pores with different sizes built from graphite sheets are directly connected to each other. The larger pore has a width of 4.1 nm and the smaller pore is 2.0 nm in width. </w:t>
      </w:r>
      <w:r w:rsidR="00F008BF">
        <w:rPr>
          <w:rFonts w:asciiTheme="minorHAnsi" w:hAnsi="Arial" w:cs="Arial" w:hint="eastAsia"/>
          <w:sz w:val="24"/>
          <w:szCs w:val="24"/>
          <w:lang w:eastAsia="zh-CN" w:bidi="en-US"/>
        </w:rPr>
        <w:t xml:space="preserve">The four shorter graphite sheets perpendicular to the wall </w:t>
      </w:r>
      <w:r w:rsidR="001931DE">
        <w:rPr>
          <w:rFonts w:asciiTheme="minorHAnsi" w:hAnsi="Arial" w:cs="Arial" w:hint="eastAsia"/>
          <w:sz w:val="24"/>
          <w:szCs w:val="24"/>
          <w:lang w:eastAsia="zh-CN" w:bidi="en-US"/>
        </w:rPr>
        <w:t xml:space="preserve">are placed only to keep fluid molecules inside the pores and have no interactions (LJ energy potential=0). </w:t>
      </w:r>
      <w:r w:rsidR="00093982">
        <w:rPr>
          <w:rFonts w:asciiTheme="minorHAnsi" w:hAnsi="Arial" w:cs="Arial" w:hint="eastAsia"/>
          <w:sz w:val="24"/>
          <w:szCs w:val="24"/>
          <w:lang w:eastAsia="zh-CN" w:bidi="en-US"/>
        </w:rPr>
        <w:t xml:space="preserve">A total of </w:t>
      </w:r>
      <w:r w:rsidR="00330F9A">
        <w:rPr>
          <w:rFonts w:asciiTheme="minorHAnsi" w:hAnsi="Arial" w:cs="Arial" w:hint="eastAsia"/>
          <w:sz w:val="24"/>
          <w:szCs w:val="24"/>
          <w:lang w:eastAsia="zh-CN" w:bidi="en-US"/>
        </w:rPr>
        <w:t>9</w:t>
      </w:r>
      <w:r w:rsidR="00FB46D4">
        <w:rPr>
          <w:rFonts w:asciiTheme="minorHAnsi" w:hAnsi="Arial" w:cs="Arial" w:hint="eastAsia"/>
          <w:sz w:val="24"/>
          <w:szCs w:val="24"/>
          <w:lang w:eastAsia="zh-CN" w:bidi="en-US"/>
        </w:rPr>
        <w:t>00 methane molecules (color in blue) and 300 n-butane (color in red) molecules were generated randomly in the center of the pores.</w:t>
      </w:r>
      <w:r w:rsidR="00BF01E0">
        <w:rPr>
          <w:rFonts w:asciiTheme="minorHAnsi" w:hAnsi="Arial" w:cs="Arial" w:hint="eastAsia"/>
          <w:sz w:val="24"/>
          <w:szCs w:val="24"/>
          <w:lang w:eastAsia="zh-CN" w:bidi="en-US"/>
        </w:rPr>
        <w:t xml:space="preserve"> The system ran under NVT ensemble with a fixed temperature of 353.15 K. </w:t>
      </w:r>
      <w:r w:rsidR="00BF01E0" w:rsidRPr="00F008BF">
        <w:rPr>
          <w:rFonts w:asciiTheme="minorHAnsi" w:hAnsi="Arial" w:cs="Arial" w:hint="eastAsia"/>
          <w:b/>
          <w:sz w:val="24"/>
          <w:szCs w:val="24"/>
          <w:lang w:eastAsia="zh-CN" w:bidi="en-US"/>
        </w:rPr>
        <w:t>Figure 7.7</w:t>
      </w:r>
      <w:r w:rsidR="00BF01E0">
        <w:rPr>
          <w:rFonts w:asciiTheme="minorHAnsi" w:hAnsi="Arial" w:cs="Arial" w:hint="eastAsia"/>
          <w:sz w:val="24"/>
          <w:szCs w:val="24"/>
          <w:lang w:eastAsia="zh-CN" w:bidi="en-US"/>
        </w:rPr>
        <w:t xml:space="preserve"> shows the snapshots </w:t>
      </w:r>
      <w:r w:rsidR="00BF01E0">
        <w:rPr>
          <w:rFonts w:asciiTheme="minorHAnsi" w:hAnsi="Arial" w:cs="Arial"/>
          <w:sz w:val="24"/>
          <w:szCs w:val="24"/>
          <w:lang w:eastAsia="zh-CN" w:bidi="en-US"/>
        </w:rPr>
        <w:t xml:space="preserve">of the simulation where t = 0 ns, </w:t>
      </w:r>
      <w:r w:rsidR="00BA383A">
        <w:rPr>
          <w:rFonts w:asciiTheme="minorHAnsi" w:hAnsi="Arial" w:cs="Arial"/>
          <w:sz w:val="24"/>
          <w:szCs w:val="24"/>
          <w:lang w:eastAsia="zh-CN" w:bidi="en-US"/>
        </w:rPr>
        <w:t>0.05</w:t>
      </w:r>
      <w:r w:rsidR="00BF01E0">
        <w:rPr>
          <w:rFonts w:asciiTheme="minorHAnsi" w:hAnsi="Arial" w:cs="Arial"/>
          <w:sz w:val="24"/>
          <w:szCs w:val="24"/>
          <w:lang w:eastAsia="zh-CN" w:bidi="en-US"/>
        </w:rPr>
        <w:t xml:space="preserve"> ns, </w:t>
      </w:r>
      <w:r w:rsidR="00F008BF">
        <w:rPr>
          <w:rFonts w:asciiTheme="minorHAnsi" w:hAnsi="Arial" w:cs="Arial"/>
          <w:sz w:val="24"/>
          <w:szCs w:val="24"/>
          <w:lang w:eastAsia="zh-CN" w:bidi="en-US"/>
        </w:rPr>
        <w:t>0.15</w:t>
      </w:r>
      <w:r w:rsidR="00BF01E0">
        <w:rPr>
          <w:rFonts w:asciiTheme="minorHAnsi" w:hAnsi="Arial" w:cs="Arial"/>
          <w:sz w:val="24"/>
          <w:szCs w:val="24"/>
          <w:lang w:eastAsia="zh-CN" w:bidi="en-US"/>
        </w:rPr>
        <w:t xml:space="preserve"> ns and </w:t>
      </w:r>
      <w:r w:rsidR="00F008BF">
        <w:rPr>
          <w:rFonts w:asciiTheme="minorHAnsi" w:hAnsi="Arial" w:cs="Arial"/>
          <w:sz w:val="24"/>
          <w:szCs w:val="24"/>
          <w:lang w:eastAsia="zh-CN" w:bidi="en-US"/>
        </w:rPr>
        <w:t>1.25</w:t>
      </w:r>
      <w:r w:rsidR="00BF01E0">
        <w:rPr>
          <w:rFonts w:asciiTheme="minorHAnsi" w:hAnsi="Arial" w:cs="Arial"/>
          <w:sz w:val="24"/>
          <w:szCs w:val="24"/>
          <w:lang w:eastAsia="zh-CN" w:bidi="en-US"/>
        </w:rPr>
        <w:t xml:space="preserve"> ns</w:t>
      </w:r>
      <w:r w:rsidR="00F008BF">
        <w:rPr>
          <w:rFonts w:asciiTheme="minorHAnsi" w:hAnsi="Arial" w:cs="Arial" w:hint="eastAsia"/>
          <w:sz w:val="24"/>
          <w:szCs w:val="24"/>
          <w:lang w:eastAsia="zh-CN" w:bidi="en-US"/>
        </w:rPr>
        <w:t>.</w:t>
      </w:r>
    </w:p>
    <w:p w14:paraId="4D487F9B" w14:textId="4805CBC5" w:rsidR="00587C33" w:rsidRDefault="00E077DF" w:rsidP="00142AED">
      <w:pPr>
        <w:pStyle w:val="para1"/>
        <w:spacing w:after="100" w:afterAutospacing="1" w:line="480" w:lineRule="auto"/>
        <w:ind w:firstLine="0"/>
        <w:rPr>
          <w:lang w:eastAsia="zh-CN"/>
        </w:rPr>
      </w:pPr>
      <w:r>
        <w:rPr>
          <w:rFonts w:hint="eastAsia"/>
          <w:noProof/>
          <w:lang w:eastAsia="zh-CN"/>
        </w:rPr>
        <w:drawing>
          <wp:inline distT="0" distB="0" distL="0" distR="0" wp14:anchorId="62F10BBA" wp14:editId="62A4B8DA">
            <wp:extent cx="5384800" cy="3136900"/>
            <wp:effectExtent l="0" t="0" r="0" b="0"/>
            <wp:docPr id="128" name="Picture 128" descr="Figure%2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9" descr="Figure%207.6.png"/>
                    <pic:cNvPicPr>
                      <a:picLocks noChangeAspect="1" noChangeArrowheads="1"/>
                    </pic:cNvPicPr>
                  </pic:nvPicPr>
                  <pic:blipFill rotWithShape="1">
                    <a:blip r:embed="rId171">
                      <a:extLst>
                        <a:ext uri="{28A0092B-C50C-407E-A947-70E740481C1C}">
                          <a14:useLocalDpi xmlns:a14="http://schemas.microsoft.com/office/drawing/2010/main" val="0"/>
                        </a:ext>
                      </a:extLst>
                    </a:blip>
                    <a:srcRect t="12263" b="10065"/>
                    <a:stretch/>
                  </pic:blipFill>
                  <pic:spPr bwMode="auto">
                    <a:xfrm>
                      <a:off x="0" y="0"/>
                      <a:ext cx="5384800" cy="3136900"/>
                    </a:xfrm>
                    <a:prstGeom prst="rect">
                      <a:avLst/>
                    </a:prstGeom>
                    <a:noFill/>
                    <a:ln>
                      <a:noFill/>
                    </a:ln>
                    <a:extLst>
                      <a:ext uri="{53640926-AAD7-44D8-BBD7-CCE9431645EC}">
                        <a14:shadowObscured xmlns:a14="http://schemas.microsoft.com/office/drawing/2010/main"/>
                      </a:ext>
                    </a:extLst>
                  </pic:spPr>
                </pic:pic>
              </a:graphicData>
            </a:graphic>
          </wp:inline>
        </w:drawing>
      </w:r>
    </w:p>
    <w:p w14:paraId="28788FB0" w14:textId="0F13A583" w:rsidR="00E077DF" w:rsidRPr="00FA1F51" w:rsidRDefault="00E077DF" w:rsidP="00FA1F51">
      <w:pPr>
        <w:pStyle w:val="para1"/>
        <w:spacing w:after="100" w:afterAutospacing="1" w:line="480" w:lineRule="auto"/>
        <w:ind w:firstLine="0"/>
        <w:jc w:val="center"/>
        <w:rPr>
          <w:rFonts w:asciiTheme="minorHAnsi" w:hAnsi="Arial" w:cs="Arial"/>
          <w:b/>
          <w:sz w:val="24"/>
          <w:szCs w:val="24"/>
          <w:lang w:eastAsia="zh-CN" w:bidi="en-US"/>
        </w:rPr>
      </w:pPr>
      <w:r>
        <w:rPr>
          <w:rFonts w:asciiTheme="minorHAnsi" w:hAnsiTheme="minorHAnsi" w:cstheme="minorHAnsi"/>
          <w:b/>
          <w:sz w:val="24"/>
          <w:szCs w:val="24"/>
          <w:lang w:bidi="en-US"/>
        </w:rPr>
        <w:t>Figure 7.6</w:t>
      </w:r>
      <w:r w:rsidRPr="006A3937">
        <w:rPr>
          <w:rFonts w:asciiTheme="minorHAnsi" w:hAnsiTheme="minorHAnsi" w:cstheme="minorHAnsi"/>
          <w:b/>
          <w:sz w:val="24"/>
          <w:szCs w:val="24"/>
          <w:lang w:bidi="en-US"/>
        </w:rPr>
        <w:t>—</w:t>
      </w:r>
      <w:r w:rsidRPr="006A3937">
        <w:rPr>
          <w:rFonts w:asciiTheme="minorHAnsi" w:hAnsi="Arial" w:cs="Arial" w:hint="eastAsia"/>
          <w:b/>
          <w:sz w:val="24"/>
          <w:szCs w:val="24"/>
          <w:lang w:eastAsia="zh-CN" w:bidi="en-US"/>
        </w:rPr>
        <w:t xml:space="preserve"> The</w:t>
      </w:r>
      <w:r>
        <w:rPr>
          <w:rFonts w:asciiTheme="minorHAnsi" w:hAnsi="Arial" w:cs="Arial" w:hint="eastAsia"/>
          <w:b/>
          <w:sz w:val="24"/>
          <w:szCs w:val="24"/>
          <w:lang w:eastAsia="zh-CN" w:bidi="en-US"/>
        </w:rPr>
        <w:t xml:space="preserve"> initial configuration of C1/n-C4 mixtures in a two-pore system</w:t>
      </w:r>
    </w:p>
    <w:p w14:paraId="6FB2FFCA" w14:textId="35F1F287" w:rsidR="00F008BF" w:rsidRPr="00F008BF" w:rsidRDefault="00F008BF" w:rsidP="00F008BF">
      <w:pPr>
        <w:pStyle w:val="para1"/>
        <w:spacing w:after="100" w:afterAutospacing="1" w:line="480" w:lineRule="auto"/>
        <w:ind w:firstLine="0"/>
        <w:jc w:val="center"/>
        <w:rPr>
          <w:rFonts w:asciiTheme="minorHAnsi" w:hAnsi="Arial" w:cs="Arial"/>
          <w:b/>
          <w:sz w:val="24"/>
          <w:szCs w:val="24"/>
          <w:lang w:eastAsia="zh-CN" w:bidi="en-US"/>
        </w:rPr>
      </w:pPr>
      <w:r w:rsidRPr="00F008BF">
        <w:rPr>
          <w:rFonts w:asciiTheme="minorHAnsi" w:hAnsiTheme="minorHAnsi" w:cstheme="minorHAnsi"/>
          <w:b/>
          <w:sz w:val="24"/>
          <w:szCs w:val="24"/>
          <w:lang w:bidi="en-US"/>
        </w:rPr>
        <w:t>Figure 7.7—</w:t>
      </w:r>
      <w:r w:rsidRPr="00F008BF">
        <w:rPr>
          <w:rFonts w:asciiTheme="minorHAnsi" w:hAnsi="Arial" w:cs="Arial" w:hint="eastAsia"/>
          <w:b/>
          <w:sz w:val="24"/>
          <w:szCs w:val="24"/>
          <w:lang w:eastAsia="zh-CN" w:bidi="en-US"/>
        </w:rPr>
        <w:t xml:space="preserve">Snapshots </w:t>
      </w:r>
      <w:r w:rsidRPr="00F008BF">
        <w:rPr>
          <w:rFonts w:asciiTheme="minorHAnsi" w:hAnsi="Arial" w:cs="Arial"/>
          <w:b/>
          <w:sz w:val="24"/>
          <w:szCs w:val="24"/>
          <w:lang w:eastAsia="zh-CN" w:bidi="en-US"/>
        </w:rPr>
        <w:t>of the simulation where t = 0 ns, 0.05 ns, 0.15 ns and 1.25 ns</w:t>
      </w:r>
      <w:r w:rsidRPr="00F008BF">
        <w:rPr>
          <w:rFonts w:asciiTheme="minorHAnsi" w:hAnsi="Arial" w:cs="Arial" w:hint="eastAsia"/>
          <w:b/>
          <w:noProof/>
          <w:sz w:val="24"/>
          <w:szCs w:val="24"/>
          <w:lang w:eastAsia="zh-CN"/>
        </w:rPr>
        <w:t xml:space="preserve"> </w:t>
      </w:r>
      <w:r w:rsidRPr="00F008BF">
        <w:rPr>
          <w:rFonts w:asciiTheme="minorHAnsi" w:hAnsi="Arial" w:cs="Arial" w:hint="eastAsia"/>
          <w:b/>
          <w:noProof/>
          <w:sz w:val="24"/>
          <w:szCs w:val="24"/>
          <w:lang w:eastAsia="zh-CN"/>
        </w:rPr>
        <w:drawing>
          <wp:anchor distT="0" distB="0" distL="114300" distR="114300" simplePos="0" relativeHeight="251713536" behindDoc="0" locked="0" layoutInCell="1" allowOverlap="1" wp14:anchorId="3BC5FD76" wp14:editId="3D91AC91">
            <wp:simplePos x="0" y="0"/>
            <wp:positionH relativeFrom="column">
              <wp:posOffset>-26670</wp:posOffset>
            </wp:positionH>
            <wp:positionV relativeFrom="paragraph">
              <wp:posOffset>107950</wp:posOffset>
            </wp:positionV>
            <wp:extent cx="5384800" cy="1803400"/>
            <wp:effectExtent l="0" t="0" r="0" b="0"/>
            <wp:wrapThrough wrapText="bothSides">
              <wp:wrapPolygon edited="0">
                <wp:start x="0" y="0"/>
                <wp:lineTo x="0" y="21296"/>
                <wp:lineTo x="21498" y="21296"/>
                <wp:lineTo x="21498" y="0"/>
                <wp:lineTo x="0" y="0"/>
              </wp:wrapPolygon>
            </wp:wrapThrough>
            <wp:docPr id="130" name="Picture 130" descr="Figure%20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0" descr="Figure%207.7-1.png"/>
                    <pic:cNvPicPr>
                      <a:picLocks noChangeAspect="1" noChangeArrowheads="1"/>
                    </pic:cNvPicPr>
                  </pic:nvPicPr>
                  <pic:blipFill rotWithShape="1">
                    <a:blip r:embed="rId172">
                      <a:extLst>
                        <a:ext uri="{28A0092B-C50C-407E-A947-70E740481C1C}">
                          <a14:useLocalDpi xmlns:a14="http://schemas.microsoft.com/office/drawing/2010/main" val="0"/>
                        </a:ext>
                      </a:extLst>
                    </a:blip>
                    <a:srcRect t="27673" b="27673"/>
                    <a:stretch/>
                  </pic:blipFill>
                  <pic:spPr bwMode="auto">
                    <a:xfrm>
                      <a:off x="0" y="0"/>
                      <a:ext cx="5384800" cy="180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08BF">
        <w:rPr>
          <w:rFonts w:asciiTheme="minorHAnsi" w:hAnsi="Arial" w:cs="Arial" w:hint="eastAsia"/>
          <w:b/>
          <w:noProof/>
          <w:sz w:val="24"/>
          <w:szCs w:val="24"/>
          <w:lang w:eastAsia="zh-CN"/>
        </w:rPr>
        <w:drawing>
          <wp:anchor distT="0" distB="0" distL="114300" distR="114300" simplePos="0" relativeHeight="251716608" behindDoc="0" locked="0" layoutInCell="1" allowOverlap="1" wp14:anchorId="5130CEF8" wp14:editId="31524EE4">
            <wp:simplePos x="0" y="0"/>
            <wp:positionH relativeFrom="column">
              <wp:posOffset>-31115</wp:posOffset>
            </wp:positionH>
            <wp:positionV relativeFrom="paragraph">
              <wp:posOffset>1886585</wp:posOffset>
            </wp:positionV>
            <wp:extent cx="5384800" cy="1803400"/>
            <wp:effectExtent l="0" t="0" r="0" b="0"/>
            <wp:wrapThrough wrapText="bothSides">
              <wp:wrapPolygon edited="0">
                <wp:start x="0" y="0"/>
                <wp:lineTo x="0" y="21296"/>
                <wp:lineTo x="21498" y="21296"/>
                <wp:lineTo x="21498" y="0"/>
                <wp:lineTo x="0" y="0"/>
              </wp:wrapPolygon>
            </wp:wrapThrough>
            <wp:docPr id="132" name="Picture 132" descr="Figure%20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1" descr="Figure%207.7-2.png"/>
                    <pic:cNvPicPr>
                      <a:picLocks noChangeAspect="1" noChangeArrowheads="1"/>
                    </pic:cNvPicPr>
                  </pic:nvPicPr>
                  <pic:blipFill rotWithShape="1">
                    <a:blip r:embed="rId173">
                      <a:extLst>
                        <a:ext uri="{28A0092B-C50C-407E-A947-70E740481C1C}">
                          <a14:useLocalDpi xmlns:a14="http://schemas.microsoft.com/office/drawing/2010/main" val="0"/>
                        </a:ext>
                      </a:extLst>
                    </a:blip>
                    <a:srcRect t="28302" b="27044"/>
                    <a:stretch/>
                  </pic:blipFill>
                  <pic:spPr bwMode="auto">
                    <a:xfrm>
                      <a:off x="0" y="0"/>
                      <a:ext cx="5384800" cy="1803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08BF">
        <w:rPr>
          <w:rFonts w:asciiTheme="minorHAnsi" w:hAnsi="Arial" w:cs="Arial" w:hint="eastAsia"/>
          <w:b/>
          <w:noProof/>
          <w:sz w:val="24"/>
          <w:szCs w:val="24"/>
          <w:lang w:eastAsia="zh-CN"/>
        </w:rPr>
        <w:drawing>
          <wp:anchor distT="0" distB="0" distL="114300" distR="114300" simplePos="0" relativeHeight="251714560" behindDoc="0" locked="0" layoutInCell="1" allowOverlap="1" wp14:anchorId="66708F52" wp14:editId="6DC59D4F">
            <wp:simplePos x="0" y="0"/>
            <wp:positionH relativeFrom="column">
              <wp:posOffset>-22860</wp:posOffset>
            </wp:positionH>
            <wp:positionV relativeFrom="paragraph">
              <wp:posOffset>3670935</wp:posOffset>
            </wp:positionV>
            <wp:extent cx="5384800" cy="1778000"/>
            <wp:effectExtent l="0" t="0" r="0" b="0"/>
            <wp:wrapThrough wrapText="bothSides">
              <wp:wrapPolygon edited="0">
                <wp:start x="0" y="0"/>
                <wp:lineTo x="0" y="21291"/>
                <wp:lineTo x="21498" y="21291"/>
                <wp:lineTo x="21498" y="0"/>
                <wp:lineTo x="0" y="0"/>
              </wp:wrapPolygon>
            </wp:wrapThrough>
            <wp:docPr id="133" name="Picture 133" descr="Figure%20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2" descr="Figure%207.7-3.png"/>
                    <pic:cNvPicPr>
                      <a:picLocks noChangeAspect="1" noChangeArrowheads="1"/>
                    </pic:cNvPicPr>
                  </pic:nvPicPr>
                  <pic:blipFill rotWithShape="1">
                    <a:blip r:embed="rId174">
                      <a:extLst>
                        <a:ext uri="{28A0092B-C50C-407E-A947-70E740481C1C}">
                          <a14:useLocalDpi xmlns:a14="http://schemas.microsoft.com/office/drawing/2010/main" val="0"/>
                        </a:ext>
                      </a:extLst>
                    </a:blip>
                    <a:srcRect t="28303" b="27672"/>
                    <a:stretch/>
                  </pic:blipFill>
                  <pic:spPr bwMode="auto">
                    <a:xfrm>
                      <a:off x="0" y="0"/>
                      <a:ext cx="5384800" cy="177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08BF">
        <w:rPr>
          <w:rFonts w:asciiTheme="minorHAnsi" w:hAnsi="Arial" w:cs="Arial" w:hint="eastAsia"/>
          <w:b/>
          <w:noProof/>
          <w:sz w:val="24"/>
          <w:szCs w:val="24"/>
          <w:lang w:eastAsia="zh-CN"/>
        </w:rPr>
        <w:drawing>
          <wp:anchor distT="0" distB="0" distL="114300" distR="114300" simplePos="0" relativeHeight="251715584" behindDoc="0" locked="0" layoutInCell="1" allowOverlap="1" wp14:anchorId="4A747A4A" wp14:editId="040FCB22">
            <wp:simplePos x="0" y="0"/>
            <wp:positionH relativeFrom="column">
              <wp:posOffset>-24130</wp:posOffset>
            </wp:positionH>
            <wp:positionV relativeFrom="paragraph">
              <wp:posOffset>5452110</wp:posOffset>
            </wp:positionV>
            <wp:extent cx="5384800" cy="1778000"/>
            <wp:effectExtent l="0" t="0" r="0" b="0"/>
            <wp:wrapThrough wrapText="bothSides">
              <wp:wrapPolygon edited="0">
                <wp:start x="0" y="0"/>
                <wp:lineTo x="0" y="21291"/>
                <wp:lineTo x="21498" y="21291"/>
                <wp:lineTo x="21498" y="0"/>
                <wp:lineTo x="0" y="0"/>
              </wp:wrapPolygon>
            </wp:wrapThrough>
            <wp:docPr id="134" name="Picture 134" descr="Figure%20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3" descr="Figure%207.7-4.png"/>
                    <pic:cNvPicPr>
                      <a:picLocks noChangeAspect="1" noChangeArrowheads="1"/>
                    </pic:cNvPicPr>
                  </pic:nvPicPr>
                  <pic:blipFill rotWithShape="1">
                    <a:blip r:embed="rId175">
                      <a:extLst>
                        <a:ext uri="{28A0092B-C50C-407E-A947-70E740481C1C}">
                          <a14:useLocalDpi xmlns:a14="http://schemas.microsoft.com/office/drawing/2010/main" val="0"/>
                        </a:ext>
                      </a:extLst>
                    </a:blip>
                    <a:srcRect t="28931" b="27044"/>
                    <a:stretch/>
                  </pic:blipFill>
                  <pic:spPr bwMode="auto">
                    <a:xfrm>
                      <a:off x="0" y="0"/>
                      <a:ext cx="5384800" cy="177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0BD03C" w14:textId="468E2D9F" w:rsidR="00F008BF" w:rsidRDefault="00F008BF" w:rsidP="00142AED">
      <w:pPr>
        <w:pStyle w:val="para1"/>
        <w:spacing w:after="100" w:afterAutospacing="1" w:line="480" w:lineRule="auto"/>
        <w:ind w:firstLine="0"/>
        <w:rPr>
          <w:rFonts w:asciiTheme="minorHAnsi" w:hAnsi="Arial" w:cs="Arial"/>
          <w:sz w:val="24"/>
          <w:szCs w:val="24"/>
          <w:lang w:eastAsia="zh-CN" w:bidi="en-US"/>
        </w:rPr>
      </w:pPr>
    </w:p>
    <w:p w14:paraId="32CCD2C1" w14:textId="362E1C4E" w:rsidR="00F008BF" w:rsidRPr="00AC163A" w:rsidRDefault="00FA1F51" w:rsidP="00142AED">
      <w:pPr>
        <w:pStyle w:val="para1"/>
        <w:spacing w:after="100" w:afterAutospacing="1" w:line="480" w:lineRule="auto"/>
        <w:ind w:firstLine="0"/>
        <w:rPr>
          <w:sz w:val="24"/>
          <w:szCs w:val="24"/>
          <w:lang w:bidi="en-US"/>
        </w:rPr>
      </w:pPr>
      <w:r>
        <w:rPr>
          <w:rFonts w:asciiTheme="minorHAnsi" w:hAnsi="Arial" w:cs="Arial" w:hint="eastAsia"/>
          <w:sz w:val="24"/>
          <w:szCs w:val="24"/>
          <w:lang w:eastAsia="zh-CN" w:bidi="en-US"/>
        </w:rPr>
        <w:t xml:space="preserve">As we can see from the figure, n-butane molecules tend to stay close to the pore walls for both larger and smaller pores. </w:t>
      </w:r>
      <w:r w:rsidRPr="00590749">
        <w:rPr>
          <w:rFonts w:asciiTheme="minorHAnsi" w:hAnsi="Arial" w:cs="Arial" w:hint="eastAsia"/>
          <w:b/>
          <w:sz w:val="24"/>
          <w:szCs w:val="24"/>
          <w:lang w:eastAsia="zh-CN" w:bidi="en-US"/>
        </w:rPr>
        <w:t>Table 7.3</w:t>
      </w:r>
      <w:r>
        <w:rPr>
          <w:rFonts w:asciiTheme="minorHAnsi" w:hAnsi="Arial" w:cs="Arial" w:hint="eastAsia"/>
          <w:sz w:val="24"/>
          <w:szCs w:val="24"/>
          <w:lang w:eastAsia="zh-CN" w:bidi="en-US"/>
        </w:rPr>
        <w:t xml:space="preserve"> shows the average number of methane and n-butane molecules</w:t>
      </w:r>
      <w:r w:rsidR="002D47A4">
        <w:rPr>
          <w:rFonts w:asciiTheme="minorHAnsi" w:hAnsi="Arial" w:cs="Arial" w:hint="eastAsia"/>
          <w:sz w:val="24"/>
          <w:szCs w:val="24"/>
          <w:lang w:eastAsia="zh-CN" w:bidi="en-US"/>
        </w:rPr>
        <w:t xml:space="preserve"> </w:t>
      </w:r>
      <w:r w:rsidR="009C0970">
        <w:rPr>
          <w:rFonts w:asciiTheme="minorHAnsi" w:hAnsi="Arial" w:cs="Arial" w:hint="eastAsia"/>
          <w:sz w:val="24"/>
          <w:szCs w:val="24"/>
          <w:lang w:eastAsia="zh-CN" w:bidi="en-US"/>
        </w:rPr>
        <w:t xml:space="preserve">and their compositions </w:t>
      </w:r>
      <w:r w:rsidR="002D47A4">
        <w:rPr>
          <w:rFonts w:asciiTheme="minorHAnsi" w:hAnsi="Arial" w:cs="Arial" w:hint="eastAsia"/>
          <w:sz w:val="24"/>
          <w:szCs w:val="24"/>
          <w:lang w:eastAsia="zh-CN" w:bidi="en-US"/>
        </w:rPr>
        <w:t xml:space="preserve">in each </w:t>
      </w:r>
      <w:r w:rsidR="002D47A4">
        <w:rPr>
          <w:rFonts w:asciiTheme="minorHAnsi" w:hAnsi="Arial" w:cs="Arial"/>
          <w:sz w:val="24"/>
          <w:szCs w:val="24"/>
          <w:lang w:eastAsia="zh-CN" w:bidi="en-US"/>
        </w:rPr>
        <w:t>pore</w:t>
      </w:r>
      <w:r w:rsidR="002D47A4">
        <w:rPr>
          <w:rFonts w:asciiTheme="minorHAnsi" w:hAnsi="Arial" w:cs="Arial" w:hint="eastAsia"/>
          <w:sz w:val="24"/>
          <w:szCs w:val="24"/>
          <w:lang w:eastAsia="zh-CN" w:bidi="en-US"/>
        </w:rPr>
        <w:t xml:space="preserve"> at </w:t>
      </w:r>
      <w:r w:rsidR="002D47A4">
        <w:rPr>
          <w:rFonts w:asciiTheme="minorHAnsi" w:hAnsi="Arial" w:cs="Arial"/>
          <w:sz w:val="24"/>
          <w:szCs w:val="24"/>
          <w:lang w:eastAsia="zh-CN" w:bidi="en-US"/>
        </w:rPr>
        <w:t>equilibrium</w:t>
      </w:r>
      <w:r w:rsidR="0017444E">
        <w:rPr>
          <w:rFonts w:asciiTheme="minorHAnsi" w:hAnsi="Arial" w:cs="Arial" w:hint="eastAsia"/>
          <w:sz w:val="24"/>
          <w:szCs w:val="24"/>
          <w:lang w:eastAsia="zh-CN" w:bidi="en-US"/>
        </w:rPr>
        <w:t>.</w:t>
      </w:r>
      <w:r w:rsidR="00ED6643">
        <w:rPr>
          <w:rFonts w:asciiTheme="minorHAnsi" w:hAnsi="Arial" w:cs="Arial" w:hint="eastAsia"/>
          <w:sz w:val="24"/>
          <w:szCs w:val="24"/>
          <w:lang w:eastAsia="zh-CN" w:bidi="en-US"/>
        </w:rPr>
        <w:t xml:space="preserve"> </w:t>
      </w:r>
      <w:r w:rsidR="0088279B">
        <w:rPr>
          <w:rFonts w:asciiTheme="minorHAnsi" w:hAnsi="Arial" w:cs="Arial" w:hint="eastAsia"/>
          <w:sz w:val="24"/>
          <w:szCs w:val="24"/>
          <w:lang w:eastAsia="zh-CN" w:bidi="en-US"/>
        </w:rPr>
        <w:t xml:space="preserve">From the </w:t>
      </w:r>
      <w:r w:rsidR="0088279B">
        <w:rPr>
          <w:rFonts w:asciiTheme="minorHAnsi" w:hAnsi="Arial" w:cs="Arial"/>
          <w:sz w:val="24"/>
          <w:szCs w:val="24"/>
          <w:lang w:eastAsia="zh-CN" w:bidi="en-US"/>
        </w:rPr>
        <w:t>results,</w:t>
      </w:r>
      <w:r w:rsidR="007D6833">
        <w:rPr>
          <w:rFonts w:asciiTheme="minorHAnsi" w:hAnsi="Arial" w:cs="Arial" w:hint="eastAsia"/>
          <w:sz w:val="24"/>
          <w:szCs w:val="24"/>
          <w:lang w:eastAsia="zh-CN" w:bidi="en-US"/>
        </w:rPr>
        <w:t xml:space="preserve"> it is clear that the composition of n-butane in smaller pore is larger than that in the larger pore. This means that </w:t>
      </w:r>
      <w:r w:rsidR="009B7B29">
        <w:rPr>
          <w:rFonts w:asciiTheme="minorHAnsi" w:hAnsi="Arial" w:cs="Arial"/>
          <w:sz w:val="24"/>
          <w:szCs w:val="24"/>
          <w:lang w:eastAsia="zh-CN" w:bidi="en-US"/>
        </w:rPr>
        <w:t>competitively</w:t>
      </w:r>
      <w:r w:rsidR="009B7B29">
        <w:rPr>
          <w:rFonts w:asciiTheme="minorHAnsi" w:hAnsi="Arial" w:cs="Arial" w:hint="eastAsia"/>
          <w:sz w:val="24"/>
          <w:szCs w:val="24"/>
          <w:lang w:eastAsia="zh-CN" w:bidi="en-US"/>
        </w:rPr>
        <w:t xml:space="preserve">, </w:t>
      </w:r>
      <w:r w:rsidR="00845813">
        <w:rPr>
          <w:rFonts w:asciiTheme="minorHAnsi" w:hAnsi="Arial" w:cs="Arial" w:hint="eastAsia"/>
          <w:sz w:val="24"/>
          <w:szCs w:val="24"/>
          <w:lang w:eastAsia="zh-CN" w:bidi="en-US"/>
        </w:rPr>
        <w:t>the smaller pore attracts n-butane more than methane.</w:t>
      </w:r>
      <w:r w:rsidR="00584508">
        <w:rPr>
          <w:rFonts w:asciiTheme="minorHAnsi" w:hAnsi="Arial" w:cs="Arial" w:hint="eastAsia"/>
          <w:sz w:val="24"/>
          <w:szCs w:val="24"/>
          <w:lang w:eastAsia="zh-CN" w:bidi="en-US"/>
        </w:rPr>
        <w:t xml:space="preserve"> The molecule number ratio </w:t>
      </w:r>
      <w:r w:rsidR="00584508">
        <w:rPr>
          <w:rFonts w:hint="eastAsia"/>
          <w:sz w:val="24"/>
          <w:szCs w:val="24"/>
          <w:lang w:bidi="en-US"/>
        </w:rPr>
        <w:t xml:space="preserve">of lager/smaller pore </w:t>
      </w:r>
      <w:r w:rsidR="00AC163A">
        <w:rPr>
          <w:rFonts w:hint="eastAsia"/>
          <w:sz w:val="24"/>
          <w:szCs w:val="24"/>
          <w:lang w:bidi="en-US"/>
        </w:rPr>
        <w:t xml:space="preserve">gives a hint of </w:t>
      </w:r>
      <w:r w:rsidR="00B24FD4">
        <w:rPr>
          <w:rFonts w:hint="eastAsia"/>
          <w:sz w:val="24"/>
          <w:szCs w:val="24"/>
          <w:lang w:bidi="en-US"/>
        </w:rPr>
        <w:t>how fluid distributes differently</w:t>
      </w:r>
      <w:r w:rsidR="00AC163A">
        <w:rPr>
          <w:rFonts w:hint="eastAsia"/>
          <w:sz w:val="24"/>
          <w:szCs w:val="24"/>
          <w:lang w:bidi="en-US"/>
        </w:rPr>
        <w:t xml:space="preserve"> in the two pores. If the fluid distributes uniformly over the entire space, this number should be 2.00 (number of molecules should be </w:t>
      </w:r>
      <w:r w:rsidR="00AC163A">
        <w:rPr>
          <w:sz w:val="24"/>
          <w:szCs w:val="24"/>
          <w:lang w:bidi="en-US"/>
        </w:rPr>
        <w:t>proportional</w:t>
      </w:r>
      <w:r w:rsidR="00AC163A">
        <w:rPr>
          <w:rFonts w:hint="eastAsia"/>
          <w:sz w:val="24"/>
          <w:szCs w:val="24"/>
          <w:lang w:bidi="en-US"/>
        </w:rPr>
        <w:t xml:space="preserve"> the volume of the pore, the volume of the larger pore is 2 times of the smaller pore). In Table 7.3, this number is 2.20 for methane and 1.80 pore n-butane. This means t</w:t>
      </w:r>
      <w:r w:rsidR="009C3C67">
        <w:rPr>
          <w:rFonts w:hint="eastAsia"/>
          <w:sz w:val="24"/>
          <w:szCs w:val="24"/>
          <w:lang w:bidi="en-US"/>
        </w:rPr>
        <w:t>hat nearly</w:t>
      </w:r>
      <w:r w:rsidR="00AC163A">
        <w:rPr>
          <w:rFonts w:hint="eastAsia"/>
          <w:sz w:val="24"/>
          <w:szCs w:val="24"/>
          <w:lang w:bidi="en-US"/>
        </w:rPr>
        <w:t xml:space="preserve"> 10% of the methane molecules in larger pores have been placed by n-butane molecules</w:t>
      </w:r>
      <w:r w:rsidR="009C3C67">
        <w:rPr>
          <w:rFonts w:hint="eastAsia"/>
          <w:sz w:val="24"/>
          <w:szCs w:val="24"/>
          <w:lang w:bidi="en-US"/>
        </w:rPr>
        <w:t xml:space="preserve"> due to the confinement effects</w:t>
      </w:r>
      <w:r w:rsidR="00AC163A">
        <w:rPr>
          <w:rFonts w:hint="eastAsia"/>
          <w:sz w:val="24"/>
          <w:szCs w:val="24"/>
          <w:lang w:bidi="en-US"/>
        </w:rPr>
        <w:t>.</w:t>
      </w:r>
    </w:p>
    <w:tbl>
      <w:tblPr>
        <w:tblStyle w:val="TableGrid"/>
        <w:tblW w:w="0" w:type="auto"/>
        <w:tblLook w:val="04A0" w:firstRow="1" w:lastRow="0" w:firstColumn="1" w:lastColumn="0" w:noHBand="0" w:noVBand="1"/>
      </w:tblPr>
      <w:tblGrid>
        <w:gridCol w:w="3703"/>
        <w:gridCol w:w="2457"/>
        <w:gridCol w:w="2326"/>
      </w:tblGrid>
      <w:tr w:rsidR="009C0970" w:rsidRPr="00A12AF1" w14:paraId="397C44E8" w14:textId="77777777" w:rsidTr="001360C1">
        <w:trPr>
          <w:trHeight w:val="611"/>
        </w:trPr>
        <w:tc>
          <w:tcPr>
            <w:tcW w:w="8712" w:type="dxa"/>
            <w:gridSpan w:val="3"/>
            <w:tcBorders>
              <w:bottom w:val="single" w:sz="4" w:space="0" w:color="auto"/>
            </w:tcBorders>
          </w:tcPr>
          <w:p w14:paraId="21118DDE" w14:textId="28BF9F38" w:rsidR="009C0970" w:rsidRPr="00A12AF1" w:rsidRDefault="009C0970" w:rsidP="00590749">
            <w:pPr>
              <w:pStyle w:val="para1"/>
              <w:ind w:firstLine="0"/>
              <w:jc w:val="center"/>
              <w:rPr>
                <w:sz w:val="24"/>
                <w:szCs w:val="24"/>
                <w:lang w:bidi="en-US"/>
              </w:rPr>
            </w:pPr>
            <w:r>
              <w:rPr>
                <w:rFonts w:cstheme="minorHAnsi"/>
                <w:b/>
                <w:sz w:val="24"/>
                <w:szCs w:val="24"/>
              </w:rPr>
              <w:t>Table 7.</w:t>
            </w:r>
            <w:r>
              <w:rPr>
                <w:rFonts w:cstheme="minorHAnsi" w:hint="eastAsia"/>
                <w:b/>
                <w:sz w:val="24"/>
                <w:szCs w:val="24"/>
              </w:rPr>
              <w:t>3</w:t>
            </w:r>
            <w:r w:rsidRPr="00A12AF1">
              <w:rPr>
                <w:rFonts w:cstheme="minorHAnsi"/>
                <w:b/>
                <w:sz w:val="24"/>
                <w:szCs w:val="24"/>
              </w:rPr>
              <w:t xml:space="preserve">: </w:t>
            </w:r>
            <w:r w:rsidR="00590749">
              <w:rPr>
                <w:rFonts w:cstheme="minorHAnsi" w:hint="eastAsia"/>
                <w:b/>
                <w:sz w:val="24"/>
                <w:szCs w:val="24"/>
              </w:rPr>
              <w:t>Molecule count</w:t>
            </w:r>
            <w:r w:rsidR="003C3FF4">
              <w:rPr>
                <w:rFonts w:cstheme="minorHAnsi" w:hint="eastAsia"/>
                <w:b/>
                <w:sz w:val="24"/>
                <w:szCs w:val="24"/>
              </w:rPr>
              <w:t xml:space="preserve"> of methane and n-butane in each pore at </w:t>
            </w:r>
            <w:r w:rsidR="003C3FF4">
              <w:rPr>
                <w:rFonts w:cstheme="minorHAnsi"/>
                <w:b/>
                <w:sz w:val="24"/>
                <w:szCs w:val="24"/>
              </w:rPr>
              <w:t>equilibrium</w:t>
            </w:r>
          </w:p>
        </w:tc>
      </w:tr>
      <w:tr w:rsidR="003C3FF4" w:rsidRPr="00A12AF1" w14:paraId="105D431D" w14:textId="77777777" w:rsidTr="003C3FF4">
        <w:trPr>
          <w:trHeight w:val="504"/>
        </w:trPr>
        <w:tc>
          <w:tcPr>
            <w:tcW w:w="3802" w:type="dxa"/>
            <w:tcBorders>
              <w:bottom w:val="nil"/>
              <w:right w:val="nil"/>
            </w:tcBorders>
            <w:vAlign w:val="center"/>
          </w:tcPr>
          <w:p w14:paraId="6F6C4827" w14:textId="77777777" w:rsidR="009C0970" w:rsidRPr="00A12AF1" w:rsidRDefault="009C0970" w:rsidP="001360C1">
            <w:pPr>
              <w:pStyle w:val="para1"/>
              <w:ind w:firstLine="0"/>
              <w:jc w:val="center"/>
              <w:rPr>
                <w:sz w:val="24"/>
                <w:szCs w:val="24"/>
                <w:lang w:bidi="en-US"/>
              </w:rPr>
            </w:pPr>
          </w:p>
        </w:tc>
        <w:tc>
          <w:tcPr>
            <w:tcW w:w="2520" w:type="dxa"/>
            <w:tcBorders>
              <w:left w:val="nil"/>
              <w:bottom w:val="nil"/>
              <w:right w:val="nil"/>
            </w:tcBorders>
            <w:vAlign w:val="center"/>
          </w:tcPr>
          <w:p w14:paraId="2818F223" w14:textId="3174D142" w:rsidR="009C0970" w:rsidRPr="00A12AF1" w:rsidRDefault="003C3FF4" w:rsidP="001360C1">
            <w:pPr>
              <w:pStyle w:val="para1"/>
              <w:ind w:firstLine="0"/>
              <w:jc w:val="center"/>
              <w:rPr>
                <w:sz w:val="24"/>
                <w:szCs w:val="24"/>
                <w:u w:val="single"/>
                <w:lang w:bidi="en-US"/>
              </w:rPr>
            </w:pPr>
            <w:r>
              <w:rPr>
                <w:rFonts w:cstheme="minorHAnsi" w:hint="eastAsia"/>
                <w:sz w:val="24"/>
                <w:szCs w:val="24"/>
                <w:u w:val="single"/>
              </w:rPr>
              <w:t>Methane</w:t>
            </w:r>
          </w:p>
        </w:tc>
        <w:tc>
          <w:tcPr>
            <w:tcW w:w="2390" w:type="dxa"/>
            <w:tcBorders>
              <w:left w:val="nil"/>
              <w:bottom w:val="nil"/>
            </w:tcBorders>
            <w:vAlign w:val="center"/>
          </w:tcPr>
          <w:p w14:paraId="600DE6D4" w14:textId="5103EDD1" w:rsidR="009C0970" w:rsidRPr="00A12AF1" w:rsidRDefault="003C3FF4" w:rsidP="001360C1">
            <w:pPr>
              <w:pStyle w:val="para1"/>
              <w:ind w:firstLine="0"/>
              <w:jc w:val="center"/>
              <w:rPr>
                <w:sz w:val="24"/>
                <w:szCs w:val="24"/>
                <w:u w:val="single"/>
                <w:lang w:bidi="en-US"/>
              </w:rPr>
            </w:pPr>
            <w:r>
              <w:rPr>
                <w:rFonts w:cstheme="minorHAnsi" w:hint="eastAsia"/>
                <w:sz w:val="24"/>
                <w:szCs w:val="24"/>
                <w:u w:val="single"/>
              </w:rPr>
              <w:t>n-Butane</w:t>
            </w:r>
          </w:p>
        </w:tc>
      </w:tr>
      <w:tr w:rsidR="003C3FF4" w:rsidRPr="00A12AF1" w14:paraId="3AEBE715" w14:textId="77777777" w:rsidTr="003C3FF4">
        <w:trPr>
          <w:trHeight w:val="504"/>
        </w:trPr>
        <w:tc>
          <w:tcPr>
            <w:tcW w:w="3802" w:type="dxa"/>
            <w:tcBorders>
              <w:top w:val="nil"/>
              <w:bottom w:val="nil"/>
              <w:right w:val="nil"/>
            </w:tcBorders>
            <w:vAlign w:val="center"/>
          </w:tcPr>
          <w:p w14:paraId="64E458D2" w14:textId="5FED6A9F" w:rsidR="009C0970" w:rsidRPr="00A12AF1" w:rsidRDefault="003C3FF4" w:rsidP="001360C1">
            <w:pPr>
              <w:pStyle w:val="para1"/>
              <w:ind w:firstLine="0"/>
              <w:jc w:val="center"/>
              <w:rPr>
                <w:sz w:val="24"/>
                <w:szCs w:val="24"/>
                <w:lang w:bidi="en-US"/>
              </w:rPr>
            </w:pPr>
            <w:r>
              <w:rPr>
                <w:rFonts w:hint="eastAsia"/>
                <w:sz w:val="24"/>
                <w:szCs w:val="24"/>
                <w:lang w:bidi="en-US"/>
              </w:rPr>
              <w:t>Number of molecules in larger pore</w:t>
            </w:r>
          </w:p>
        </w:tc>
        <w:tc>
          <w:tcPr>
            <w:tcW w:w="2520" w:type="dxa"/>
            <w:tcBorders>
              <w:top w:val="nil"/>
              <w:left w:val="nil"/>
              <w:bottom w:val="nil"/>
              <w:right w:val="nil"/>
            </w:tcBorders>
            <w:vAlign w:val="center"/>
          </w:tcPr>
          <w:p w14:paraId="27304D5A" w14:textId="7E2F8624" w:rsidR="009C0970" w:rsidRPr="00A12AF1" w:rsidRDefault="003C3FF4" w:rsidP="001360C1">
            <w:pPr>
              <w:pStyle w:val="para1"/>
              <w:ind w:firstLine="0"/>
              <w:jc w:val="center"/>
              <w:rPr>
                <w:sz w:val="24"/>
                <w:szCs w:val="24"/>
                <w:lang w:bidi="en-US"/>
              </w:rPr>
            </w:pPr>
            <w:r>
              <w:rPr>
                <w:rFonts w:hint="eastAsia"/>
                <w:sz w:val="24"/>
                <w:szCs w:val="24"/>
                <w:lang w:bidi="en-US"/>
              </w:rPr>
              <w:t>619</w:t>
            </w:r>
          </w:p>
        </w:tc>
        <w:tc>
          <w:tcPr>
            <w:tcW w:w="2390" w:type="dxa"/>
            <w:tcBorders>
              <w:top w:val="nil"/>
              <w:left w:val="nil"/>
              <w:bottom w:val="nil"/>
            </w:tcBorders>
            <w:vAlign w:val="center"/>
          </w:tcPr>
          <w:p w14:paraId="0314401A" w14:textId="4CFA3A63" w:rsidR="009C0970" w:rsidRPr="00A12AF1" w:rsidRDefault="003C3FF4" w:rsidP="001360C1">
            <w:pPr>
              <w:pStyle w:val="para1"/>
              <w:ind w:firstLine="0"/>
              <w:jc w:val="center"/>
              <w:rPr>
                <w:sz w:val="24"/>
                <w:szCs w:val="24"/>
                <w:lang w:bidi="en-US"/>
              </w:rPr>
            </w:pPr>
            <w:r>
              <w:rPr>
                <w:rFonts w:hint="eastAsia"/>
                <w:sz w:val="24"/>
                <w:szCs w:val="24"/>
                <w:lang w:bidi="en-US"/>
              </w:rPr>
              <w:t>193</w:t>
            </w:r>
          </w:p>
        </w:tc>
      </w:tr>
      <w:tr w:rsidR="003C3FF4" w:rsidRPr="00A12AF1" w14:paraId="75D7588A" w14:textId="77777777" w:rsidTr="003C3FF4">
        <w:trPr>
          <w:trHeight w:val="504"/>
        </w:trPr>
        <w:tc>
          <w:tcPr>
            <w:tcW w:w="3802" w:type="dxa"/>
            <w:tcBorders>
              <w:top w:val="nil"/>
              <w:bottom w:val="nil"/>
              <w:right w:val="nil"/>
            </w:tcBorders>
            <w:vAlign w:val="center"/>
          </w:tcPr>
          <w:p w14:paraId="070CEEF8" w14:textId="28BC1F7A" w:rsidR="009C0970" w:rsidRPr="00A12AF1" w:rsidRDefault="003C3FF4" w:rsidP="001360C1">
            <w:pPr>
              <w:pStyle w:val="para1"/>
              <w:ind w:firstLine="0"/>
              <w:jc w:val="center"/>
              <w:rPr>
                <w:sz w:val="24"/>
                <w:szCs w:val="24"/>
                <w:lang w:bidi="en-US"/>
              </w:rPr>
            </w:pPr>
            <w:r>
              <w:rPr>
                <w:rFonts w:hint="eastAsia"/>
                <w:sz w:val="24"/>
                <w:szCs w:val="24"/>
                <w:lang w:bidi="en-US"/>
              </w:rPr>
              <w:t>Composition in larger pore</w:t>
            </w:r>
          </w:p>
        </w:tc>
        <w:tc>
          <w:tcPr>
            <w:tcW w:w="2520" w:type="dxa"/>
            <w:tcBorders>
              <w:top w:val="nil"/>
              <w:left w:val="nil"/>
              <w:bottom w:val="nil"/>
              <w:right w:val="nil"/>
            </w:tcBorders>
            <w:vAlign w:val="center"/>
          </w:tcPr>
          <w:p w14:paraId="16385E83" w14:textId="56CF36AF" w:rsidR="009C0970" w:rsidRPr="00A12AF1" w:rsidRDefault="003C3FF4" w:rsidP="001360C1">
            <w:pPr>
              <w:pStyle w:val="para1"/>
              <w:ind w:firstLine="0"/>
              <w:jc w:val="center"/>
              <w:rPr>
                <w:sz w:val="24"/>
                <w:szCs w:val="24"/>
                <w:lang w:bidi="en-US"/>
              </w:rPr>
            </w:pPr>
            <w:r>
              <w:rPr>
                <w:rFonts w:hint="eastAsia"/>
                <w:sz w:val="24"/>
                <w:szCs w:val="24"/>
                <w:lang w:bidi="en-US"/>
              </w:rPr>
              <w:t>76.2%</w:t>
            </w:r>
          </w:p>
        </w:tc>
        <w:tc>
          <w:tcPr>
            <w:tcW w:w="2390" w:type="dxa"/>
            <w:tcBorders>
              <w:top w:val="nil"/>
              <w:left w:val="nil"/>
              <w:bottom w:val="nil"/>
            </w:tcBorders>
            <w:vAlign w:val="center"/>
          </w:tcPr>
          <w:p w14:paraId="0B8E86D5" w14:textId="326B0449" w:rsidR="009C0970" w:rsidRPr="00A12AF1" w:rsidRDefault="003C3FF4" w:rsidP="001360C1">
            <w:pPr>
              <w:pStyle w:val="para1"/>
              <w:ind w:firstLine="0"/>
              <w:jc w:val="center"/>
              <w:rPr>
                <w:sz w:val="24"/>
                <w:szCs w:val="24"/>
                <w:lang w:bidi="en-US"/>
              </w:rPr>
            </w:pPr>
            <w:r>
              <w:rPr>
                <w:rFonts w:hint="eastAsia"/>
                <w:sz w:val="24"/>
                <w:szCs w:val="24"/>
                <w:lang w:bidi="en-US"/>
              </w:rPr>
              <w:t>23.8%</w:t>
            </w:r>
          </w:p>
        </w:tc>
      </w:tr>
      <w:tr w:rsidR="003C3FF4" w:rsidRPr="00A12AF1" w14:paraId="6C763BD5" w14:textId="77777777" w:rsidTr="003C3FF4">
        <w:trPr>
          <w:trHeight w:val="504"/>
        </w:trPr>
        <w:tc>
          <w:tcPr>
            <w:tcW w:w="3802" w:type="dxa"/>
            <w:tcBorders>
              <w:top w:val="nil"/>
              <w:bottom w:val="nil"/>
              <w:right w:val="nil"/>
            </w:tcBorders>
            <w:vAlign w:val="center"/>
          </w:tcPr>
          <w:p w14:paraId="616CAB0E" w14:textId="101D5493" w:rsidR="009C0970" w:rsidRPr="00A12AF1" w:rsidRDefault="003C3FF4" w:rsidP="001360C1">
            <w:pPr>
              <w:pStyle w:val="para1"/>
              <w:ind w:firstLine="0"/>
              <w:jc w:val="center"/>
              <w:rPr>
                <w:sz w:val="24"/>
                <w:szCs w:val="24"/>
                <w:lang w:bidi="en-US"/>
              </w:rPr>
            </w:pPr>
            <w:r>
              <w:rPr>
                <w:rFonts w:hint="eastAsia"/>
                <w:sz w:val="24"/>
                <w:szCs w:val="24"/>
                <w:lang w:bidi="en-US"/>
              </w:rPr>
              <w:t>Number of molecules in smaller pore</w:t>
            </w:r>
          </w:p>
        </w:tc>
        <w:tc>
          <w:tcPr>
            <w:tcW w:w="2520" w:type="dxa"/>
            <w:tcBorders>
              <w:top w:val="nil"/>
              <w:left w:val="nil"/>
              <w:bottom w:val="nil"/>
              <w:right w:val="nil"/>
            </w:tcBorders>
            <w:vAlign w:val="center"/>
          </w:tcPr>
          <w:p w14:paraId="20EB1AEB" w14:textId="0250097A" w:rsidR="009C0970" w:rsidRPr="00A12AF1" w:rsidRDefault="003C3FF4" w:rsidP="001360C1">
            <w:pPr>
              <w:pStyle w:val="para1"/>
              <w:ind w:firstLine="0"/>
              <w:jc w:val="center"/>
              <w:rPr>
                <w:sz w:val="24"/>
                <w:szCs w:val="24"/>
                <w:lang w:bidi="en-US"/>
              </w:rPr>
            </w:pPr>
            <w:r>
              <w:rPr>
                <w:rFonts w:hint="eastAsia"/>
                <w:sz w:val="24"/>
                <w:szCs w:val="24"/>
                <w:lang w:bidi="en-US"/>
              </w:rPr>
              <w:t>281</w:t>
            </w:r>
          </w:p>
        </w:tc>
        <w:tc>
          <w:tcPr>
            <w:tcW w:w="2390" w:type="dxa"/>
            <w:tcBorders>
              <w:top w:val="nil"/>
              <w:left w:val="nil"/>
              <w:bottom w:val="nil"/>
            </w:tcBorders>
            <w:vAlign w:val="center"/>
          </w:tcPr>
          <w:p w14:paraId="7674733F" w14:textId="2DFC7A58" w:rsidR="009C0970" w:rsidRPr="00A12AF1" w:rsidRDefault="003C3FF4" w:rsidP="001360C1">
            <w:pPr>
              <w:pStyle w:val="para1"/>
              <w:ind w:firstLine="0"/>
              <w:jc w:val="center"/>
              <w:rPr>
                <w:sz w:val="24"/>
                <w:szCs w:val="24"/>
                <w:lang w:bidi="en-US"/>
              </w:rPr>
            </w:pPr>
            <w:r>
              <w:rPr>
                <w:rFonts w:hint="eastAsia"/>
                <w:sz w:val="24"/>
                <w:szCs w:val="24"/>
                <w:lang w:bidi="en-US"/>
              </w:rPr>
              <w:t>107</w:t>
            </w:r>
          </w:p>
        </w:tc>
      </w:tr>
      <w:tr w:rsidR="003C3FF4" w:rsidRPr="00A12AF1" w14:paraId="30C62505" w14:textId="77777777" w:rsidTr="0088279B">
        <w:trPr>
          <w:trHeight w:val="504"/>
        </w:trPr>
        <w:tc>
          <w:tcPr>
            <w:tcW w:w="3802" w:type="dxa"/>
            <w:tcBorders>
              <w:top w:val="nil"/>
              <w:bottom w:val="nil"/>
              <w:right w:val="nil"/>
            </w:tcBorders>
            <w:vAlign w:val="center"/>
          </w:tcPr>
          <w:p w14:paraId="0EE255A4" w14:textId="6AB10F9A" w:rsidR="009C0970" w:rsidRPr="00A12AF1" w:rsidRDefault="003C3FF4" w:rsidP="003C3FF4">
            <w:pPr>
              <w:pStyle w:val="para1"/>
              <w:ind w:firstLine="0"/>
              <w:jc w:val="center"/>
              <w:rPr>
                <w:sz w:val="24"/>
                <w:szCs w:val="24"/>
                <w:lang w:bidi="en-US"/>
              </w:rPr>
            </w:pPr>
            <w:r>
              <w:rPr>
                <w:rFonts w:hint="eastAsia"/>
                <w:sz w:val="24"/>
                <w:szCs w:val="24"/>
                <w:lang w:bidi="en-US"/>
              </w:rPr>
              <w:t>Composition in smaller pore</w:t>
            </w:r>
          </w:p>
        </w:tc>
        <w:tc>
          <w:tcPr>
            <w:tcW w:w="2520" w:type="dxa"/>
            <w:tcBorders>
              <w:top w:val="nil"/>
              <w:left w:val="nil"/>
              <w:bottom w:val="nil"/>
              <w:right w:val="nil"/>
            </w:tcBorders>
            <w:vAlign w:val="center"/>
          </w:tcPr>
          <w:p w14:paraId="1BFC206A" w14:textId="0C36FDCF" w:rsidR="009C0970" w:rsidRPr="00A12AF1" w:rsidRDefault="003C3FF4" w:rsidP="001360C1">
            <w:pPr>
              <w:pStyle w:val="para1"/>
              <w:ind w:firstLine="0"/>
              <w:jc w:val="center"/>
              <w:rPr>
                <w:sz w:val="24"/>
                <w:szCs w:val="24"/>
                <w:lang w:bidi="en-US"/>
              </w:rPr>
            </w:pPr>
            <w:r>
              <w:rPr>
                <w:rFonts w:hint="eastAsia"/>
                <w:sz w:val="24"/>
                <w:szCs w:val="24"/>
                <w:lang w:bidi="en-US"/>
              </w:rPr>
              <w:t>72.4%</w:t>
            </w:r>
          </w:p>
        </w:tc>
        <w:tc>
          <w:tcPr>
            <w:tcW w:w="2390" w:type="dxa"/>
            <w:tcBorders>
              <w:top w:val="nil"/>
              <w:left w:val="nil"/>
              <w:bottom w:val="nil"/>
            </w:tcBorders>
            <w:vAlign w:val="center"/>
          </w:tcPr>
          <w:p w14:paraId="32743FF3" w14:textId="695CC661" w:rsidR="009C0970" w:rsidRPr="00A12AF1" w:rsidRDefault="003C3FF4" w:rsidP="001360C1">
            <w:pPr>
              <w:pStyle w:val="para1"/>
              <w:ind w:firstLine="0"/>
              <w:jc w:val="center"/>
              <w:rPr>
                <w:sz w:val="24"/>
                <w:szCs w:val="24"/>
                <w:lang w:bidi="en-US"/>
              </w:rPr>
            </w:pPr>
            <w:r>
              <w:rPr>
                <w:rFonts w:hint="eastAsia"/>
                <w:sz w:val="24"/>
                <w:szCs w:val="24"/>
                <w:lang w:bidi="en-US"/>
              </w:rPr>
              <w:t>27.6%</w:t>
            </w:r>
          </w:p>
        </w:tc>
      </w:tr>
      <w:tr w:rsidR="0088279B" w:rsidRPr="00A12AF1" w14:paraId="6EEEDFAC" w14:textId="77777777" w:rsidTr="003C3FF4">
        <w:trPr>
          <w:trHeight w:val="504"/>
        </w:trPr>
        <w:tc>
          <w:tcPr>
            <w:tcW w:w="3802" w:type="dxa"/>
            <w:tcBorders>
              <w:top w:val="nil"/>
              <w:right w:val="nil"/>
            </w:tcBorders>
            <w:vAlign w:val="center"/>
          </w:tcPr>
          <w:p w14:paraId="077C9CCF" w14:textId="3EB2AAAE" w:rsidR="0088279B" w:rsidRDefault="0088279B" w:rsidP="003C3FF4">
            <w:pPr>
              <w:pStyle w:val="para1"/>
              <w:ind w:firstLine="0"/>
              <w:jc w:val="center"/>
              <w:rPr>
                <w:sz w:val="24"/>
                <w:szCs w:val="24"/>
                <w:lang w:bidi="en-US"/>
              </w:rPr>
            </w:pPr>
            <w:r>
              <w:rPr>
                <w:rFonts w:hint="eastAsia"/>
                <w:sz w:val="24"/>
                <w:szCs w:val="24"/>
                <w:lang w:bidi="en-US"/>
              </w:rPr>
              <w:t>Molecule number ratio of lager/smaller pore</w:t>
            </w:r>
          </w:p>
        </w:tc>
        <w:tc>
          <w:tcPr>
            <w:tcW w:w="2520" w:type="dxa"/>
            <w:tcBorders>
              <w:top w:val="nil"/>
              <w:left w:val="nil"/>
              <w:right w:val="nil"/>
            </w:tcBorders>
            <w:vAlign w:val="center"/>
          </w:tcPr>
          <w:p w14:paraId="52986353" w14:textId="674AB2A5" w:rsidR="0088279B" w:rsidRDefault="0088279B" w:rsidP="001360C1">
            <w:pPr>
              <w:pStyle w:val="para1"/>
              <w:ind w:firstLine="0"/>
              <w:jc w:val="center"/>
              <w:rPr>
                <w:sz w:val="24"/>
                <w:szCs w:val="24"/>
                <w:lang w:bidi="en-US"/>
              </w:rPr>
            </w:pPr>
            <w:r>
              <w:rPr>
                <w:rFonts w:hint="eastAsia"/>
                <w:sz w:val="24"/>
                <w:szCs w:val="24"/>
                <w:lang w:bidi="en-US"/>
              </w:rPr>
              <w:t>2.20</w:t>
            </w:r>
          </w:p>
        </w:tc>
        <w:tc>
          <w:tcPr>
            <w:tcW w:w="2390" w:type="dxa"/>
            <w:tcBorders>
              <w:top w:val="nil"/>
              <w:left w:val="nil"/>
            </w:tcBorders>
            <w:vAlign w:val="center"/>
          </w:tcPr>
          <w:p w14:paraId="3B2754D9" w14:textId="37B45130" w:rsidR="0088279B" w:rsidRDefault="0088279B" w:rsidP="001360C1">
            <w:pPr>
              <w:pStyle w:val="para1"/>
              <w:ind w:firstLine="0"/>
              <w:jc w:val="center"/>
              <w:rPr>
                <w:sz w:val="24"/>
                <w:szCs w:val="24"/>
                <w:lang w:bidi="en-US"/>
              </w:rPr>
            </w:pPr>
            <w:r>
              <w:rPr>
                <w:rFonts w:hint="eastAsia"/>
                <w:sz w:val="24"/>
                <w:szCs w:val="24"/>
                <w:lang w:bidi="en-US"/>
              </w:rPr>
              <w:t>1.80</w:t>
            </w:r>
          </w:p>
        </w:tc>
      </w:tr>
    </w:tbl>
    <w:p w14:paraId="2ED80B48" w14:textId="77777777" w:rsidR="00F008BF" w:rsidRDefault="00F008BF" w:rsidP="00142AED">
      <w:pPr>
        <w:pStyle w:val="para1"/>
        <w:spacing w:after="100" w:afterAutospacing="1" w:line="480" w:lineRule="auto"/>
        <w:ind w:firstLine="0"/>
        <w:rPr>
          <w:rFonts w:asciiTheme="minorHAnsi" w:hAnsi="Arial" w:cs="Arial"/>
          <w:sz w:val="24"/>
          <w:szCs w:val="24"/>
          <w:lang w:eastAsia="zh-CN" w:bidi="en-US"/>
        </w:rPr>
      </w:pPr>
    </w:p>
    <w:p w14:paraId="7E28BCAE" w14:textId="77777777" w:rsidR="000C2E54" w:rsidRDefault="000C2E54">
      <w:pPr>
        <w:pStyle w:val="Heading1"/>
        <w:ind w:left="240" w:right="240"/>
      </w:pPr>
    </w:p>
    <w:p w14:paraId="7BDB4A0E" w14:textId="77777777" w:rsidR="000C2E54" w:rsidRDefault="000C2E54">
      <w:pPr>
        <w:pStyle w:val="Heading1"/>
        <w:ind w:left="240" w:right="240"/>
      </w:pPr>
    </w:p>
    <w:p w14:paraId="5504B001" w14:textId="77777777" w:rsidR="0085272D" w:rsidRDefault="0096367E">
      <w:pPr>
        <w:pStyle w:val="Heading1"/>
        <w:ind w:left="240" w:right="240"/>
      </w:pPr>
      <w:bookmarkStart w:id="57" w:name="_Toc508114173"/>
      <w:r>
        <w:t xml:space="preserve">Chapter </w:t>
      </w:r>
      <w:r>
        <w:rPr>
          <w:rFonts w:hint="eastAsia"/>
          <w:lang w:eastAsia="zh-CN"/>
        </w:rPr>
        <w:t>8</w:t>
      </w:r>
      <w:r>
        <w:t>: Conclusions and Recommendations</w:t>
      </w:r>
      <w:bookmarkEnd w:id="57"/>
    </w:p>
    <w:p w14:paraId="2FE0E736" w14:textId="77777777" w:rsidR="0085272D" w:rsidRDefault="0096367E">
      <w:pPr>
        <w:pStyle w:val="Heading2"/>
      </w:pPr>
      <w:bookmarkStart w:id="58" w:name="_Toc508114174"/>
      <w:r>
        <w:rPr>
          <w:rFonts w:hint="eastAsia"/>
          <w:lang w:eastAsia="zh-CN"/>
        </w:rPr>
        <w:t>8</w:t>
      </w:r>
      <w:r>
        <w:t>.1 Conclusions</w:t>
      </w:r>
      <w:bookmarkEnd w:id="58"/>
    </w:p>
    <w:p w14:paraId="6212DC14" w14:textId="5FDBE464" w:rsidR="0085272D" w:rsidRDefault="0096367E">
      <w:pPr>
        <w:spacing w:after="200"/>
        <w:jc w:val="both"/>
      </w:pPr>
      <w:r>
        <w:t xml:space="preserve"> The following conclusions can be drawn</w:t>
      </w:r>
      <w:r w:rsidR="001360C1">
        <w:t xml:space="preserve"> from the dissertation</w:t>
      </w:r>
      <w:r>
        <w:t>:</w:t>
      </w:r>
    </w:p>
    <w:p w14:paraId="0891E6D3" w14:textId="77777777" w:rsidR="0085272D" w:rsidRDefault="0096367E" w:rsidP="00ED4B8F">
      <w:pPr>
        <w:pStyle w:val="19"/>
        <w:numPr>
          <w:ilvl w:val="0"/>
          <w:numId w:val="2"/>
        </w:numPr>
        <w:spacing w:after="200"/>
        <w:ind w:left="714" w:hanging="357"/>
        <w:contextualSpacing w:val="0"/>
        <w:jc w:val="both"/>
      </w:pPr>
      <w:r>
        <w:t xml:space="preserve">The van der Waals and Peng-Robinson EOS were modified to consider the effect of fluid-wall interactions on phase behavior. Correlations of critical property shift from three different hydrocarbons (C1, nC4 and nC8) were developed based on molecular simulation data from Singh et al. (2009) to calculate and include the effect of fluid-wall interactions into EOS. </w:t>
      </w:r>
    </w:p>
    <w:p w14:paraId="6050F448" w14:textId="77777777" w:rsidR="0085272D" w:rsidRDefault="0096367E" w:rsidP="00ED4B8F">
      <w:pPr>
        <w:pStyle w:val="19"/>
        <w:numPr>
          <w:ilvl w:val="0"/>
          <w:numId w:val="2"/>
        </w:numPr>
        <w:spacing w:after="200"/>
        <w:ind w:left="714" w:hanging="357"/>
        <w:contextualSpacing w:val="0"/>
        <w:jc w:val="both"/>
      </w:pPr>
      <w:r>
        <w:t>The SLD-PR model for both single component (C1, nC4 and nC8) and fluid mixtures (C1 and nC4) were described. Such model is capable of predicting the fluid density distributions across the nanoscale pores accurately under much shorter computational time compare to molecular simulations. The model was tested with molecular simulation data.</w:t>
      </w:r>
    </w:p>
    <w:p w14:paraId="1CB860E0" w14:textId="77777777" w:rsidR="0085272D" w:rsidRDefault="0096367E" w:rsidP="00ED4B8F">
      <w:pPr>
        <w:pStyle w:val="19"/>
        <w:numPr>
          <w:ilvl w:val="0"/>
          <w:numId w:val="2"/>
        </w:numPr>
        <w:spacing w:after="200"/>
        <w:ind w:left="714" w:hanging="357"/>
        <w:contextualSpacing w:val="0"/>
        <w:jc w:val="both"/>
      </w:pPr>
      <w:r>
        <w:t>The confinement effects in nanoscale pores can affect fluid critical properties, fluid vapor-liquid ratio and K-value for each component. When the pore size gets smaller, the critical temperatures and pressures of the fluids will decrease and the fluid vapor-liquid ratio will increase. The K-values of the heavy components in the mixture (such as nC4 and C10) will increase with decreasing pore size, while the K-values of the light components (such as C1) remain either constant or decrease slightly when the pore size decreases.</w:t>
      </w:r>
    </w:p>
    <w:p w14:paraId="6869285F" w14:textId="77777777" w:rsidR="0085272D" w:rsidRDefault="0096367E" w:rsidP="00ED4B8F">
      <w:pPr>
        <w:pStyle w:val="19"/>
        <w:numPr>
          <w:ilvl w:val="0"/>
          <w:numId w:val="2"/>
        </w:numPr>
        <w:spacing w:after="200"/>
        <w:ind w:left="714" w:hanging="357"/>
        <w:contextualSpacing w:val="0"/>
        <w:jc w:val="both"/>
      </w:pPr>
      <w:r>
        <w:t xml:space="preserve">The two-phase </w:t>
      </w:r>
      <w:r w:rsidR="00646595">
        <w:t xml:space="preserve">region of hydrocarbon mixtures </w:t>
      </w:r>
      <w:r>
        <w:t>(53.01% C1/ 10.55% nC4/ 36.44% C10) shrinked under the influence of the wall from 100 nm to 2 nm. The upper dew point pressure can decrease up to around 100% from 2500 psi to 1300 psi when the fluids are confined in the 2-nm pore. This can either delay the pressure when condensate dropout occurs by up to 1200 psi or even no occurrence of condensation during production, of a gas-condensate shale reservoir.</w:t>
      </w:r>
    </w:p>
    <w:p w14:paraId="253EAACA" w14:textId="77777777" w:rsidR="0085272D" w:rsidRDefault="0096367E" w:rsidP="00ED4B8F">
      <w:pPr>
        <w:pStyle w:val="19"/>
        <w:numPr>
          <w:ilvl w:val="0"/>
          <w:numId w:val="2"/>
        </w:numPr>
        <w:spacing w:after="200"/>
        <w:ind w:left="714" w:hanging="357"/>
        <w:contextualSpacing w:val="0"/>
        <w:jc w:val="both"/>
      </w:pPr>
      <w:r>
        <w:t>For a binary mixture contains C1 and nC4, the wall favors heavier component (nC4) compare to the lighter component (C1). The composition of the heavier component (nC4) becomes dominant near the wall regardless of the bulk composition.</w:t>
      </w:r>
    </w:p>
    <w:p w14:paraId="702ADEE5" w14:textId="77777777" w:rsidR="0085272D" w:rsidRDefault="0096367E" w:rsidP="00ED4B8F">
      <w:pPr>
        <w:pStyle w:val="19"/>
        <w:numPr>
          <w:ilvl w:val="0"/>
          <w:numId w:val="2"/>
        </w:numPr>
        <w:spacing w:after="200"/>
        <w:ind w:left="714" w:hanging="357"/>
        <w:contextualSpacing w:val="0"/>
        <w:jc w:val="both"/>
      </w:pPr>
      <w:r>
        <w:t>Pore size can decrease the percentage of space occupied by bulk fluid to the whole pore volume. When the pore size is small enough, the bulk region can disappear and the whole pore is occupied by adsorbed fluid. For heavier component (such as nC4), the pore size at which the bulk region just disappears is larger than that for lighter component (such as C1), under the same conditions.</w:t>
      </w:r>
    </w:p>
    <w:p w14:paraId="37B5FD64" w14:textId="60E47FC9" w:rsidR="0085272D" w:rsidRDefault="0096367E" w:rsidP="00ED4B8F">
      <w:pPr>
        <w:pStyle w:val="19"/>
        <w:numPr>
          <w:ilvl w:val="0"/>
          <w:numId w:val="2"/>
        </w:numPr>
        <w:spacing w:after="200"/>
        <w:ind w:left="714" w:hanging="357"/>
        <w:contextualSpacing w:val="0"/>
        <w:jc w:val="both"/>
      </w:pPr>
      <w:r>
        <w:t xml:space="preserve">Higher pressure can shift the whole fluid density profile to higher values. However, increase in pressure can have larger impact on the fluid in the bulk compare to that in the adsorbed region. For example, when pressure increased from 3000 psi to 4000 psi at </w:t>
      </w:r>
      <w:r>
        <w:rPr>
          <w:lang w:eastAsia="zh-CN"/>
        </w:rPr>
        <w:t xml:space="preserve">200 </w:t>
      </w:r>
      <w:r>
        <w:t>°</w:t>
      </w:r>
      <w:r>
        <w:rPr>
          <w:lang w:eastAsia="zh-CN"/>
        </w:rPr>
        <w:t xml:space="preserve">F in a </w:t>
      </w:r>
      <w:r w:rsidR="00D42672">
        <w:rPr>
          <w:lang w:eastAsia="zh-CN"/>
        </w:rPr>
        <w:t>10-nm</w:t>
      </w:r>
      <w:r>
        <w:rPr>
          <w:lang w:eastAsia="zh-CN"/>
        </w:rPr>
        <w:t xml:space="preserve"> pore</w:t>
      </w:r>
      <w:r>
        <w:t xml:space="preserve">, the bulk methane density was </w:t>
      </w:r>
      <w:r>
        <w:rPr>
          <w:lang w:eastAsia="zh-CN"/>
        </w:rPr>
        <w:t>increased by 0.035 g/cm</w:t>
      </w:r>
      <w:r>
        <w:rPr>
          <w:vertAlign w:val="superscript"/>
          <w:lang w:eastAsia="zh-CN"/>
        </w:rPr>
        <w:t xml:space="preserve">3 </w:t>
      </w:r>
      <w:r>
        <w:rPr>
          <w:lang w:eastAsia="zh-CN"/>
        </w:rPr>
        <w:t xml:space="preserve">while the adsorbed methane density </w:t>
      </w:r>
      <w:r>
        <w:t xml:space="preserve">was only </w:t>
      </w:r>
      <w:r>
        <w:rPr>
          <w:lang w:eastAsia="zh-CN"/>
        </w:rPr>
        <w:t>increased by 0.020 g/cm</w:t>
      </w:r>
      <w:r>
        <w:rPr>
          <w:vertAlign w:val="superscript"/>
          <w:lang w:eastAsia="zh-CN"/>
        </w:rPr>
        <w:t>3</w:t>
      </w:r>
      <w:r>
        <w:rPr>
          <w:lang w:eastAsia="zh-CN"/>
        </w:rPr>
        <w:t xml:space="preserve">. </w:t>
      </w:r>
      <w:r>
        <w:t xml:space="preserve">On the other hand, increase in temperature can decrease the fluid density for both bulk fluid and adsorbed fluid. The decrease amount of densities for both bulk fluid and adsorbed fluid are similar. When the temperature increased from </w:t>
      </w:r>
      <w:r>
        <w:rPr>
          <w:lang w:eastAsia="zh-CN"/>
        </w:rPr>
        <w:t xml:space="preserve">150 </w:t>
      </w:r>
      <w:r>
        <w:t>°</w:t>
      </w:r>
      <w:r>
        <w:rPr>
          <w:lang w:eastAsia="zh-CN"/>
        </w:rPr>
        <w:t xml:space="preserve">F to 200 </w:t>
      </w:r>
      <w:r>
        <w:t>°</w:t>
      </w:r>
      <w:r>
        <w:rPr>
          <w:lang w:eastAsia="zh-CN"/>
        </w:rPr>
        <w:t>F, at 4000 psi in a 10 nm pore, bulk methane density decreased by 0.018 g/cm</w:t>
      </w:r>
      <w:r>
        <w:rPr>
          <w:vertAlign w:val="superscript"/>
          <w:lang w:eastAsia="zh-CN"/>
        </w:rPr>
        <w:t>3</w:t>
      </w:r>
      <w:r>
        <w:rPr>
          <w:lang w:eastAsia="zh-CN"/>
        </w:rPr>
        <w:t xml:space="preserve"> and methane adsorbed density decreased by 0.020 g/cm</w:t>
      </w:r>
      <w:r>
        <w:rPr>
          <w:vertAlign w:val="superscript"/>
          <w:lang w:eastAsia="zh-CN"/>
        </w:rPr>
        <w:t>3</w:t>
      </w:r>
      <w:r>
        <w:rPr>
          <w:lang w:eastAsia="zh-CN"/>
        </w:rPr>
        <w:t>.</w:t>
      </w:r>
    </w:p>
    <w:p w14:paraId="11D5C093" w14:textId="3907291F" w:rsidR="001360C1" w:rsidRPr="00F66CCB" w:rsidRDefault="00F66CCB" w:rsidP="00ED4B8F">
      <w:pPr>
        <w:pStyle w:val="19"/>
        <w:numPr>
          <w:ilvl w:val="0"/>
          <w:numId w:val="2"/>
        </w:numPr>
        <w:spacing w:after="200"/>
        <w:ind w:left="714" w:hanging="357"/>
        <w:contextualSpacing w:val="0"/>
        <w:jc w:val="both"/>
      </w:pPr>
      <w:r w:rsidRPr="00464AF7">
        <w:rPr>
          <w:rFonts w:ascii="Times New Roman" w:hAnsi="Times New Roman"/>
        </w:rPr>
        <w:t xml:space="preserve">The adsorption of mixture hydrocarbons at high-pressure-high-temperature is multi-layer adsorption. The Langmuir adsorption theory, which assumes single layer adsorption mechanism, </w:t>
      </w:r>
      <w:r w:rsidR="00AC6105">
        <w:rPr>
          <w:rFonts w:ascii="Times New Roman" w:hAnsi="Times New Roman"/>
        </w:rPr>
        <w:t>may</w:t>
      </w:r>
      <w:r w:rsidRPr="00464AF7">
        <w:rPr>
          <w:rFonts w:ascii="Times New Roman" w:hAnsi="Times New Roman"/>
        </w:rPr>
        <w:t xml:space="preserve"> not applicable.</w:t>
      </w:r>
      <w:r>
        <w:rPr>
          <w:rFonts w:ascii="Times New Roman" w:hAnsi="Times New Roman"/>
        </w:rPr>
        <w:t xml:space="preserve"> For the real case </w:t>
      </w:r>
      <w:r w:rsidRPr="00464AF7">
        <w:rPr>
          <w:rFonts w:ascii="Times New Roman" w:hAnsi="Times New Roman"/>
        </w:rPr>
        <w:t xml:space="preserve">gas-in-place </w:t>
      </w:r>
      <w:r>
        <w:rPr>
          <w:rFonts w:ascii="Times New Roman" w:hAnsi="Times New Roman"/>
        </w:rPr>
        <w:t>model application, s</w:t>
      </w:r>
      <w:r w:rsidRPr="00464AF7">
        <w:rPr>
          <w:rFonts w:ascii="Times New Roman" w:hAnsi="Times New Roman"/>
        </w:rPr>
        <w:t>ensitivity analysis on the Eagle Ford fluid showed the storage capacities of adsorbed gas and free gas in organic content are sensitive to temperature, pressure, fluid composition and pore size distributions. However, the total gas-in-place does not change significantly when changing temperature, fluid composition and pore size distributions. The only dominant effect on total gas-in-place is pressure</w:t>
      </w:r>
      <w:r>
        <w:rPr>
          <w:rFonts w:ascii="Times New Roman" w:hAnsi="Times New Roman"/>
        </w:rPr>
        <w:t>.</w:t>
      </w:r>
    </w:p>
    <w:p w14:paraId="1F844EFB" w14:textId="2BCDAFE4" w:rsidR="00F66CCB" w:rsidRDefault="00F66CCB" w:rsidP="00ED4B8F">
      <w:pPr>
        <w:pStyle w:val="19"/>
        <w:numPr>
          <w:ilvl w:val="0"/>
          <w:numId w:val="2"/>
        </w:numPr>
        <w:spacing w:after="200"/>
        <w:ind w:left="714" w:hanging="357"/>
        <w:contextualSpacing w:val="0"/>
        <w:jc w:val="both"/>
        <w:rPr>
          <w:rFonts w:ascii="Times New Roman" w:hAnsi="Times New Roman"/>
        </w:rPr>
      </w:pPr>
      <w:r w:rsidRPr="00F66CCB">
        <w:rPr>
          <w:rFonts w:ascii="Times New Roman" w:hAnsi="Times New Roman"/>
        </w:rPr>
        <w:t xml:space="preserve">The effects of adsorption on fluid density and fluid distributions are </w:t>
      </w:r>
      <w:r w:rsidR="00F126E7">
        <w:rPr>
          <w:rFonts w:ascii="Times New Roman" w:hAnsi="Times New Roman" w:hint="eastAsia"/>
        </w:rPr>
        <w:t>more obvious</w:t>
      </w:r>
      <w:r w:rsidR="00F126E7" w:rsidRPr="00F66CCB">
        <w:rPr>
          <w:rFonts w:ascii="Times New Roman" w:hAnsi="Times New Roman"/>
        </w:rPr>
        <w:t xml:space="preserve"> </w:t>
      </w:r>
      <w:r w:rsidRPr="00F66CCB">
        <w:rPr>
          <w:rFonts w:ascii="Times New Roman" w:hAnsi="Times New Roman"/>
        </w:rPr>
        <w:t>at low-pressure ranges</w:t>
      </w:r>
      <w:r w:rsidR="00F126E7">
        <w:rPr>
          <w:rFonts w:ascii="Times New Roman" w:hAnsi="Times New Roman" w:hint="eastAsia"/>
        </w:rPr>
        <w:t xml:space="preserve">. </w:t>
      </w:r>
      <w:r w:rsidRPr="00F66CCB">
        <w:rPr>
          <w:rFonts w:ascii="Times New Roman" w:hAnsi="Times New Roman"/>
        </w:rPr>
        <w:t>When the pressure gets higher, the confined fluid tends to behavior similar to bulk fluid. For example, for an equal molar C1/C3 mixture at 350 K in 8 and 20 nm pores, the C3 selectivity over C1 first increases with pressure. It then reaches the maximum values of 2.04 and 1.34 for 8 and 20 nm pores, respectively when the pressure is about 8 MPa. After that the C3 selectivity starts to decrease as further increase in pressure. The values of C3 selectivity for 8 and 20 nm pores approach to 1.42 and 1.16 when the pressure is at 50 MPa, respectively.</w:t>
      </w:r>
    </w:p>
    <w:p w14:paraId="36DEECEC" w14:textId="3216D298" w:rsidR="00F66CCB" w:rsidRDefault="00F66CCB" w:rsidP="00ED4B8F">
      <w:pPr>
        <w:pStyle w:val="19"/>
        <w:numPr>
          <w:ilvl w:val="0"/>
          <w:numId w:val="2"/>
        </w:numPr>
        <w:spacing w:after="200"/>
        <w:ind w:left="714" w:hanging="357"/>
        <w:contextualSpacing w:val="0"/>
        <w:jc w:val="both"/>
        <w:rPr>
          <w:rFonts w:ascii="Times New Roman" w:hAnsi="Times New Roman"/>
        </w:rPr>
      </w:pPr>
      <w:r w:rsidRPr="00F66CCB">
        <w:rPr>
          <w:rFonts w:ascii="Times New Roman" w:hAnsi="Times New Roman"/>
        </w:rPr>
        <w:t>The phase transition of pure fluid in confined space is analyzed using the discrete density profiles. The results showed that the molecular layers of the fluid close to wall are not sensitive to phase transition (vapor to liquid) when the pore pressure exceeds the bulk saturation pressure. These layers are fulfilled with fluid molecules and achieve maximum density at the pressure much lower than the saturation pressure. For the layers in the center of the pore, sharp density changes are seen near the bulk saturation pressure indicating the occurrence of phase transition. However, the phase transitions of these layers occur at pressures lower than the bulk saturation pressure. The phase transition pressure of these layers can be roughly estimated by the modified Young-Laplace equation</w:t>
      </w:r>
      <w:r>
        <w:rPr>
          <w:rFonts w:ascii="Times New Roman" w:hAnsi="Times New Roman"/>
        </w:rPr>
        <w:t>.</w:t>
      </w:r>
    </w:p>
    <w:p w14:paraId="3E2F27CE" w14:textId="7AF1B02E" w:rsidR="00F66CCB" w:rsidRDefault="00F66CCB" w:rsidP="00ED4B8F">
      <w:pPr>
        <w:pStyle w:val="19"/>
        <w:numPr>
          <w:ilvl w:val="0"/>
          <w:numId w:val="2"/>
        </w:numPr>
        <w:spacing w:after="200"/>
        <w:ind w:left="714" w:hanging="357"/>
        <w:contextualSpacing w:val="0"/>
        <w:jc w:val="both"/>
        <w:rPr>
          <w:rFonts w:ascii="Times New Roman" w:hAnsi="Times New Roman"/>
        </w:rPr>
      </w:pPr>
      <w:r w:rsidRPr="00F66CCB">
        <w:rPr>
          <w:rFonts w:ascii="Times New Roman" w:hAnsi="Times New Roman"/>
        </w:rPr>
        <w:t xml:space="preserve">The modified Young-Laplace equation is used to predict capillary condensation. For a retrograde mixture, the effects of capillary condensation can lower the lower dew point pressure and increase the upper dew point pressure. The shift is larger for the lower dew point pressure. For example, for a binary mixture contains 80% C1 and 20% nC5 at 360 K that is confined in a </w:t>
      </w:r>
      <w:r w:rsidR="002F4565" w:rsidRPr="00F66CCB">
        <w:rPr>
          <w:rFonts w:ascii="Times New Roman" w:hAnsi="Times New Roman"/>
        </w:rPr>
        <w:t>14-nm</w:t>
      </w:r>
      <w:r w:rsidRPr="00F66CCB">
        <w:rPr>
          <w:rFonts w:ascii="Times New Roman" w:hAnsi="Times New Roman"/>
        </w:rPr>
        <w:t xml:space="preserve"> pore, the lower dew point pressure shifts from 3.1 to 2.6 MPa by 0.5 MPa, while the shift for the upper dew point pressure is only 0.2 MPa, which is from 15.5 to 15.7 MPa.</w:t>
      </w:r>
    </w:p>
    <w:p w14:paraId="379D3B21" w14:textId="092C09C8" w:rsidR="00F66CCB" w:rsidRPr="00F66CCB" w:rsidRDefault="00F66CCB" w:rsidP="00ED4B8F">
      <w:pPr>
        <w:pStyle w:val="19"/>
        <w:numPr>
          <w:ilvl w:val="0"/>
          <w:numId w:val="2"/>
        </w:numPr>
        <w:spacing w:after="200"/>
        <w:ind w:left="714" w:hanging="357"/>
        <w:contextualSpacing w:val="0"/>
        <w:jc w:val="both"/>
        <w:rPr>
          <w:rFonts w:ascii="Times New Roman" w:hAnsi="Times New Roman"/>
        </w:rPr>
      </w:pPr>
      <w:r>
        <w:rPr>
          <w:rFonts w:ascii="Times New Roman" w:hAnsi="Times New Roman"/>
        </w:rPr>
        <w:t>Molecular dynamics simulations were performed to study the confined fluid phase behavior for hydrocarbon mixtures. The results were consistent with what we predict using PR-EOS and SLD model. Heavier components favor to stay as close to the pore wall as possible, forming the adsorbed phase. For a two-pore system. Heavier components tend to stay in the smaller pore and squeeze the lighter component out from the smaller pore to the larger pore.</w:t>
      </w:r>
    </w:p>
    <w:p w14:paraId="5BC6A517" w14:textId="77777777" w:rsidR="0085272D" w:rsidRDefault="0085272D">
      <w:pPr>
        <w:pStyle w:val="19"/>
        <w:spacing w:after="240"/>
        <w:jc w:val="both"/>
      </w:pPr>
    </w:p>
    <w:p w14:paraId="6EB8534C" w14:textId="77777777" w:rsidR="0085272D" w:rsidRDefault="0096367E">
      <w:pPr>
        <w:pStyle w:val="Heading2"/>
      </w:pPr>
      <w:bookmarkStart w:id="59" w:name="_Toc508114175"/>
      <w:r>
        <w:rPr>
          <w:rFonts w:hint="eastAsia"/>
          <w:lang w:eastAsia="zh-CN"/>
        </w:rPr>
        <w:t>8</w:t>
      </w:r>
      <w:r>
        <w:t>.2 Future Work Recommendations</w:t>
      </w:r>
      <w:bookmarkEnd w:id="59"/>
    </w:p>
    <w:p w14:paraId="797FE969" w14:textId="47652163" w:rsidR="00F66CCB" w:rsidRDefault="00AC6105">
      <w:pPr>
        <w:spacing w:after="200"/>
        <w:ind w:left="360"/>
        <w:jc w:val="both"/>
      </w:pPr>
      <w:r>
        <w:t>A</w:t>
      </w:r>
      <w:r>
        <w:rPr>
          <w:rFonts w:hint="eastAsia"/>
        </w:rPr>
        <w:t xml:space="preserve">lthough </w:t>
      </w:r>
      <w:r w:rsidR="00F66CCB">
        <w:rPr>
          <w:rFonts w:hint="eastAsia"/>
        </w:rPr>
        <w:t>SLD model provides good results and is simple to use,</w:t>
      </w:r>
      <w:r w:rsidR="005165ED">
        <w:rPr>
          <w:rFonts w:hint="eastAsia"/>
        </w:rPr>
        <w:t xml:space="preserve"> we can extend SLD model to curvature surfaces such as cylinders and spheres</w:t>
      </w:r>
      <w:r w:rsidR="00806AB8">
        <w:rPr>
          <w:rFonts w:hint="eastAsia"/>
        </w:rPr>
        <w:t xml:space="preserve">. We can then extend the </w:t>
      </w:r>
      <w:r w:rsidR="00806AB8">
        <w:t>methodology</w:t>
      </w:r>
      <w:r w:rsidR="00806AB8">
        <w:rPr>
          <w:rFonts w:hint="eastAsia"/>
        </w:rPr>
        <w:t xml:space="preserve"> to</w:t>
      </w:r>
      <w:r w:rsidR="007B77DF">
        <w:rPr>
          <w:rFonts w:hint="eastAsia"/>
        </w:rPr>
        <w:t xml:space="preserve"> pore networks</w:t>
      </w:r>
      <w:r w:rsidR="00806AB8">
        <w:rPr>
          <w:rFonts w:hint="eastAsia"/>
        </w:rPr>
        <w:t xml:space="preserve"> and upscale to reservoir scale</w:t>
      </w:r>
      <w:r w:rsidR="005165ED">
        <w:rPr>
          <w:rFonts w:hint="eastAsia"/>
        </w:rPr>
        <w:t xml:space="preserve">. </w:t>
      </w:r>
      <w:r>
        <w:t xml:space="preserve"> </w:t>
      </w:r>
    </w:p>
    <w:p w14:paraId="7F1C88F3" w14:textId="66ECAD06" w:rsidR="0085272D" w:rsidRDefault="00806AB8" w:rsidP="005165ED">
      <w:pPr>
        <w:spacing w:after="200"/>
        <w:ind w:left="360"/>
        <w:jc w:val="both"/>
      </w:pPr>
      <w:r>
        <w:rPr>
          <w:rFonts w:hint="eastAsia"/>
        </w:rPr>
        <w:t>In Chapter 8</w:t>
      </w:r>
      <w:r w:rsidR="005165ED">
        <w:rPr>
          <w:rFonts w:hint="eastAsia"/>
        </w:rPr>
        <w:t xml:space="preserve">, </w:t>
      </w:r>
      <w:r>
        <w:rPr>
          <w:rFonts w:hint="eastAsia"/>
        </w:rPr>
        <w:t xml:space="preserve">we see that </w:t>
      </w:r>
      <w:r w:rsidR="005165ED">
        <w:t>molecular simulation</w:t>
      </w:r>
      <w:r w:rsidR="005165ED">
        <w:rPr>
          <w:rFonts w:hint="eastAsia"/>
        </w:rPr>
        <w:t xml:space="preserve"> is a powerful </w:t>
      </w:r>
      <w:r>
        <w:rPr>
          <w:rFonts w:hint="eastAsia"/>
        </w:rPr>
        <w:t xml:space="preserve">tool </w:t>
      </w:r>
      <w:r w:rsidR="005165ED">
        <w:rPr>
          <w:rFonts w:hint="eastAsia"/>
        </w:rPr>
        <w:t xml:space="preserve">to study the confined phase </w:t>
      </w:r>
      <w:r w:rsidR="005165ED">
        <w:t>behavior</w:t>
      </w:r>
      <w:r w:rsidR="005165ED">
        <w:rPr>
          <w:rFonts w:hint="eastAsia"/>
        </w:rPr>
        <w:t xml:space="preserve">. </w:t>
      </w:r>
      <w:r w:rsidR="000A59CB">
        <w:rPr>
          <w:rFonts w:hint="eastAsia"/>
        </w:rPr>
        <w:t xml:space="preserve">Besides adsorption, we can study how and at what situation will capillary condensation will occur inside the nanopores using </w:t>
      </w:r>
      <w:r w:rsidR="000A59CB">
        <w:t>molecular</w:t>
      </w:r>
      <w:r w:rsidR="000A59CB">
        <w:rPr>
          <w:rFonts w:hint="eastAsia"/>
        </w:rPr>
        <w:t xml:space="preserve"> dynamics. </w:t>
      </w:r>
      <w:r w:rsidR="000A59CB">
        <w:t>We</w:t>
      </w:r>
      <w:r w:rsidR="000A59CB">
        <w:rPr>
          <w:rFonts w:hint="eastAsia"/>
        </w:rPr>
        <w:t xml:space="preserve"> can </w:t>
      </w:r>
      <w:r w:rsidR="00E117BE">
        <w:rPr>
          <w:rFonts w:hint="eastAsia"/>
        </w:rPr>
        <w:t xml:space="preserve">also </w:t>
      </w:r>
      <w:r w:rsidR="000A59CB">
        <w:rPr>
          <w:rFonts w:hint="eastAsia"/>
        </w:rPr>
        <w:t xml:space="preserve">run non-equilibrium </w:t>
      </w:r>
      <w:r w:rsidR="000A59CB">
        <w:t>molecular</w:t>
      </w:r>
      <w:r w:rsidR="000A59CB">
        <w:rPr>
          <w:rFonts w:hint="eastAsia"/>
        </w:rPr>
        <w:t xml:space="preserve"> dynamics simulations to see</w:t>
      </w:r>
      <w:r w:rsidR="00E117BE">
        <w:rPr>
          <w:rFonts w:hint="eastAsia"/>
        </w:rPr>
        <w:t xml:space="preserve"> how adsorption and capillary condensation can affect fluid flow at different pore size, tempera</w:t>
      </w:r>
      <w:r w:rsidR="0046044D">
        <w:rPr>
          <w:rFonts w:hint="eastAsia"/>
        </w:rPr>
        <w:t>ture, pressure and fluid types.</w:t>
      </w:r>
      <w:r w:rsidR="00FA0F84">
        <w:t xml:space="preserve"> The results from molecular simulation studies can be used to tune the modified equation of states </w:t>
      </w:r>
      <w:r w:rsidR="002D3B03">
        <w:t>and/</w:t>
      </w:r>
      <w:r w:rsidR="00FA0F84">
        <w:t xml:space="preserve">or adsorption isotherms.  </w:t>
      </w:r>
    </w:p>
    <w:p w14:paraId="04BEC944" w14:textId="77777777" w:rsidR="0085272D" w:rsidRDefault="0085272D">
      <w:pPr>
        <w:spacing w:after="200"/>
        <w:ind w:left="360"/>
        <w:jc w:val="both"/>
      </w:pPr>
    </w:p>
    <w:p w14:paraId="48C582A6" w14:textId="77777777" w:rsidR="0085272D" w:rsidRDefault="0085272D">
      <w:pPr>
        <w:spacing w:after="200"/>
        <w:ind w:left="360"/>
        <w:jc w:val="both"/>
      </w:pPr>
    </w:p>
    <w:p w14:paraId="71CA40E2" w14:textId="77777777" w:rsidR="00806AB8" w:rsidRDefault="00806AB8">
      <w:pPr>
        <w:spacing w:after="200"/>
        <w:ind w:left="360"/>
        <w:jc w:val="both"/>
      </w:pPr>
    </w:p>
    <w:p w14:paraId="77281B87" w14:textId="77777777" w:rsidR="00806AB8" w:rsidRDefault="00806AB8">
      <w:pPr>
        <w:spacing w:after="200"/>
        <w:ind w:left="360"/>
        <w:jc w:val="both"/>
      </w:pPr>
    </w:p>
    <w:p w14:paraId="58B50CF1" w14:textId="77777777" w:rsidR="00806AB8" w:rsidRDefault="00806AB8">
      <w:pPr>
        <w:spacing w:after="200"/>
        <w:ind w:left="360"/>
        <w:jc w:val="both"/>
      </w:pPr>
    </w:p>
    <w:p w14:paraId="05E457AD" w14:textId="77777777" w:rsidR="007B5769" w:rsidRDefault="007B5769">
      <w:pPr>
        <w:spacing w:after="200"/>
        <w:ind w:left="360"/>
        <w:jc w:val="both"/>
      </w:pPr>
    </w:p>
    <w:p w14:paraId="240447C3" w14:textId="77777777" w:rsidR="007B5769" w:rsidRDefault="007B5769">
      <w:pPr>
        <w:spacing w:after="200"/>
        <w:ind w:left="360"/>
        <w:jc w:val="both"/>
      </w:pPr>
    </w:p>
    <w:p w14:paraId="5341DB5B" w14:textId="77777777" w:rsidR="007B5769" w:rsidRDefault="007B5769">
      <w:pPr>
        <w:spacing w:after="200"/>
        <w:ind w:left="360"/>
        <w:jc w:val="both"/>
      </w:pPr>
    </w:p>
    <w:p w14:paraId="2500D60A" w14:textId="77777777" w:rsidR="002F4565" w:rsidRDefault="002F4565">
      <w:pPr>
        <w:spacing w:after="200"/>
        <w:ind w:left="360"/>
        <w:jc w:val="both"/>
      </w:pPr>
    </w:p>
    <w:p w14:paraId="5C31E442" w14:textId="77777777" w:rsidR="0085272D" w:rsidRDefault="0096367E">
      <w:pPr>
        <w:pStyle w:val="Heading1"/>
        <w:ind w:left="240" w:right="240"/>
      </w:pPr>
      <w:bookmarkStart w:id="60" w:name="_Toc310579474"/>
      <w:bookmarkStart w:id="61" w:name="_Toc256083300"/>
      <w:bookmarkStart w:id="62" w:name="_Toc508114176"/>
      <w:r>
        <w:t>References</w:t>
      </w:r>
      <w:bookmarkEnd w:id="60"/>
      <w:bookmarkEnd w:id="61"/>
      <w:bookmarkEnd w:id="62"/>
    </w:p>
    <w:p w14:paraId="6603DCFD" w14:textId="05C04EAB" w:rsidR="007B5769" w:rsidRDefault="007B5769"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7B5769">
        <w:rPr>
          <w:rFonts w:ascii="Times New Roman" w:hAnsi="Times New Roman"/>
        </w:rPr>
        <w:t xml:space="preserve">Abdul-Rehman, H. B., Hasanain, M. A., and Loughlin, K. F. 1990. Quaternary, Ternary, Binary, and Pure Component Sorption on Zeolites. 1. Light Alkanes on Linde S-115 Silicalite at Moderate to High Pressures. </w:t>
      </w:r>
      <w:r w:rsidRPr="007B5769">
        <w:rPr>
          <w:rFonts w:ascii="Times New Roman" w:hAnsi="Times New Roman"/>
          <w:i/>
        </w:rPr>
        <w:t>Industrial &amp; Engineering Chemistry Research</w:t>
      </w:r>
      <w:r w:rsidRPr="007B5769">
        <w:rPr>
          <w:rFonts w:ascii="Times New Roman" w:hAnsi="Times New Roman"/>
        </w:rPr>
        <w:t xml:space="preserve"> </w:t>
      </w:r>
      <w:r w:rsidRPr="007B5769">
        <w:rPr>
          <w:rFonts w:ascii="Times New Roman" w:hAnsi="Times New Roman"/>
          <w:b/>
        </w:rPr>
        <w:t>29</w:t>
      </w:r>
      <w:r w:rsidRPr="007B5769">
        <w:rPr>
          <w:rFonts w:ascii="Times New Roman" w:hAnsi="Times New Roman"/>
        </w:rPr>
        <w:t xml:space="preserve"> (7): 1525-1535.</w:t>
      </w:r>
    </w:p>
    <w:p w14:paraId="5EDC30D4" w14:textId="77777777" w:rsidR="007B5769" w:rsidRDefault="007B5769" w:rsidP="007B5769">
      <w:pPr>
        <w:pStyle w:val="19"/>
        <w:widowControl w:val="0"/>
        <w:autoSpaceDE w:val="0"/>
        <w:autoSpaceDN w:val="0"/>
        <w:adjustRightInd w:val="0"/>
        <w:spacing w:after="240"/>
        <w:jc w:val="both"/>
        <w:rPr>
          <w:rFonts w:ascii="Times New Roman" w:hAnsi="Times New Roman"/>
        </w:rPr>
      </w:pPr>
    </w:p>
    <w:p w14:paraId="3617995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Adachi, Y. and Sugie, H. 1986. A New Mixing Rule—</w:t>
      </w:r>
      <w:r>
        <w:rPr>
          <w:rFonts w:ascii="Times New Roman" w:hAnsi="Times New Roman"/>
          <w:lang w:eastAsia="zh-CN"/>
        </w:rPr>
        <w:t xml:space="preserve"> </w:t>
      </w:r>
      <w:r>
        <w:rPr>
          <w:rFonts w:ascii="Times New Roman" w:hAnsi="Times New Roman"/>
        </w:rPr>
        <w:t xml:space="preserve">Modified Conventional Mixing Rule. </w:t>
      </w:r>
      <w:r>
        <w:rPr>
          <w:rFonts w:ascii="Times New Roman" w:hAnsi="Times New Roman"/>
          <w:i/>
        </w:rPr>
        <w:t>Fluid Phase Equilibria</w:t>
      </w:r>
      <w:r>
        <w:rPr>
          <w:rFonts w:ascii="Times New Roman" w:hAnsi="Times New Roman"/>
        </w:rPr>
        <w:t xml:space="preserve"> </w:t>
      </w:r>
      <w:r>
        <w:rPr>
          <w:rFonts w:ascii="Times New Roman" w:hAnsi="Times New Roman"/>
          <w:b/>
        </w:rPr>
        <w:t>28</w:t>
      </w:r>
      <w:r>
        <w:rPr>
          <w:rFonts w:ascii="Times New Roman" w:hAnsi="Times New Roman"/>
        </w:rPr>
        <w:t xml:space="preserve"> (2): 103-118.</w:t>
      </w:r>
    </w:p>
    <w:p w14:paraId="42620129"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4D34CF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C94762">
        <w:rPr>
          <w:rFonts w:ascii="Times New Roman" w:hAnsi="Times New Roman"/>
        </w:rPr>
        <w:t>A</w:t>
      </w:r>
      <w:r>
        <w:rPr>
          <w:rFonts w:ascii="Times New Roman" w:hAnsi="Times New Roman"/>
        </w:rPr>
        <w:t>lcoutlabi, M. and McKenna, G.B.</w:t>
      </w:r>
      <w:r w:rsidRPr="00C94762">
        <w:rPr>
          <w:rFonts w:ascii="Times New Roman" w:hAnsi="Times New Roman"/>
        </w:rPr>
        <w:t xml:space="preserve"> 2005. Effects of </w:t>
      </w:r>
      <w:r>
        <w:rPr>
          <w:rFonts w:ascii="Times New Roman" w:hAnsi="Times New Roman"/>
        </w:rPr>
        <w:t xml:space="preserve">Confinement on Material Behaviour </w:t>
      </w:r>
      <w:r>
        <w:rPr>
          <w:rFonts w:ascii="Times New Roman" w:hAnsi="Times New Roman" w:hint="eastAsia"/>
          <w:lang w:eastAsia="zh-CN"/>
        </w:rPr>
        <w:t>a</w:t>
      </w:r>
      <w:r w:rsidRPr="00C94762">
        <w:rPr>
          <w:rFonts w:ascii="Times New Roman" w:hAnsi="Times New Roman"/>
        </w:rPr>
        <w:t xml:space="preserve">t </w:t>
      </w:r>
      <w:r>
        <w:rPr>
          <w:rFonts w:ascii="Times New Roman" w:hAnsi="Times New Roman"/>
        </w:rPr>
        <w:t>t</w:t>
      </w:r>
      <w:r w:rsidRPr="00C94762">
        <w:rPr>
          <w:rFonts w:ascii="Times New Roman" w:hAnsi="Times New Roman"/>
        </w:rPr>
        <w:t xml:space="preserve">he Nanometre Size Scale. </w:t>
      </w:r>
      <w:r w:rsidRPr="00C94762">
        <w:rPr>
          <w:rFonts w:ascii="Times New Roman" w:hAnsi="Times New Roman"/>
          <w:i/>
        </w:rPr>
        <w:t>Journal of Physics: Condensed Matter</w:t>
      </w:r>
      <w:r w:rsidRPr="00C94762">
        <w:rPr>
          <w:rFonts w:ascii="Times New Roman" w:hAnsi="Times New Roman"/>
        </w:rPr>
        <w:t xml:space="preserve"> </w:t>
      </w:r>
      <w:r w:rsidRPr="00C94762">
        <w:rPr>
          <w:rFonts w:ascii="Times New Roman" w:hAnsi="Times New Roman"/>
          <w:b/>
        </w:rPr>
        <w:t>17</w:t>
      </w:r>
      <w:r>
        <w:rPr>
          <w:rFonts w:ascii="Times New Roman" w:hAnsi="Times New Roman" w:hint="eastAsia"/>
          <w:lang w:eastAsia="zh-CN"/>
        </w:rPr>
        <w:t xml:space="preserve"> </w:t>
      </w:r>
      <w:r>
        <w:rPr>
          <w:rFonts w:ascii="Times New Roman" w:hAnsi="Times New Roman"/>
        </w:rPr>
        <w:t xml:space="preserve">(15): </w:t>
      </w:r>
      <w:r w:rsidRPr="00C94762">
        <w:rPr>
          <w:rFonts w:ascii="Times New Roman" w:hAnsi="Times New Roman"/>
        </w:rPr>
        <w:t>R461.</w:t>
      </w:r>
    </w:p>
    <w:p w14:paraId="793CC671" w14:textId="77777777" w:rsidR="002C6C5A" w:rsidRDefault="002C6C5A" w:rsidP="002C6C5A">
      <w:pPr>
        <w:pStyle w:val="19"/>
        <w:widowControl w:val="0"/>
        <w:autoSpaceDE w:val="0"/>
        <w:autoSpaceDN w:val="0"/>
        <w:adjustRightInd w:val="0"/>
        <w:spacing w:after="240"/>
        <w:jc w:val="both"/>
        <w:rPr>
          <w:rFonts w:ascii="Times New Roman" w:eastAsia="Times New Roman" w:hAnsi="Times New Roman"/>
          <w:shd w:val="clear" w:color="auto" w:fill="FFFFFF"/>
        </w:rPr>
      </w:pPr>
    </w:p>
    <w:p w14:paraId="2B95E306"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eastAsia="Times New Roman" w:hAnsi="Times New Roman"/>
          <w:shd w:val="clear" w:color="auto" w:fill="FFFFFF"/>
        </w:rPr>
        <w:t xml:space="preserve">Ambrose, R. 2011. </w:t>
      </w:r>
      <w:r>
        <w:rPr>
          <w:rFonts w:ascii="Times New Roman" w:hAnsi="Times New Roman"/>
        </w:rPr>
        <w:t>Micro-Structure of Gas Shales and its Effects on Gas Storage and Production Performance. Ph.D. Dissertation, The University of Oklahoma, Norman, OK.</w:t>
      </w:r>
    </w:p>
    <w:p w14:paraId="30332E54"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6851B7E" w14:textId="77777777" w:rsidR="002C6C5A" w:rsidRPr="00AC3346"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eastAsia="Times New Roman" w:hAnsi="Times New Roman"/>
          <w:shd w:val="clear" w:color="auto" w:fill="FFFFFF"/>
        </w:rPr>
        <w:t>Ambrose, R., Hartman, R., Diaz-Campos, M., Akkutlu, I. Y., an</w:t>
      </w:r>
      <w:r>
        <w:rPr>
          <w:rFonts w:ascii="Times New Roman" w:eastAsia="Times New Roman" w:hAnsi="Times New Roman" w:hint="eastAsia"/>
          <w:shd w:val="clear" w:color="auto" w:fill="FFFFFF"/>
          <w:lang w:eastAsia="zh-CN"/>
        </w:rPr>
        <w:t>d</w:t>
      </w:r>
      <w:r>
        <w:rPr>
          <w:rFonts w:ascii="Times New Roman" w:eastAsia="Times New Roman" w:hAnsi="Times New Roman"/>
          <w:shd w:val="clear" w:color="auto" w:fill="FFFFFF"/>
        </w:rPr>
        <w:t xml:space="preserve"> Sondergeld, C. 2012. Shale Gas-in-Place Calculations Part I: New Pore-Scale Considerations. </w:t>
      </w:r>
      <w:r>
        <w:rPr>
          <w:rFonts w:ascii="Times New Roman" w:eastAsia="Times New Roman" w:hAnsi="Times New Roman"/>
          <w:i/>
          <w:iCs/>
          <w:shd w:val="clear" w:color="auto" w:fill="FFFFFF"/>
        </w:rPr>
        <w:t>SPE Journal</w:t>
      </w:r>
      <w:r>
        <w:rPr>
          <w:rFonts w:ascii="Times New Roman" w:eastAsia="Times New Roman" w:hAnsi="Times New Roman"/>
          <w:shd w:val="clear" w:color="auto" w:fill="FFFFFF"/>
        </w:rPr>
        <w:t xml:space="preserve"> </w:t>
      </w:r>
      <w:r>
        <w:rPr>
          <w:rFonts w:ascii="Times New Roman" w:eastAsia="Times New Roman" w:hAnsi="Times New Roman"/>
          <w:b/>
          <w:iCs/>
          <w:shd w:val="clear" w:color="auto" w:fill="FFFFFF"/>
        </w:rPr>
        <w:t>17</w:t>
      </w:r>
      <w:r>
        <w:rPr>
          <w:rFonts w:ascii="Times New Roman" w:eastAsia="Times New Roman" w:hAnsi="Times New Roman"/>
          <w:iCs/>
          <w:shd w:val="clear" w:color="auto" w:fill="FFFFFF"/>
        </w:rPr>
        <w:t xml:space="preserve"> </w:t>
      </w:r>
      <w:r>
        <w:rPr>
          <w:rFonts w:ascii="Times New Roman" w:eastAsia="Times New Roman" w:hAnsi="Times New Roman"/>
          <w:shd w:val="clear" w:color="auto" w:fill="FFFFFF"/>
        </w:rPr>
        <w:t>(1): 219-229.</w:t>
      </w:r>
    </w:p>
    <w:p w14:paraId="2B7C757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60B3DF2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AC3346">
        <w:rPr>
          <w:rFonts w:ascii="Times New Roman" w:hAnsi="Times New Roman"/>
        </w:rPr>
        <w:t>Bae, Y. S., Mulfort, K. L., Frost, H., Ryan, P., Punnathanam, S., Broadbelt, L. J., and Snurr, R. Q. 2008. Separation of CO</w:t>
      </w:r>
      <w:r w:rsidRPr="00F66CDA">
        <w:rPr>
          <w:rFonts w:ascii="Times New Roman" w:hAnsi="Times New Roman"/>
          <w:vertAlign w:val="subscript"/>
        </w:rPr>
        <w:t>2</w:t>
      </w:r>
      <w:r w:rsidRPr="00AC3346">
        <w:rPr>
          <w:rFonts w:ascii="Times New Roman" w:hAnsi="Times New Roman"/>
        </w:rPr>
        <w:t xml:space="preserve"> from CH</w:t>
      </w:r>
      <w:r w:rsidRPr="00F66CDA">
        <w:rPr>
          <w:rFonts w:ascii="Times New Roman" w:hAnsi="Times New Roman"/>
          <w:vertAlign w:val="subscript"/>
        </w:rPr>
        <w:t>4</w:t>
      </w:r>
      <w:r w:rsidRPr="00AC3346">
        <w:rPr>
          <w:rFonts w:ascii="Times New Roman" w:hAnsi="Times New Roman"/>
        </w:rPr>
        <w:t xml:space="preserve"> </w:t>
      </w:r>
      <w:r>
        <w:rPr>
          <w:rFonts w:ascii="Times New Roman" w:hAnsi="Times New Roman"/>
        </w:rPr>
        <w:t>Using Mixed-Ligand Metal−</w:t>
      </w:r>
      <w:r w:rsidRPr="00AC3346">
        <w:rPr>
          <w:rFonts w:ascii="Times New Roman" w:hAnsi="Times New Roman"/>
        </w:rPr>
        <w:t xml:space="preserve">Organic Frameworks. </w:t>
      </w:r>
      <w:r w:rsidRPr="00AC3346">
        <w:rPr>
          <w:rFonts w:ascii="Times New Roman" w:hAnsi="Times New Roman"/>
          <w:i/>
        </w:rPr>
        <w:t>Langmuir</w:t>
      </w:r>
      <w:r w:rsidRPr="00AC3346">
        <w:rPr>
          <w:rFonts w:ascii="Times New Roman" w:hAnsi="Times New Roman"/>
        </w:rPr>
        <w:t xml:space="preserve"> </w:t>
      </w:r>
      <w:r w:rsidRPr="00AC3346">
        <w:rPr>
          <w:rFonts w:ascii="Times New Roman" w:hAnsi="Times New Roman"/>
          <w:b/>
        </w:rPr>
        <w:t>24</w:t>
      </w:r>
      <w:r w:rsidRPr="00AC3346">
        <w:rPr>
          <w:rFonts w:ascii="Times New Roman" w:hAnsi="Times New Roman"/>
        </w:rPr>
        <w:t xml:space="preserve"> (16): 8592-8598.</w:t>
      </w:r>
    </w:p>
    <w:p w14:paraId="6F85A5F9"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753D3F7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775E8A">
        <w:rPr>
          <w:rFonts w:ascii="Times New Roman" w:hAnsi="Times New Roman"/>
        </w:rPr>
        <w:t>Barrett, E. P., Joyner, L. G.</w:t>
      </w:r>
      <w:r>
        <w:rPr>
          <w:rFonts w:ascii="Times New Roman" w:hAnsi="Times New Roman"/>
        </w:rPr>
        <w:t>, and Halenda, P. P. 1951.</w:t>
      </w:r>
      <w:r w:rsidRPr="00775E8A">
        <w:rPr>
          <w:rFonts w:ascii="Times New Roman" w:hAnsi="Times New Roman"/>
        </w:rPr>
        <w:t xml:space="preserve"> The Determination of Pore Volume and Area Distributions in Porous Substances. I. Computations from Nitrogen Isotherms: </w:t>
      </w:r>
      <w:r w:rsidRPr="00775E8A">
        <w:rPr>
          <w:rFonts w:ascii="Times New Roman" w:hAnsi="Times New Roman"/>
          <w:i/>
        </w:rPr>
        <w:t>Journal of the American Chemical Society</w:t>
      </w:r>
      <w:r>
        <w:rPr>
          <w:rFonts w:ascii="Times New Roman" w:hAnsi="Times New Roman"/>
        </w:rPr>
        <w:t xml:space="preserve"> 73(1):</w:t>
      </w:r>
      <w:r>
        <w:rPr>
          <w:rFonts w:ascii="Times New Roman" w:hAnsi="Times New Roman" w:hint="eastAsia"/>
          <w:lang w:eastAsia="zh-CN"/>
        </w:rPr>
        <w:t xml:space="preserve"> </w:t>
      </w:r>
      <w:r w:rsidRPr="00775E8A">
        <w:rPr>
          <w:rFonts w:ascii="Times New Roman" w:hAnsi="Times New Roman"/>
        </w:rPr>
        <w:t>373-380.</w:t>
      </w:r>
    </w:p>
    <w:p w14:paraId="49B965F7"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6889A08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AC3346">
        <w:rPr>
          <w:rFonts w:ascii="Times New Roman" w:hAnsi="Times New Roman"/>
        </w:rPr>
        <w:t xml:space="preserve">Beaton, A.P., Pawlowicz, J.G., Anderson, S.D.A., Berhane, H., </w:t>
      </w:r>
      <w:r>
        <w:rPr>
          <w:rFonts w:ascii="Times New Roman" w:hAnsi="Times New Roman" w:hint="eastAsia"/>
          <w:lang w:eastAsia="zh-CN"/>
        </w:rPr>
        <w:t xml:space="preserve">and </w:t>
      </w:r>
      <w:r>
        <w:rPr>
          <w:rFonts w:ascii="Times New Roman" w:hAnsi="Times New Roman"/>
        </w:rPr>
        <w:t>Rokosh, C.D.</w:t>
      </w:r>
      <w:r w:rsidRPr="00AC3346">
        <w:rPr>
          <w:rFonts w:ascii="Times New Roman" w:hAnsi="Times New Roman"/>
        </w:rPr>
        <w:t xml:space="preserve"> 2010. Total Organic Carbon and Adsorption Isotherms of the Duvernay and Muskwa Formations in Alberta: Shale Gas Data Release. Energy Resources Conservation Board, ERCB/ AGS, Edmonton, Alberta. p. 33.</w:t>
      </w:r>
    </w:p>
    <w:p w14:paraId="02E129AD"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13088D45" w14:textId="77777777" w:rsidR="002C6C5A" w:rsidRPr="00775E8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eastAsia="Times New Roman" w:hAnsi="Times New Roman"/>
          <w:shd w:val="clear" w:color="auto" w:fill="FFFFFF"/>
        </w:rPr>
        <w:t>Chen, J.H., Wong, D.S.H., Tan, C.S., Subramanian, R., Lira, C.T., and Orth, M. 1997. Adsorption and Desorption of Carbon Dioxide onto and From Activated Carbon at High Pressures. </w:t>
      </w:r>
      <w:r>
        <w:rPr>
          <w:rFonts w:ascii="Times New Roman" w:eastAsia="Times New Roman" w:hAnsi="Times New Roman"/>
          <w:i/>
          <w:iCs/>
          <w:shd w:val="clear" w:color="auto" w:fill="FFFFFF"/>
        </w:rPr>
        <w:t>Industrial &amp; engineering chemistry research</w:t>
      </w:r>
      <w:r>
        <w:rPr>
          <w:rFonts w:ascii="Times New Roman" w:eastAsia="Times New Roman" w:hAnsi="Times New Roman"/>
          <w:shd w:val="clear" w:color="auto" w:fill="FFFFFF"/>
        </w:rPr>
        <w:t> </w:t>
      </w:r>
      <w:r>
        <w:rPr>
          <w:rFonts w:ascii="Times New Roman" w:eastAsia="Times New Roman" w:hAnsi="Times New Roman"/>
          <w:b/>
          <w:iCs/>
          <w:shd w:val="clear" w:color="auto" w:fill="FFFFFF"/>
        </w:rPr>
        <w:t>36</w:t>
      </w:r>
      <w:r>
        <w:rPr>
          <w:rFonts w:ascii="Times New Roman" w:eastAsia="Times New Roman" w:hAnsi="Times New Roman"/>
          <w:i/>
          <w:iCs/>
          <w:shd w:val="clear" w:color="auto" w:fill="FFFFFF"/>
        </w:rPr>
        <w:t xml:space="preserve"> </w:t>
      </w:r>
      <w:r>
        <w:rPr>
          <w:rFonts w:ascii="Times New Roman" w:eastAsia="Times New Roman" w:hAnsi="Times New Roman"/>
          <w:shd w:val="clear" w:color="auto" w:fill="FFFFFF"/>
        </w:rPr>
        <w:t>(7): 2808-2815.</w:t>
      </w:r>
    </w:p>
    <w:p w14:paraId="4A20451E"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5308717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1928EC">
        <w:rPr>
          <w:rFonts w:ascii="Times New Roman" w:hAnsi="Times New Roman"/>
        </w:rPr>
        <w:t>Chen, J.H., Zhang, J., Jin, G., Qu</w:t>
      </w:r>
      <w:r>
        <w:rPr>
          <w:rFonts w:ascii="Times New Roman" w:hAnsi="Times New Roman"/>
        </w:rPr>
        <w:t>inn, T., Frost, E.</w:t>
      </w:r>
      <w:r>
        <w:rPr>
          <w:rFonts w:ascii="Times New Roman" w:hAnsi="Times New Roman" w:hint="eastAsia"/>
          <w:lang w:eastAsia="zh-CN"/>
        </w:rPr>
        <w:t>,</w:t>
      </w:r>
      <w:r>
        <w:rPr>
          <w:rFonts w:ascii="Times New Roman" w:hAnsi="Times New Roman"/>
        </w:rPr>
        <w:t xml:space="preserve"> and Chen, J</w:t>
      </w:r>
      <w:r w:rsidRPr="00775E8A">
        <w:rPr>
          <w:rFonts w:ascii="Times New Roman" w:hAnsi="Times New Roman"/>
        </w:rPr>
        <w:t xml:space="preserve">. 2012. Capillary Condensation and NMR Relaxation Time in Unconventional Shale Hydrocarbon Resources. Presented at SPWLA 53rd Annual Logging Symposium, Long Beach, 18-22 July.  </w:t>
      </w:r>
    </w:p>
    <w:p w14:paraId="05F55C04"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30D7B60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1928EC">
        <w:rPr>
          <w:rFonts w:ascii="Times New Roman" w:hAnsi="Times New Roman"/>
        </w:rPr>
        <w:t>Chen, J.H., Mehmani, A., Li, B., Georgi, D.</w:t>
      </w:r>
      <w:r>
        <w:rPr>
          <w:rFonts w:ascii="Times New Roman" w:hAnsi="Times New Roman" w:hint="eastAsia"/>
          <w:lang w:eastAsia="zh-CN"/>
        </w:rPr>
        <w:t>,</w:t>
      </w:r>
      <w:r w:rsidRPr="001928EC">
        <w:rPr>
          <w:rFonts w:ascii="Times New Roman" w:hAnsi="Times New Roman"/>
        </w:rPr>
        <w:t xml:space="preserve"> and Jin, G.</w:t>
      </w:r>
      <w:r w:rsidRPr="00775E8A">
        <w:rPr>
          <w:rFonts w:ascii="Times New Roman" w:hAnsi="Times New Roman"/>
        </w:rPr>
        <w:t xml:space="preserve"> 2013. Estimation of Total Hydrocarbon in the Presence of Capillary Condensation for Unconventional Shale Reservoirs. Presented at SPE Middle East Oil and Gas Show and Conference, Manama, Bahrain, 10-13 March. SPE-164468-MS.</w:t>
      </w:r>
    </w:p>
    <w:p w14:paraId="5E6E392D"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594540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Coasne, B., Alba-Simionesco, C., Audonnet, F., Dosseh, G., and Gubbins, K. E. 2009. Adsorption and Structure of Benzene on Silica Surfaces and in Nanopores. </w:t>
      </w:r>
      <w:r>
        <w:rPr>
          <w:rFonts w:ascii="Times New Roman" w:hAnsi="Times New Roman"/>
          <w:i/>
        </w:rPr>
        <w:t>Langmuir</w:t>
      </w:r>
      <w:r>
        <w:rPr>
          <w:rFonts w:ascii="Times New Roman" w:hAnsi="Times New Roman"/>
        </w:rPr>
        <w:t xml:space="preserve"> </w:t>
      </w:r>
      <w:r>
        <w:rPr>
          <w:rFonts w:ascii="Times New Roman" w:hAnsi="Times New Roman"/>
          <w:b/>
        </w:rPr>
        <w:t>25</w:t>
      </w:r>
      <w:r>
        <w:rPr>
          <w:rFonts w:ascii="Times New Roman" w:hAnsi="Times New Roman"/>
        </w:rPr>
        <w:t xml:space="preserve"> (18): 10648-10659.</w:t>
      </w:r>
    </w:p>
    <w:p w14:paraId="66679057"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2E193B9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Curtis, M.E., Ambrose, R.J., Sondergeld, C.H., and Rai, C.S. 2010. Structural Characterization of Gas Shales on the Micro- and Nano-Scales. Paper SPE 137693 presented at the Canadian Unconventional Resources and International Petroleum Conferenece, Calgary, Canada, 19-21 October.</w:t>
      </w:r>
    </w:p>
    <w:p w14:paraId="1910BFF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2A2317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Curtis, M.E., Ambrose, R.J., Sondergeld, C.H. and Rai, C.S. 2011. Investigation of the Relationship between Organic Porosity and Thermal Maturity in the Marcellus Shale. Paper SPE 144370 presented at the North American Unconventional Gas Conference and Exhibition, The Woodlands, Texas, 14-16 June.</w:t>
      </w:r>
    </w:p>
    <w:p w14:paraId="135072E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1055DFFE"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eastAsia="Times New Roman" w:hAnsi="Times New Roman"/>
          <w:shd w:val="clear" w:color="auto" w:fill="FFFFFF"/>
        </w:rPr>
        <w:t>Chareonsuppanimit, P., Mohammad, S.A., Robinson Jr, R.L.</w:t>
      </w:r>
      <w:r>
        <w:rPr>
          <w:rFonts w:ascii="Times New Roman" w:eastAsia="Times New Roman" w:hAnsi="Times New Roman" w:hint="eastAsia"/>
          <w:shd w:val="clear" w:color="auto" w:fill="FFFFFF"/>
          <w:lang w:eastAsia="zh-CN"/>
        </w:rPr>
        <w:t>,</w:t>
      </w:r>
      <w:r>
        <w:rPr>
          <w:rFonts w:ascii="Times New Roman" w:eastAsia="Times New Roman" w:hAnsi="Times New Roman"/>
          <w:shd w:val="clear" w:color="auto" w:fill="FFFFFF"/>
        </w:rPr>
        <w:t xml:space="preserve"> and Gasem, K.A.M. 2012. High-Pressure Adsorption of Gases on Shales: Measurements and Modeling. </w:t>
      </w:r>
      <w:r>
        <w:rPr>
          <w:rFonts w:ascii="Times New Roman" w:eastAsia="Times New Roman" w:hAnsi="Times New Roman"/>
          <w:i/>
          <w:shd w:val="clear" w:color="auto" w:fill="FFFFFF"/>
        </w:rPr>
        <w:t>International Journal of Coal Geology </w:t>
      </w:r>
      <w:r>
        <w:rPr>
          <w:rFonts w:ascii="Times New Roman" w:eastAsia="Times New Roman" w:hAnsi="Times New Roman"/>
          <w:b/>
          <w:shd w:val="clear" w:color="auto" w:fill="FFFFFF"/>
        </w:rPr>
        <w:t>95</w:t>
      </w:r>
      <w:r>
        <w:rPr>
          <w:rFonts w:ascii="Times New Roman" w:eastAsia="Times New Roman" w:hAnsi="Times New Roman"/>
          <w:shd w:val="clear" w:color="auto" w:fill="FFFFFF"/>
        </w:rPr>
        <w:t>: 34-46.</w:t>
      </w:r>
    </w:p>
    <w:p w14:paraId="497ECA58"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2C2004E4" w14:textId="77777777" w:rsidR="002F4565" w:rsidRDefault="002F4565" w:rsidP="002C6C5A">
      <w:pPr>
        <w:pStyle w:val="19"/>
        <w:widowControl w:val="0"/>
        <w:autoSpaceDE w:val="0"/>
        <w:autoSpaceDN w:val="0"/>
        <w:adjustRightInd w:val="0"/>
        <w:spacing w:after="240"/>
        <w:jc w:val="both"/>
        <w:rPr>
          <w:rFonts w:ascii="Times New Roman" w:hAnsi="Times New Roman"/>
        </w:rPr>
      </w:pPr>
    </w:p>
    <w:p w14:paraId="20257F3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Danesh, A. 1998. PVT and Phase Behavior of Petroleum Reservoir Fluids. Volume 47, Elsevier Science.</w:t>
      </w:r>
    </w:p>
    <w:p w14:paraId="598E3460"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F7C271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de Keizer, A., Michalski, T., and Findenegg, G.H. 1991. Fluids in Pores: Experimental and Computer Simulation Studies of Multilayer Adsorption, Pore Condensation and Critical-Point Shifts. </w:t>
      </w:r>
      <w:r>
        <w:rPr>
          <w:rFonts w:ascii="Times New Roman" w:hAnsi="Times New Roman"/>
          <w:i/>
        </w:rPr>
        <w:t>Pure and applied chemistry</w:t>
      </w:r>
      <w:r>
        <w:rPr>
          <w:rFonts w:ascii="Times New Roman" w:hAnsi="Times New Roman"/>
        </w:rPr>
        <w:t xml:space="preserve"> </w:t>
      </w:r>
      <w:r>
        <w:rPr>
          <w:rFonts w:ascii="Times New Roman" w:hAnsi="Times New Roman"/>
          <w:b/>
        </w:rPr>
        <w:t>63</w:t>
      </w:r>
      <w:r>
        <w:rPr>
          <w:rFonts w:ascii="Times New Roman" w:hAnsi="Times New Roman"/>
        </w:rPr>
        <w:t xml:space="preserve"> (10): 1495-1502.</w:t>
      </w:r>
    </w:p>
    <w:p w14:paraId="18F4332A"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B5B804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Demontis, P., Stara, G., and Suffritti, G.B. 2003. Behavior of Water in the Hydrophobic Zeolite Silicate at Different Temperatures: A Molecular Dynamics Study. </w:t>
      </w:r>
      <w:r>
        <w:rPr>
          <w:rFonts w:ascii="Times New Roman" w:hAnsi="Times New Roman"/>
          <w:i/>
        </w:rPr>
        <w:t>Journal of Physical Chemistry B</w:t>
      </w:r>
      <w:r>
        <w:rPr>
          <w:rFonts w:ascii="Times New Roman" w:hAnsi="Times New Roman"/>
        </w:rPr>
        <w:t xml:space="preserve"> </w:t>
      </w:r>
      <w:r>
        <w:rPr>
          <w:rFonts w:ascii="Times New Roman" w:hAnsi="Times New Roman"/>
          <w:b/>
        </w:rPr>
        <w:t>107</w:t>
      </w:r>
      <w:r>
        <w:rPr>
          <w:rFonts w:ascii="Times New Roman" w:hAnsi="Times New Roman"/>
        </w:rPr>
        <w:t xml:space="preserve"> (18): 4426-4436.</w:t>
      </w:r>
    </w:p>
    <w:p w14:paraId="30547869"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339C278A"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Deo, M. and</w:t>
      </w:r>
      <w:r w:rsidRPr="003066BD">
        <w:rPr>
          <w:rFonts w:ascii="Times New Roman" w:hAnsi="Times New Roman"/>
        </w:rPr>
        <w:t xml:space="preserve"> Anderson, T. 2012. Liquids from Shales Rese</w:t>
      </w:r>
      <w:r>
        <w:rPr>
          <w:rFonts w:ascii="Times New Roman" w:hAnsi="Times New Roman"/>
        </w:rPr>
        <w:t>rvoir Description and Dynamics.</w:t>
      </w:r>
      <w:r w:rsidRPr="003066BD">
        <w:rPr>
          <w:rFonts w:ascii="Times New Roman" w:hAnsi="Times New Roman"/>
        </w:rPr>
        <w:t xml:space="preserve"> Phase 2, Research Progress Report.</w:t>
      </w:r>
    </w:p>
    <w:p w14:paraId="08A5B958"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8C4212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Derouane, E.G. 2007. On the Physical State of Molecules in Microporous Solids. </w:t>
      </w:r>
      <w:r>
        <w:rPr>
          <w:rFonts w:ascii="Times New Roman" w:hAnsi="Times New Roman"/>
          <w:i/>
        </w:rPr>
        <w:t>Microporous and mesoporous materials</w:t>
      </w:r>
      <w:r>
        <w:rPr>
          <w:rFonts w:ascii="Times New Roman" w:hAnsi="Times New Roman"/>
        </w:rPr>
        <w:t xml:space="preserve"> </w:t>
      </w:r>
      <w:r>
        <w:rPr>
          <w:rFonts w:ascii="Times New Roman" w:hAnsi="Times New Roman"/>
          <w:b/>
        </w:rPr>
        <w:t>104</w:t>
      </w:r>
      <w:r>
        <w:rPr>
          <w:rFonts w:ascii="Times New Roman" w:hAnsi="Times New Roman"/>
        </w:rPr>
        <w:t xml:space="preserve"> (1): 46-51.</w:t>
      </w:r>
    </w:p>
    <w:p w14:paraId="77381015"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CCDE3B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Diaz-Campos, M. 2010. Uncertainties in Shale Gas-in-Place Calculations: Molecular Simulation Approach. Master’s Thesis, The University of Oklahoma, Norman, OK.</w:t>
      </w:r>
    </w:p>
    <w:p w14:paraId="41A51D6C"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3686EB3" w14:textId="77777777" w:rsidR="002F4565" w:rsidRDefault="002F4565" w:rsidP="002C6C5A">
      <w:pPr>
        <w:pStyle w:val="19"/>
        <w:widowControl w:val="0"/>
        <w:autoSpaceDE w:val="0"/>
        <w:autoSpaceDN w:val="0"/>
        <w:adjustRightInd w:val="0"/>
        <w:spacing w:after="240"/>
        <w:jc w:val="both"/>
        <w:rPr>
          <w:rFonts w:ascii="Times New Roman" w:hAnsi="Times New Roman"/>
        </w:rPr>
      </w:pPr>
    </w:p>
    <w:p w14:paraId="76669870"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Didar, B.R. and Akkutlu, I.Y. 2013. Pore-Size Dependence of Fluid Phase Behavior and Properties in Organic-Rich Shale Reservoirs. Paper SPE 164099 presented at the SPE International Symposium on Oilfield Chemistry, The Woodlands, Texas, 8-10 April.</w:t>
      </w:r>
    </w:p>
    <w:p w14:paraId="58F30995"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7EC36D9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6F6DF3">
        <w:rPr>
          <w:rFonts w:ascii="Times New Roman" w:hAnsi="Times New Roman"/>
        </w:rPr>
        <w:t xml:space="preserve">Dreibach, F., Staudt, R., and Keller, J.U. 1999. High Pressure Adsorption Data of Methane, Nitrogen, Carbon Dioxide and Their Binary and Ternary Mixtures on Activated Carbon. </w:t>
      </w:r>
      <w:r w:rsidRPr="006F6DF3">
        <w:rPr>
          <w:rFonts w:ascii="Times New Roman" w:hAnsi="Times New Roman"/>
          <w:i/>
        </w:rPr>
        <w:t>Adsorption</w:t>
      </w:r>
      <w:r w:rsidRPr="006F6DF3">
        <w:rPr>
          <w:rFonts w:ascii="Times New Roman" w:hAnsi="Times New Roman"/>
        </w:rPr>
        <w:t xml:space="preserve"> </w:t>
      </w:r>
      <w:r w:rsidRPr="006F6DF3">
        <w:rPr>
          <w:rFonts w:ascii="Times New Roman" w:hAnsi="Times New Roman"/>
          <w:b/>
        </w:rPr>
        <w:t>5</w:t>
      </w:r>
      <w:r w:rsidRPr="006F6DF3">
        <w:rPr>
          <w:rFonts w:ascii="Times New Roman" w:hAnsi="Times New Roman"/>
        </w:rPr>
        <w:t xml:space="preserve"> (3): 215–227.</w:t>
      </w:r>
    </w:p>
    <w:p w14:paraId="2A4F6F14"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4465219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6F6DF3">
        <w:rPr>
          <w:rFonts w:ascii="Times New Roman" w:hAnsi="Times New Roman"/>
        </w:rPr>
        <w:t xml:space="preserve">Du, Z., Manos, G., Vlugt, T. J., and Smit, B. 1998. Molecular </w:t>
      </w:r>
      <w:r>
        <w:rPr>
          <w:rFonts w:ascii="Times New Roman" w:hAnsi="Times New Roman"/>
        </w:rPr>
        <w:t>Simulation of Adsorption of Short Linear Alkanes and Their Mixtures i</w:t>
      </w:r>
      <w:r w:rsidRPr="006F6DF3">
        <w:rPr>
          <w:rFonts w:ascii="Times New Roman" w:hAnsi="Times New Roman"/>
        </w:rPr>
        <w:t xml:space="preserve">n Silicalite. </w:t>
      </w:r>
      <w:r w:rsidRPr="006F6DF3">
        <w:rPr>
          <w:rFonts w:ascii="Times New Roman" w:hAnsi="Times New Roman"/>
          <w:i/>
        </w:rPr>
        <w:t>AIChE journal</w:t>
      </w:r>
      <w:r w:rsidRPr="006F6DF3">
        <w:rPr>
          <w:rFonts w:ascii="Times New Roman" w:hAnsi="Times New Roman"/>
        </w:rPr>
        <w:t xml:space="preserve"> </w:t>
      </w:r>
      <w:r w:rsidRPr="006F6DF3">
        <w:rPr>
          <w:rFonts w:ascii="Times New Roman" w:hAnsi="Times New Roman"/>
          <w:b/>
        </w:rPr>
        <w:t>44</w:t>
      </w:r>
      <w:r w:rsidRPr="006F6DF3">
        <w:rPr>
          <w:rFonts w:ascii="Times New Roman" w:hAnsi="Times New Roman"/>
        </w:rPr>
        <w:t xml:space="preserve"> (8): 1756-1764.</w:t>
      </w:r>
    </w:p>
    <w:p w14:paraId="76C76B95"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B77346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Dubinin, M.M. 1960. The Potential Theory of Adsorption of Gases and Vapors for Adsorbents with Energetically Nonuniform Surfaces. </w:t>
      </w:r>
      <w:r>
        <w:rPr>
          <w:rFonts w:ascii="Times New Roman" w:hAnsi="Times New Roman"/>
          <w:i/>
          <w:iCs/>
        </w:rPr>
        <w:t xml:space="preserve">Chemical Review </w:t>
      </w:r>
      <w:r>
        <w:rPr>
          <w:rFonts w:ascii="Times New Roman" w:hAnsi="Times New Roman"/>
          <w:b/>
        </w:rPr>
        <w:t>60</w:t>
      </w:r>
      <w:r>
        <w:rPr>
          <w:rFonts w:ascii="Times New Roman" w:hAnsi="Times New Roman"/>
        </w:rPr>
        <w:t xml:space="preserve"> (2): 235–241.</w:t>
      </w:r>
    </w:p>
    <w:p w14:paraId="072153D2"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249945F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Dukovski, I., Machta, J., Saravana, C., and Auerbach, S.M. 2003. Cluster Monte Carlo Simulations of Phase Transitions and Critical Phenomenon in Zeolites. </w:t>
      </w:r>
      <w:r>
        <w:rPr>
          <w:rFonts w:ascii="Times New Roman" w:hAnsi="Times New Roman"/>
          <w:i/>
        </w:rPr>
        <w:t>Journal of Chemical Physics</w:t>
      </w:r>
      <w:r>
        <w:rPr>
          <w:rFonts w:ascii="Times New Roman" w:hAnsi="Times New Roman"/>
        </w:rPr>
        <w:t xml:space="preserve"> </w:t>
      </w:r>
      <w:r>
        <w:rPr>
          <w:rFonts w:ascii="Times New Roman" w:hAnsi="Times New Roman"/>
          <w:b/>
        </w:rPr>
        <w:t xml:space="preserve">113 </w:t>
      </w:r>
      <w:r>
        <w:rPr>
          <w:rFonts w:ascii="Times New Roman" w:hAnsi="Times New Roman"/>
        </w:rPr>
        <w:t>(9): 3697-3703.</w:t>
      </w:r>
    </w:p>
    <w:p w14:paraId="271D70F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2F848176"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EIA. 201</w:t>
      </w:r>
      <w:r>
        <w:rPr>
          <w:rFonts w:ascii="Times New Roman" w:hAnsi="Times New Roman" w:hint="eastAsia"/>
          <w:lang w:eastAsia="zh-CN"/>
        </w:rPr>
        <w:t>7</w:t>
      </w:r>
      <w:r>
        <w:rPr>
          <w:rFonts w:ascii="Times New Roman" w:hAnsi="Times New Roman"/>
        </w:rPr>
        <w:t>. http://</w:t>
      </w:r>
      <w:hyperlink r:id="rId176" w:history="1">
        <w:r>
          <w:rPr>
            <w:rFonts w:ascii="Times New Roman" w:hAnsi="Times New Roman"/>
          </w:rPr>
          <w:t>www.eia.gov</w:t>
        </w:r>
      </w:hyperlink>
      <w:r>
        <w:rPr>
          <w:rFonts w:ascii="Times New Roman" w:hAnsi="Times New Roman"/>
        </w:rPr>
        <w:t xml:space="preserve"> </w:t>
      </w:r>
    </w:p>
    <w:p w14:paraId="096766C2"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EDDE09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Estévez L.A., Müller E.A.</w:t>
      </w:r>
      <w:r>
        <w:rPr>
          <w:rFonts w:ascii="Times New Roman" w:hAnsi="Times New Roman" w:hint="eastAsia"/>
          <w:lang w:eastAsia="zh-CN"/>
        </w:rPr>
        <w:t>,</w:t>
      </w:r>
      <w:r>
        <w:rPr>
          <w:rFonts w:ascii="Times New Roman" w:hAnsi="Times New Roman"/>
        </w:rPr>
        <w:t xml:space="preserve"> and Olivera-Fuentes C. 1988. Predictive Correlation for Binary Interaction Parameters in Cubic Equations of State. AIChE's 1988 Spring National Meeting, New Orleans, USA.</w:t>
      </w:r>
    </w:p>
    <w:p w14:paraId="00FED376"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4B0302F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5E211D">
        <w:rPr>
          <w:rFonts w:ascii="Times New Roman" w:hAnsi="Times New Roman"/>
        </w:rPr>
        <w:t>Evans, R., Marconi, U.M.B., and Tarazona, P. 1986. Capillary Condensation and Adsorption in Cy</w:t>
      </w:r>
      <w:r>
        <w:rPr>
          <w:rFonts w:ascii="Times New Roman" w:hAnsi="Times New Roman"/>
        </w:rPr>
        <w:t xml:space="preserve">lindrical and Slit-like Pores. </w:t>
      </w:r>
      <w:r w:rsidRPr="005E211D">
        <w:rPr>
          <w:rFonts w:ascii="Times New Roman" w:hAnsi="Times New Roman"/>
          <w:i/>
        </w:rPr>
        <w:t>Molecular and Chemical Phys</w:t>
      </w:r>
      <w:r w:rsidRPr="005E211D">
        <w:rPr>
          <w:rFonts w:ascii="Times New Roman" w:hAnsi="Times New Roman"/>
        </w:rPr>
        <w:t xml:space="preserve">ics </w:t>
      </w:r>
      <w:r w:rsidRPr="005E211D">
        <w:rPr>
          <w:rFonts w:ascii="Times New Roman" w:hAnsi="Times New Roman"/>
          <w:b/>
        </w:rPr>
        <w:t>82</w:t>
      </w:r>
      <w:r w:rsidRPr="005E211D">
        <w:rPr>
          <w:rFonts w:ascii="Times New Roman" w:hAnsi="Times New Roman"/>
        </w:rPr>
        <w:t xml:space="preserve"> (10): 1763-1787.</w:t>
      </w:r>
    </w:p>
    <w:p w14:paraId="4D95F1A2"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0C63BDB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D83D56">
        <w:rPr>
          <w:rFonts w:ascii="Times New Roman" w:hAnsi="Times New Roman"/>
        </w:rPr>
        <w:t xml:space="preserve">Evans, R., 1990. Fluids adsorbed in narrow pores: phase equilibria and structure. </w:t>
      </w:r>
      <w:r w:rsidRPr="00D83D56">
        <w:rPr>
          <w:rFonts w:ascii="Times New Roman" w:hAnsi="Times New Roman"/>
          <w:i/>
        </w:rPr>
        <w:t>Journal of Physics: Condensed Matter</w:t>
      </w:r>
      <w:r w:rsidRPr="00D83D56">
        <w:rPr>
          <w:rFonts w:ascii="Times New Roman" w:hAnsi="Times New Roman"/>
          <w:b/>
        </w:rPr>
        <w:t xml:space="preserve"> 2</w:t>
      </w:r>
      <w:r>
        <w:rPr>
          <w:rFonts w:ascii="Times New Roman" w:hAnsi="Times New Roman" w:hint="eastAsia"/>
          <w:lang w:eastAsia="zh-CN"/>
        </w:rPr>
        <w:t xml:space="preserve"> </w:t>
      </w:r>
      <w:r>
        <w:rPr>
          <w:rFonts w:ascii="Times New Roman" w:hAnsi="Times New Roman"/>
        </w:rPr>
        <w:t xml:space="preserve">(46): </w:t>
      </w:r>
      <w:r w:rsidRPr="00D83D56">
        <w:rPr>
          <w:rFonts w:ascii="Times New Roman" w:hAnsi="Times New Roman"/>
        </w:rPr>
        <w:t>8989.</w:t>
      </w:r>
    </w:p>
    <w:p w14:paraId="6972554B"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23F1E7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Findenegg, G.H., Gross, S., and Michalski, T. 1994. Pore Condensation in Controlled-Pore Glass. An Experimental Test of the Saam-Cole Theory. </w:t>
      </w:r>
      <w:r>
        <w:rPr>
          <w:rFonts w:ascii="Times New Roman" w:hAnsi="Times New Roman"/>
          <w:i/>
        </w:rPr>
        <w:t>Studies in Surface Science and Catalysis</w:t>
      </w:r>
      <w:r>
        <w:rPr>
          <w:rFonts w:ascii="Times New Roman" w:hAnsi="Times New Roman"/>
        </w:rPr>
        <w:t xml:space="preserve"> </w:t>
      </w:r>
      <w:r>
        <w:rPr>
          <w:rFonts w:ascii="Times New Roman" w:hAnsi="Times New Roman"/>
          <w:b/>
        </w:rPr>
        <w:t>87</w:t>
      </w:r>
      <w:r>
        <w:rPr>
          <w:rFonts w:ascii="Times New Roman" w:hAnsi="Times New Roman"/>
        </w:rPr>
        <w:t>: 71-80.</w:t>
      </w:r>
    </w:p>
    <w:p w14:paraId="2A7FF373"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09AB5C2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Frenkel, D. and Smit, B.</w:t>
      </w:r>
      <w:r w:rsidRPr="00D83D56">
        <w:rPr>
          <w:rFonts w:ascii="Times New Roman" w:hAnsi="Times New Roman"/>
        </w:rPr>
        <w:t xml:space="preserve"> 2001. Understanding Molecul</w:t>
      </w:r>
      <w:r>
        <w:rPr>
          <w:rFonts w:ascii="Times New Roman" w:hAnsi="Times New Roman"/>
        </w:rPr>
        <w:t>ar Simulation: from Algorithms t</w:t>
      </w:r>
      <w:r w:rsidRPr="00D83D56">
        <w:rPr>
          <w:rFonts w:ascii="Times New Roman" w:hAnsi="Times New Roman"/>
        </w:rPr>
        <w:t>o Applicatio</w:t>
      </w:r>
      <w:r>
        <w:rPr>
          <w:rFonts w:ascii="Times New Roman" w:hAnsi="Times New Roman"/>
        </w:rPr>
        <w:t>ns. Vol. 1,</w:t>
      </w:r>
      <w:r w:rsidRPr="00D83D56">
        <w:rPr>
          <w:rFonts w:ascii="Times New Roman" w:hAnsi="Times New Roman"/>
        </w:rPr>
        <w:t xml:space="preserve"> Academic </w:t>
      </w:r>
      <w:r w:rsidRPr="00D83D56">
        <w:rPr>
          <w:rFonts w:ascii="Times New Roman" w:hAnsi="Times New Roman"/>
          <w:sz w:val="22"/>
        </w:rPr>
        <w:t>Press</w:t>
      </w:r>
      <w:r w:rsidRPr="00D83D56">
        <w:rPr>
          <w:rFonts w:ascii="Times New Roman" w:hAnsi="Times New Roman"/>
        </w:rPr>
        <w:t>.</w:t>
      </w:r>
    </w:p>
    <w:p w14:paraId="0DFBABDA"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0AFC6F9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Gasem, K.A.M., Robinson, R.L., Jr.</w:t>
      </w:r>
      <w:r>
        <w:rPr>
          <w:rFonts w:ascii="Times New Roman" w:hAnsi="Times New Roman" w:hint="eastAsia"/>
          <w:lang w:eastAsia="zh-CN"/>
        </w:rPr>
        <w:t>,</w:t>
      </w:r>
      <w:r>
        <w:rPr>
          <w:rFonts w:ascii="Times New Roman" w:hAnsi="Times New Roman"/>
        </w:rPr>
        <w:t xml:space="preserve"> Fitzgerald, J.E., and</w:t>
      </w:r>
      <w:r w:rsidRPr="006F6DF3">
        <w:rPr>
          <w:rFonts w:ascii="Times New Roman" w:hAnsi="Times New Roman"/>
        </w:rPr>
        <w:t xml:space="preserve"> Pan, Z.; Sudibandriyo, M. Sequestering Carbon Dioxide in Coalbeds; DE-FC26- 98FT40426, prepared for the U.S. Department of Energy, 2003.</w:t>
      </w:r>
    </w:p>
    <w:p w14:paraId="11519979"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86BBAFE" w14:textId="77777777" w:rsidR="002F4565" w:rsidRDefault="002F4565" w:rsidP="002C6C5A">
      <w:pPr>
        <w:pStyle w:val="19"/>
        <w:widowControl w:val="0"/>
        <w:autoSpaceDE w:val="0"/>
        <w:autoSpaceDN w:val="0"/>
        <w:adjustRightInd w:val="0"/>
        <w:spacing w:after="240"/>
        <w:jc w:val="both"/>
        <w:rPr>
          <w:rFonts w:ascii="Times New Roman" w:hAnsi="Times New Roman"/>
        </w:rPr>
      </w:pPr>
    </w:p>
    <w:p w14:paraId="0279717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Giovambattista, N., Rossky, P.J., and Debenedetti, P.G. 2009. Effect of Temperature on the Structure and Phase Behavior of Water Confined by Hydrophobic, Hydrophilic, and Heterogeneous Surfaces. </w:t>
      </w:r>
      <w:r>
        <w:rPr>
          <w:rFonts w:ascii="Times New Roman" w:hAnsi="Times New Roman"/>
          <w:i/>
        </w:rPr>
        <w:t>Journal of Physical Chemistry B</w:t>
      </w:r>
      <w:r>
        <w:rPr>
          <w:rFonts w:ascii="Times New Roman" w:hAnsi="Times New Roman"/>
        </w:rPr>
        <w:t xml:space="preserve"> </w:t>
      </w:r>
      <w:r>
        <w:rPr>
          <w:rFonts w:ascii="Times New Roman" w:hAnsi="Times New Roman"/>
          <w:b/>
        </w:rPr>
        <w:t>113</w:t>
      </w:r>
      <w:r>
        <w:rPr>
          <w:rFonts w:ascii="Times New Roman" w:hAnsi="Times New Roman"/>
        </w:rPr>
        <w:t xml:space="preserve"> (42): 13723-13734.</w:t>
      </w:r>
    </w:p>
    <w:p w14:paraId="080329D8"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C68F2BF"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Gelb, L.D., Gubbins, K.E., Radhakrishnan, R., and Sliwinska-Bartkowiak, M. 1999. Phase Separation in Confined Systems. </w:t>
      </w:r>
      <w:r>
        <w:rPr>
          <w:rFonts w:ascii="Times New Roman" w:hAnsi="Times New Roman"/>
          <w:i/>
        </w:rPr>
        <w:t>Rep. Prog. Phys</w:t>
      </w:r>
      <w:r>
        <w:rPr>
          <w:rFonts w:ascii="Times New Roman" w:hAnsi="Times New Roman"/>
        </w:rPr>
        <w:t xml:space="preserve"> </w:t>
      </w:r>
      <w:r>
        <w:rPr>
          <w:rFonts w:ascii="Times New Roman" w:hAnsi="Times New Roman"/>
          <w:b/>
        </w:rPr>
        <w:t>62</w:t>
      </w:r>
      <w:r>
        <w:rPr>
          <w:rFonts w:ascii="Times New Roman" w:hAnsi="Times New Roman"/>
        </w:rPr>
        <w:t>: 1573–1659.</w:t>
      </w:r>
    </w:p>
    <w:p w14:paraId="613591D2"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F280D5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Groß, S. and Findenegg G.H. 1997. Pore Condensation in Novel Highly Ordered Mesoporous Silica. </w:t>
      </w:r>
      <w:r>
        <w:rPr>
          <w:rFonts w:ascii="Times New Roman" w:hAnsi="Times New Roman"/>
          <w:i/>
        </w:rPr>
        <w:t>Berichte der Bunsengesellschaft für physikalische Chemie</w:t>
      </w:r>
      <w:r>
        <w:rPr>
          <w:rFonts w:ascii="Times New Roman" w:hAnsi="Times New Roman"/>
        </w:rPr>
        <w:t xml:space="preserve"> </w:t>
      </w:r>
      <w:r>
        <w:rPr>
          <w:rFonts w:ascii="Times New Roman" w:hAnsi="Times New Roman"/>
          <w:b/>
        </w:rPr>
        <w:t xml:space="preserve">101 </w:t>
      </w:r>
      <w:r>
        <w:rPr>
          <w:rFonts w:ascii="Times New Roman" w:hAnsi="Times New Roman"/>
        </w:rPr>
        <w:t>(11): 1726-1730.</w:t>
      </w:r>
    </w:p>
    <w:p w14:paraId="1E958E17"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A78D20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Hamada, Y., Koga, K.</w:t>
      </w:r>
      <w:r>
        <w:rPr>
          <w:rFonts w:ascii="Times New Roman" w:hAnsi="Times New Roman" w:hint="eastAsia"/>
          <w:lang w:eastAsia="zh-CN"/>
        </w:rPr>
        <w:t>,</w:t>
      </w:r>
      <w:r>
        <w:rPr>
          <w:rFonts w:ascii="Times New Roman" w:hAnsi="Times New Roman"/>
        </w:rPr>
        <w:t xml:space="preserve"> and Tanaka, H. 2007. Phase Equilibria and Interfacial Tension of Fluids Confined in Narrow Pores. </w:t>
      </w:r>
      <w:r>
        <w:rPr>
          <w:rFonts w:ascii="Times New Roman" w:hAnsi="Times New Roman"/>
          <w:i/>
        </w:rPr>
        <w:t>J. Chem Phys</w:t>
      </w:r>
      <w:r>
        <w:rPr>
          <w:rFonts w:ascii="Times New Roman" w:hAnsi="Times New Roman"/>
        </w:rPr>
        <w:t xml:space="preserve"> </w:t>
      </w:r>
      <w:r>
        <w:rPr>
          <w:rFonts w:ascii="Times New Roman" w:hAnsi="Times New Roman"/>
          <w:b/>
        </w:rPr>
        <w:t>127</w:t>
      </w:r>
      <w:r>
        <w:rPr>
          <w:rFonts w:ascii="Times New Roman" w:hAnsi="Times New Roman"/>
        </w:rPr>
        <w:t xml:space="preserve"> (8): 1-9.</w:t>
      </w:r>
    </w:p>
    <w:p w14:paraId="381D85C5"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5FA1B7BF" w14:textId="36E5F07E"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6F6DF3">
        <w:rPr>
          <w:rFonts w:ascii="Times New Roman" w:hAnsi="Times New Roman"/>
        </w:rPr>
        <w:t>Harlick, P</w:t>
      </w:r>
      <w:r w:rsidR="007B5769">
        <w:rPr>
          <w:rFonts w:ascii="Times New Roman" w:hAnsi="Times New Roman"/>
        </w:rPr>
        <w:t>.J.</w:t>
      </w:r>
      <w:r>
        <w:rPr>
          <w:rFonts w:ascii="Times New Roman" w:hAnsi="Times New Roman"/>
        </w:rPr>
        <w:t>E.</w:t>
      </w:r>
      <w:r w:rsidRPr="006F6DF3">
        <w:rPr>
          <w:rFonts w:ascii="Times New Roman" w:hAnsi="Times New Roman"/>
        </w:rPr>
        <w:t xml:space="preserve"> and Tezel, F. H. 2003. Adsorption of </w:t>
      </w:r>
      <w:r>
        <w:rPr>
          <w:rFonts w:ascii="Times New Roman" w:hAnsi="Times New Roman"/>
        </w:rPr>
        <w:t>Carbon Dioxide, Methane and Nitrogen: Pure and Binary Mixture Adsorption f</w:t>
      </w:r>
      <w:r w:rsidRPr="006F6DF3">
        <w:rPr>
          <w:rFonts w:ascii="Times New Roman" w:hAnsi="Times New Roman"/>
        </w:rPr>
        <w:t>or ZSM</w:t>
      </w:r>
      <w:r>
        <w:rPr>
          <w:rFonts w:ascii="Times New Roman" w:hAnsi="Times New Roman"/>
        </w:rPr>
        <w:t>-5 w</w:t>
      </w:r>
      <w:r w:rsidRPr="006F6DF3">
        <w:rPr>
          <w:rFonts w:ascii="Times New Roman" w:hAnsi="Times New Roman"/>
        </w:rPr>
        <w:t>ith SiO</w:t>
      </w:r>
      <w:r w:rsidRPr="00CE1364">
        <w:rPr>
          <w:rFonts w:ascii="Times New Roman" w:hAnsi="Times New Roman"/>
          <w:vertAlign w:val="subscript"/>
        </w:rPr>
        <w:t>2</w:t>
      </w:r>
      <w:r w:rsidRPr="006F6DF3">
        <w:rPr>
          <w:rFonts w:ascii="Times New Roman" w:hAnsi="Times New Roman"/>
        </w:rPr>
        <w:t>/Al</w:t>
      </w:r>
      <w:r w:rsidRPr="00CE1364">
        <w:rPr>
          <w:rFonts w:ascii="Times New Roman" w:hAnsi="Times New Roman"/>
          <w:vertAlign w:val="subscript"/>
        </w:rPr>
        <w:t>2</w:t>
      </w:r>
      <w:r w:rsidRPr="006F6DF3">
        <w:rPr>
          <w:rFonts w:ascii="Times New Roman" w:hAnsi="Times New Roman"/>
        </w:rPr>
        <w:t>O</w:t>
      </w:r>
      <w:r w:rsidRPr="00CE1364">
        <w:rPr>
          <w:rFonts w:ascii="Times New Roman" w:hAnsi="Times New Roman"/>
          <w:vertAlign w:val="subscript"/>
        </w:rPr>
        <w:t>3</w:t>
      </w:r>
      <w:r w:rsidRPr="006F6DF3">
        <w:rPr>
          <w:rFonts w:ascii="Times New Roman" w:hAnsi="Times New Roman"/>
        </w:rPr>
        <w:t xml:space="preserve"> Ratio of 280. </w:t>
      </w:r>
      <w:r>
        <w:rPr>
          <w:rFonts w:ascii="Times New Roman" w:hAnsi="Times New Roman"/>
          <w:i/>
        </w:rPr>
        <w:t xml:space="preserve">Separation and </w:t>
      </w:r>
      <w:r>
        <w:rPr>
          <w:rFonts w:ascii="Times New Roman" w:hAnsi="Times New Roman" w:hint="eastAsia"/>
          <w:i/>
          <w:lang w:eastAsia="zh-CN"/>
        </w:rPr>
        <w:t>P</w:t>
      </w:r>
      <w:r>
        <w:rPr>
          <w:rFonts w:ascii="Times New Roman" w:hAnsi="Times New Roman"/>
          <w:i/>
        </w:rPr>
        <w:t>urification T</w:t>
      </w:r>
      <w:r w:rsidRPr="006F6DF3">
        <w:rPr>
          <w:rFonts w:ascii="Times New Roman" w:hAnsi="Times New Roman"/>
          <w:i/>
        </w:rPr>
        <w:t>echnology</w:t>
      </w:r>
      <w:r w:rsidRPr="006F6DF3">
        <w:rPr>
          <w:rFonts w:ascii="Times New Roman" w:hAnsi="Times New Roman"/>
        </w:rPr>
        <w:t xml:space="preserve"> </w:t>
      </w:r>
      <w:r w:rsidRPr="006F6DF3">
        <w:rPr>
          <w:rFonts w:ascii="Times New Roman" w:hAnsi="Times New Roman"/>
          <w:b/>
        </w:rPr>
        <w:t>33</w:t>
      </w:r>
      <w:r w:rsidRPr="006F6DF3">
        <w:rPr>
          <w:rFonts w:ascii="Times New Roman" w:hAnsi="Times New Roman"/>
        </w:rPr>
        <w:t xml:space="preserve"> (2): 199-210.</w:t>
      </w:r>
    </w:p>
    <w:p w14:paraId="5A130AC7"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7915FD1" w14:textId="2261D049" w:rsidR="002C6C5A" w:rsidRDefault="007B5769"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Hartman, R.</w:t>
      </w:r>
      <w:r w:rsidR="002C6C5A" w:rsidRPr="00772990">
        <w:rPr>
          <w:rFonts w:ascii="Times New Roman" w:hAnsi="Times New Roman"/>
        </w:rPr>
        <w:t>C., Ambrose, R. J., Akkutlu, I. Y., and Clarkson, C. R. 2011. Shale Gas-In-Place Calculations Part II-Multicomponent Gas Adsorption Effects. SPE 141416 presented at North American Unconventional Gas Conference and Exhibition, Oklahoma City, Oklahoma, USA, 27-29 March.</w:t>
      </w:r>
    </w:p>
    <w:p w14:paraId="0F15A181"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4BE19DC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Heuchel, M., Davies, G.M., Buss, E., and Seaton, N.</w:t>
      </w:r>
      <w:r w:rsidRPr="006F6DF3">
        <w:rPr>
          <w:rFonts w:ascii="Times New Roman" w:hAnsi="Times New Roman"/>
        </w:rPr>
        <w:t xml:space="preserve">A. 1999. Adsorption of </w:t>
      </w:r>
      <w:r>
        <w:rPr>
          <w:rFonts w:ascii="Times New Roman" w:hAnsi="Times New Roman"/>
        </w:rPr>
        <w:t>Carbon Dioxide and Methane and Their Mixtures on an Activated Carbon: Simulation a</w:t>
      </w:r>
      <w:r w:rsidRPr="006F6DF3">
        <w:rPr>
          <w:rFonts w:ascii="Times New Roman" w:hAnsi="Times New Roman"/>
        </w:rPr>
        <w:t xml:space="preserve">nd Experiment. </w:t>
      </w:r>
      <w:r w:rsidRPr="006F6DF3">
        <w:rPr>
          <w:rFonts w:ascii="Times New Roman" w:hAnsi="Times New Roman"/>
          <w:i/>
        </w:rPr>
        <w:t>Langmuir</w:t>
      </w:r>
      <w:r w:rsidRPr="006F6DF3">
        <w:rPr>
          <w:rFonts w:ascii="Times New Roman" w:hAnsi="Times New Roman"/>
        </w:rPr>
        <w:t xml:space="preserve"> </w:t>
      </w:r>
      <w:r w:rsidRPr="006F6DF3">
        <w:rPr>
          <w:rFonts w:ascii="Times New Roman" w:hAnsi="Times New Roman"/>
          <w:b/>
        </w:rPr>
        <w:t>15</w:t>
      </w:r>
      <w:r w:rsidRPr="006F6DF3">
        <w:rPr>
          <w:rFonts w:ascii="Times New Roman" w:hAnsi="Times New Roman"/>
        </w:rPr>
        <w:t xml:space="preserve"> (25): 8695-8705.</w:t>
      </w:r>
    </w:p>
    <w:p w14:paraId="296E421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05EB518B" w14:textId="77777777" w:rsidR="002C6C5A" w:rsidRDefault="002C6C5A" w:rsidP="002C6C5A">
      <w:pPr>
        <w:pStyle w:val="19"/>
        <w:widowControl w:val="0"/>
        <w:numPr>
          <w:ilvl w:val="0"/>
          <w:numId w:val="3"/>
        </w:numPr>
        <w:autoSpaceDE w:val="0"/>
        <w:autoSpaceDN w:val="0"/>
        <w:adjustRightInd w:val="0"/>
        <w:spacing w:after="240"/>
        <w:ind w:hanging="720"/>
        <w:rPr>
          <w:rFonts w:ascii="Times New Roman" w:hAnsi="Times New Roman"/>
        </w:rPr>
      </w:pPr>
      <w:r>
        <w:rPr>
          <w:rFonts w:ascii="Times New Roman" w:hAnsi="Times New Roman"/>
        </w:rPr>
        <w:t>IHS. 2014. http://www.fekete.com</w:t>
      </w:r>
    </w:p>
    <w:p w14:paraId="2FA3F067"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F4A6E0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Jamili, A. 2010. Modeling Effects of Diffusion and Gravity Drainage on Oil Recovery in Naturally Fractured Reservoirs Under Gas Injection. Ph.D. Dissertation, University of Kansas, Lawrence, KS.</w:t>
      </w:r>
    </w:p>
    <w:p w14:paraId="256B7E0D"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7CF701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hint="eastAsia"/>
          <w:lang w:eastAsia="zh-CN"/>
        </w:rPr>
        <w:t xml:space="preserve">JD </w:t>
      </w:r>
      <w:r>
        <w:rPr>
          <w:rFonts w:ascii="Times New Roman" w:hAnsi="Times New Roman"/>
        </w:rPr>
        <w:t>van der Waals</w:t>
      </w:r>
      <w:r>
        <w:rPr>
          <w:rFonts w:ascii="Times New Roman" w:hAnsi="Times New Roman" w:hint="eastAsia"/>
          <w:lang w:eastAsia="zh-CN"/>
        </w:rPr>
        <w:t xml:space="preserve">. 1873. </w:t>
      </w:r>
      <w:r w:rsidRPr="001E5CBD">
        <w:rPr>
          <w:rFonts w:ascii="Times New Roman" w:hAnsi="Times New Roman"/>
          <w:lang w:eastAsia="zh-CN"/>
        </w:rPr>
        <w:t>Over de Continuiteit van den Gas-en Vloeistoftoestand</w:t>
      </w:r>
      <w:r>
        <w:rPr>
          <w:rFonts w:ascii="Times New Roman" w:hAnsi="Times New Roman" w:hint="eastAsia"/>
          <w:lang w:eastAsia="zh-CN"/>
        </w:rPr>
        <w:t>.</w:t>
      </w:r>
    </w:p>
    <w:p w14:paraId="5C0C2B79"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9ECAA3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Jiang, J. and Sandler, S.I.</w:t>
      </w:r>
      <w:r>
        <w:rPr>
          <w:rFonts w:ascii="Times New Roman" w:hAnsi="Times New Roman"/>
          <w:lang w:eastAsia="zh-CN"/>
        </w:rPr>
        <w:t xml:space="preserve"> 2006. </w:t>
      </w:r>
      <w:r>
        <w:rPr>
          <w:rFonts w:ascii="Times New Roman" w:hAnsi="Times New Roman"/>
        </w:rPr>
        <w:t>Capillary Phase Transitions of Linear and Branched Alkanes in Carbon Nanotubes from Molecular Simulation</w:t>
      </w:r>
      <w:r>
        <w:rPr>
          <w:rFonts w:ascii="Times New Roman" w:hAnsi="Times New Roman"/>
          <w:lang w:eastAsia="zh-CN"/>
        </w:rPr>
        <w:t>.</w:t>
      </w:r>
      <w:r>
        <w:rPr>
          <w:rFonts w:ascii="Times New Roman" w:hAnsi="Times New Roman"/>
        </w:rPr>
        <w:t xml:space="preserve"> </w:t>
      </w:r>
      <w:r>
        <w:rPr>
          <w:rFonts w:ascii="Times New Roman" w:hAnsi="Times New Roman"/>
          <w:i/>
        </w:rPr>
        <w:t>Langmuir</w:t>
      </w:r>
      <w:r>
        <w:rPr>
          <w:rFonts w:ascii="Times New Roman" w:hAnsi="Times New Roman"/>
        </w:rPr>
        <w:t xml:space="preserve"> </w:t>
      </w:r>
      <w:r>
        <w:rPr>
          <w:rFonts w:ascii="Times New Roman" w:hAnsi="Times New Roman"/>
          <w:b/>
        </w:rPr>
        <w:t>22</w:t>
      </w:r>
      <w:r>
        <w:rPr>
          <w:rFonts w:ascii="Times New Roman" w:hAnsi="Times New Roman"/>
        </w:rPr>
        <w:t xml:space="preserve"> (17): 7391-7399.</w:t>
      </w:r>
    </w:p>
    <w:p w14:paraId="674B7B23"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55BFE88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870DBA">
        <w:rPr>
          <w:rFonts w:ascii="Times New Roman" w:hAnsi="Times New Roman"/>
        </w:rPr>
        <w:t>J</w:t>
      </w:r>
      <w:r>
        <w:rPr>
          <w:rFonts w:ascii="Times New Roman" w:hAnsi="Times New Roman"/>
        </w:rPr>
        <w:t>in, Z. and Firoozabadi, A. 2016</w:t>
      </w:r>
      <w:r w:rsidRPr="00870DBA">
        <w:rPr>
          <w:rFonts w:ascii="Times New Roman" w:hAnsi="Times New Roman"/>
        </w:rPr>
        <w:t>. Thermodynamic Modeling of Phase Behav</w:t>
      </w:r>
      <w:r>
        <w:rPr>
          <w:rFonts w:ascii="Times New Roman" w:hAnsi="Times New Roman"/>
        </w:rPr>
        <w:t xml:space="preserve">ior in Shale Media. </w:t>
      </w:r>
      <w:r w:rsidRPr="00870DBA">
        <w:rPr>
          <w:rFonts w:ascii="Times New Roman" w:hAnsi="Times New Roman"/>
          <w:i/>
        </w:rPr>
        <w:t>SPE Journal</w:t>
      </w:r>
      <w:r>
        <w:rPr>
          <w:rFonts w:ascii="Times New Roman" w:hAnsi="Times New Roman"/>
        </w:rPr>
        <w:t xml:space="preserve"> </w:t>
      </w:r>
      <w:r w:rsidRPr="00870DBA">
        <w:rPr>
          <w:rFonts w:ascii="Times New Roman" w:hAnsi="Times New Roman"/>
          <w:b/>
        </w:rPr>
        <w:t>21</w:t>
      </w:r>
      <w:r>
        <w:rPr>
          <w:rFonts w:ascii="Times New Roman" w:hAnsi="Times New Roman" w:hint="eastAsia"/>
          <w:lang w:eastAsia="zh-CN"/>
        </w:rPr>
        <w:t xml:space="preserve"> </w:t>
      </w:r>
      <w:r>
        <w:rPr>
          <w:rFonts w:ascii="Times New Roman" w:hAnsi="Times New Roman"/>
        </w:rPr>
        <w:t xml:space="preserve">(01): </w:t>
      </w:r>
      <w:r w:rsidRPr="00870DBA">
        <w:rPr>
          <w:rFonts w:ascii="Times New Roman" w:hAnsi="Times New Roman"/>
        </w:rPr>
        <w:t>190-207.</w:t>
      </w:r>
    </w:p>
    <w:p w14:paraId="3E482B5B"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71B4114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D83D56">
        <w:rPr>
          <w:rFonts w:ascii="Times New Roman" w:hAnsi="Times New Roman"/>
        </w:rPr>
        <w:t xml:space="preserve">Koga, K., Gao, </w:t>
      </w:r>
      <w:r>
        <w:rPr>
          <w:rFonts w:ascii="Times New Roman" w:hAnsi="Times New Roman"/>
        </w:rPr>
        <w:t>G.T., Tanaka, H.</w:t>
      </w:r>
      <w:r>
        <w:rPr>
          <w:rFonts w:ascii="Times New Roman" w:hAnsi="Times New Roman" w:hint="eastAsia"/>
          <w:lang w:eastAsia="zh-CN"/>
        </w:rPr>
        <w:t>,</w:t>
      </w:r>
      <w:r>
        <w:rPr>
          <w:rFonts w:ascii="Times New Roman" w:hAnsi="Times New Roman"/>
        </w:rPr>
        <w:t xml:space="preserve"> and Zeng, X.C.</w:t>
      </w:r>
      <w:r w:rsidRPr="00D83D56">
        <w:rPr>
          <w:rFonts w:ascii="Times New Roman" w:hAnsi="Times New Roman"/>
        </w:rPr>
        <w:t xml:space="preserve"> 2001. Formation of </w:t>
      </w:r>
      <w:r>
        <w:rPr>
          <w:rFonts w:ascii="Times New Roman" w:hAnsi="Times New Roman"/>
        </w:rPr>
        <w:t>Ordered Ice Nanotubes i</w:t>
      </w:r>
      <w:r w:rsidRPr="00D83D56">
        <w:rPr>
          <w:rFonts w:ascii="Times New Roman" w:hAnsi="Times New Roman"/>
        </w:rPr>
        <w:t xml:space="preserve">nside Carbon Nanotubes. </w:t>
      </w:r>
      <w:r w:rsidRPr="00D83D56">
        <w:rPr>
          <w:rFonts w:ascii="Times New Roman" w:hAnsi="Times New Roman"/>
          <w:i/>
        </w:rPr>
        <w:t>Nature</w:t>
      </w:r>
      <w:r>
        <w:rPr>
          <w:rFonts w:ascii="Times New Roman" w:hAnsi="Times New Roman"/>
        </w:rPr>
        <w:t xml:space="preserve"> </w:t>
      </w:r>
      <w:r w:rsidRPr="00D83D56">
        <w:rPr>
          <w:rFonts w:ascii="Times New Roman" w:hAnsi="Times New Roman"/>
          <w:b/>
        </w:rPr>
        <w:t>412</w:t>
      </w:r>
      <w:r>
        <w:rPr>
          <w:rFonts w:ascii="Times New Roman" w:hAnsi="Times New Roman" w:hint="eastAsia"/>
          <w:lang w:eastAsia="zh-CN"/>
        </w:rPr>
        <w:t xml:space="preserve"> </w:t>
      </w:r>
      <w:r>
        <w:rPr>
          <w:rFonts w:ascii="Times New Roman" w:hAnsi="Times New Roman"/>
        </w:rPr>
        <w:t xml:space="preserve">(6849): </w:t>
      </w:r>
      <w:r w:rsidRPr="00D83D56">
        <w:rPr>
          <w:rFonts w:ascii="Times New Roman" w:hAnsi="Times New Roman"/>
        </w:rPr>
        <w:t>802-805.</w:t>
      </w:r>
    </w:p>
    <w:p w14:paraId="2406EA98"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86285F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Kotdawala, R.R., Kazantzis, N., and Thompson, R. W. 2005. Analysis of Binary Adsorption of Polar and Nonpolar Molecules in Narrow Slit-Pores by Mean-Field Perturbation Theory. </w:t>
      </w:r>
      <w:r>
        <w:rPr>
          <w:rFonts w:ascii="Times New Roman" w:hAnsi="Times New Roman"/>
          <w:i/>
        </w:rPr>
        <w:t>Journal of Chemical Physics</w:t>
      </w:r>
      <w:r>
        <w:rPr>
          <w:rFonts w:ascii="Times New Roman" w:hAnsi="Times New Roman"/>
        </w:rPr>
        <w:t xml:space="preserve"> </w:t>
      </w:r>
      <w:r>
        <w:rPr>
          <w:rFonts w:ascii="Times New Roman" w:hAnsi="Times New Roman"/>
          <w:b/>
        </w:rPr>
        <w:t>123</w:t>
      </w:r>
      <w:r>
        <w:rPr>
          <w:rFonts w:ascii="Times New Roman" w:hAnsi="Times New Roman"/>
        </w:rPr>
        <w:t xml:space="preserve"> (24): 244709.</w:t>
      </w:r>
    </w:p>
    <w:p w14:paraId="36BAFA4D"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3E21291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Langmuir, I</w:t>
      </w:r>
      <w:r>
        <w:rPr>
          <w:rFonts w:ascii="Times New Roman" w:hAnsi="Times New Roman" w:hint="eastAsia"/>
          <w:lang w:eastAsia="zh-CN"/>
        </w:rPr>
        <w:t>.</w:t>
      </w:r>
      <w:r>
        <w:rPr>
          <w:rFonts w:ascii="Times New Roman" w:hAnsi="Times New Roman"/>
        </w:rPr>
        <w:t xml:space="preserve"> 1918.</w:t>
      </w:r>
      <w:r w:rsidRPr="008D6A28">
        <w:rPr>
          <w:rFonts w:ascii="Times New Roman" w:hAnsi="Times New Roman"/>
        </w:rPr>
        <w:t xml:space="preserve"> The Adsorption of Gases on Plane Surface of Glass, Mica and Platinum: The Research Laboratory of The General Electric Company, p. 1361-1402.</w:t>
      </w:r>
    </w:p>
    <w:p w14:paraId="19319439"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1E100BC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775E8A">
        <w:rPr>
          <w:rFonts w:ascii="Times New Roman" w:hAnsi="Times New Roman"/>
        </w:rPr>
        <w:t>Lee, L.L. 1988. Molecular Thermodynamics of Nonideal Fluids. Butterworth-Heinemann.</w:t>
      </w:r>
    </w:p>
    <w:p w14:paraId="68A08631"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148E8C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Łencka, M., and Anderko, A. 1991. On the Composition-Dependent Interaction Parameters in Equations of State. </w:t>
      </w:r>
      <w:r>
        <w:rPr>
          <w:rFonts w:ascii="Times New Roman" w:hAnsi="Times New Roman"/>
          <w:i/>
        </w:rPr>
        <w:t>Chemical Engineering Communications</w:t>
      </w:r>
      <w:r>
        <w:rPr>
          <w:rFonts w:ascii="Times New Roman" w:hAnsi="Times New Roman"/>
        </w:rPr>
        <w:t xml:space="preserve"> </w:t>
      </w:r>
      <w:r>
        <w:rPr>
          <w:rFonts w:ascii="Times New Roman" w:hAnsi="Times New Roman"/>
          <w:b/>
        </w:rPr>
        <w:t>107</w:t>
      </w:r>
      <w:r>
        <w:rPr>
          <w:rFonts w:ascii="Times New Roman" w:hAnsi="Times New Roman"/>
        </w:rPr>
        <w:t xml:space="preserve"> (1), 173-188.</w:t>
      </w:r>
    </w:p>
    <w:p w14:paraId="1517187A"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3212AF4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AD2A20">
        <w:rPr>
          <w:rFonts w:ascii="Times New Roman" w:hAnsi="Times New Roman"/>
        </w:rPr>
        <w:t>Li, B., Mehmani, A., Chen, J., Georgi, D.T.</w:t>
      </w:r>
      <w:r>
        <w:rPr>
          <w:rFonts w:ascii="Times New Roman" w:hAnsi="Times New Roman" w:hint="eastAsia"/>
          <w:lang w:eastAsia="zh-CN"/>
        </w:rPr>
        <w:t>,</w:t>
      </w:r>
      <w:r w:rsidRPr="00AD2A20">
        <w:rPr>
          <w:rFonts w:ascii="Times New Roman" w:hAnsi="Times New Roman"/>
        </w:rPr>
        <w:t xml:space="preserve"> and Jin, G., 2013</w:t>
      </w:r>
      <w:r w:rsidRPr="005E211D">
        <w:rPr>
          <w:rFonts w:ascii="Times New Roman" w:hAnsi="Times New Roman"/>
        </w:rPr>
        <w:t>. 2013. The Condition of Capillary Condensation and Its Effects on Adsorption Isotherms of Unconventional Gas Condensate Reservoirs. Presented at SPE Annual Technical Conference and Exhibition, New Orleans, Louisiana, 30 September-2 October. SPE-166162-MS.</w:t>
      </w:r>
    </w:p>
    <w:p w14:paraId="11DBF28B"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17F186AE" w14:textId="77777777" w:rsidR="002F4565" w:rsidRDefault="002F4565" w:rsidP="002C6C5A">
      <w:pPr>
        <w:pStyle w:val="19"/>
        <w:widowControl w:val="0"/>
        <w:autoSpaceDE w:val="0"/>
        <w:autoSpaceDN w:val="0"/>
        <w:adjustRightInd w:val="0"/>
        <w:spacing w:after="240"/>
        <w:ind w:left="0"/>
        <w:jc w:val="both"/>
        <w:rPr>
          <w:rFonts w:ascii="Times New Roman" w:hAnsi="Times New Roman"/>
        </w:rPr>
      </w:pPr>
    </w:p>
    <w:p w14:paraId="27C883F9" w14:textId="77777777" w:rsidR="002F4565" w:rsidRDefault="002F4565" w:rsidP="002C6C5A">
      <w:pPr>
        <w:pStyle w:val="19"/>
        <w:widowControl w:val="0"/>
        <w:autoSpaceDE w:val="0"/>
        <w:autoSpaceDN w:val="0"/>
        <w:adjustRightInd w:val="0"/>
        <w:spacing w:after="240"/>
        <w:ind w:left="0"/>
        <w:jc w:val="both"/>
        <w:rPr>
          <w:rFonts w:ascii="Times New Roman" w:hAnsi="Times New Roman"/>
        </w:rPr>
      </w:pPr>
    </w:p>
    <w:p w14:paraId="3DF4829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772990">
        <w:rPr>
          <w:rFonts w:ascii="Times New Roman" w:hAnsi="Times New Roman"/>
        </w:rPr>
        <w:t xml:space="preserve">Li, B., Mezzatesta, A., Thern, H., Zhang, B., Wu, J., </w:t>
      </w:r>
      <w:r>
        <w:rPr>
          <w:rFonts w:ascii="Times New Roman" w:hAnsi="Times New Roman" w:hint="eastAsia"/>
          <w:lang w:eastAsia="zh-CN"/>
        </w:rPr>
        <w:t xml:space="preserve">and </w:t>
      </w:r>
      <w:r w:rsidRPr="00772990">
        <w:rPr>
          <w:rFonts w:ascii="Times New Roman" w:hAnsi="Times New Roman"/>
        </w:rPr>
        <w:t>Zhang, H. 2014. The Condition of Capillary Condensation and Its Effects on Gas-in-Place of Unconvent</w:t>
      </w:r>
      <w:r>
        <w:rPr>
          <w:rFonts w:ascii="Times New Roman" w:hAnsi="Times New Roman"/>
        </w:rPr>
        <w:t>ional Gas Condensate Reservoirs.</w:t>
      </w:r>
      <w:r w:rsidRPr="00772990">
        <w:rPr>
          <w:rFonts w:ascii="Times New Roman" w:hAnsi="Times New Roman"/>
        </w:rPr>
        <w:t xml:space="preserve"> SPE 170837 presented at SPE Annual Tech</w:t>
      </w:r>
      <w:r>
        <w:rPr>
          <w:rFonts w:ascii="Times New Roman" w:hAnsi="Times New Roman"/>
        </w:rPr>
        <w:t>nical Conference and Exhibition</w:t>
      </w:r>
      <w:r w:rsidRPr="00772990">
        <w:rPr>
          <w:rFonts w:ascii="Times New Roman" w:hAnsi="Times New Roman"/>
        </w:rPr>
        <w:t>, Amsterdam, The Netherlands, 27-29 October.</w:t>
      </w:r>
    </w:p>
    <w:p w14:paraId="6843526B"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9BDB21A"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Li, M., Gu, A., Lu, X., and Wang, R. 2003. Determination of the Adsorbate Density from Supercritical Gas Adsorption Equilibrium Data. </w:t>
      </w:r>
      <w:r>
        <w:rPr>
          <w:rFonts w:ascii="Times New Roman" w:hAnsi="Times New Roman"/>
          <w:i/>
        </w:rPr>
        <w:t>Carbon</w:t>
      </w:r>
      <w:r>
        <w:rPr>
          <w:rFonts w:ascii="Times New Roman" w:hAnsi="Times New Roman"/>
        </w:rPr>
        <w:t xml:space="preserve"> </w:t>
      </w:r>
      <w:r>
        <w:rPr>
          <w:rFonts w:ascii="Times New Roman" w:hAnsi="Times New Roman"/>
          <w:b/>
        </w:rPr>
        <w:t>41</w:t>
      </w:r>
      <w:r>
        <w:rPr>
          <w:rFonts w:ascii="Times New Roman" w:hAnsi="Times New Roman"/>
        </w:rPr>
        <w:t xml:space="preserve"> (3): 585–588.</w:t>
      </w:r>
    </w:p>
    <w:p w14:paraId="7D668A79"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1DB4E0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Li, Y.K. and Nghiem, L.X. 1982. The Development of a General Phase Envelope Construction Algorithm for Reservoir Fluid Studies. Paper SPE 11198 presented at the SPE Annual Technical Conference and Exhibition, New Orleans, 26–29 September.</w:t>
      </w:r>
    </w:p>
    <w:p w14:paraId="354E1992"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1037CF8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863882">
        <w:rPr>
          <w:rFonts w:ascii="Times New Roman" w:hAnsi="Times New Roman"/>
        </w:rPr>
        <w:t>Loucks, R. G., Reed, R. M.</w:t>
      </w:r>
      <w:r>
        <w:rPr>
          <w:rFonts w:ascii="Times New Roman" w:hAnsi="Times New Roman"/>
        </w:rPr>
        <w:t>, Ruppel, S. C., and Hammes, U. 2012</w:t>
      </w:r>
      <w:r>
        <w:rPr>
          <w:rFonts w:ascii="Times New Roman" w:hAnsi="Times New Roman" w:hint="eastAsia"/>
          <w:lang w:eastAsia="zh-CN"/>
        </w:rPr>
        <w:t>.</w:t>
      </w:r>
      <w:r w:rsidRPr="00863882">
        <w:rPr>
          <w:rFonts w:ascii="Times New Roman" w:hAnsi="Times New Roman"/>
        </w:rPr>
        <w:t xml:space="preserve"> Spectrum of </w:t>
      </w:r>
      <w:r>
        <w:rPr>
          <w:rFonts w:ascii="Times New Roman" w:hAnsi="Times New Roman"/>
        </w:rPr>
        <w:t>Pore Types and Networks in Mudrocks and a Descriptive Classification f</w:t>
      </w:r>
      <w:r w:rsidRPr="00863882">
        <w:rPr>
          <w:rFonts w:ascii="Times New Roman" w:hAnsi="Times New Roman"/>
        </w:rPr>
        <w:t>or Matrix-Related Mudrock Pores</w:t>
      </w:r>
      <w:r>
        <w:rPr>
          <w:rFonts w:ascii="Times New Roman" w:hAnsi="Times New Roman" w:hint="eastAsia"/>
          <w:lang w:eastAsia="zh-CN"/>
        </w:rPr>
        <w:t>.</w:t>
      </w:r>
      <w:r>
        <w:rPr>
          <w:rFonts w:ascii="Times New Roman" w:hAnsi="Times New Roman"/>
        </w:rPr>
        <w:t xml:space="preserve"> </w:t>
      </w:r>
      <w:r w:rsidRPr="00863882">
        <w:rPr>
          <w:rFonts w:ascii="Times New Roman" w:hAnsi="Times New Roman"/>
          <w:i/>
        </w:rPr>
        <w:t>AAPG Bulletin</w:t>
      </w:r>
      <w:r>
        <w:rPr>
          <w:rFonts w:ascii="Times New Roman" w:hAnsi="Times New Roman" w:hint="eastAsia"/>
          <w:lang w:eastAsia="zh-CN"/>
        </w:rPr>
        <w:t xml:space="preserve"> </w:t>
      </w:r>
      <w:r w:rsidRPr="00863882">
        <w:rPr>
          <w:rFonts w:ascii="Times New Roman" w:hAnsi="Times New Roman"/>
          <w:b/>
        </w:rPr>
        <w:t>96</w:t>
      </w:r>
      <w:r>
        <w:rPr>
          <w:rFonts w:ascii="Times New Roman" w:hAnsi="Times New Roman"/>
        </w:rPr>
        <w:t xml:space="preserve"> (6):</w:t>
      </w:r>
      <w:r w:rsidRPr="00863882">
        <w:rPr>
          <w:rFonts w:ascii="Times New Roman" w:hAnsi="Times New Roman"/>
        </w:rPr>
        <w:t xml:space="preserve"> 1071-1098.</w:t>
      </w:r>
    </w:p>
    <w:p w14:paraId="48205D0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1C9ED01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Lucia, A. and Brian M.B. 2012. Molecular Geometry Effects and the Gibbs–Helmholtz Constrained Equation of State. </w:t>
      </w:r>
      <w:r>
        <w:rPr>
          <w:rFonts w:ascii="Times New Roman" w:hAnsi="Times New Roman"/>
          <w:i/>
        </w:rPr>
        <w:t>Computers &amp; Chemical Engineering</w:t>
      </w:r>
      <w:r>
        <w:rPr>
          <w:rFonts w:ascii="Times New Roman" w:hAnsi="Times New Roman"/>
        </w:rPr>
        <w:t xml:space="preserve"> </w:t>
      </w:r>
      <w:r>
        <w:rPr>
          <w:rFonts w:ascii="Times New Roman" w:hAnsi="Times New Roman"/>
          <w:b/>
        </w:rPr>
        <w:t>37</w:t>
      </w:r>
      <w:r>
        <w:rPr>
          <w:rFonts w:ascii="Times New Roman" w:hAnsi="Times New Roman"/>
        </w:rPr>
        <w:t>: 1-14.</w:t>
      </w:r>
    </w:p>
    <w:p w14:paraId="13A181F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3604578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0278A8">
        <w:rPr>
          <w:rFonts w:ascii="Times New Roman" w:hAnsi="Times New Roman"/>
        </w:rPr>
        <w:t xml:space="preserve">Luffel, D.L. and Guidry, F.K. 1992. New Core Analysis Methods for Measuring Rock Properties of Devonian Shale. </w:t>
      </w:r>
      <w:r w:rsidRPr="000278A8">
        <w:rPr>
          <w:rFonts w:ascii="Times New Roman" w:hAnsi="Times New Roman"/>
          <w:i/>
        </w:rPr>
        <w:t>J. Pet. Tech</w:t>
      </w:r>
      <w:r w:rsidRPr="000278A8">
        <w:rPr>
          <w:rFonts w:ascii="Times New Roman" w:hAnsi="Times New Roman"/>
        </w:rPr>
        <w:t xml:space="preserve">. </w:t>
      </w:r>
      <w:r w:rsidRPr="000278A8">
        <w:rPr>
          <w:rFonts w:ascii="Times New Roman" w:hAnsi="Times New Roman"/>
          <w:b/>
        </w:rPr>
        <w:t>44</w:t>
      </w:r>
      <w:r w:rsidRPr="000278A8">
        <w:rPr>
          <w:rFonts w:ascii="Times New Roman" w:hAnsi="Times New Roman"/>
        </w:rPr>
        <w:t xml:space="preserve"> (11): 1184–1190. </w:t>
      </w:r>
    </w:p>
    <w:p w14:paraId="5F9F55C6"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EAA647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Ma, Y., Jin, L., J</w:t>
      </w:r>
      <w:r>
        <w:rPr>
          <w:rFonts w:ascii="Times New Roman" w:hAnsi="Times New Roman" w:hint="eastAsia"/>
          <w:lang w:eastAsia="zh-CN"/>
        </w:rPr>
        <w:t xml:space="preserve">and </w:t>
      </w:r>
      <w:r>
        <w:rPr>
          <w:rFonts w:ascii="Times New Roman" w:hAnsi="Times New Roman"/>
        </w:rPr>
        <w:t>amili, A. 2013. Modifying van der Waals Equation of State to Consider Influence of Confinement on Phase Behavior. Paper SPE 166476 presented at the SPE Annual Technical Conference and Exhibition, New Orleans, LA, 31 September-2 October.</w:t>
      </w:r>
    </w:p>
    <w:p w14:paraId="69DC493F"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42F2DC0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Ma, Y</w:t>
      </w:r>
      <w:r>
        <w:rPr>
          <w:rFonts w:ascii="Times New Roman" w:hAnsi="Times New Roman" w:hint="eastAsia"/>
          <w:lang w:eastAsia="zh-CN"/>
        </w:rPr>
        <w:t>. and</w:t>
      </w:r>
      <w:r w:rsidRPr="00772990">
        <w:rPr>
          <w:rFonts w:ascii="Times New Roman" w:hAnsi="Times New Roman"/>
        </w:rPr>
        <w:t xml:space="preserve"> Jamili, A. 2014. Modeling the Effects of Porous Media in Dry Gas and Liquid Rich Shale on Phase Behavior. SPE 169128 presented at Improved Oil Recovery Symposium, Tulsa, Oklahoma, USA, 12-16 April.  </w:t>
      </w:r>
    </w:p>
    <w:p w14:paraId="79EF4F08"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6CB7CDF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772990">
        <w:rPr>
          <w:rFonts w:ascii="Times New Roman" w:hAnsi="Times New Roman"/>
        </w:rPr>
        <w:t xml:space="preserve">Ma, Y. and Jamili, A. 2016. Modeling the </w:t>
      </w:r>
      <w:r>
        <w:rPr>
          <w:rFonts w:ascii="Times New Roman" w:hAnsi="Times New Roman"/>
        </w:rPr>
        <w:t>Density Profiles and Adsorption of Pure and Mixture Hydrocarbons i</w:t>
      </w:r>
      <w:r w:rsidRPr="00772990">
        <w:rPr>
          <w:rFonts w:ascii="Times New Roman" w:hAnsi="Times New Roman"/>
        </w:rPr>
        <w:t xml:space="preserve">n Shales. </w:t>
      </w:r>
      <w:r w:rsidRPr="00772990">
        <w:rPr>
          <w:rFonts w:ascii="Times New Roman" w:hAnsi="Times New Roman"/>
          <w:i/>
        </w:rPr>
        <w:t>J. Unconventional Oil Gas Resource</w:t>
      </w:r>
      <w:r w:rsidRPr="00772990">
        <w:rPr>
          <w:rFonts w:ascii="Times New Roman" w:hAnsi="Times New Roman"/>
        </w:rPr>
        <w:t xml:space="preserve"> </w:t>
      </w:r>
      <w:r w:rsidRPr="00772990">
        <w:rPr>
          <w:rFonts w:ascii="Times New Roman" w:hAnsi="Times New Roman"/>
          <w:b/>
        </w:rPr>
        <w:t>14</w:t>
      </w:r>
      <w:r w:rsidRPr="00772990">
        <w:rPr>
          <w:rFonts w:ascii="Times New Roman" w:hAnsi="Times New Roman"/>
        </w:rPr>
        <w:t>: 128-138.</w:t>
      </w:r>
    </w:p>
    <w:p w14:paraId="6265FB8F"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7D70940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6F6DF3">
        <w:rPr>
          <w:rFonts w:ascii="Times New Roman" w:hAnsi="Times New Roman"/>
        </w:rPr>
        <w:t>Maddox, M. W., Sowers, S. L., and Gubbins, K. E. 1996. Molecular Simulatio</w:t>
      </w:r>
      <w:r>
        <w:rPr>
          <w:rFonts w:ascii="Times New Roman" w:hAnsi="Times New Roman"/>
        </w:rPr>
        <w:t>n of Binary Mixture Adsorption i</w:t>
      </w:r>
      <w:r w:rsidRPr="006F6DF3">
        <w:rPr>
          <w:rFonts w:ascii="Times New Roman" w:hAnsi="Times New Roman"/>
        </w:rPr>
        <w:t xml:space="preserve">n Buckytubes and MCM-41. </w:t>
      </w:r>
      <w:r w:rsidRPr="006F6DF3">
        <w:rPr>
          <w:rFonts w:ascii="Times New Roman" w:hAnsi="Times New Roman"/>
          <w:i/>
        </w:rPr>
        <w:t>Adsorption</w:t>
      </w:r>
      <w:r w:rsidRPr="006F6DF3">
        <w:rPr>
          <w:rFonts w:ascii="Times New Roman" w:hAnsi="Times New Roman"/>
        </w:rPr>
        <w:t xml:space="preserve"> </w:t>
      </w:r>
      <w:r w:rsidRPr="006F6DF3">
        <w:rPr>
          <w:rFonts w:ascii="Times New Roman" w:hAnsi="Times New Roman"/>
          <w:b/>
        </w:rPr>
        <w:t>2</w:t>
      </w:r>
      <w:r w:rsidRPr="006F6DF3">
        <w:rPr>
          <w:rFonts w:ascii="Times New Roman" w:hAnsi="Times New Roman"/>
        </w:rPr>
        <w:t xml:space="preserve"> (1): 23-32.</w:t>
      </w:r>
    </w:p>
    <w:p w14:paraId="62EB029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CD044D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Mao, Z., and Susan B.S. 2001. Separation of Organic Molecular Mixtures in Carbon Nanotubes and Bundles: Molecular Dynamics Simulations. </w:t>
      </w:r>
      <w:r>
        <w:rPr>
          <w:rFonts w:ascii="Times New Roman" w:hAnsi="Times New Roman"/>
          <w:i/>
        </w:rPr>
        <w:t>Journal of Physical Chemistry B</w:t>
      </w:r>
      <w:r>
        <w:rPr>
          <w:rFonts w:ascii="Times New Roman" w:hAnsi="Times New Roman"/>
        </w:rPr>
        <w:t> </w:t>
      </w:r>
      <w:r>
        <w:rPr>
          <w:rFonts w:ascii="Times New Roman" w:hAnsi="Times New Roman"/>
          <w:b/>
        </w:rPr>
        <w:t>105</w:t>
      </w:r>
      <w:r>
        <w:rPr>
          <w:rFonts w:ascii="Times New Roman" w:hAnsi="Times New Roman"/>
        </w:rPr>
        <w:t xml:space="preserve"> (29): 6916-6924.</w:t>
      </w:r>
    </w:p>
    <w:p w14:paraId="0CED8CA1"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1038A9A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Martin, M.G. and Siepmann, J.I.</w:t>
      </w:r>
      <w:r w:rsidRPr="00C94762">
        <w:rPr>
          <w:rFonts w:ascii="Times New Roman" w:hAnsi="Times New Roman"/>
        </w:rPr>
        <w:t xml:space="preserve"> 1998. Transferable </w:t>
      </w:r>
      <w:r>
        <w:rPr>
          <w:rFonts w:ascii="Times New Roman" w:hAnsi="Times New Roman"/>
        </w:rPr>
        <w:t>Potentials f</w:t>
      </w:r>
      <w:r w:rsidRPr="00C94762">
        <w:rPr>
          <w:rFonts w:ascii="Times New Roman" w:hAnsi="Times New Roman"/>
        </w:rPr>
        <w:t xml:space="preserve">or Phase Equilibria. 1. United-Atom Description of n-alkanes. </w:t>
      </w:r>
      <w:r w:rsidRPr="00C94762">
        <w:rPr>
          <w:rFonts w:ascii="Times New Roman" w:hAnsi="Times New Roman"/>
          <w:i/>
        </w:rPr>
        <w:t>Journal of Physical Chemistry B</w:t>
      </w:r>
      <w:r>
        <w:rPr>
          <w:rFonts w:ascii="Times New Roman" w:hAnsi="Times New Roman"/>
        </w:rPr>
        <w:t xml:space="preserve"> 102</w:t>
      </w:r>
      <w:r>
        <w:rPr>
          <w:rFonts w:ascii="Times New Roman" w:hAnsi="Times New Roman" w:hint="eastAsia"/>
          <w:lang w:eastAsia="zh-CN"/>
        </w:rPr>
        <w:t xml:space="preserve"> </w:t>
      </w:r>
      <w:r>
        <w:rPr>
          <w:rFonts w:ascii="Times New Roman" w:hAnsi="Times New Roman"/>
        </w:rPr>
        <w:t xml:space="preserve">(14): </w:t>
      </w:r>
      <w:r w:rsidRPr="00C94762">
        <w:rPr>
          <w:rFonts w:ascii="Times New Roman" w:hAnsi="Times New Roman"/>
        </w:rPr>
        <w:t>2569-2577.</w:t>
      </w:r>
    </w:p>
    <w:p w14:paraId="68D1F343"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596E51FE"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Masel, R. I., 1996.</w:t>
      </w:r>
      <w:r w:rsidRPr="008D6A28">
        <w:rPr>
          <w:rFonts w:ascii="Times New Roman" w:hAnsi="Times New Roman"/>
        </w:rPr>
        <w:t xml:space="preserve"> Principles of </w:t>
      </w:r>
      <w:r>
        <w:rPr>
          <w:rFonts w:ascii="Times New Roman" w:hAnsi="Times New Roman"/>
        </w:rPr>
        <w:t>Adsorption and Reaction o</w:t>
      </w:r>
      <w:r w:rsidRPr="008D6A28">
        <w:rPr>
          <w:rFonts w:ascii="Times New Roman" w:hAnsi="Times New Roman"/>
        </w:rPr>
        <w:t>n Solid Surfaces</w:t>
      </w:r>
      <w:r>
        <w:rPr>
          <w:rFonts w:ascii="Times New Roman" w:hAnsi="Times New Roman"/>
        </w:rPr>
        <w:t xml:space="preserve">. Vol. </w:t>
      </w:r>
      <w:r>
        <w:rPr>
          <w:rFonts w:ascii="Times New Roman" w:hAnsi="Times New Roman" w:hint="eastAsia"/>
          <w:lang w:eastAsia="zh-CN"/>
        </w:rPr>
        <w:t>3</w:t>
      </w:r>
      <w:r>
        <w:rPr>
          <w:rFonts w:ascii="Times New Roman" w:hAnsi="Times New Roman"/>
        </w:rPr>
        <w:t>, John Wiley &amp; Sons</w:t>
      </w:r>
      <w:r w:rsidRPr="008D6A28">
        <w:rPr>
          <w:rFonts w:ascii="Times New Roman" w:hAnsi="Times New Roman"/>
        </w:rPr>
        <w:t>.</w:t>
      </w:r>
    </w:p>
    <w:p w14:paraId="784C5264"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301AD5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0278A8">
        <w:rPr>
          <w:rFonts w:ascii="Times New Roman" w:hAnsi="Times New Roman"/>
        </w:rPr>
        <w:t>Mavor, M.J. and Nelson, C.R. 1997. C</w:t>
      </w:r>
      <w:r>
        <w:rPr>
          <w:rFonts w:ascii="Times New Roman" w:hAnsi="Times New Roman"/>
        </w:rPr>
        <w:t xml:space="preserve">oalbed Reservoir Gas-In-Place </w:t>
      </w:r>
      <w:r w:rsidRPr="000278A8">
        <w:rPr>
          <w:rFonts w:ascii="Times New Roman" w:hAnsi="Times New Roman"/>
        </w:rPr>
        <w:t>Analysis. Report GRI-97/0263, Gas Research Institute, Chicago, Illinois.</w:t>
      </w:r>
    </w:p>
    <w:p w14:paraId="12644C9C" w14:textId="77777777" w:rsidR="002C6C5A" w:rsidRDefault="002C6C5A" w:rsidP="002C6C5A">
      <w:pPr>
        <w:pStyle w:val="19"/>
        <w:widowControl w:val="0"/>
        <w:autoSpaceDE w:val="0"/>
        <w:autoSpaceDN w:val="0"/>
        <w:adjustRightInd w:val="0"/>
        <w:spacing w:after="240"/>
        <w:ind w:left="0"/>
        <w:jc w:val="both"/>
        <w:rPr>
          <w:rFonts w:ascii="Times New Roman" w:hAnsi="Times New Roman"/>
          <w:lang w:eastAsia="zh-CN"/>
        </w:rPr>
      </w:pPr>
    </w:p>
    <w:p w14:paraId="2CDBBA4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McCain, W.D., John P.S., and Lenn, C.P. 2011. Petroleum Reservoir Fluid Property Correlations. PennWell Books.</w:t>
      </w:r>
    </w:p>
    <w:p w14:paraId="04858206"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10D9BFF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Menon, P.G. 1968. Adsorption at High Pressures. </w:t>
      </w:r>
      <w:r>
        <w:rPr>
          <w:rFonts w:ascii="Times New Roman" w:hAnsi="Times New Roman"/>
          <w:i/>
        </w:rPr>
        <w:t>Chemical Reviews</w:t>
      </w:r>
      <w:r>
        <w:rPr>
          <w:rFonts w:ascii="Times New Roman" w:hAnsi="Times New Roman"/>
        </w:rPr>
        <w:t xml:space="preserve"> </w:t>
      </w:r>
      <w:r>
        <w:rPr>
          <w:rFonts w:ascii="Times New Roman" w:hAnsi="Times New Roman"/>
          <w:b/>
        </w:rPr>
        <w:t>68</w:t>
      </w:r>
      <w:r>
        <w:rPr>
          <w:rFonts w:ascii="Times New Roman" w:hAnsi="Times New Roman"/>
        </w:rPr>
        <w:t xml:space="preserve"> (3): 277–294.</w:t>
      </w:r>
    </w:p>
    <w:p w14:paraId="0CA5A7B8"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A1FFA89" w14:textId="77777777" w:rsidR="002C6C5A" w:rsidRPr="00863882" w:rsidRDefault="002C6C5A" w:rsidP="002C6C5A">
      <w:pPr>
        <w:pStyle w:val="19"/>
        <w:widowControl w:val="0"/>
        <w:numPr>
          <w:ilvl w:val="0"/>
          <w:numId w:val="3"/>
        </w:numPr>
        <w:autoSpaceDE w:val="0"/>
        <w:autoSpaceDN w:val="0"/>
        <w:adjustRightInd w:val="0"/>
        <w:spacing w:after="240"/>
        <w:ind w:hanging="720"/>
        <w:jc w:val="both"/>
        <w:rPr>
          <w:rFonts w:ascii="Times New Roman" w:eastAsiaTheme="minorEastAsia" w:hAnsi="Times New Roman"/>
        </w:rPr>
      </w:pPr>
      <w:r>
        <w:rPr>
          <w:rFonts w:ascii="Times New Roman" w:eastAsia="Times New Roman" w:hAnsi="Times New Roman"/>
          <w:shd w:val="clear" w:color="auto" w:fill="FFFFFF"/>
        </w:rPr>
        <w:t xml:space="preserve">Mohammad, S.A., Chen, J.S., Robinson Jr, R.L., and Gasem, K.A. 2009. Generalized Simplified Local-Density/Peng−Robinson Model for Adsorption of Pure and Mixed Gases on Coals. </w:t>
      </w:r>
      <w:r>
        <w:rPr>
          <w:rFonts w:ascii="Times New Roman" w:eastAsia="Times New Roman" w:hAnsi="Times New Roman"/>
          <w:i/>
          <w:iCs/>
          <w:shd w:val="clear" w:color="auto" w:fill="FFFFFF"/>
        </w:rPr>
        <w:t>Energy &amp; Fuels</w:t>
      </w:r>
      <w:r>
        <w:rPr>
          <w:rFonts w:ascii="Times New Roman" w:eastAsia="Times New Roman" w:hAnsi="Times New Roman"/>
          <w:shd w:val="clear" w:color="auto" w:fill="FFFFFF"/>
        </w:rPr>
        <w:t> </w:t>
      </w:r>
      <w:r>
        <w:rPr>
          <w:rFonts w:ascii="Times New Roman" w:eastAsia="Times New Roman" w:hAnsi="Times New Roman"/>
          <w:b/>
          <w:shd w:val="clear" w:color="auto" w:fill="FFFFFF"/>
        </w:rPr>
        <w:t>23</w:t>
      </w:r>
      <w:r>
        <w:rPr>
          <w:rFonts w:ascii="Times New Roman" w:eastAsia="Times New Roman" w:hAnsi="Times New Roman"/>
          <w:shd w:val="clear" w:color="auto" w:fill="FFFFFF"/>
        </w:rPr>
        <w:t xml:space="preserve"> (12): 6259-6271.</w:t>
      </w:r>
    </w:p>
    <w:p w14:paraId="47DB388E" w14:textId="77777777" w:rsidR="002C6C5A" w:rsidRDefault="002C6C5A" w:rsidP="002C6C5A">
      <w:pPr>
        <w:pStyle w:val="19"/>
        <w:widowControl w:val="0"/>
        <w:autoSpaceDE w:val="0"/>
        <w:autoSpaceDN w:val="0"/>
        <w:adjustRightInd w:val="0"/>
        <w:spacing w:after="240"/>
        <w:ind w:left="0"/>
        <w:jc w:val="both"/>
        <w:rPr>
          <w:rFonts w:ascii="Times New Roman" w:eastAsiaTheme="minorEastAsia" w:hAnsi="Times New Roman"/>
        </w:rPr>
      </w:pPr>
    </w:p>
    <w:p w14:paraId="401570CF" w14:textId="77777777" w:rsidR="002C6C5A" w:rsidRPr="00772990" w:rsidRDefault="002C6C5A" w:rsidP="002C6C5A">
      <w:pPr>
        <w:pStyle w:val="19"/>
        <w:widowControl w:val="0"/>
        <w:numPr>
          <w:ilvl w:val="0"/>
          <w:numId w:val="3"/>
        </w:numPr>
        <w:autoSpaceDE w:val="0"/>
        <w:autoSpaceDN w:val="0"/>
        <w:adjustRightInd w:val="0"/>
        <w:spacing w:after="240"/>
        <w:ind w:hanging="720"/>
        <w:jc w:val="both"/>
        <w:rPr>
          <w:rFonts w:ascii="Times New Roman" w:eastAsiaTheme="minorEastAsia" w:hAnsi="Times New Roman"/>
        </w:rPr>
      </w:pPr>
      <w:r w:rsidRPr="00863882">
        <w:rPr>
          <w:rFonts w:ascii="Times New Roman" w:eastAsiaTheme="minorEastAsia" w:hAnsi="Times New Roman"/>
        </w:rPr>
        <w:t xml:space="preserve">Monson, P.A. 2005. Recent Progress in Molecular Modeling of Adsorption and Hysteresis in Mesoporous Materials. </w:t>
      </w:r>
      <w:r w:rsidRPr="00863882">
        <w:rPr>
          <w:rFonts w:ascii="Times New Roman" w:eastAsiaTheme="minorEastAsia" w:hAnsi="Times New Roman"/>
          <w:i/>
        </w:rPr>
        <w:t>Adsorption</w:t>
      </w:r>
      <w:r w:rsidRPr="00863882">
        <w:rPr>
          <w:rFonts w:ascii="Times New Roman" w:eastAsiaTheme="minorEastAsia" w:hAnsi="Times New Roman"/>
        </w:rPr>
        <w:t xml:space="preserve"> </w:t>
      </w:r>
      <w:r w:rsidRPr="00863882">
        <w:rPr>
          <w:rFonts w:ascii="Times New Roman" w:eastAsiaTheme="minorEastAsia" w:hAnsi="Times New Roman"/>
          <w:b/>
        </w:rPr>
        <w:t>11</w:t>
      </w:r>
      <w:r w:rsidRPr="00863882">
        <w:rPr>
          <w:rFonts w:ascii="Times New Roman" w:eastAsiaTheme="minorEastAsia" w:hAnsi="Times New Roman"/>
        </w:rPr>
        <w:t>: 29–35.</w:t>
      </w:r>
    </w:p>
    <w:p w14:paraId="11958B25" w14:textId="77777777" w:rsidR="002C6C5A" w:rsidRDefault="002C6C5A" w:rsidP="002C6C5A">
      <w:pPr>
        <w:pStyle w:val="19"/>
        <w:widowControl w:val="0"/>
        <w:autoSpaceDE w:val="0"/>
        <w:autoSpaceDN w:val="0"/>
        <w:adjustRightInd w:val="0"/>
        <w:spacing w:after="240"/>
        <w:ind w:left="0"/>
        <w:jc w:val="both"/>
        <w:rPr>
          <w:rFonts w:ascii="Times New Roman" w:eastAsiaTheme="minorEastAsia" w:hAnsi="Times New Roman"/>
        </w:rPr>
      </w:pPr>
    </w:p>
    <w:p w14:paraId="3107CB08"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heme="minorEastAsia" w:hAnsi="Times New Roman"/>
        </w:rPr>
      </w:pPr>
      <w:r w:rsidRPr="00772990">
        <w:rPr>
          <w:rFonts w:ascii="Times New Roman" w:eastAsiaTheme="minorEastAsia" w:hAnsi="Times New Roman"/>
        </w:rPr>
        <w:t xml:space="preserve">Mosher, </w:t>
      </w:r>
      <w:r>
        <w:rPr>
          <w:rFonts w:ascii="Times New Roman" w:eastAsiaTheme="minorEastAsia" w:hAnsi="Times New Roman"/>
        </w:rPr>
        <w:t xml:space="preserve">K., He, J., Liu, Y., Rupp, E., </w:t>
      </w:r>
      <w:r>
        <w:rPr>
          <w:rFonts w:ascii="Times New Roman" w:eastAsiaTheme="minorEastAsia" w:hAnsi="Times New Roman" w:hint="eastAsia"/>
          <w:lang w:eastAsia="zh-CN"/>
        </w:rPr>
        <w:t>and</w:t>
      </w:r>
      <w:r w:rsidRPr="00772990">
        <w:rPr>
          <w:rFonts w:ascii="Times New Roman" w:eastAsiaTheme="minorEastAsia" w:hAnsi="Times New Roman"/>
        </w:rPr>
        <w:t xml:space="preserve"> Wilcox, J. 2013. Molecular </w:t>
      </w:r>
      <w:r>
        <w:rPr>
          <w:rFonts w:ascii="Times New Roman" w:eastAsiaTheme="minorEastAsia" w:hAnsi="Times New Roman"/>
        </w:rPr>
        <w:t>Simulation of Methane Adsorption in Micro-a</w:t>
      </w:r>
      <w:r w:rsidRPr="00772990">
        <w:rPr>
          <w:rFonts w:ascii="Times New Roman" w:eastAsiaTheme="minorEastAsia" w:hAnsi="Times New Roman"/>
        </w:rPr>
        <w:t>nd Mesopo</w:t>
      </w:r>
      <w:r>
        <w:rPr>
          <w:rFonts w:ascii="Times New Roman" w:eastAsiaTheme="minorEastAsia" w:hAnsi="Times New Roman"/>
        </w:rPr>
        <w:t>rous Carbons with Applications to Coal a</w:t>
      </w:r>
      <w:r w:rsidRPr="00772990">
        <w:rPr>
          <w:rFonts w:ascii="Times New Roman" w:eastAsiaTheme="minorEastAsia" w:hAnsi="Times New Roman"/>
        </w:rPr>
        <w:t xml:space="preserve">nd Gas Shale Systems. </w:t>
      </w:r>
      <w:r w:rsidRPr="00772990">
        <w:rPr>
          <w:rFonts w:ascii="Times New Roman" w:eastAsiaTheme="minorEastAsia" w:hAnsi="Times New Roman"/>
          <w:i/>
        </w:rPr>
        <w:t>International Journal of Coal Geol</w:t>
      </w:r>
      <w:r>
        <w:rPr>
          <w:rFonts w:ascii="Times New Roman" w:eastAsiaTheme="minorEastAsia" w:hAnsi="Times New Roman"/>
        </w:rPr>
        <w:t xml:space="preserve">ogy </w:t>
      </w:r>
      <w:r w:rsidRPr="00772990">
        <w:rPr>
          <w:rFonts w:ascii="Times New Roman" w:eastAsiaTheme="minorEastAsia" w:hAnsi="Times New Roman"/>
          <w:b/>
        </w:rPr>
        <w:t>109</w:t>
      </w:r>
      <w:r>
        <w:rPr>
          <w:rFonts w:ascii="Times New Roman" w:eastAsiaTheme="minorEastAsia" w:hAnsi="Times New Roman"/>
        </w:rPr>
        <w:t xml:space="preserve">: </w:t>
      </w:r>
      <w:r w:rsidRPr="00772990">
        <w:rPr>
          <w:rFonts w:ascii="Times New Roman" w:eastAsiaTheme="minorEastAsia" w:hAnsi="Times New Roman"/>
        </w:rPr>
        <w:t>36-44.</w:t>
      </w:r>
    </w:p>
    <w:p w14:paraId="1304BB6A" w14:textId="77777777" w:rsidR="002C6C5A" w:rsidRDefault="002C6C5A" w:rsidP="002C6C5A">
      <w:pPr>
        <w:pStyle w:val="19"/>
        <w:widowControl w:val="0"/>
        <w:autoSpaceDE w:val="0"/>
        <w:autoSpaceDN w:val="0"/>
        <w:adjustRightInd w:val="0"/>
        <w:spacing w:after="240"/>
        <w:jc w:val="both"/>
        <w:rPr>
          <w:rFonts w:ascii="Times New Roman" w:eastAsiaTheme="minorEastAsia" w:hAnsi="Times New Roman"/>
        </w:rPr>
      </w:pPr>
    </w:p>
    <w:p w14:paraId="37968C4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eastAsia="Times New Roman" w:hAnsi="Times New Roman"/>
          <w:shd w:val="clear" w:color="auto" w:fill="FFFFFF"/>
        </w:rPr>
        <w:t xml:space="preserve">Neimark A.V., Ravikovitch P.I., and Vishnyakov A. 2003. Bridging Scales from Molecular Simulations to Classical Thermodynamics: Density Functional Theory of Capillary Condensation in Nanopores. </w:t>
      </w:r>
      <w:r>
        <w:rPr>
          <w:rFonts w:ascii="Times New Roman" w:eastAsia="Times New Roman" w:hAnsi="Times New Roman"/>
          <w:i/>
          <w:shd w:val="clear" w:color="auto" w:fill="FFFFFF"/>
        </w:rPr>
        <w:t>Journal of Physics: Condensed Matter</w:t>
      </w:r>
      <w:r>
        <w:rPr>
          <w:rFonts w:ascii="Times New Roman" w:eastAsia="Times New Roman" w:hAnsi="Times New Roman"/>
          <w:shd w:val="clear" w:color="auto" w:fill="FFFFFF"/>
        </w:rPr>
        <w:t xml:space="preserve"> </w:t>
      </w:r>
      <w:r>
        <w:rPr>
          <w:rFonts w:ascii="Times New Roman" w:eastAsia="Times New Roman" w:hAnsi="Times New Roman"/>
          <w:b/>
          <w:shd w:val="clear" w:color="auto" w:fill="FFFFFF"/>
        </w:rPr>
        <w:t xml:space="preserve">15 </w:t>
      </w:r>
      <w:r>
        <w:rPr>
          <w:rFonts w:ascii="Times New Roman" w:eastAsia="Times New Roman" w:hAnsi="Times New Roman"/>
          <w:shd w:val="clear" w:color="auto" w:fill="FFFFFF"/>
        </w:rPr>
        <w:t>(3): 347-365.</w:t>
      </w:r>
    </w:p>
    <w:p w14:paraId="258F5CAD" w14:textId="77777777" w:rsidR="002C6C5A" w:rsidRDefault="002C6C5A" w:rsidP="002C6C5A">
      <w:pPr>
        <w:pStyle w:val="19"/>
        <w:widowControl w:val="0"/>
        <w:autoSpaceDE w:val="0"/>
        <w:autoSpaceDN w:val="0"/>
        <w:adjustRightInd w:val="0"/>
        <w:spacing w:after="240"/>
        <w:jc w:val="both"/>
        <w:rPr>
          <w:rFonts w:ascii="Times New Roman" w:eastAsiaTheme="minorEastAsia" w:hAnsi="Times New Roman"/>
        </w:rPr>
      </w:pPr>
    </w:p>
    <w:p w14:paraId="07E3222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eastAsia="Times New Roman" w:hAnsi="Times New Roman"/>
          <w:shd w:val="clear" w:color="auto" w:fill="FFFFFF"/>
        </w:rPr>
        <w:t>Nghiem, L.X. 1983. A New Approach to Quasi-Newton Method with Application to Compositional Modeling. Paper SPE 12242 presented at the 1983 SPE Symposium on Reservoir Simulation, San Francisco, 16–18 November.</w:t>
      </w:r>
    </w:p>
    <w:p w14:paraId="2FA11831" w14:textId="77777777" w:rsidR="002C6C5A" w:rsidRDefault="002C6C5A" w:rsidP="002C6C5A">
      <w:pPr>
        <w:pStyle w:val="19"/>
        <w:widowControl w:val="0"/>
        <w:autoSpaceDE w:val="0"/>
        <w:autoSpaceDN w:val="0"/>
        <w:adjustRightInd w:val="0"/>
        <w:spacing w:after="240"/>
        <w:jc w:val="both"/>
        <w:rPr>
          <w:rFonts w:ascii="Times New Roman" w:eastAsia="Times New Roman" w:hAnsi="Times New Roman"/>
          <w:shd w:val="clear" w:color="auto" w:fill="FFFFFF"/>
        </w:rPr>
      </w:pPr>
    </w:p>
    <w:p w14:paraId="5229DF3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Nicholson, D. and Parsonage, N.G. 1982. Computer Simulation and the Statistical Mechanics of Adsorption. Academic press, New York.</w:t>
      </w:r>
    </w:p>
    <w:p w14:paraId="2B657C3A"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F5B93D6"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Nishiumi H., Arai T., and Takeuchi K. 1988. Generalization of the Binary Interaction Parameter of the Peng-Robinson Equation of State by Component Family. </w:t>
      </w:r>
      <w:r>
        <w:rPr>
          <w:rFonts w:ascii="Times New Roman" w:hAnsi="Times New Roman"/>
          <w:i/>
        </w:rPr>
        <w:t>Fluid Phase Equilibria</w:t>
      </w:r>
      <w:r>
        <w:rPr>
          <w:rFonts w:ascii="Times New Roman" w:hAnsi="Times New Roman"/>
        </w:rPr>
        <w:t xml:space="preserve"> </w:t>
      </w:r>
      <w:r>
        <w:rPr>
          <w:rFonts w:ascii="Times New Roman" w:hAnsi="Times New Roman"/>
          <w:b/>
        </w:rPr>
        <w:t>42</w:t>
      </w:r>
      <w:r>
        <w:rPr>
          <w:rFonts w:ascii="Times New Roman" w:hAnsi="Times New Roman"/>
        </w:rPr>
        <w:t>: 43-62.</w:t>
      </w:r>
    </w:p>
    <w:p w14:paraId="27435F9F"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527BBB3A" w14:textId="77777777" w:rsidR="002F4565" w:rsidRDefault="002F4565" w:rsidP="002C6C5A">
      <w:pPr>
        <w:pStyle w:val="19"/>
        <w:widowControl w:val="0"/>
        <w:autoSpaceDE w:val="0"/>
        <w:autoSpaceDN w:val="0"/>
        <w:adjustRightInd w:val="0"/>
        <w:spacing w:after="240"/>
        <w:ind w:left="0"/>
        <w:jc w:val="both"/>
        <w:rPr>
          <w:rFonts w:ascii="Times New Roman" w:hAnsi="Times New Roman"/>
        </w:rPr>
      </w:pPr>
    </w:p>
    <w:p w14:paraId="6FCA7CC1" w14:textId="77777777" w:rsidR="002F4565" w:rsidRDefault="002F4565" w:rsidP="002C6C5A">
      <w:pPr>
        <w:pStyle w:val="19"/>
        <w:widowControl w:val="0"/>
        <w:autoSpaceDE w:val="0"/>
        <w:autoSpaceDN w:val="0"/>
        <w:adjustRightInd w:val="0"/>
        <w:spacing w:after="240"/>
        <w:ind w:left="0"/>
        <w:jc w:val="both"/>
        <w:rPr>
          <w:rFonts w:ascii="Times New Roman" w:hAnsi="Times New Roman"/>
        </w:rPr>
      </w:pPr>
    </w:p>
    <w:p w14:paraId="5EB8195F"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AC3346">
        <w:rPr>
          <w:rFonts w:ascii="Times New Roman" w:hAnsi="Times New Roman"/>
        </w:rPr>
        <w:t>Nuttall, B.C., Eble, C.F., Drahovzal, J.A., Bustin, M. 2005. Analysis of Devonian Black Shales in Kentucky for Potential Carbon Dioxide Sequestration and Enhanced Natural Gas Production. Kentucky Geological Survey, University of Kentucky, Lexington, Kentucky.</w:t>
      </w:r>
    </w:p>
    <w:p w14:paraId="57B23DB5"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BF62DAE"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Panagiotopoulos, A.Z., and Reid, R.C. 1986. New Mixing Rule</w:t>
      </w:r>
      <w:r>
        <w:rPr>
          <w:rFonts w:ascii="Arial" w:hAnsi="Arial" w:cs="Arial"/>
          <w:sz w:val="26"/>
          <w:szCs w:val="26"/>
        </w:rPr>
        <w:t xml:space="preserve"> </w:t>
      </w:r>
      <w:r>
        <w:rPr>
          <w:rFonts w:ascii="Times New Roman" w:hAnsi="Times New Roman"/>
        </w:rPr>
        <w:t xml:space="preserve">for Cubic Equations of State for Highly Polar, Asymmetric Systems. </w:t>
      </w:r>
      <w:r w:rsidRPr="00CD7421">
        <w:rPr>
          <w:rFonts w:ascii="Times New Roman" w:hAnsi="Times New Roman"/>
          <w:i/>
        </w:rPr>
        <w:t>ACS Symposium Series</w:t>
      </w:r>
      <w:r>
        <w:rPr>
          <w:rFonts w:ascii="Times New Roman" w:hAnsi="Times New Roman"/>
        </w:rPr>
        <w:t xml:space="preserve"> </w:t>
      </w:r>
      <w:r>
        <w:rPr>
          <w:rFonts w:ascii="Times New Roman" w:hAnsi="Times New Roman"/>
          <w:b/>
        </w:rPr>
        <w:t>300</w:t>
      </w:r>
      <w:r>
        <w:rPr>
          <w:rFonts w:ascii="Times New Roman" w:hAnsi="Times New Roman"/>
        </w:rPr>
        <w:t xml:space="preserve"> (28): 571-582.</w:t>
      </w:r>
    </w:p>
    <w:p w14:paraId="5E435FC0"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9BD262F"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Peng, D.Y. and Robinson, D.B. 1976. A New Two-Constant Equation of State. </w:t>
      </w:r>
      <w:r>
        <w:rPr>
          <w:rFonts w:ascii="Times New Roman" w:hAnsi="Times New Roman"/>
          <w:i/>
        </w:rPr>
        <w:t>Industrial &amp; Engineering Chemistry Fundamentals</w:t>
      </w:r>
      <w:r>
        <w:rPr>
          <w:rFonts w:ascii="Times New Roman" w:hAnsi="Times New Roman"/>
        </w:rPr>
        <w:t xml:space="preserve"> </w:t>
      </w:r>
      <w:r>
        <w:rPr>
          <w:rFonts w:ascii="Times New Roman" w:hAnsi="Times New Roman"/>
          <w:b/>
        </w:rPr>
        <w:t>15</w:t>
      </w:r>
      <w:r>
        <w:rPr>
          <w:rFonts w:ascii="Times New Roman" w:hAnsi="Times New Roman"/>
        </w:rPr>
        <w:t xml:space="preserve"> (1): 59-64.</w:t>
      </w:r>
    </w:p>
    <w:p w14:paraId="486EC652"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CBB0B2F"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Petersen C.S. 1989. A Systematic and Consistent Approach to Determine Binary Interaction Coefficients for the Peng-Robinson Equation of State. </w:t>
      </w:r>
      <w:r>
        <w:rPr>
          <w:rFonts w:ascii="Times New Roman" w:hAnsi="Times New Roman"/>
          <w:i/>
        </w:rPr>
        <w:t>SPE Reservoir Engineering</w:t>
      </w:r>
      <w:r>
        <w:rPr>
          <w:rFonts w:ascii="Times New Roman" w:hAnsi="Times New Roman"/>
        </w:rPr>
        <w:t xml:space="preserve"> </w:t>
      </w:r>
      <w:r>
        <w:rPr>
          <w:rFonts w:ascii="Times New Roman" w:hAnsi="Times New Roman"/>
          <w:b/>
        </w:rPr>
        <w:t>4</w:t>
      </w:r>
      <w:r>
        <w:rPr>
          <w:rFonts w:ascii="Times New Roman" w:hAnsi="Times New Roman"/>
        </w:rPr>
        <w:t xml:space="preserve"> (04): 488-494.</w:t>
      </w:r>
    </w:p>
    <w:p w14:paraId="0EA8EA49"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0130AEB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Poling B.E., Prausnitz J.M., and O’Connell J.P. 2001. The Properties of Gases and Liquids. New York: McGraw-Hill.</w:t>
      </w:r>
    </w:p>
    <w:p w14:paraId="43AA6A4F"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BBD206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heme="minorEastAsia" w:hAnsi="Times New Roman"/>
        </w:rPr>
      </w:pPr>
      <w:r>
        <w:rPr>
          <w:rFonts w:ascii="Times New Roman" w:eastAsia="Times New Roman" w:hAnsi="Times New Roman"/>
          <w:shd w:val="clear" w:color="auto" w:fill="FFFFFF"/>
        </w:rPr>
        <w:t>Rangarajan, B., Lira, C.T., and Subramanian, R. 1995. Simplified Local Density Model for Adsorption Over Large Pressure Ranges. </w:t>
      </w:r>
      <w:r>
        <w:rPr>
          <w:rFonts w:ascii="Times New Roman" w:eastAsia="Times New Roman" w:hAnsi="Times New Roman"/>
          <w:i/>
          <w:iCs/>
          <w:shd w:val="clear" w:color="auto" w:fill="FFFFFF"/>
        </w:rPr>
        <w:t xml:space="preserve">AIChE Journal </w:t>
      </w:r>
      <w:r>
        <w:rPr>
          <w:rFonts w:ascii="Times New Roman" w:eastAsia="Times New Roman" w:hAnsi="Times New Roman"/>
          <w:b/>
          <w:shd w:val="clear" w:color="auto" w:fill="FFFFFF"/>
        </w:rPr>
        <w:t>41</w:t>
      </w:r>
      <w:r>
        <w:rPr>
          <w:rFonts w:ascii="Times New Roman" w:eastAsia="Times New Roman" w:hAnsi="Times New Roman"/>
          <w:shd w:val="clear" w:color="auto" w:fill="FFFFFF"/>
        </w:rPr>
        <w:t xml:space="preserve"> (4): 838-845.</w:t>
      </w:r>
    </w:p>
    <w:p w14:paraId="21911491" w14:textId="77777777" w:rsidR="002C6C5A" w:rsidRDefault="002C6C5A" w:rsidP="002C6C5A">
      <w:pPr>
        <w:pStyle w:val="19"/>
        <w:widowControl w:val="0"/>
        <w:autoSpaceDE w:val="0"/>
        <w:autoSpaceDN w:val="0"/>
        <w:adjustRightInd w:val="0"/>
        <w:spacing w:after="240"/>
        <w:jc w:val="both"/>
        <w:rPr>
          <w:rFonts w:ascii="Times New Roman" w:eastAsiaTheme="minorEastAsia" w:hAnsi="Times New Roman"/>
        </w:rPr>
      </w:pPr>
    </w:p>
    <w:p w14:paraId="55CECFF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eastAsia="Times New Roman" w:hAnsi="Times New Roman"/>
          <w:shd w:val="clear" w:color="auto" w:fill="FFFFFF"/>
        </w:rPr>
        <w:t xml:space="preserve">Redlich, O. and Kwong J.N.S. 1949. On the Thermodynamics of Solutions. V. an Equation of State. Fugacities of Gaseous Solutions. </w:t>
      </w:r>
      <w:r>
        <w:rPr>
          <w:rFonts w:ascii="Times New Roman" w:eastAsia="Times New Roman" w:hAnsi="Times New Roman"/>
          <w:i/>
          <w:shd w:val="clear" w:color="auto" w:fill="FFFFFF"/>
        </w:rPr>
        <w:t>Chemical Reviews</w:t>
      </w:r>
      <w:r>
        <w:rPr>
          <w:rFonts w:ascii="Times New Roman" w:eastAsia="Times New Roman" w:hAnsi="Times New Roman"/>
          <w:shd w:val="clear" w:color="auto" w:fill="FFFFFF"/>
        </w:rPr>
        <w:t xml:space="preserve"> </w:t>
      </w:r>
      <w:r>
        <w:rPr>
          <w:rFonts w:ascii="Times New Roman" w:eastAsia="Times New Roman" w:hAnsi="Times New Roman"/>
          <w:b/>
          <w:shd w:val="clear" w:color="auto" w:fill="FFFFFF"/>
        </w:rPr>
        <w:t>44</w:t>
      </w:r>
      <w:r>
        <w:rPr>
          <w:rFonts w:ascii="Times New Roman" w:eastAsia="Times New Roman" w:hAnsi="Times New Roman"/>
          <w:shd w:val="clear" w:color="auto" w:fill="FFFFFF"/>
        </w:rPr>
        <w:t xml:space="preserve"> (1): 233-244.</w:t>
      </w:r>
    </w:p>
    <w:p w14:paraId="7A0D605D" w14:textId="77777777" w:rsidR="002C6C5A" w:rsidRDefault="002C6C5A" w:rsidP="002C6C5A">
      <w:pPr>
        <w:pStyle w:val="19"/>
        <w:widowControl w:val="0"/>
        <w:autoSpaceDE w:val="0"/>
        <w:autoSpaceDN w:val="0"/>
        <w:adjustRightInd w:val="0"/>
        <w:spacing w:after="240"/>
        <w:ind w:left="0"/>
        <w:jc w:val="both"/>
        <w:rPr>
          <w:rFonts w:ascii="Times New Roman" w:eastAsia="Times New Roman" w:hAnsi="Times New Roman"/>
          <w:shd w:val="clear" w:color="auto" w:fill="FFFFFF"/>
        </w:rPr>
      </w:pPr>
    </w:p>
    <w:p w14:paraId="6E36D8FA"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sidRPr="00772990">
        <w:rPr>
          <w:rFonts w:ascii="Times New Roman" w:eastAsia="Times New Roman" w:hAnsi="Times New Roman"/>
          <w:shd w:val="clear" w:color="auto" w:fill="FFFFFF"/>
        </w:rPr>
        <w:t xml:space="preserve">Rine, J. M., Dorsey, W., Floyd, M., </w:t>
      </w:r>
      <w:r>
        <w:rPr>
          <w:rFonts w:ascii="Times New Roman" w:eastAsia="Times New Roman" w:hAnsi="Times New Roman" w:hint="eastAsia"/>
          <w:shd w:val="clear" w:color="auto" w:fill="FFFFFF"/>
          <w:lang w:eastAsia="zh-CN"/>
        </w:rPr>
        <w:t xml:space="preserve">and </w:t>
      </w:r>
      <w:r>
        <w:rPr>
          <w:rFonts w:ascii="Times New Roman" w:eastAsia="Times New Roman" w:hAnsi="Times New Roman"/>
          <w:shd w:val="clear" w:color="auto" w:fill="FFFFFF"/>
        </w:rPr>
        <w:t xml:space="preserve">Lasswell, P. </w:t>
      </w:r>
      <w:r w:rsidRPr="00772990">
        <w:rPr>
          <w:rFonts w:ascii="Times New Roman" w:eastAsia="Times New Roman" w:hAnsi="Times New Roman"/>
          <w:shd w:val="clear" w:color="auto" w:fill="FFFFFF"/>
        </w:rPr>
        <w:t>2011. Comparative SEM Study of Pore Types and Porosity Distribution in High to Low Porosity Samples from Selected Gas-Shale Formations.</w:t>
      </w:r>
    </w:p>
    <w:p w14:paraId="492EDF23" w14:textId="77777777" w:rsidR="002C6C5A" w:rsidRDefault="002C6C5A" w:rsidP="002C6C5A">
      <w:pPr>
        <w:pStyle w:val="19"/>
        <w:widowControl w:val="0"/>
        <w:autoSpaceDE w:val="0"/>
        <w:autoSpaceDN w:val="0"/>
        <w:adjustRightInd w:val="0"/>
        <w:spacing w:after="240"/>
        <w:jc w:val="both"/>
        <w:rPr>
          <w:rFonts w:ascii="Times New Roman" w:eastAsiaTheme="minorEastAsia" w:hAnsi="Times New Roman"/>
        </w:rPr>
      </w:pPr>
    </w:p>
    <w:p w14:paraId="26332658"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eastAsia="Times New Roman" w:hAnsi="Times New Roman"/>
          <w:shd w:val="clear" w:color="auto" w:fill="FFFFFF"/>
        </w:rPr>
        <w:t>Sage, B.H. and Lacey, W.N. 1950. Thermodynamic Properties of the Lighter Paraffin Hydrocarbons and Nitrogen. Monograph on API Research Project 37, API, New York.</w:t>
      </w:r>
    </w:p>
    <w:p w14:paraId="1352D5A3" w14:textId="77777777" w:rsidR="002C6C5A" w:rsidRDefault="002C6C5A" w:rsidP="002C6C5A">
      <w:pPr>
        <w:pStyle w:val="19"/>
        <w:widowControl w:val="0"/>
        <w:autoSpaceDE w:val="0"/>
        <w:autoSpaceDN w:val="0"/>
        <w:adjustRightInd w:val="0"/>
        <w:spacing w:after="240"/>
        <w:jc w:val="both"/>
        <w:rPr>
          <w:rFonts w:ascii="Times New Roman" w:eastAsia="Times New Roman" w:hAnsi="Times New Roman"/>
          <w:shd w:val="clear" w:color="auto" w:fill="FFFFFF"/>
        </w:rPr>
      </w:pPr>
    </w:p>
    <w:p w14:paraId="6BDA959F"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hAnsi="Times New Roman"/>
        </w:rPr>
        <w:t>Sapmanee, K. 2011. Effects of Pore Proximity on Behavior and Production Prediction of Gas/Condensate. MS Thesis, The University of Oklahoma, Norman, Oklahoma.</w:t>
      </w:r>
    </w:p>
    <w:p w14:paraId="3BAAD293" w14:textId="77777777" w:rsidR="002C6C5A" w:rsidRDefault="002C6C5A" w:rsidP="002C6C5A">
      <w:pPr>
        <w:pStyle w:val="19"/>
        <w:widowControl w:val="0"/>
        <w:autoSpaceDE w:val="0"/>
        <w:autoSpaceDN w:val="0"/>
        <w:adjustRightInd w:val="0"/>
        <w:spacing w:after="240"/>
        <w:jc w:val="both"/>
        <w:rPr>
          <w:rFonts w:ascii="Times New Roman" w:eastAsia="Times New Roman" w:hAnsi="Times New Roman"/>
          <w:shd w:val="clear" w:color="auto" w:fill="FFFFFF"/>
        </w:rPr>
      </w:pPr>
    </w:p>
    <w:p w14:paraId="235D14C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eastAsia="Times New Roman" w:hAnsi="Times New Roman"/>
          <w:shd w:val="clear" w:color="auto" w:fill="FFFFFF"/>
        </w:rPr>
      </w:pPr>
      <w:r>
        <w:rPr>
          <w:rFonts w:ascii="Times New Roman" w:eastAsia="Times New Roman" w:hAnsi="Times New Roman"/>
          <w:shd w:val="clear" w:color="auto" w:fill="FFFFFF"/>
        </w:rPr>
        <w:t xml:space="preserve">Schmidt G. and Wenzel H. 1980. A Modified van der Waals Type Equation of State. </w:t>
      </w:r>
      <w:r>
        <w:rPr>
          <w:rFonts w:ascii="Times New Roman" w:eastAsia="Times New Roman" w:hAnsi="Times New Roman"/>
          <w:i/>
          <w:shd w:val="clear" w:color="auto" w:fill="FFFFFF"/>
        </w:rPr>
        <w:t>Chemical Engineering Science</w:t>
      </w:r>
      <w:r>
        <w:rPr>
          <w:rFonts w:ascii="Times New Roman" w:eastAsia="Times New Roman" w:hAnsi="Times New Roman"/>
          <w:shd w:val="clear" w:color="auto" w:fill="FFFFFF"/>
        </w:rPr>
        <w:t xml:space="preserve"> </w:t>
      </w:r>
      <w:r>
        <w:rPr>
          <w:rFonts w:ascii="Times New Roman" w:eastAsia="Times New Roman" w:hAnsi="Times New Roman"/>
          <w:b/>
          <w:shd w:val="clear" w:color="auto" w:fill="FFFFFF"/>
        </w:rPr>
        <w:t xml:space="preserve">35 </w:t>
      </w:r>
      <w:r>
        <w:rPr>
          <w:rFonts w:ascii="Times New Roman" w:eastAsia="Times New Roman" w:hAnsi="Times New Roman"/>
          <w:shd w:val="clear" w:color="auto" w:fill="FFFFFF"/>
        </w:rPr>
        <w:t>(7): 1503-1512.</w:t>
      </w:r>
    </w:p>
    <w:p w14:paraId="44F261FE" w14:textId="77777777" w:rsidR="002C6C5A" w:rsidRDefault="002C6C5A" w:rsidP="002C6C5A">
      <w:pPr>
        <w:pStyle w:val="19"/>
        <w:widowControl w:val="0"/>
        <w:autoSpaceDE w:val="0"/>
        <w:autoSpaceDN w:val="0"/>
        <w:adjustRightInd w:val="0"/>
        <w:spacing w:after="240"/>
        <w:jc w:val="both"/>
        <w:rPr>
          <w:rFonts w:ascii="Times New Roman" w:eastAsia="Times New Roman" w:hAnsi="Times New Roman"/>
          <w:shd w:val="clear" w:color="auto" w:fill="FFFFFF"/>
        </w:rPr>
      </w:pPr>
    </w:p>
    <w:p w14:paraId="21A62F5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Schoen, M. and Diestler, D.J. 1998. Analytical Treatment of a Simple Fluid Adsorbed in a Slit-Pore. </w:t>
      </w:r>
      <w:r>
        <w:rPr>
          <w:rFonts w:ascii="Times New Roman" w:hAnsi="Times New Roman"/>
          <w:i/>
        </w:rPr>
        <w:t>Journal of Chemical Physics</w:t>
      </w:r>
      <w:r>
        <w:rPr>
          <w:rFonts w:ascii="Times New Roman" w:hAnsi="Times New Roman"/>
        </w:rPr>
        <w:t xml:space="preserve"> </w:t>
      </w:r>
      <w:r>
        <w:rPr>
          <w:rFonts w:ascii="Times New Roman" w:hAnsi="Times New Roman"/>
          <w:b/>
        </w:rPr>
        <w:t>109</w:t>
      </w:r>
      <w:r>
        <w:rPr>
          <w:rFonts w:ascii="Times New Roman" w:hAnsi="Times New Roman"/>
        </w:rPr>
        <w:t xml:space="preserve"> (13): 5596-5606.</w:t>
      </w:r>
    </w:p>
    <w:p w14:paraId="7F7386FA"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620EC67" w14:textId="77777777" w:rsidR="002F4565" w:rsidRDefault="002F4565" w:rsidP="002C6C5A">
      <w:pPr>
        <w:pStyle w:val="19"/>
        <w:widowControl w:val="0"/>
        <w:autoSpaceDE w:val="0"/>
        <w:autoSpaceDN w:val="0"/>
        <w:adjustRightInd w:val="0"/>
        <w:spacing w:after="240"/>
        <w:jc w:val="both"/>
        <w:rPr>
          <w:rFonts w:ascii="Times New Roman" w:hAnsi="Times New Roman"/>
        </w:rPr>
      </w:pPr>
    </w:p>
    <w:p w14:paraId="0E0E2B9F"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Schulze, W. 1993. A Simple Generalization of the Binary Temperature-Dependent Interaction Parameters in the Soave-Redlich-Kwong and Peng-Robinson Equations of State for Helium-Mixtures. </w:t>
      </w:r>
      <w:r>
        <w:rPr>
          <w:rFonts w:ascii="Times New Roman" w:hAnsi="Times New Roman"/>
          <w:i/>
        </w:rPr>
        <w:t>Fluid phase equilibria</w:t>
      </w:r>
      <w:r>
        <w:rPr>
          <w:rFonts w:ascii="Times New Roman" w:hAnsi="Times New Roman"/>
        </w:rPr>
        <w:t xml:space="preserve"> </w:t>
      </w:r>
      <w:r>
        <w:rPr>
          <w:rFonts w:ascii="Times New Roman" w:hAnsi="Times New Roman"/>
          <w:b/>
        </w:rPr>
        <w:t>87</w:t>
      </w:r>
      <w:r>
        <w:rPr>
          <w:rFonts w:ascii="Times New Roman" w:hAnsi="Times New Roman"/>
        </w:rPr>
        <w:t xml:space="preserve"> (2): 199-211.</w:t>
      </w:r>
    </w:p>
    <w:p w14:paraId="50AC1D8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75F652D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C94762">
        <w:rPr>
          <w:rFonts w:ascii="Times New Roman" w:hAnsi="Times New Roman"/>
        </w:rPr>
        <w:t>Sedghi, M., Piri, M.</w:t>
      </w:r>
      <w:r>
        <w:rPr>
          <w:rFonts w:ascii="Times New Roman" w:hAnsi="Times New Roman" w:hint="eastAsia"/>
          <w:lang w:eastAsia="zh-CN"/>
        </w:rPr>
        <w:t>,</w:t>
      </w:r>
      <w:r w:rsidRPr="00C94762">
        <w:rPr>
          <w:rFonts w:ascii="Times New Roman" w:hAnsi="Times New Roman"/>
        </w:rPr>
        <w:t xml:space="preserve"> and Go</w:t>
      </w:r>
      <w:r>
        <w:rPr>
          <w:rFonts w:ascii="Times New Roman" w:hAnsi="Times New Roman"/>
        </w:rPr>
        <w:t>ual, L.</w:t>
      </w:r>
      <w:r w:rsidRPr="00C94762">
        <w:rPr>
          <w:rFonts w:ascii="Times New Roman" w:hAnsi="Times New Roman"/>
        </w:rPr>
        <w:t xml:space="preserve"> 2016. Atomistic </w:t>
      </w:r>
      <w:r>
        <w:rPr>
          <w:rFonts w:ascii="Times New Roman" w:hAnsi="Times New Roman"/>
        </w:rPr>
        <w:t>Molecular Dynamics Simulations o</w:t>
      </w:r>
      <w:r w:rsidRPr="00C94762">
        <w:rPr>
          <w:rFonts w:ascii="Times New Roman" w:hAnsi="Times New Roman"/>
        </w:rPr>
        <w:t>f Crude Oil/Brine Displacement</w:t>
      </w:r>
      <w:r>
        <w:rPr>
          <w:rFonts w:ascii="Times New Roman" w:hAnsi="Times New Roman"/>
        </w:rPr>
        <w:t xml:space="preserve"> in Calcite Mesopores. </w:t>
      </w:r>
      <w:r w:rsidRPr="00C94762">
        <w:rPr>
          <w:rFonts w:ascii="Times New Roman" w:hAnsi="Times New Roman"/>
          <w:i/>
        </w:rPr>
        <w:t>Langmuir</w:t>
      </w:r>
      <w:r w:rsidRPr="00C94762">
        <w:rPr>
          <w:rFonts w:ascii="Times New Roman" w:hAnsi="Times New Roman"/>
        </w:rPr>
        <w:t xml:space="preserve"> </w:t>
      </w:r>
      <w:r w:rsidRPr="00C94762">
        <w:rPr>
          <w:rFonts w:ascii="Times New Roman" w:hAnsi="Times New Roman"/>
          <w:b/>
        </w:rPr>
        <w:t>32</w:t>
      </w:r>
      <w:r>
        <w:rPr>
          <w:rFonts w:ascii="Times New Roman" w:hAnsi="Times New Roman" w:hint="eastAsia"/>
          <w:lang w:eastAsia="zh-CN"/>
        </w:rPr>
        <w:t xml:space="preserve"> </w:t>
      </w:r>
      <w:r>
        <w:rPr>
          <w:rFonts w:ascii="Times New Roman" w:hAnsi="Times New Roman"/>
        </w:rPr>
        <w:t xml:space="preserve">(14): </w:t>
      </w:r>
      <w:r w:rsidRPr="00C94762">
        <w:rPr>
          <w:rFonts w:ascii="Times New Roman" w:hAnsi="Times New Roman"/>
        </w:rPr>
        <w:t>3375-3384.</w:t>
      </w:r>
    </w:p>
    <w:p w14:paraId="05D4A075"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91C4B58"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Severson, B.L. and Snurr, R.Q. 2007. Monte Carlo Simulation of n-alkane Adsorption Isotherms in Carbon Slit Pores. </w:t>
      </w:r>
      <w:r>
        <w:rPr>
          <w:rFonts w:ascii="Times New Roman" w:hAnsi="Times New Roman"/>
          <w:i/>
        </w:rPr>
        <w:t>Journal of Chemical Physics</w:t>
      </w:r>
      <w:r>
        <w:rPr>
          <w:rFonts w:ascii="Times New Roman" w:hAnsi="Times New Roman"/>
        </w:rPr>
        <w:t xml:space="preserve"> </w:t>
      </w:r>
      <w:r>
        <w:rPr>
          <w:rFonts w:ascii="Times New Roman" w:hAnsi="Times New Roman"/>
          <w:b/>
        </w:rPr>
        <w:t>126</w:t>
      </w:r>
      <w:r>
        <w:rPr>
          <w:rFonts w:ascii="Times New Roman" w:hAnsi="Times New Roman"/>
        </w:rPr>
        <w:t xml:space="preserve"> (13): 134708-1-134708-7.</w:t>
      </w:r>
    </w:p>
    <w:p w14:paraId="5D835A90"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1336403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Shapiro, A.A. and Stenby, E.H.</w:t>
      </w:r>
      <w:r w:rsidRPr="00772990">
        <w:rPr>
          <w:rFonts w:ascii="Times New Roman" w:hAnsi="Times New Roman"/>
        </w:rPr>
        <w:t xml:space="preserve"> 1996. Effects of Capillary Forces and Adsorption on Reserves Distribution, SPE 36922 presented at the 1996 SPE European Petroleum Conference held in Milan, Itaty, 22 – 24 October.</w:t>
      </w:r>
    </w:p>
    <w:p w14:paraId="234A927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EE29FB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Sigmund, P.M., Dranckhuk, P.M., Morrow, N.R., and Purvis, R.A. 1973. Retrograde Condensation in Porous Media. </w:t>
      </w:r>
      <w:r>
        <w:rPr>
          <w:rFonts w:ascii="Times New Roman" w:hAnsi="Times New Roman"/>
          <w:i/>
        </w:rPr>
        <w:t>SPE Journal</w:t>
      </w:r>
      <w:r>
        <w:rPr>
          <w:rFonts w:ascii="Times New Roman" w:hAnsi="Times New Roman"/>
        </w:rPr>
        <w:t xml:space="preserve"> </w:t>
      </w:r>
      <w:r>
        <w:rPr>
          <w:rFonts w:ascii="Times New Roman" w:hAnsi="Times New Roman"/>
          <w:b/>
        </w:rPr>
        <w:t>12</w:t>
      </w:r>
      <w:r>
        <w:rPr>
          <w:rFonts w:ascii="Times New Roman" w:hAnsi="Times New Roman"/>
        </w:rPr>
        <w:t xml:space="preserve"> (02): 93-104.</w:t>
      </w:r>
    </w:p>
    <w:p w14:paraId="57156B25"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6BBC5177"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Singh, S.K., Sinha, A., Deo, G.</w:t>
      </w:r>
      <w:r>
        <w:rPr>
          <w:rFonts w:ascii="Times New Roman" w:hAnsi="Times New Roman" w:hint="eastAsia"/>
          <w:lang w:eastAsia="zh-CN"/>
        </w:rPr>
        <w:t>,</w:t>
      </w:r>
      <w:r>
        <w:rPr>
          <w:rFonts w:ascii="Times New Roman" w:hAnsi="Times New Roman"/>
        </w:rPr>
        <w:t xml:space="preserve"> and Singh, J.K. 2009. Vapor-Liquid Phase Coexistence, Critical Properties, and Surface Tension of Confined Alkanes. </w:t>
      </w:r>
      <w:r>
        <w:rPr>
          <w:rFonts w:ascii="Times New Roman" w:hAnsi="Times New Roman"/>
          <w:i/>
        </w:rPr>
        <w:t>Journal of Physical Chemistry C</w:t>
      </w:r>
      <w:r>
        <w:rPr>
          <w:rFonts w:ascii="Times New Roman" w:hAnsi="Times New Roman"/>
        </w:rPr>
        <w:t xml:space="preserve"> </w:t>
      </w:r>
      <w:r>
        <w:rPr>
          <w:rFonts w:ascii="Times New Roman" w:hAnsi="Times New Roman"/>
          <w:b/>
        </w:rPr>
        <w:t>113</w:t>
      </w:r>
      <w:r>
        <w:rPr>
          <w:rFonts w:ascii="Times New Roman" w:hAnsi="Times New Roman"/>
        </w:rPr>
        <w:t xml:space="preserve"> (17): 7170–7180.</w:t>
      </w:r>
    </w:p>
    <w:p w14:paraId="328E3911"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15301E51"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Soave, G. 1972. Equilibrium Constants from a Modified Redlich-Kwong Equation of State. </w:t>
      </w:r>
      <w:r>
        <w:rPr>
          <w:rFonts w:ascii="Times New Roman" w:hAnsi="Times New Roman"/>
          <w:i/>
        </w:rPr>
        <w:t>Chemical Engineering Sci</w:t>
      </w:r>
      <w:r>
        <w:rPr>
          <w:rFonts w:ascii="Times New Roman" w:hAnsi="Times New Roman"/>
        </w:rPr>
        <w:t xml:space="preserve">ence </w:t>
      </w:r>
      <w:r>
        <w:rPr>
          <w:rFonts w:ascii="Times New Roman" w:hAnsi="Times New Roman"/>
          <w:b/>
        </w:rPr>
        <w:t>27</w:t>
      </w:r>
      <w:r>
        <w:rPr>
          <w:rFonts w:ascii="Times New Roman" w:hAnsi="Times New Roman"/>
        </w:rPr>
        <w:t xml:space="preserve"> (6): 1197-1203.</w:t>
      </w:r>
    </w:p>
    <w:p w14:paraId="7207B46F"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2CA1EA3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Stryjek, R. and Vera, J.H. 1986. PRSV: An Improved Peng-Robinson Equation of State for Pure Compounds and Mixtures. </w:t>
      </w:r>
      <w:r>
        <w:rPr>
          <w:rFonts w:ascii="Times New Roman" w:hAnsi="Times New Roman"/>
          <w:i/>
        </w:rPr>
        <w:t>Canadian Journal of Chemical Engineering</w:t>
      </w:r>
      <w:r>
        <w:rPr>
          <w:rFonts w:ascii="Times New Roman" w:hAnsi="Times New Roman"/>
        </w:rPr>
        <w:t xml:space="preserve"> </w:t>
      </w:r>
      <w:r>
        <w:rPr>
          <w:rFonts w:ascii="Times New Roman" w:hAnsi="Times New Roman"/>
          <w:b/>
        </w:rPr>
        <w:t>64</w:t>
      </w:r>
      <w:r>
        <w:rPr>
          <w:rFonts w:ascii="Times New Roman" w:hAnsi="Times New Roman"/>
        </w:rPr>
        <w:t xml:space="preserve"> (2): 323-333.</w:t>
      </w:r>
    </w:p>
    <w:p w14:paraId="5AA2ABA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DA0DD12"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Tan, S.P. and Piri, M. 2015</w:t>
      </w:r>
      <w:r w:rsidRPr="00775E8A">
        <w:rPr>
          <w:rFonts w:ascii="Times New Roman" w:hAnsi="Times New Roman"/>
        </w:rPr>
        <w:t xml:space="preserve">. Equation-of-State Modeling of Confined-Fluid Phase Equilibria in Nanopores. </w:t>
      </w:r>
      <w:r w:rsidRPr="00775E8A">
        <w:rPr>
          <w:rFonts w:ascii="Times New Roman" w:hAnsi="Times New Roman"/>
          <w:i/>
        </w:rPr>
        <w:t>Fluid Phase Equilibria</w:t>
      </w:r>
      <w:r w:rsidRPr="00775E8A">
        <w:rPr>
          <w:rFonts w:ascii="Times New Roman" w:hAnsi="Times New Roman"/>
        </w:rPr>
        <w:t xml:space="preserve"> </w:t>
      </w:r>
      <w:r w:rsidRPr="005E211D">
        <w:rPr>
          <w:rFonts w:ascii="Times New Roman" w:hAnsi="Times New Roman"/>
          <w:b/>
        </w:rPr>
        <w:t>393</w:t>
      </w:r>
      <w:r w:rsidRPr="00775E8A">
        <w:rPr>
          <w:rFonts w:ascii="Times New Roman" w:hAnsi="Times New Roman"/>
        </w:rPr>
        <w:t>: 48-63.</w:t>
      </w:r>
    </w:p>
    <w:p w14:paraId="0F4DD17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376A42A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863882">
        <w:rPr>
          <w:rFonts w:ascii="Times New Roman" w:hAnsi="Times New Roman"/>
        </w:rPr>
        <w:t xml:space="preserve">Tarazona, P., Marini Bettolo Marconi, U., and Evans, R. 1987. Phase Equilibria of Fluid Interfaces and Confined Fluids Non-Local Versus Local Density Functional. </w:t>
      </w:r>
      <w:r w:rsidRPr="00863882">
        <w:rPr>
          <w:rFonts w:ascii="Times New Roman" w:hAnsi="Times New Roman"/>
          <w:i/>
        </w:rPr>
        <w:t>Molecular Physics</w:t>
      </w:r>
      <w:r w:rsidRPr="00863882">
        <w:rPr>
          <w:rFonts w:ascii="Times New Roman" w:hAnsi="Times New Roman"/>
        </w:rPr>
        <w:t xml:space="preserve"> </w:t>
      </w:r>
      <w:r w:rsidRPr="00863882">
        <w:rPr>
          <w:rFonts w:ascii="Times New Roman" w:hAnsi="Times New Roman"/>
          <w:b/>
        </w:rPr>
        <w:t>60</w:t>
      </w:r>
      <w:r w:rsidRPr="00863882">
        <w:rPr>
          <w:rFonts w:ascii="Times New Roman" w:hAnsi="Times New Roman"/>
        </w:rPr>
        <w:t xml:space="preserve"> (3): 573-595.</w:t>
      </w:r>
    </w:p>
    <w:p w14:paraId="028B30B9"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0D8E3F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Thommes, M. and Findenegg G.H. 1994. Pore Condensation and Critical-Point Shift of a Fluid in Controlled-Pore Glass. </w:t>
      </w:r>
      <w:r>
        <w:rPr>
          <w:rFonts w:ascii="Times New Roman" w:hAnsi="Times New Roman"/>
          <w:i/>
        </w:rPr>
        <w:t>Langmuir</w:t>
      </w:r>
      <w:r>
        <w:rPr>
          <w:rFonts w:ascii="Times New Roman" w:hAnsi="Times New Roman"/>
        </w:rPr>
        <w:t xml:space="preserve"> </w:t>
      </w:r>
      <w:r>
        <w:rPr>
          <w:rFonts w:ascii="Times New Roman" w:hAnsi="Times New Roman"/>
          <w:b/>
        </w:rPr>
        <w:t>10</w:t>
      </w:r>
      <w:r>
        <w:rPr>
          <w:rFonts w:ascii="Times New Roman" w:hAnsi="Times New Roman"/>
        </w:rPr>
        <w:t xml:space="preserve"> (11): 4270-4277.</w:t>
      </w:r>
    </w:p>
    <w:p w14:paraId="0BADCAB5"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5463BA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863882">
        <w:rPr>
          <w:rFonts w:ascii="Times New Roman" w:hAnsi="Times New Roman"/>
        </w:rPr>
        <w:t>Thommes, M., Kaneko, K., Neimark, A.V., Olivier, J.P., Rodriguez-Reinoso, F</w:t>
      </w:r>
      <w:r>
        <w:rPr>
          <w:rFonts w:ascii="Times New Roman" w:hAnsi="Times New Roman"/>
        </w:rPr>
        <w:t>., Rouquerol, J.</w:t>
      </w:r>
      <w:r>
        <w:rPr>
          <w:rFonts w:ascii="Times New Roman" w:hAnsi="Times New Roman" w:hint="eastAsia"/>
          <w:lang w:eastAsia="zh-CN"/>
        </w:rPr>
        <w:t>,</w:t>
      </w:r>
      <w:r>
        <w:rPr>
          <w:rFonts w:ascii="Times New Roman" w:hAnsi="Times New Roman"/>
        </w:rPr>
        <w:t xml:space="preserve"> and Sing, K.S.</w:t>
      </w:r>
      <w:r w:rsidRPr="00863882">
        <w:rPr>
          <w:rFonts w:ascii="Times New Roman" w:hAnsi="Times New Roman"/>
        </w:rPr>
        <w:t xml:space="preserve"> 2015. Physisorption Of</w:t>
      </w:r>
      <w:r>
        <w:rPr>
          <w:rFonts w:ascii="Times New Roman" w:hAnsi="Times New Roman"/>
        </w:rPr>
        <w:t xml:space="preserve"> Gases, with Special Reference </w:t>
      </w:r>
      <w:r>
        <w:rPr>
          <w:rFonts w:ascii="Times New Roman" w:hAnsi="Times New Roman" w:hint="eastAsia"/>
          <w:lang w:eastAsia="zh-CN"/>
        </w:rPr>
        <w:t>t</w:t>
      </w:r>
      <w:r>
        <w:rPr>
          <w:rFonts w:ascii="Times New Roman" w:hAnsi="Times New Roman"/>
        </w:rPr>
        <w:t>o the Evaluation of Surface Area a</w:t>
      </w:r>
      <w:r w:rsidRPr="00863882">
        <w:rPr>
          <w:rFonts w:ascii="Times New Roman" w:hAnsi="Times New Roman"/>
        </w:rPr>
        <w:t xml:space="preserve">nd Pore Size Distribution. </w:t>
      </w:r>
      <w:r w:rsidRPr="00863882">
        <w:rPr>
          <w:rFonts w:ascii="Times New Roman" w:hAnsi="Times New Roman"/>
          <w:i/>
        </w:rPr>
        <w:t>Pure and Applied Chemistr</w:t>
      </w:r>
      <w:r>
        <w:rPr>
          <w:rFonts w:ascii="Times New Roman" w:hAnsi="Times New Roman"/>
        </w:rPr>
        <w:t xml:space="preserve">y </w:t>
      </w:r>
      <w:r w:rsidRPr="00863882">
        <w:rPr>
          <w:rFonts w:ascii="Times New Roman" w:hAnsi="Times New Roman"/>
          <w:b/>
        </w:rPr>
        <w:t>87</w:t>
      </w:r>
      <w:r>
        <w:rPr>
          <w:rFonts w:ascii="Times New Roman" w:hAnsi="Times New Roman" w:hint="eastAsia"/>
          <w:lang w:eastAsia="zh-CN"/>
        </w:rPr>
        <w:t xml:space="preserve"> </w:t>
      </w:r>
      <w:r>
        <w:rPr>
          <w:rFonts w:ascii="Times New Roman" w:hAnsi="Times New Roman"/>
        </w:rPr>
        <w:t xml:space="preserve">(9-10): </w:t>
      </w:r>
      <w:r w:rsidRPr="00863882">
        <w:rPr>
          <w:rFonts w:ascii="Times New Roman" w:hAnsi="Times New Roman"/>
        </w:rPr>
        <w:t>1051-1069.</w:t>
      </w:r>
    </w:p>
    <w:p w14:paraId="126C1EFD" w14:textId="77777777" w:rsidR="002C6C5A" w:rsidRPr="00863882" w:rsidRDefault="002C6C5A" w:rsidP="002C6C5A">
      <w:pPr>
        <w:pStyle w:val="19"/>
        <w:widowControl w:val="0"/>
        <w:autoSpaceDE w:val="0"/>
        <w:autoSpaceDN w:val="0"/>
        <w:adjustRightInd w:val="0"/>
        <w:spacing w:after="240"/>
        <w:ind w:left="0"/>
        <w:jc w:val="both"/>
        <w:rPr>
          <w:rFonts w:ascii="Times New Roman" w:hAnsi="Times New Roman"/>
        </w:rPr>
      </w:pPr>
    </w:p>
    <w:p w14:paraId="58ED79C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Thomson, W. 1872</w:t>
      </w:r>
      <w:r w:rsidRPr="00863882">
        <w:rPr>
          <w:rFonts w:ascii="Times New Roman" w:hAnsi="Times New Roman"/>
        </w:rPr>
        <w:t xml:space="preserve">. </w:t>
      </w:r>
      <w:r>
        <w:rPr>
          <w:rFonts w:ascii="Times New Roman" w:hAnsi="Times New Roman" w:hint="eastAsia"/>
          <w:lang w:eastAsia="zh-CN"/>
        </w:rPr>
        <w:t xml:space="preserve">4. </w:t>
      </w:r>
      <w:r w:rsidRPr="00863882">
        <w:rPr>
          <w:rFonts w:ascii="Times New Roman" w:hAnsi="Times New Roman"/>
        </w:rPr>
        <w:t xml:space="preserve">On the </w:t>
      </w:r>
      <w:r>
        <w:rPr>
          <w:rFonts w:ascii="Times New Roman" w:hAnsi="Times New Roman"/>
        </w:rPr>
        <w:t>Equilibrium of Vapor at a Curved Surface o</w:t>
      </w:r>
      <w:r w:rsidRPr="00863882">
        <w:rPr>
          <w:rFonts w:ascii="Times New Roman" w:hAnsi="Times New Roman"/>
        </w:rPr>
        <w:t>f Liqu</w:t>
      </w:r>
      <w:r>
        <w:rPr>
          <w:rFonts w:ascii="Times New Roman" w:hAnsi="Times New Roman"/>
        </w:rPr>
        <w:t>id.</w:t>
      </w:r>
      <w:r w:rsidRPr="00863882">
        <w:rPr>
          <w:rFonts w:ascii="Times New Roman" w:hAnsi="Times New Roman"/>
        </w:rPr>
        <w:t xml:space="preserve"> </w:t>
      </w:r>
      <w:r w:rsidRPr="00863882">
        <w:rPr>
          <w:rFonts w:ascii="Times New Roman" w:hAnsi="Times New Roman"/>
          <w:i/>
        </w:rPr>
        <w:t>Philosophical Magazine Series 4</w:t>
      </w:r>
      <w:r w:rsidRPr="00863882">
        <w:rPr>
          <w:rFonts w:ascii="Times New Roman" w:hAnsi="Times New Roman"/>
        </w:rPr>
        <w:t xml:space="preserve"> </w:t>
      </w:r>
      <w:r w:rsidRPr="00863882">
        <w:rPr>
          <w:rFonts w:ascii="Times New Roman" w:hAnsi="Times New Roman"/>
          <w:b/>
        </w:rPr>
        <w:t>42</w:t>
      </w:r>
      <w:r>
        <w:rPr>
          <w:rFonts w:ascii="Times New Roman" w:hAnsi="Times New Roman"/>
        </w:rPr>
        <w:t xml:space="preserve"> (282</w:t>
      </w:r>
      <w:r>
        <w:rPr>
          <w:rFonts w:ascii="Times New Roman" w:hAnsi="Times New Roman" w:hint="eastAsia"/>
        </w:rPr>
        <w:t>):</w:t>
      </w:r>
      <w:r w:rsidRPr="00863882">
        <w:rPr>
          <w:rFonts w:ascii="Times New Roman" w:hAnsi="Times New Roman"/>
        </w:rPr>
        <w:t xml:space="preserve"> 448-452.</w:t>
      </w:r>
    </w:p>
    <w:p w14:paraId="29664F31"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4F8DA9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Tindy, R. and Raynal, M. 1966. Are Test-Cell Saturation Pressure Accurate Enough? </w:t>
      </w:r>
      <w:r>
        <w:rPr>
          <w:rFonts w:ascii="Times New Roman" w:hAnsi="Times New Roman"/>
          <w:i/>
        </w:rPr>
        <w:t>Oil and Gas Journal</w:t>
      </w:r>
      <w:r>
        <w:rPr>
          <w:rFonts w:ascii="Times New Roman" w:hAnsi="Times New Roman"/>
        </w:rPr>
        <w:t xml:space="preserve"> </w:t>
      </w:r>
      <w:r>
        <w:rPr>
          <w:rFonts w:ascii="Times New Roman" w:hAnsi="Times New Roman"/>
          <w:b/>
        </w:rPr>
        <w:t>64</w:t>
      </w:r>
      <w:r>
        <w:rPr>
          <w:rFonts w:ascii="Times New Roman" w:hAnsi="Times New Roman"/>
        </w:rPr>
        <w:t xml:space="preserve"> (49): 126-139.</w:t>
      </w:r>
    </w:p>
    <w:p w14:paraId="69E70A94"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5F8DB84A"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Travalloni, L., Castier, M., Tavares, F.W., and Sandler, S. 2010a. Thermodynamic modeling of confined fluids using an extension of the generalized van der Waals theory. </w:t>
      </w:r>
      <w:r>
        <w:rPr>
          <w:rFonts w:ascii="Times New Roman" w:hAnsi="Times New Roman"/>
          <w:i/>
        </w:rPr>
        <w:t>Chemical Engineering Science</w:t>
      </w:r>
      <w:r>
        <w:rPr>
          <w:rFonts w:ascii="Times New Roman" w:hAnsi="Times New Roman"/>
        </w:rPr>
        <w:t xml:space="preserve"> </w:t>
      </w:r>
      <w:r>
        <w:rPr>
          <w:rFonts w:ascii="Times New Roman" w:hAnsi="Times New Roman"/>
          <w:b/>
        </w:rPr>
        <w:t>65</w:t>
      </w:r>
      <w:r>
        <w:rPr>
          <w:rFonts w:ascii="Times New Roman" w:hAnsi="Times New Roman"/>
        </w:rPr>
        <w:t xml:space="preserve"> (10): 3088-3099.</w:t>
      </w:r>
    </w:p>
    <w:p w14:paraId="5AE3D7A2"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1D43924"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Travalloni, L., Castier, M., Tavares, F. W., and Sandler, S. 2010b. Critical Behavior of Pure Fluids from an Extension of the van der Waals Equation of State. </w:t>
      </w:r>
      <w:r>
        <w:rPr>
          <w:rFonts w:ascii="Times New Roman" w:hAnsi="Times New Roman"/>
          <w:i/>
        </w:rPr>
        <w:t>Journal of Supercritical Fluids</w:t>
      </w:r>
      <w:r>
        <w:rPr>
          <w:rFonts w:ascii="Times New Roman" w:hAnsi="Times New Roman"/>
        </w:rPr>
        <w:t xml:space="preserve"> </w:t>
      </w:r>
      <w:r>
        <w:rPr>
          <w:rFonts w:ascii="Times New Roman" w:hAnsi="Times New Roman"/>
          <w:b/>
        </w:rPr>
        <w:t>55</w:t>
      </w:r>
      <w:r>
        <w:rPr>
          <w:rFonts w:ascii="Times New Roman" w:hAnsi="Times New Roman"/>
        </w:rPr>
        <w:t xml:space="preserve"> (2): 455-461.</w:t>
      </w:r>
    </w:p>
    <w:p w14:paraId="75A10B5E"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3E3E0790"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Trebin, F.A. and Zadora, G.I. 1968. Experimental study of the effect of porous media on phase change in gas condensate systems. </w:t>
      </w:r>
      <w:r>
        <w:rPr>
          <w:rFonts w:ascii="Times New Roman" w:hAnsi="Times New Roman"/>
          <w:i/>
        </w:rPr>
        <w:t>Neft’ i Gaz</w:t>
      </w:r>
      <w:r>
        <w:rPr>
          <w:rFonts w:ascii="Times New Roman" w:hAnsi="Times New Roman"/>
        </w:rPr>
        <w:t xml:space="preserve"> 81: 37.</w:t>
      </w:r>
    </w:p>
    <w:p w14:paraId="6CB5073C"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7E38686"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Trens, P., Tanchoux, N., Galarneau, A., Brunel, D., Fubini, B., Garrone, E., and Renzo, F.D. 2005. A Macrothermodynamic Approach to the Limit of Reversible Capillary Condensation. </w:t>
      </w:r>
      <w:r>
        <w:rPr>
          <w:rFonts w:ascii="Times New Roman" w:hAnsi="Times New Roman"/>
          <w:i/>
        </w:rPr>
        <w:t>Langmuir</w:t>
      </w:r>
      <w:r>
        <w:rPr>
          <w:rFonts w:ascii="Times New Roman" w:hAnsi="Times New Roman"/>
        </w:rPr>
        <w:t xml:space="preserve"> </w:t>
      </w:r>
      <w:r>
        <w:rPr>
          <w:rFonts w:ascii="Times New Roman" w:hAnsi="Times New Roman"/>
          <w:b/>
        </w:rPr>
        <w:t>21</w:t>
      </w:r>
      <w:r>
        <w:rPr>
          <w:rFonts w:ascii="Times New Roman" w:hAnsi="Times New Roman"/>
        </w:rPr>
        <w:t xml:space="preserve"> (18): 8560-8564.</w:t>
      </w:r>
    </w:p>
    <w:p w14:paraId="6EACBB16"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81A01A8" w14:textId="77777777" w:rsidR="002F4565" w:rsidRDefault="002F4565" w:rsidP="002C6C5A">
      <w:pPr>
        <w:pStyle w:val="19"/>
        <w:widowControl w:val="0"/>
        <w:autoSpaceDE w:val="0"/>
        <w:autoSpaceDN w:val="0"/>
        <w:adjustRightInd w:val="0"/>
        <w:spacing w:after="240"/>
        <w:jc w:val="both"/>
        <w:rPr>
          <w:rFonts w:ascii="Times New Roman" w:hAnsi="Times New Roman"/>
        </w:rPr>
      </w:pPr>
    </w:p>
    <w:p w14:paraId="18BE8CDC" w14:textId="77777777" w:rsidR="002F4565" w:rsidRDefault="002F4565" w:rsidP="002C6C5A">
      <w:pPr>
        <w:pStyle w:val="19"/>
        <w:widowControl w:val="0"/>
        <w:autoSpaceDE w:val="0"/>
        <w:autoSpaceDN w:val="0"/>
        <w:adjustRightInd w:val="0"/>
        <w:spacing w:after="240"/>
        <w:jc w:val="both"/>
        <w:rPr>
          <w:rFonts w:ascii="Times New Roman" w:hAnsi="Times New Roman"/>
        </w:rPr>
      </w:pPr>
    </w:p>
    <w:p w14:paraId="7392374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Voronov, V.P., Belyakov, M.Y., Gorodetskii, E.E., Kulikov, V.D., Muratov, A.R., and Nagaev, V.B. 2003. Phase Behavior of Methane-Pentane Mixture in Bulk and in Porous Media. </w:t>
      </w:r>
      <w:r>
        <w:rPr>
          <w:rFonts w:ascii="Times New Roman" w:hAnsi="Times New Roman"/>
          <w:i/>
        </w:rPr>
        <w:t>Transport in porous media</w:t>
      </w:r>
      <w:r>
        <w:rPr>
          <w:rFonts w:ascii="Times New Roman" w:hAnsi="Times New Roman"/>
        </w:rPr>
        <w:t> </w:t>
      </w:r>
      <w:r>
        <w:rPr>
          <w:rFonts w:ascii="Times New Roman" w:hAnsi="Times New Roman"/>
          <w:b/>
        </w:rPr>
        <w:t>52</w:t>
      </w:r>
      <w:r>
        <w:rPr>
          <w:rFonts w:ascii="Times New Roman" w:hAnsi="Times New Roman"/>
        </w:rPr>
        <w:t xml:space="preserve"> (2): 123-140.</w:t>
      </w:r>
    </w:p>
    <w:p w14:paraId="4B6045A3"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475C4EC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772990">
        <w:rPr>
          <w:rFonts w:ascii="Times New Roman" w:hAnsi="Times New Roman"/>
        </w:rPr>
        <w:t xml:space="preserve">Walls, J. D., Diaz, E., Derzhi, N. Grader, A., Dvorkin, J., Arredondo, S., Carpio, G., </w:t>
      </w:r>
      <w:r>
        <w:rPr>
          <w:rFonts w:ascii="Times New Roman" w:hAnsi="Times New Roman" w:hint="eastAsia"/>
          <w:lang w:eastAsia="zh-CN"/>
        </w:rPr>
        <w:t xml:space="preserve">and </w:t>
      </w:r>
      <w:r w:rsidRPr="00772990">
        <w:rPr>
          <w:rFonts w:ascii="Times New Roman" w:hAnsi="Times New Roman"/>
        </w:rPr>
        <w:t>Sinclair, S. W., 2011. Eagle Ford Shale Reservoir Properties from Digital Rock Physics, presented at HGS Applied Geoscience Mudrocks Conference, Feb 7 – 8, Woodlands, TX.</w:t>
      </w:r>
    </w:p>
    <w:p w14:paraId="3B4672CB"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18AEBB6D"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Walton, J.P.R.B.</w:t>
      </w:r>
      <w:r w:rsidRPr="005E211D">
        <w:rPr>
          <w:rFonts w:ascii="Times New Roman" w:hAnsi="Times New Roman"/>
        </w:rPr>
        <w:t xml:space="preserve"> and Quirke, N.P.R.B. 1989. Capillary Condensation: A Molecular Simulation Study. </w:t>
      </w:r>
      <w:r w:rsidRPr="005E211D">
        <w:rPr>
          <w:rFonts w:ascii="Times New Roman" w:hAnsi="Times New Roman"/>
          <w:i/>
        </w:rPr>
        <w:t>Molecular Simulation</w:t>
      </w:r>
      <w:r w:rsidRPr="005E211D">
        <w:rPr>
          <w:rFonts w:ascii="Times New Roman" w:hAnsi="Times New Roman"/>
        </w:rPr>
        <w:t xml:space="preserve"> </w:t>
      </w:r>
      <w:r w:rsidRPr="005E211D">
        <w:rPr>
          <w:rFonts w:ascii="Times New Roman" w:hAnsi="Times New Roman"/>
          <w:b/>
        </w:rPr>
        <w:t>2</w:t>
      </w:r>
      <w:r w:rsidRPr="005E211D">
        <w:rPr>
          <w:rFonts w:ascii="Times New Roman" w:hAnsi="Times New Roman"/>
        </w:rPr>
        <w:t xml:space="preserve"> (4-6): 361-391.</w:t>
      </w:r>
    </w:p>
    <w:p w14:paraId="02590AB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CFD8260"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AC3346">
        <w:rPr>
          <w:rFonts w:ascii="Times New Roman" w:hAnsi="Times New Roman"/>
        </w:rPr>
        <w:t>Weniger, P., Kalkreuth, W., Busch, A., and Krooss, B. M. 2010. High</w:t>
      </w:r>
      <w:r>
        <w:rPr>
          <w:rFonts w:ascii="Times New Roman" w:hAnsi="Times New Roman"/>
        </w:rPr>
        <w:t>-Pressure Methane and Carbon Dioxide Sorption on Coal and Shale Samples f</w:t>
      </w:r>
      <w:r w:rsidRPr="00AC3346">
        <w:rPr>
          <w:rFonts w:ascii="Times New Roman" w:hAnsi="Times New Roman"/>
        </w:rPr>
        <w:t xml:space="preserve">rom The Paraná Basin, Brazil. </w:t>
      </w:r>
      <w:r w:rsidRPr="00AC3346">
        <w:rPr>
          <w:rFonts w:ascii="Times New Roman" w:hAnsi="Times New Roman"/>
          <w:i/>
        </w:rPr>
        <w:t>International Journal of Coal Geology</w:t>
      </w:r>
      <w:r w:rsidRPr="00AC3346">
        <w:rPr>
          <w:rFonts w:ascii="Times New Roman" w:hAnsi="Times New Roman"/>
        </w:rPr>
        <w:t xml:space="preserve"> </w:t>
      </w:r>
      <w:r w:rsidRPr="00AC3346">
        <w:rPr>
          <w:rFonts w:ascii="Times New Roman" w:hAnsi="Times New Roman"/>
          <w:b/>
        </w:rPr>
        <w:t>84</w:t>
      </w:r>
      <w:r w:rsidRPr="00AC3346">
        <w:rPr>
          <w:rFonts w:ascii="Times New Roman" w:hAnsi="Times New Roman"/>
        </w:rPr>
        <w:t xml:space="preserve"> (3): 190-205.</w:t>
      </w:r>
    </w:p>
    <w:p w14:paraId="147F5992"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49C0576" w14:textId="4BCF7071" w:rsidR="002C6C5A" w:rsidRDefault="00D02295"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Whitson C.H.</w:t>
      </w:r>
      <w:r w:rsidR="002C6C5A">
        <w:rPr>
          <w:rFonts w:ascii="Times New Roman" w:hAnsi="Times New Roman"/>
        </w:rPr>
        <w:t xml:space="preserve"> and Brulé M.R. 2000. Phase behavior. Richardson, Tex.: Henry L. Doherty Memorial Fund of AIME, Society of Petroleum Engineers.</w:t>
      </w:r>
    </w:p>
    <w:p w14:paraId="208A6E63"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9B9A2CE" w14:textId="0735494F"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Wu, J.</w:t>
      </w:r>
      <w:r>
        <w:rPr>
          <w:rFonts w:ascii="Times New Roman" w:hAnsi="Times New Roman"/>
          <w:lang w:eastAsia="zh-CN"/>
        </w:rPr>
        <w:t xml:space="preserve"> 2006. </w:t>
      </w:r>
      <w:r>
        <w:rPr>
          <w:rFonts w:ascii="Times New Roman" w:hAnsi="Times New Roman"/>
        </w:rPr>
        <w:t>Density Function Theory for Chemical Engineering: from Capillarity to Soft Materials</w:t>
      </w:r>
      <w:r>
        <w:rPr>
          <w:rFonts w:ascii="Times New Roman" w:hAnsi="Times New Roman"/>
          <w:lang w:eastAsia="zh-CN"/>
        </w:rPr>
        <w:t>.</w:t>
      </w:r>
      <w:r>
        <w:rPr>
          <w:rFonts w:ascii="Times New Roman" w:hAnsi="Times New Roman"/>
        </w:rPr>
        <w:t xml:space="preserve"> </w:t>
      </w:r>
      <w:r>
        <w:rPr>
          <w:rFonts w:ascii="Times New Roman" w:hAnsi="Times New Roman"/>
          <w:i/>
        </w:rPr>
        <w:t>AIChE. Journal</w:t>
      </w:r>
      <w:r>
        <w:rPr>
          <w:rFonts w:ascii="Times New Roman" w:hAnsi="Times New Roman"/>
        </w:rPr>
        <w:t xml:space="preserve"> </w:t>
      </w:r>
      <w:r>
        <w:rPr>
          <w:rFonts w:ascii="Times New Roman" w:hAnsi="Times New Roman"/>
          <w:b/>
        </w:rPr>
        <w:t>52</w:t>
      </w:r>
      <w:r>
        <w:rPr>
          <w:rFonts w:ascii="Times New Roman" w:hAnsi="Times New Roman"/>
        </w:rPr>
        <w:t xml:space="preserve"> (3)</w:t>
      </w:r>
      <w:r w:rsidR="00D02295">
        <w:rPr>
          <w:rFonts w:ascii="Times New Roman" w:hAnsi="Times New Roman" w:hint="eastAsia"/>
        </w:rPr>
        <w:t>:</w:t>
      </w:r>
      <w:r>
        <w:rPr>
          <w:rFonts w:ascii="Times New Roman" w:hAnsi="Times New Roman"/>
        </w:rPr>
        <w:t xml:space="preserve"> 1169-1193.</w:t>
      </w:r>
    </w:p>
    <w:p w14:paraId="61A7A6AE"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612E8D17" w14:textId="77777777" w:rsidR="002F4565" w:rsidRDefault="002F4565" w:rsidP="002C6C5A">
      <w:pPr>
        <w:pStyle w:val="19"/>
        <w:widowControl w:val="0"/>
        <w:autoSpaceDE w:val="0"/>
        <w:autoSpaceDN w:val="0"/>
        <w:adjustRightInd w:val="0"/>
        <w:spacing w:after="240"/>
        <w:ind w:left="0"/>
        <w:jc w:val="both"/>
        <w:rPr>
          <w:rFonts w:ascii="Times New Roman" w:hAnsi="Times New Roman"/>
        </w:rPr>
      </w:pPr>
    </w:p>
    <w:p w14:paraId="77B24623"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6F6DF3">
        <w:rPr>
          <w:rFonts w:ascii="Times New Roman" w:hAnsi="Times New Roman"/>
        </w:rPr>
        <w:t xml:space="preserve">Wu, Q., Zhou, L., Wu, J., and Zhou, Y. 2005. Adsorption </w:t>
      </w:r>
      <w:r>
        <w:rPr>
          <w:rFonts w:ascii="Times New Roman" w:hAnsi="Times New Roman"/>
        </w:rPr>
        <w:t>Equilibrium of T</w:t>
      </w:r>
      <w:r w:rsidRPr="006F6DF3">
        <w:rPr>
          <w:rFonts w:ascii="Times New Roman" w:hAnsi="Times New Roman"/>
        </w:rPr>
        <w:t>he Mixture CH</w:t>
      </w:r>
      <w:r w:rsidRPr="00FC0EF8">
        <w:rPr>
          <w:rFonts w:ascii="Times New Roman" w:hAnsi="Times New Roman"/>
          <w:vertAlign w:val="subscript"/>
        </w:rPr>
        <w:t>4</w:t>
      </w:r>
      <w:r w:rsidRPr="00FC0EF8">
        <w:rPr>
          <w:rFonts w:ascii="Times New Roman" w:hAnsi="Times New Roman"/>
          <w:vertAlign w:val="superscript"/>
        </w:rPr>
        <w:t>+</w:t>
      </w:r>
      <w:r w:rsidRPr="006F6DF3">
        <w:rPr>
          <w:rFonts w:ascii="Times New Roman" w:hAnsi="Times New Roman"/>
        </w:rPr>
        <w:t xml:space="preserve"> N</w:t>
      </w:r>
      <w:r w:rsidRPr="00FC0EF8">
        <w:rPr>
          <w:rFonts w:ascii="Times New Roman" w:hAnsi="Times New Roman"/>
          <w:vertAlign w:val="subscript"/>
        </w:rPr>
        <w:t>2</w:t>
      </w:r>
      <w:r w:rsidRPr="00FC0EF8">
        <w:rPr>
          <w:rFonts w:ascii="Times New Roman" w:hAnsi="Times New Roman"/>
          <w:vertAlign w:val="superscript"/>
        </w:rPr>
        <w:t>+</w:t>
      </w:r>
      <w:r w:rsidRPr="006F6DF3">
        <w:rPr>
          <w:rFonts w:ascii="Times New Roman" w:hAnsi="Times New Roman"/>
        </w:rPr>
        <w:t xml:space="preserve"> H</w:t>
      </w:r>
      <w:r w:rsidRPr="00FC0EF8">
        <w:rPr>
          <w:rFonts w:ascii="Times New Roman" w:hAnsi="Times New Roman"/>
          <w:vertAlign w:val="subscript"/>
        </w:rPr>
        <w:t>2</w:t>
      </w:r>
      <w:r w:rsidRPr="006F6DF3">
        <w:rPr>
          <w:rFonts w:ascii="Times New Roman" w:hAnsi="Times New Roman"/>
        </w:rPr>
        <w:t xml:space="preserve"> on Activated Carbon. </w:t>
      </w:r>
      <w:r w:rsidRPr="00AC3346">
        <w:rPr>
          <w:rFonts w:ascii="Times New Roman" w:hAnsi="Times New Roman"/>
          <w:i/>
        </w:rPr>
        <w:t>Journal of Chemical &amp; Engineering Data</w:t>
      </w:r>
      <w:r w:rsidRPr="006F6DF3">
        <w:rPr>
          <w:rFonts w:ascii="Times New Roman" w:hAnsi="Times New Roman"/>
        </w:rPr>
        <w:t xml:space="preserve"> </w:t>
      </w:r>
      <w:r w:rsidRPr="00AC3346">
        <w:rPr>
          <w:rFonts w:ascii="Times New Roman" w:hAnsi="Times New Roman"/>
          <w:b/>
        </w:rPr>
        <w:t>50</w:t>
      </w:r>
      <w:r w:rsidRPr="006F6DF3">
        <w:rPr>
          <w:rFonts w:ascii="Times New Roman" w:hAnsi="Times New Roman"/>
        </w:rPr>
        <w:t xml:space="preserve"> (2): 635-642.</w:t>
      </w:r>
    </w:p>
    <w:p w14:paraId="2F51C66B" w14:textId="77777777" w:rsidR="00D02295" w:rsidRDefault="00D02295" w:rsidP="00D02295">
      <w:pPr>
        <w:pStyle w:val="19"/>
        <w:widowControl w:val="0"/>
        <w:autoSpaceDE w:val="0"/>
        <w:autoSpaceDN w:val="0"/>
        <w:adjustRightInd w:val="0"/>
        <w:spacing w:after="240"/>
        <w:ind w:left="0"/>
        <w:jc w:val="both"/>
        <w:rPr>
          <w:rFonts w:ascii="Times New Roman" w:hAnsi="Times New Roman"/>
        </w:rPr>
      </w:pPr>
    </w:p>
    <w:p w14:paraId="2CED869B" w14:textId="7212F462" w:rsidR="00D02295" w:rsidRDefault="00D02295"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Yang, Q.</w:t>
      </w:r>
      <w:r w:rsidRPr="00D02295">
        <w:rPr>
          <w:rFonts w:ascii="Times New Roman" w:hAnsi="Times New Roman"/>
        </w:rPr>
        <w:t xml:space="preserve"> and Zhong, C. 2006. Molecular Simulation of Carbon Dioxide/Methane/Hydrogen Mixture Adsorption in Metal-Organic Frameworks. </w:t>
      </w:r>
      <w:r w:rsidRPr="00D02295">
        <w:rPr>
          <w:rFonts w:ascii="Times New Roman" w:hAnsi="Times New Roman"/>
          <w:i/>
        </w:rPr>
        <w:t>The Journal of Physical Chemistry B</w:t>
      </w:r>
      <w:r w:rsidRPr="00D02295">
        <w:rPr>
          <w:rFonts w:ascii="Times New Roman" w:hAnsi="Times New Roman"/>
        </w:rPr>
        <w:t xml:space="preserve"> </w:t>
      </w:r>
      <w:r w:rsidRPr="00D02295">
        <w:rPr>
          <w:rFonts w:ascii="Times New Roman" w:hAnsi="Times New Roman"/>
          <w:b/>
        </w:rPr>
        <w:t>110</w:t>
      </w:r>
      <w:r w:rsidRPr="00D02295">
        <w:rPr>
          <w:rFonts w:ascii="Times New Roman" w:hAnsi="Times New Roman"/>
        </w:rPr>
        <w:t xml:space="preserve"> </w:t>
      </w:r>
      <w:r>
        <w:rPr>
          <w:rFonts w:ascii="Times New Roman" w:hAnsi="Times New Roman" w:hint="eastAsia"/>
        </w:rPr>
        <w:t>(</w:t>
      </w:r>
      <w:r w:rsidRPr="00D02295">
        <w:rPr>
          <w:rFonts w:ascii="Times New Roman" w:hAnsi="Times New Roman"/>
        </w:rPr>
        <w:t>36</w:t>
      </w:r>
      <w:r>
        <w:rPr>
          <w:rFonts w:ascii="Times New Roman" w:hAnsi="Times New Roman" w:hint="eastAsia"/>
        </w:rPr>
        <w:t>)</w:t>
      </w:r>
      <w:r w:rsidRPr="00D02295">
        <w:rPr>
          <w:rFonts w:ascii="Times New Roman" w:hAnsi="Times New Roman"/>
        </w:rPr>
        <w:t>: 17776-17783.</w:t>
      </w:r>
    </w:p>
    <w:p w14:paraId="0D39A042"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76C5BB0C"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6F6DF3">
        <w:rPr>
          <w:rFonts w:ascii="Times New Roman" w:hAnsi="Times New Roman"/>
        </w:rPr>
        <w:t>Yun, J. H., Düren, T., Keil, F. J., and Seaton, N. A. 2002. Adsorption of</w:t>
      </w:r>
      <w:r>
        <w:rPr>
          <w:rFonts w:ascii="Times New Roman" w:hAnsi="Times New Roman"/>
        </w:rPr>
        <w:t xml:space="preserve"> Methane, Ethane, a</w:t>
      </w:r>
      <w:r w:rsidRPr="006F6DF3">
        <w:rPr>
          <w:rFonts w:ascii="Times New Roman" w:hAnsi="Times New Roman"/>
        </w:rPr>
        <w:t>nd Their Binary Mixt</w:t>
      </w:r>
      <w:r>
        <w:rPr>
          <w:rFonts w:ascii="Times New Roman" w:hAnsi="Times New Roman"/>
        </w:rPr>
        <w:t>ures o</w:t>
      </w:r>
      <w:r w:rsidRPr="006F6DF3">
        <w:rPr>
          <w:rFonts w:ascii="Times New Roman" w:hAnsi="Times New Roman"/>
        </w:rPr>
        <w:t>n MCM-41: Experimental Evaluation of</w:t>
      </w:r>
      <w:r>
        <w:rPr>
          <w:rFonts w:ascii="Times New Roman" w:hAnsi="Times New Roman"/>
        </w:rPr>
        <w:t xml:space="preserve"> Methods for The Prediction o</w:t>
      </w:r>
      <w:r w:rsidRPr="006F6DF3">
        <w:rPr>
          <w:rFonts w:ascii="Times New Roman" w:hAnsi="Times New Roman"/>
        </w:rPr>
        <w:t xml:space="preserve">f Adsorption Equilibrium. </w:t>
      </w:r>
      <w:r w:rsidRPr="00AC3346">
        <w:rPr>
          <w:rFonts w:ascii="Times New Roman" w:hAnsi="Times New Roman"/>
          <w:i/>
        </w:rPr>
        <w:t>Langmuir</w:t>
      </w:r>
      <w:r w:rsidRPr="006F6DF3">
        <w:rPr>
          <w:rFonts w:ascii="Times New Roman" w:hAnsi="Times New Roman"/>
        </w:rPr>
        <w:t xml:space="preserve"> </w:t>
      </w:r>
      <w:r w:rsidRPr="00AC3346">
        <w:rPr>
          <w:rFonts w:ascii="Times New Roman" w:hAnsi="Times New Roman"/>
          <w:b/>
        </w:rPr>
        <w:t>18</w:t>
      </w:r>
      <w:r w:rsidRPr="006F6DF3">
        <w:rPr>
          <w:rFonts w:ascii="Times New Roman" w:hAnsi="Times New Roman"/>
        </w:rPr>
        <w:t xml:space="preserve"> (7): 2693-2701.</w:t>
      </w:r>
    </w:p>
    <w:p w14:paraId="1AA5A89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604215DA"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1A44B8">
        <w:rPr>
          <w:rFonts w:ascii="Times New Roman" w:hAnsi="Times New Roman"/>
        </w:rPr>
        <w:t xml:space="preserve">Yuan, W., Pan, Z., Li, X., Yang, Y., Zhao, C., Connell, L. D., and He, J. 2014. Experimental </w:t>
      </w:r>
      <w:r>
        <w:rPr>
          <w:rFonts w:ascii="Times New Roman" w:hAnsi="Times New Roman"/>
        </w:rPr>
        <w:t xml:space="preserve">Study </w:t>
      </w:r>
      <w:r>
        <w:rPr>
          <w:rFonts w:ascii="Times New Roman" w:hAnsi="Times New Roman" w:hint="eastAsia"/>
          <w:lang w:eastAsia="zh-CN"/>
        </w:rPr>
        <w:t>a</w:t>
      </w:r>
      <w:r>
        <w:rPr>
          <w:rFonts w:ascii="Times New Roman" w:hAnsi="Times New Roman"/>
        </w:rPr>
        <w:t>nd Modeling of Methane Adsorption and Diffusion i</w:t>
      </w:r>
      <w:r w:rsidRPr="001A44B8">
        <w:rPr>
          <w:rFonts w:ascii="Times New Roman" w:hAnsi="Times New Roman"/>
        </w:rPr>
        <w:t xml:space="preserve">n Shale. </w:t>
      </w:r>
      <w:r w:rsidRPr="001A44B8">
        <w:rPr>
          <w:rFonts w:ascii="Times New Roman" w:hAnsi="Times New Roman"/>
          <w:i/>
        </w:rPr>
        <w:t>Fuel</w:t>
      </w:r>
      <w:r w:rsidRPr="001A44B8">
        <w:rPr>
          <w:rFonts w:ascii="Times New Roman" w:hAnsi="Times New Roman"/>
        </w:rPr>
        <w:t xml:space="preserve"> </w:t>
      </w:r>
      <w:r w:rsidRPr="001A44B8">
        <w:rPr>
          <w:rFonts w:ascii="Times New Roman" w:hAnsi="Times New Roman"/>
          <w:b/>
        </w:rPr>
        <w:t>117</w:t>
      </w:r>
      <w:r w:rsidRPr="001A44B8">
        <w:rPr>
          <w:rFonts w:ascii="Times New Roman" w:hAnsi="Times New Roman"/>
        </w:rPr>
        <w:t xml:space="preserve"> (A): 509-519.</w:t>
      </w:r>
    </w:p>
    <w:p w14:paraId="624D3A57"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7C3F5E5"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Zarragoicoechea, G.J. and Kuz, V.A. 2002. van der Waals Equation of State for a Fluid in a Nanopore. </w:t>
      </w:r>
      <w:r>
        <w:rPr>
          <w:rFonts w:ascii="Times New Roman" w:hAnsi="Times New Roman"/>
          <w:i/>
        </w:rPr>
        <w:t>Physical Review E</w:t>
      </w:r>
      <w:r>
        <w:rPr>
          <w:rFonts w:ascii="Times New Roman" w:hAnsi="Times New Roman"/>
        </w:rPr>
        <w:t xml:space="preserve"> </w:t>
      </w:r>
      <w:r>
        <w:rPr>
          <w:rFonts w:ascii="Times New Roman" w:hAnsi="Times New Roman"/>
          <w:b/>
        </w:rPr>
        <w:t>65</w:t>
      </w:r>
      <w:r>
        <w:rPr>
          <w:rFonts w:ascii="Times New Roman" w:hAnsi="Times New Roman"/>
        </w:rPr>
        <w:t xml:space="preserve"> (2): 1-4.</w:t>
      </w:r>
    </w:p>
    <w:p w14:paraId="43BD274F"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A99E8BA"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Zarragoicoechea, G.J. and Kuz, V.A. 2004. Critical Shift of </w:t>
      </w:r>
      <w:r>
        <w:rPr>
          <w:rFonts w:ascii="Times New Roman" w:hAnsi="Times New Roman"/>
          <w:lang w:eastAsia="zh-CN"/>
        </w:rPr>
        <w:t>a</w:t>
      </w:r>
      <w:r>
        <w:rPr>
          <w:rFonts w:ascii="Times New Roman" w:hAnsi="Times New Roman"/>
        </w:rPr>
        <w:t xml:space="preserve"> Confined Fluid in a Nanopore. </w:t>
      </w:r>
      <w:r>
        <w:rPr>
          <w:rFonts w:ascii="Times New Roman" w:hAnsi="Times New Roman"/>
          <w:i/>
        </w:rPr>
        <w:t xml:space="preserve">Fluid Phase Equilibria </w:t>
      </w:r>
      <w:r>
        <w:rPr>
          <w:rFonts w:ascii="Times New Roman" w:hAnsi="Times New Roman"/>
          <w:b/>
        </w:rPr>
        <w:t>220</w:t>
      </w:r>
      <w:r>
        <w:rPr>
          <w:rFonts w:ascii="Times New Roman" w:hAnsi="Times New Roman"/>
        </w:rPr>
        <w:t xml:space="preserve"> (1): 7-9.</w:t>
      </w:r>
    </w:p>
    <w:p w14:paraId="0D81F80C"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4E159AFB"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Zeigermann, P., Dvoyashkin, M., Valiullin, R., and Kärger, J. 2009. Assessing the Pore Critical Point of The Confined Fluid by Diffusion Measurement. </w:t>
      </w:r>
      <w:r>
        <w:rPr>
          <w:rFonts w:ascii="Times New Roman" w:hAnsi="Times New Roman"/>
          <w:i/>
        </w:rPr>
        <w:t xml:space="preserve">Diffusion-fundamentals </w:t>
      </w:r>
      <w:r>
        <w:rPr>
          <w:rFonts w:ascii="Times New Roman" w:hAnsi="Times New Roman"/>
          <w:b/>
        </w:rPr>
        <w:t>11</w:t>
      </w:r>
      <w:r>
        <w:rPr>
          <w:rFonts w:ascii="Times New Roman" w:hAnsi="Times New Roman"/>
        </w:rPr>
        <w:t xml:space="preserve"> (41): 1-2.</w:t>
      </w:r>
    </w:p>
    <w:p w14:paraId="2DE778FC" w14:textId="77777777" w:rsidR="002C6C5A" w:rsidRDefault="002C6C5A" w:rsidP="002C6C5A">
      <w:pPr>
        <w:pStyle w:val="19"/>
        <w:widowControl w:val="0"/>
        <w:autoSpaceDE w:val="0"/>
        <w:autoSpaceDN w:val="0"/>
        <w:adjustRightInd w:val="0"/>
        <w:spacing w:after="240"/>
        <w:ind w:left="0"/>
        <w:jc w:val="both"/>
        <w:rPr>
          <w:rFonts w:ascii="Times New Roman" w:hAnsi="Times New Roman"/>
        </w:rPr>
      </w:pPr>
    </w:p>
    <w:p w14:paraId="2419214F" w14:textId="77777777" w:rsidR="002C6C5A" w:rsidRPr="00FC0EF8"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sidRPr="00FC0EF8">
        <w:rPr>
          <w:rFonts w:ascii="Times New Roman" w:hAnsi="Times New Roman"/>
        </w:rPr>
        <w:t>Zhang, T., Ellis, G. S., Ruppel, S. C., Milliken, K., and Yang, R. 2012. Effect o</w:t>
      </w:r>
      <w:r>
        <w:rPr>
          <w:rFonts w:ascii="Times New Roman" w:hAnsi="Times New Roman"/>
        </w:rPr>
        <w:t xml:space="preserve">f </w:t>
      </w:r>
      <w:r>
        <w:rPr>
          <w:rFonts w:ascii="Times New Roman" w:hAnsi="Times New Roman" w:hint="eastAsia"/>
          <w:lang w:eastAsia="zh-CN"/>
        </w:rPr>
        <w:t>O</w:t>
      </w:r>
      <w:r>
        <w:rPr>
          <w:rFonts w:ascii="Times New Roman" w:hAnsi="Times New Roman"/>
        </w:rPr>
        <w:t>rganic-Matter Type and Thermal Maturity on Methane Adsorption in Shale-Gas S</w:t>
      </w:r>
      <w:r w:rsidRPr="00FC0EF8">
        <w:rPr>
          <w:rFonts w:ascii="Times New Roman" w:hAnsi="Times New Roman"/>
        </w:rPr>
        <w:t xml:space="preserve">ystems. </w:t>
      </w:r>
      <w:r w:rsidRPr="00FC0EF8">
        <w:rPr>
          <w:rFonts w:ascii="Times New Roman" w:hAnsi="Times New Roman"/>
          <w:i/>
        </w:rPr>
        <w:t>Organic Geochemistry</w:t>
      </w:r>
      <w:r w:rsidRPr="00FC0EF8">
        <w:rPr>
          <w:rFonts w:ascii="Times New Roman" w:hAnsi="Times New Roman"/>
        </w:rPr>
        <w:t xml:space="preserve"> </w:t>
      </w:r>
      <w:r w:rsidRPr="00FC0EF8">
        <w:rPr>
          <w:rFonts w:ascii="Times New Roman" w:hAnsi="Times New Roman"/>
          <w:b/>
        </w:rPr>
        <w:t>47</w:t>
      </w:r>
      <w:r w:rsidRPr="00FC0EF8">
        <w:rPr>
          <w:rFonts w:ascii="Times New Roman" w:hAnsi="Times New Roman"/>
        </w:rPr>
        <w:t>: 120-131.</w:t>
      </w:r>
    </w:p>
    <w:p w14:paraId="731F8B4B"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1C2FB3E9"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Zhu, H.Y., Ni, L.A., and Lu, G.Q. 1999. A Pore-Size-Dependent Equation of State for Multilayer Adsorption in Cylindrical Mesopores. </w:t>
      </w:r>
      <w:r>
        <w:rPr>
          <w:rFonts w:ascii="Times New Roman" w:hAnsi="Times New Roman"/>
          <w:i/>
        </w:rPr>
        <w:t>Langmuir</w:t>
      </w:r>
      <w:r>
        <w:rPr>
          <w:rFonts w:ascii="Times New Roman" w:hAnsi="Times New Roman"/>
        </w:rPr>
        <w:t xml:space="preserve"> </w:t>
      </w:r>
      <w:r>
        <w:rPr>
          <w:rFonts w:ascii="Times New Roman" w:hAnsi="Times New Roman"/>
          <w:b/>
        </w:rPr>
        <w:t>15</w:t>
      </w:r>
      <w:r>
        <w:rPr>
          <w:rFonts w:ascii="Times New Roman" w:hAnsi="Times New Roman"/>
        </w:rPr>
        <w:t xml:space="preserve"> (10): 3632-3641.</w:t>
      </w:r>
    </w:p>
    <w:p w14:paraId="6D15A844" w14:textId="77777777" w:rsidR="002C6C5A" w:rsidRDefault="002C6C5A" w:rsidP="002C6C5A">
      <w:pPr>
        <w:pStyle w:val="19"/>
        <w:widowControl w:val="0"/>
        <w:autoSpaceDE w:val="0"/>
        <w:autoSpaceDN w:val="0"/>
        <w:adjustRightInd w:val="0"/>
        <w:spacing w:after="240"/>
        <w:jc w:val="both"/>
        <w:rPr>
          <w:rFonts w:ascii="Times New Roman" w:hAnsi="Times New Roman"/>
        </w:rPr>
      </w:pPr>
    </w:p>
    <w:p w14:paraId="72E52280" w14:textId="77777777" w:rsidR="002C6C5A" w:rsidRDefault="002C6C5A" w:rsidP="002C6C5A">
      <w:pPr>
        <w:pStyle w:val="19"/>
        <w:widowControl w:val="0"/>
        <w:numPr>
          <w:ilvl w:val="0"/>
          <w:numId w:val="3"/>
        </w:numPr>
        <w:autoSpaceDE w:val="0"/>
        <w:autoSpaceDN w:val="0"/>
        <w:adjustRightInd w:val="0"/>
        <w:spacing w:after="240"/>
        <w:ind w:hanging="720"/>
        <w:jc w:val="both"/>
        <w:rPr>
          <w:rFonts w:ascii="Times New Roman" w:hAnsi="Times New Roman"/>
        </w:rPr>
      </w:pPr>
      <w:r>
        <w:rPr>
          <w:rFonts w:ascii="Times New Roman" w:hAnsi="Times New Roman"/>
        </w:rPr>
        <w:t xml:space="preserve">Zudkevitch, D. and Joffe, J. 1970. Correlation and Prediction of Vapor-Liquid Equilibria </w:t>
      </w:r>
      <w:r>
        <w:rPr>
          <w:rFonts w:ascii="Times New Roman" w:hAnsi="Times New Roman" w:hint="eastAsia"/>
          <w:lang w:eastAsia="zh-CN"/>
        </w:rPr>
        <w:t>w</w:t>
      </w:r>
      <w:r>
        <w:rPr>
          <w:rFonts w:ascii="Times New Roman" w:hAnsi="Times New Roman"/>
        </w:rPr>
        <w:t xml:space="preserve">ith The Redlich-Kwong Equation of State. </w:t>
      </w:r>
      <w:r>
        <w:rPr>
          <w:rFonts w:ascii="Times New Roman" w:hAnsi="Times New Roman"/>
          <w:i/>
        </w:rPr>
        <w:t>AIChE Journal</w:t>
      </w:r>
      <w:r>
        <w:rPr>
          <w:rFonts w:ascii="Times New Roman" w:hAnsi="Times New Roman"/>
        </w:rPr>
        <w:t xml:space="preserve"> </w:t>
      </w:r>
      <w:r>
        <w:rPr>
          <w:rFonts w:ascii="Times New Roman" w:hAnsi="Times New Roman"/>
          <w:b/>
        </w:rPr>
        <w:t xml:space="preserve">16 </w:t>
      </w:r>
      <w:r>
        <w:rPr>
          <w:rFonts w:ascii="Times New Roman" w:hAnsi="Times New Roman"/>
        </w:rPr>
        <w:t>(1): 112-119.</w:t>
      </w:r>
    </w:p>
    <w:p w14:paraId="2CDB132E" w14:textId="77777777" w:rsidR="0085272D" w:rsidRDefault="0085272D">
      <w:pPr>
        <w:spacing w:after="240" w:line="240" w:lineRule="auto"/>
        <w:ind w:left="720" w:hanging="720"/>
      </w:pPr>
    </w:p>
    <w:p w14:paraId="6B7B96A3" w14:textId="77777777" w:rsidR="0085272D" w:rsidRDefault="0096367E">
      <w:pPr>
        <w:pStyle w:val="Heading1"/>
        <w:ind w:left="240" w:right="240"/>
      </w:pPr>
      <w:r>
        <w:br w:type="page"/>
      </w:r>
      <w:bookmarkStart w:id="63" w:name="_Toc310579475"/>
      <w:bookmarkStart w:id="64" w:name="_Toc256083301"/>
      <w:bookmarkStart w:id="65" w:name="_Toc508114177"/>
      <w:r>
        <w:t>Appendix A: Expressions of position dependent equation of state parameter</w:t>
      </w:r>
      <w:bookmarkEnd w:id="63"/>
      <w:bookmarkEnd w:id="64"/>
      <w:bookmarkEnd w:id="65"/>
    </w:p>
    <w:p w14:paraId="7F4EDDA0" w14:textId="77777777" w:rsidR="0085272D" w:rsidRDefault="0096367E">
      <w:pPr>
        <w:jc w:val="both"/>
      </w:pPr>
      <w:r>
        <w:t xml:space="preserve">According to Chen et al. (1997), the equation of state parameter, a, which is known as the internal pressure correction term, is dependent on the position of the fluid molecule with respect to the pore walls, as well as the pore diameter and fluid molecular diameter. </w:t>
      </w:r>
    </w:p>
    <w:p w14:paraId="0F99516B" w14:textId="77777777" w:rsidR="0085272D" w:rsidRDefault="0096367E">
      <w:r>
        <w:t xml:space="preserve">When </w:t>
      </w:r>
      <m:oMath>
        <m:sSub>
          <m:sSubPr>
            <m:ctrlPr>
              <w:rPr>
                <w:rFonts w:ascii="Cambria Math" w:hAnsi="Cambria Math"/>
              </w:rPr>
            </m:ctrlPr>
          </m:sSubPr>
          <m:e>
            <m:r>
              <w:rPr>
                <w:rFonts w:ascii="Cambria Math" w:hAnsi="Cambria Math"/>
              </w:rPr>
              <m:t>L</m:t>
            </m:r>
            <m:r>
              <m:rPr>
                <m:sty m:val="p"/>
              </m:rPr>
              <w:rPr>
                <w:rFonts w:ascii="Cambria Math" w:hAnsi="Cambria Math"/>
              </w:rPr>
              <m:t>/</m:t>
            </m:r>
            <m:r>
              <w:rPr>
                <w:rFonts w:ascii="Cambria Math" w:hAnsi="Cambria Math"/>
              </w:rPr>
              <m:t>σ</m:t>
            </m:r>
          </m:e>
          <m:sub>
            <m:r>
              <w:rPr>
                <w:rFonts w:ascii="Cambria Math" w:hAnsi="Cambria Math"/>
              </w:rPr>
              <m:t>ff</m:t>
            </m:r>
          </m:sub>
        </m:sSub>
        <m:r>
          <m:rPr>
            <m:sty m:val="p"/>
          </m:rPr>
          <w:rPr>
            <w:rFonts w:ascii="Cambria Math" w:hAnsi="Cambria Math"/>
          </w:rPr>
          <m:t>≥3</m:t>
        </m:r>
      </m:oMath>
      <w:r>
        <w:t>, a(z) has the following expressions:</w:t>
      </w:r>
    </w:p>
    <w:p w14:paraId="07D526F4" w14:textId="53923F52" w:rsidR="0085272D" w:rsidRDefault="00FA6998">
      <w:pPr>
        <w:tabs>
          <w:tab w:val="right" w:leader="dot" w:pos="8460"/>
        </w:tabs>
        <w:rPr>
          <w:lang w:eastAsia="zh-CN"/>
        </w:rPr>
      </w:pPr>
      <w:r>
        <w:rPr>
          <w:noProof/>
          <w:position w:val="-42"/>
          <w:lang w:eastAsia="zh-CN" w:bidi="ar-SA"/>
        </w:rPr>
        <w:drawing>
          <wp:inline distT="0" distB="0" distL="0" distR="0" wp14:anchorId="2B8C51BB" wp14:editId="6CDC1EB0">
            <wp:extent cx="2209800" cy="63119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209800" cy="631190"/>
                    </a:xfrm>
                    <a:prstGeom prst="rect">
                      <a:avLst/>
                    </a:prstGeom>
                    <a:noFill/>
                    <a:ln>
                      <a:noFill/>
                    </a:ln>
                  </pic:spPr>
                </pic:pic>
              </a:graphicData>
            </a:graphic>
          </wp:inline>
        </w:drawing>
      </w:r>
      <w:r w:rsidR="0096367E">
        <w:t xml:space="preserve">    for   </w:t>
      </w:r>
      <w:r>
        <w:rPr>
          <w:noProof/>
          <w:position w:val="-32"/>
          <w:lang w:eastAsia="zh-CN" w:bidi="ar-SA"/>
        </w:rPr>
        <w:drawing>
          <wp:inline distT="0" distB="0" distL="0" distR="0" wp14:anchorId="4128341F" wp14:editId="393C939D">
            <wp:extent cx="914400" cy="4356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435610"/>
                    </a:xfrm>
                    <a:prstGeom prst="rect">
                      <a:avLst/>
                    </a:prstGeom>
                    <a:noFill/>
                    <a:ln>
                      <a:noFill/>
                    </a:ln>
                  </pic:spPr>
                </pic:pic>
              </a:graphicData>
            </a:graphic>
          </wp:inline>
        </w:drawing>
      </w:r>
      <w:r w:rsidR="0096367E">
        <w:rPr>
          <w:lang w:eastAsia="zh-CN"/>
        </w:rPr>
        <w:tab/>
        <w:t>(A.1)</w:t>
      </w:r>
    </w:p>
    <w:p w14:paraId="17441125" w14:textId="36EA121D" w:rsidR="0085272D" w:rsidRDefault="00FA6998">
      <w:pPr>
        <w:tabs>
          <w:tab w:val="right" w:leader="dot" w:pos="8460"/>
        </w:tabs>
        <w:rPr>
          <w:lang w:eastAsia="zh-CN"/>
        </w:rPr>
      </w:pPr>
      <w:r>
        <w:rPr>
          <w:noProof/>
          <w:position w:val="-42"/>
          <w:lang w:eastAsia="zh-CN" w:bidi="ar-SA"/>
        </w:rPr>
        <w:drawing>
          <wp:inline distT="0" distB="0" distL="0" distR="0" wp14:anchorId="3E646426" wp14:editId="22DDED6C">
            <wp:extent cx="2787015" cy="631190"/>
            <wp:effectExtent l="0" t="0" r="6985"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787015" cy="631190"/>
                    </a:xfrm>
                    <a:prstGeom prst="rect">
                      <a:avLst/>
                    </a:prstGeom>
                    <a:noFill/>
                    <a:ln>
                      <a:noFill/>
                    </a:ln>
                  </pic:spPr>
                </pic:pic>
              </a:graphicData>
            </a:graphic>
          </wp:inline>
        </w:drawing>
      </w:r>
      <w:r w:rsidR="0096367E">
        <w:rPr>
          <w:position w:val="-42"/>
        </w:rPr>
        <w:t xml:space="preserve">  </w:t>
      </w:r>
      <w:r w:rsidR="0096367E">
        <w:t xml:space="preserve">for  </w:t>
      </w:r>
      <w:r>
        <w:rPr>
          <w:noProof/>
          <w:position w:val="-32"/>
          <w:lang w:eastAsia="zh-CN" w:bidi="ar-SA"/>
        </w:rPr>
        <w:drawing>
          <wp:inline distT="0" distB="0" distL="0" distR="0" wp14:anchorId="2C62EC4F" wp14:editId="17193FAE">
            <wp:extent cx="1251585" cy="43561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51585" cy="435610"/>
                    </a:xfrm>
                    <a:prstGeom prst="rect">
                      <a:avLst/>
                    </a:prstGeom>
                    <a:noFill/>
                    <a:ln>
                      <a:noFill/>
                    </a:ln>
                  </pic:spPr>
                </pic:pic>
              </a:graphicData>
            </a:graphic>
          </wp:inline>
        </w:drawing>
      </w:r>
      <w:r w:rsidR="0096367E">
        <w:rPr>
          <w:lang w:eastAsia="zh-CN"/>
        </w:rPr>
        <w:tab/>
        <w:t>(A.2)</w:t>
      </w:r>
    </w:p>
    <w:p w14:paraId="29527C41" w14:textId="13D4F3EC" w:rsidR="0085272D" w:rsidRDefault="00FA6998">
      <w:pPr>
        <w:tabs>
          <w:tab w:val="right" w:leader="dot" w:pos="8460"/>
        </w:tabs>
        <w:rPr>
          <w:lang w:eastAsia="zh-CN"/>
        </w:rPr>
      </w:pPr>
      <w:r>
        <w:rPr>
          <w:noProof/>
          <w:position w:val="-42"/>
          <w:lang w:eastAsia="zh-CN" w:bidi="ar-SA"/>
        </w:rPr>
        <w:drawing>
          <wp:inline distT="0" distB="0" distL="0" distR="0" wp14:anchorId="6A1058C1" wp14:editId="4476923C">
            <wp:extent cx="2209800" cy="63119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209800" cy="631190"/>
                    </a:xfrm>
                    <a:prstGeom prst="rect">
                      <a:avLst/>
                    </a:prstGeom>
                    <a:noFill/>
                    <a:ln>
                      <a:noFill/>
                    </a:ln>
                  </pic:spPr>
                </pic:pic>
              </a:graphicData>
            </a:graphic>
          </wp:inline>
        </w:drawing>
      </w:r>
      <w:r w:rsidR="0096367E">
        <w:rPr>
          <w:position w:val="-42"/>
        </w:rPr>
        <w:t xml:space="preserve">   </w:t>
      </w:r>
      <w:r w:rsidR="0096367E">
        <w:t xml:space="preserve">for   </w:t>
      </w:r>
      <w:r>
        <w:rPr>
          <w:noProof/>
          <w:position w:val="-32"/>
          <w:lang w:eastAsia="zh-CN" w:bidi="ar-SA"/>
        </w:rPr>
        <w:drawing>
          <wp:inline distT="0" distB="0" distL="0" distR="0" wp14:anchorId="1029DDF3" wp14:editId="0502F001">
            <wp:extent cx="1632585" cy="4356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632585" cy="435610"/>
                    </a:xfrm>
                    <a:prstGeom prst="rect">
                      <a:avLst/>
                    </a:prstGeom>
                    <a:noFill/>
                    <a:ln>
                      <a:noFill/>
                    </a:ln>
                  </pic:spPr>
                </pic:pic>
              </a:graphicData>
            </a:graphic>
          </wp:inline>
        </w:drawing>
      </w:r>
      <w:r w:rsidR="0096367E">
        <w:rPr>
          <w:lang w:eastAsia="zh-CN"/>
        </w:rPr>
        <w:tab/>
        <w:t>(A.3)</w:t>
      </w:r>
    </w:p>
    <w:p w14:paraId="5C758BD9" w14:textId="77777777" w:rsidR="0085272D" w:rsidRDefault="0096367E">
      <w:r>
        <w:t xml:space="preserve">When </w:t>
      </w:r>
      <m:oMath>
        <m:r>
          <w:rPr>
            <w:rFonts w:ascii="Cambria Math" w:hAnsi="Cambria Math"/>
          </w:rPr>
          <m:t>2≤</m:t>
        </m:r>
        <m:sSub>
          <m:sSubPr>
            <m:ctrlPr>
              <w:rPr>
                <w:rFonts w:ascii="Cambria Math" w:hAnsi="Cambria Math"/>
              </w:rPr>
            </m:ctrlPr>
          </m:sSubPr>
          <m:e>
            <m:r>
              <w:rPr>
                <w:rFonts w:ascii="Cambria Math" w:hAnsi="Cambria Math"/>
              </w:rPr>
              <m:t>L</m:t>
            </m:r>
            <m:r>
              <m:rPr>
                <m:sty m:val="p"/>
              </m:rPr>
              <w:rPr>
                <w:rFonts w:ascii="Cambria Math" w:hAnsi="Cambria Math"/>
              </w:rPr>
              <m:t>/</m:t>
            </m:r>
            <m:r>
              <w:rPr>
                <w:rFonts w:ascii="Cambria Math" w:hAnsi="Cambria Math"/>
              </w:rPr>
              <m:t>σ</m:t>
            </m:r>
          </m:e>
          <m:sub>
            <m:r>
              <w:rPr>
                <w:rFonts w:ascii="Cambria Math" w:hAnsi="Cambria Math"/>
              </w:rPr>
              <m:t>ff</m:t>
            </m:r>
          </m:sub>
        </m:sSub>
        <m:r>
          <m:rPr>
            <m:sty m:val="p"/>
          </m:rPr>
          <w:rPr>
            <w:rFonts w:ascii="Cambria Math" w:hAnsi="Cambria Math"/>
          </w:rPr>
          <m:t>≤3</m:t>
        </m:r>
      </m:oMath>
      <w:r>
        <w:t>, a(z) is given by:</w:t>
      </w:r>
    </w:p>
    <w:p w14:paraId="2482F38D" w14:textId="5578B9EB" w:rsidR="0085272D" w:rsidRDefault="00FA6998">
      <w:pPr>
        <w:tabs>
          <w:tab w:val="right" w:leader="dot" w:pos="8460"/>
        </w:tabs>
        <w:rPr>
          <w:lang w:eastAsia="zh-CN"/>
        </w:rPr>
      </w:pPr>
      <w:r>
        <w:rPr>
          <w:noProof/>
          <w:position w:val="-42"/>
          <w:lang w:eastAsia="zh-CN" w:bidi="ar-SA"/>
        </w:rPr>
        <w:drawing>
          <wp:inline distT="0" distB="0" distL="0" distR="0" wp14:anchorId="31347417" wp14:editId="6A262C27">
            <wp:extent cx="2209800" cy="63119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209800" cy="631190"/>
                    </a:xfrm>
                    <a:prstGeom prst="rect">
                      <a:avLst/>
                    </a:prstGeom>
                    <a:noFill/>
                    <a:ln>
                      <a:noFill/>
                    </a:ln>
                  </pic:spPr>
                </pic:pic>
              </a:graphicData>
            </a:graphic>
          </wp:inline>
        </w:drawing>
      </w:r>
      <w:r w:rsidR="0096367E">
        <w:rPr>
          <w:position w:val="-42"/>
        </w:rPr>
        <w:t xml:space="preserve">   </w:t>
      </w:r>
      <w:r w:rsidR="0096367E">
        <w:t xml:space="preserve">for   </w:t>
      </w:r>
      <w:r>
        <w:rPr>
          <w:noProof/>
          <w:position w:val="-32"/>
          <w:lang w:eastAsia="zh-CN" w:bidi="ar-SA"/>
        </w:rPr>
        <w:drawing>
          <wp:inline distT="0" distB="0" distL="0" distR="0" wp14:anchorId="445674C4" wp14:editId="168ED344">
            <wp:extent cx="914400" cy="43561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435610"/>
                    </a:xfrm>
                    <a:prstGeom prst="rect">
                      <a:avLst/>
                    </a:prstGeom>
                    <a:noFill/>
                    <a:ln>
                      <a:noFill/>
                    </a:ln>
                  </pic:spPr>
                </pic:pic>
              </a:graphicData>
            </a:graphic>
          </wp:inline>
        </w:drawing>
      </w:r>
      <w:r w:rsidR="0096367E">
        <w:rPr>
          <w:lang w:eastAsia="zh-CN"/>
        </w:rPr>
        <w:tab/>
        <w:t>(A.4)</w:t>
      </w:r>
    </w:p>
    <w:p w14:paraId="4EC63B64" w14:textId="20AF9873" w:rsidR="0085272D" w:rsidRDefault="00FA6998">
      <w:pPr>
        <w:tabs>
          <w:tab w:val="right" w:leader="dot" w:pos="8460"/>
        </w:tabs>
        <w:rPr>
          <w:lang w:eastAsia="zh-CN"/>
        </w:rPr>
      </w:pPr>
      <w:r>
        <w:rPr>
          <w:noProof/>
          <w:position w:val="-34"/>
          <w:lang w:eastAsia="zh-CN" w:bidi="ar-SA"/>
        </w:rPr>
        <w:drawing>
          <wp:inline distT="0" distB="0" distL="0" distR="0" wp14:anchorId="43CA57F2" wp14:editId="087236DE">
            <wp:extent cx="1153795" cy="47879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153795" cy="478790"/>
                    </a:xfrm>
                    <a:prstGeom prst="rect">
                      <a:avLst/>
                    </a:prstGeom>
                    <a:noFill/>
                    <a:ln>
                      <a:noFill/>
                    </a:ln>
                  </pic:spPr>
                </pic:pic>
              </a:graphicData>
            </a:graphic>
          </wp:inline>
        </w:drawing>
      </w:r>
      <w:r w:rsidR="0096367E">
        <w:rPr>
          <w:position w:val="-42"/>
        </w:rPr>
        <w:t xml:space="preserve">   </w:t>
      </w:r>
      <w:r w:rsidR="0096367E">
        <w:t xml:space="preserve">for   </w:t>
      </w:r>
      <w:r>
        <w:rPr>
          <w:noProof/>
          <w:position w:val="-32"/>
          <w:lang w:eastAsia="zh-CN" w:bidi="ar-SA"/>
        </w:rPr>
        <w:drawing>
          <wp:inline distT="0" distB="0" distL="0" distR="0" wp14:anchorId="449CC976" wp14:editId="0EF47430">
            <wp:extent cx="1251585" cy="43561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51585" cy="435610"/>
                    </a:xfrm>
                    <a:prstGeom prst="rect">
                      <a:avLst/>
                    </a:prstGeom>
                    <a:noFill/>
                    <a:ln>
                      <a:noFill/>
                    </a:ln>
                  </pic:spPr>
                </pic:pic>
              </a:graphicData>
            </a:graphic>
          </wp:inline>
        </w:drawing>
      </w:r>
      <w:r w:rsidR="0096367E">
        <w:rPr>
          <w:lang w:eastAsia="zh-CN"/>
        </w:rPr>
        <w:tab/>
        <w:t>(A.5)</w:t>
      </w:r>
    </w:p>
    <w:p w14:paraId="25E15CFF" w14:textId="6A73210B" w:rsidR="0085272D" w:rsidRDefault="00FA6998">
      <w:pPr>
        <w:tabs>
          <w:tab w:val="right" w:leader="dot" w:pos="8460"/>
        </w:tabs>
        <w:rPr>
          <w:lang w:eastAsia="zh-CN"/>
        </w:rPr>
      </w:pPr>
      <w:r>
        <w:rPr>
          <w:noProof/>
          <w:position w:val="-42"/>
          <w:lang w:eastAsia="zh-CN" w:bidi="ar-SA"/>
        </w:rPr>
        <w:drawing>
          <wp:inline distT="0" distB="0" distL="0" distR="0" wp14:anchorId="4DE998F2" wp14:editId="722E0498">
            <wp:extent cx="2209800" cy="631190"/>
            <wp:effectExtent l="0" t="0" r="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09800" cy="631190"/>
                    </a:xfrm>
                    <a:prstGeom prst="rect">
                      <a:avLst/>
                    </a:prstGeom>
                    <a:noFill/>
                    <a:ln>
                      <a:noFill/>
                    </a:ln>
                  </pic:spPr>
                </pic:pic>
              </a:graphicData>
            </a:graphic>
          </wp:inline>
        </w:drawing>
      </w:r>
      <w:r w:rsidR="0096367E">
        <w:rPr>
          <w:position w:val="-42"/>
        </w:rPr>
        <w:t xml:space="preserve">   </w:t>
      </w:r>
      <w:r w:rsidR="0096367E">
        <w:t xml:space="preserve">for   </w:t>
      </w:r>
      <w:r>
        <w:rPr>
          <w:noProof/>
          <w:position w:val="-32"/>
          <w:lang w:eastAsia="zh-CN" w:bidi="ar-SA"/>
        </w:rPr>
        <w:drawing>
          <wp:inline distT="0" distB="0" distL="0" distR="0" wp14:anchorId="159D5708" wp14:editId="541FBCB0">
            <wp:extent cx="1632585" cy="43561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632585" cy="435610"/>
                    </a:xfrm>
                    <a:prstGeom prst="rect">
                      <a:avLst/>
                    </a:prstGeom>
                    <a:noFill/>
                    <a:ln>
                      <a:noFill/>
                    </a:ln>
                  </pic:spPr>
                </pic:pic>
              </a:graphicData>
            </a:graphic>
          </wp:inline>
        </w:drawing>
      </w:r>
      <w:r w:rsidR="0096367E">
        <w:rPr>
          <w:lang w:eastAsia="zh-CN"/>
        </w:rPr>
        <w:tab/>
        <w:t>(A.6)</w:t>
      </w:r>
    </w:p>
    <w:p w14:paraId="51B96B2B" w14:textId="77777777" w:rsidR="0085272D" w:rsidRDefault="0096367E">
      <w:r>
        <w:t xml:space="preserve">If </w:t>
      </w:r>
      <m:oMath>
        <m:r>
          <w:rPr>
            <w:rFonts w:ascii="Cambria Math" w:hAnsi="Cambria Math"/>
          </w:rPr>
          <m:t>1.5≤</m:t>
        </m:r>
        <m:sSub>
          <m:sSubPr>
            <m:ctrlPr>
              <w:rPr>
                <w:rFonts w:ascii="Cambria Math" w:hAnsi="Cambria Math"/>
              </w:rPr>
            </m:ctrlPr>
          </m:sSubPr>
          <m:e>
            <m:r>
              <w:rPr>
                <w:rFonts w:ascii="Cambria Math" w:hAnsi="Cambria Math"/>
              </w:rPr>
              <m:t>L</m:t>
            </m:r>
            <m:r>
              <m:rPr>
                <m:sty m:val="p"/>
              </m:rPr>
              <w:rPr>
                <w:rFonts w:ascii="Cambria Math" w:hAnsi="Cambria Math"/>
              </w:rPr>
              <m:t>/</m:t>
            </m:r>
            <m:r>
              <w:rPr>
                <w:rFonts w:ascii="Cambria Math" w:hAnsi="Cambria Math"/>
              </w:rPr>
              <m:t>σ</m:t>
            </m:r>
          </m:e>
          <m:sub>
            <m:r>
              <w:rPr>
                <w:rFonts w:ascii="Cambria Math" w:hAnsi="Cambria Math"/>
              </w:rPr>
              <m:t>ff</m:t>
            </m:r>
          </m:sub>
        </m:sSub>
        <m:r>
          <m:rPr>
            <m:sty m:val="p"/>
          </m:rPr>
          <w:rPr>
            <w:rFonts w:ascii="Cambria Math" w:hAnsi="Cambria Math"/>
          </w:rPr>
          <m:t>≤2</m:t>
        </m:r>
      </m:oMath>
      <w:r>
        <w:t>, then a(z) is:</w:t>
      </w:r>
    </w:p>
    <w:p w14:paraId="515123DE" w14:textId="1A6C5288" w:rsidR="0085272D" w:rsidRDefault="00FA6998">
      <w:pPr>
        <w:tabs>
          <w:tab w:val="right" w:leader="dot" w:pos="8460"/>
        </w:tabs>
        <w:rPr>
          <w:lang w:eastAsia="zh-CN"/>
        </w:rPr>
      </w:pPr>
      <w:r>
        <w:rPr>
          <w:noProof/>
          <w:position w:val="-34"/>
          <w:lang w:eastAsia="zh-CN" w:bidi="ar-SA"/>
        </w:rPr>
        <w:drawing>
          <wp:inline distT="0" distB="0" distL="0" distR="0" wp14:anchorId="50207C96" wp14:editId="1B90BB40">
            <wp:extent cx="1197610" cy="47879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197610" cy="478790"/>
                    </a:xfrm>
                    <a:prstGeom prst="rect">
                      <a:avLst/>
                    </a:prstGeom>
                    <a:noFill/>
                    <a:ln>
                      <a:noFill/>
                    </a:ln>
                  </pic:spPr>
                </pic:pic>
              </a:graphicData>
            </a:graphic>
          </wp:inline>
        </w:drawing>
      </w:r>
      <w:r w:rsidR="0096367E">
        <w:rPr>
          <w:position w:val="-42"/>
        </w:rPr>
        <w:t xml:space="preserve">  </w:t>
      </w:r>
      <w:r w:rsidR="0096367E">
        <w:rPr>
          <w:lang w:eastAsia="zh-CN"/>
        </w:rPr>
        <w:tab/>
        <w:t>(A.7)</w:t>
      </w:r>
    </w:p>
    <w:p w14:paraId="30D9CDEC" w14:textId="77777777" w:rsidR="003F3293" w:rsidRDefault="003F3293">
      <w:pPr>
        <w:tabs>
          <w:tab w:val="right" w:leader="dot" w:pos="8460"/>
        </w:tabs>
        <w:rPr>
          <w:lang w:eastAsia="zh-CN"/>
        </w:rPr>
      </w:pPr>
    </w:p>
    <w:p w14:paraId="2EBD9B25" w14:textId="77777777" w:rsidR="003F3293" w:rsidRDefault="003F3293">
      <w:pPr>
        <w:tabs>
          <w:tab w:val="right" w:leader="dot" w:pos="8460"/>
        </w:tabs>
        <w:rPr>
          <w:lang w:eastAsia="zh-CN"/>
        </w:rPr>
      </w:pPr>
    </w:p>
    <w:p w14:paraId="3AF5AE10" w14:textId="77777777" w:rsidR="003F3293" w:rsidRDefault="003F3293">
      <w:pPr>
        <w:tabs>
          <w:tab w:val="right" w:leader="dot" w:pos="8460"/>
        </w:tabs>
        <w:rPr>
          <w:lang w:eastAsia="zh-CN"/>
        </w:rPr>
      </w:pPr>
    </w:p>
    <w:p w14:paraId="7E236A8F" w14:textId="77777777" w:rsidR="003F3293" w:rsidRDefault="003F3293">
      <w:pPr>
        <w:tabs>
          <w:tab w:val="right" w:leader="dot" w:pos="8460"/>
        </w:tabs>
        <w:rPr>
          <w:lang w:eastAsia="zh-CN"/>
        </w:rPr>
      </w:pPr>
    </w:p>
    <w:p w14:paraId="2FBBEC7B" w14:textId="77777777" w:rsidR="003F3293" w:rsidRDefault="003F3293">
      <w:pPr>
        <w:tabs>
          <w:tab w:val="right" w:leader="dot" w:pos="8460"/>
        </w:tabs>
        <w:rPr>
          <w:lang w:eastAsia="zh-CN"/>
        </w:rPr>
      </w:pPr>
    </w:p>
    <w:p w14:paraId="576C0053" w14:textId="77777777" w:rsidR="003F3293" w:rsidRDefault="003F3293">
      <w:pPr>
        <w:tabs>
          <w:tab w:val="right" w:leader="dot" w:pos="8460"/>
        </w:tabs>
        <w:rPr>
          <w:lang w:eastAsia="zh-CN"/>
        </w:rPr>
      </w:pPr>
    </w:p>
    <w:p w14:paraId="65556198" w14:textId="77777777" w:rsidR="003F3293" w:rsidRDefault="003F3293">
      <w:pPr>
        <w:tabs>
          <w:tab w:val="right" w:leader="dot" w:pos="8460"/>
        </w:tabs>
        <w:rPr>
          <w:lang w:eastAsia="zh-CN"/>
        </w:rPr>
      </w:pPr>
    </w:p>
    <w:p w14:paraId="178DDE36" w14:textId="77777777" w:rsidR="003F3293" w:rsidRDefault="003F3293">
      <w:pPr>
        <w:tabs>
          <w:tab w:val="right" w:leader="dot" w:pos="8460"/>
        </w:tabs>
        <w:rPr>
          <w:lang w:eastAsia="zh-CN"/>
        </w:rPr>
      </w:pPr>
    </w:p>
    <w:p w14:paraId="389276DD" w14:textId="77777777" w:rsidR="003F3293" w:rsidRDefault="003F3293">
      <w:pPr>
        <w:tabs>
          <w:tab w:val="right" w:leader="dot" w:pos="8460"/>
        </w:tabs>
        <w:rPr>
          <w:lang w:eastAsia="zh-CN"/>
        </w:rPr>
      </w:pPr>
    </w:p>
    <w:p w14:paraId="65E6CD6E" w14:textId="77777777" w:rsidR="003F3293" w:rsidRDefault="003F3293">
      <w:pPr>
        <w:tabs>
          <w:tab w:val="right" w:leader="dot" w:pos="8460"/>
        </w:tabs>
        <w:rPr>
          <w:lang w:eastAsia="zh-CN"/>
        </w:rPr>
      </w:pPr>
    </w:p>
    <w:p w14:paraId="6263EA4C" w14:textId="77777777" w:rsidR="003F3293" w:rsidRDefault="003F3293">
      <w:pPr>
        <w:tabs>
          <w:tab w:val="right" w:leader="dot" w:pos="8460"/>
        </w:tabs>
        <w:rPr>
          <w:lang w:eastAsia="zh-CN"/>
        </w:rPr>
      </w:pPr>
    </w:p>
    <w:p w14:paraId="2E2050AF" w14:textId="77777777" w:rsidR="003F3293" w:rsidRDefault="003F3293">
      <w:pPr>
        <w:tabs>
          <w:tab w:val="right" w:leader="dot" w:pos="8460"/>
        </w:tabs>
        <w:rPr>
          <w:lang w:eastAsia="zh-CN"/>
        </w:rPr>
      </w:pPr>
    </w:p>
    <w:p w14:paraId="28C412B5" w14:textId="77777777" w:rsidR="003F3293" w:rsidRDefault="003F3293">
      <w:pPr>
        <w:tabs>
          <w:tab w:val="right" w:leader="dot" w:pos="8460"/>
        </w:tabs>
        <w:rPr>
          <w:lang w:eastAsia="zh-CN"/>
        </w:rPr>
      </w:pPr>
    </w:p>
    <w:p w14:paraId="050E6806" w14:textId="77777777" w:rsidR="003F3293" w:rsidRDefault="003F3293">
      <w:pPr>
        <w:tabs>
          <w:tab w:val="right" w:leader="dot" w:pos="8460"/>
        </w:tabs>
        <w:rPr>
          <w:lang w:eastAsia="zh-CN"/>
        </w:rPr>
      </w:pPr>
    </w:p>
    <w:p w14:paraId="14B95F7C" w14:textId="77777777" w:rsidR="003F3293" w:rsidRDefault="003F3293">
      <w:pPr>
        <w:tabs>
          <w:tab w:val="right" w:leader="dot" w:pos="8460"/>
        </w:tabs>
        <w:rPr>
          <w:lang w:eastAsia="zh-CN"/>
        </w:rPr>
      </w:pPr>
    </w:p>
    <w:p w14:paraId="2690DF75" w14:textId="77777777" w:rsidR="003F3293" w:rsidRDefault="003F3293">
      <w:pPr>
        <w:tabs>
          <w:tab w:val="right" w:leader="dot" w:pos="8460"/>
        </w:tabs>
        <w:rPr>
          <w:lang w:eastAsia="zh-CN"/>
        </w:rPr>
      </w:pPr>
    </w:p>
    <w:p w14:paraId="1ED942F4" w14:textId="77777777" w:rsidR="003F3293" w:rsidRDefault="003F3293">
      <w:pPr>
        <w:tabs>
          <w:tab w:val="right" w:leader="dot" w:pos="8460"/>
        </w:tabs>
        <w:rPr>
          <w:lang w:eastAsia="zh-CN"/>
        </w:rPr>
      </w:pPr>
    </w:p>
    <w:p w14:paraId="0FEA4E01" w14:textId="77777777" w:rsidR="003F3293" w:rsidRDefault="003F3293">
      <w:pPr>
        <w:tabs>
          <w:tab w:val="right" w:leader="dot" w:pos="8460"/>
        </w:tabs>
        <w:rPr>
          <w:lang w:eastAsia="zh-CN"/>
        </w:rPr>
      </w:pPr>
    </w:p>
    <w:p w14:paraId="2ABF3B28" w14:textId="77777777" w:rsidR="003F3293" w:rsidRDefault="003F3293">
      <w:pPr>
        <w:tabs>
          <w:tab w:val="right" w:leader="dot" w:pos="8460"/>
        </w:tabs>
        <w:rPr>
          <w:lang w:eastAsia="zh-CN"/>
        </w:rPr>
      </w:pPr>
    </w:p>
    <w:p w14:paraId="054D2941" w14:textId="77777777" w:rsidR="003F3293" w:rsidRDefault="003F3293">
      <w:pPr>
        <w:tabs>
          <w:tab w:val="right" w:leader="dot" w:pos="8460"/>
        </w:tabs>
        <w:rPr>
          <w:lang w:eastAsia="zh-CN"/>
        </w:rPr>
      </w:pPr>
    </w:p>
    <w:p w14:paraId="7C344D2B" w14:textId="77777777" w:rsidR="003F3293" w:rsidRDefault="003F3293">
      <w:pPr>
        <w:tabs>
          <w:tab w:val="right" w:leader="dot" w:pos="8460"/>
        </w:tabs>
        <w:rPr>
          <w:lang w:eastAsia="zh-CN"/>
        </w:rPr>
      </w:pPr>
    </w:p>
    <w:p w14:paraId="7D81716A" w14:textId="77777777" w:rsidR="003F3293" w:rsidRDefault="003F3293">
      <w:pPr>
        <w:tabs>
          <w:tab w:val="right" w:leader="dot" w:pos="8460"/>
        </w:tabs>
        <w:rPr>
          <w:lang w:eastAsia="zh-CN"/>
        </w:rPr>
      </w:pPr>
    </w:p>
    <w:p w14:paraId="69E8E704" w14:textId="77777777" w:rsidR="003F3293" w:rsidRPr="003F3293" w:rsidRDefault="003F3293" w:rsidP="003F3293">
      <w:pPr>
        <w:pStyle w:val="Heading1"/>
        <w:ind w:left="240" w:right="240"/>
      </w:pPr>
      <w:bookmarkStart w:id="66" w:name="_Toc508114178"/>
      <w:r>
        <w:t xml:space="preserve">Appendix B: </w:t>
      </w:r>
      <w:r w:rsidRPr="003F3293">
        <w:t>Volumetric Method for Shale Gas Content Calculations</w:t>
      </w:r>
      <w:bookmarkEnd w:id="66"/>
    </w:p>
    <w:p w14:paraId="2A195CE7" w14:textId="14D58874" w:rsidR="003C7BD7" w:rsidRDefault="003F3293" w:rsidP="003F3293">
      <w:pPr>
        <w:jc w:val="both"/>
      </w:pPr>
      <w:r>
        <w:t>By definition, the amount of free gas in inorganic matrix is the total volume of the gas at surface condition per unit mass of rock:</w:t>
      </w:r>
    </w:p>
    <w:p w14:paraId="65970553" w14:textId="1ECE6871" w:rsidR="003F3293" w:rsidRDefault="00975146" w:rsidP="003F3293">
      <w:pPr>
        <w:tabs>
          <w:tab w:val="right" w:leader="dot" w:pos="8460"/>
        </w:tabs>
        <w:rPr>
          <w:lang w:eastAsia="zh-CN"/>
        </w:rPr>
      </w:pPr>
      <w:r>
        <w:rPr>
          <w:noProof/>
          <w:position w:val="-30"/>
          <w:lang w:eastAsia="zh-CN" w:bidi="ar-SA"/>
        </w:rPr>
        <w:drawing>
          <wp:inline distT="0" distB="0" distL="0" distR="0" wp14:anchorId="3685C380" wp14:editId="57E48D88">
            <wp:extent cx="1402624" cy="531258"/>
            <wp:effectExtent l="0" t="0" r="0" b="254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51013" cy="549586"/>
                    </a:xfrm>
                    <a:prstGeom prst="rect">
                      <a:avLst/>
                    </a:prstGeom>
                    <a:noFill/>
                    <a:ln>
                      <a:noFill/>
                    </a:ln>
                  </pic:spPr>
                </pic:pic>
              </a:graphicData>
            </a:graphic>
          </wp:inline>
        </w:drawing>
      </w:r>
      <w:r w:rsidR="003F3293">
        <w:rPr>
          <w:lang w:eastAsia="zh-CN"/>
        </w:rPr>
        <w:tab/>
        <w:t>(B.1)</w:t>
      </w:r>
    </w:p>
    <w:p w14:paraId="6DB42C86" w14:textId="77777777" w:rsidR="003F3293" w:rsidRDefault="003F3293" w:rsidP="003F3293">
      <w:pPr>
        <w:jc w:val="both"/>
      </w:pPr>
      <w:r>
        <w:t>Where V</w:t>
      </w:r>
      <w:r>
        <w:rPr>
          <w:vertAlign w:val="subscript"/>
        </w:rPr>
        <w:t>f,inorg,surf</w:t>
      </w:r>
      <w:r>
        <w:t xml:space="preserve"> is the volume of the free gas at surface condition, M</w:t>
      </w:r>
      <w:r>
        <w:rPr>
          <w:vertAlign w:val="subscript"/>
        </w:rPr>
        <w:t>b</w:t>
      </w:r>
      <w:r>
        <w:t xml:space="preserve"> is the mass of the rock. By applying the mass conservation at surface condition and reservoir condition, we can have:</w:t>
      </w:r>
    </w:p>
    <w:p w14:paraId="341CF5AF" w14:textId="603E6C7B" w:rsidR="003F3293" w:rsidRDefault="00975146" w:rsidP="003F3293">
      <w:pPr>
        <w:tabs>
          <w:tab w:val="right" w:leader="dot" w:pos="8460"/>
        </w:tabs>
        <w:rPr>
          <w:lang w:eastAsia="zh-CN"/>
        </w:rPr>
      </w:pPr>
      <w:r>
        <w:rPr>
          <w:noProof/>
          <w:position w:val="-32"/>
          <w:lang w:eastAsia="zh-CN" w:bidi="ar-SA"/>
        </w:rPr>
        <w:drawing>
          <wp:inline distT="0" distB="0" distL="0" distR="0" wp14:anchorId="47C40B77" wp14:editId="64332F7C">
            <wp:extent cx="1758859" cy="57026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852277" cy="600554"/>
                    </a:xfrm>
                    <a:prstGeom prst="rect">
                      <a:avLst/>
                    </a:prstGeom>
                    <a:noFill/>
                    <a:ln>
                      <a:noFill/>
                    </a:ln>
                  </pic:spPr>
                </pic:pic>
              </a:graphicData>
            </a:graphic>
          </wp:inline>
        </w:drawing>
      </w:r>
      <w:r w:rsidR="003F3293">
        <w:rPr>
          <w:lang w:eastAsia="zh-CN"/>
        </w:rPr>
        <w:tab/>
        <w:t>(B.2)</w:t>
      </w:r>
    </w:p>
    <w:p w14:paraId="560A0EB8" w14:textId="77777777" w:rsidR="003F3293" w:rsidRDefault="003F3293" w:rsidP="003F3293">
      <w:pPr>
        <w:jc w:val="both"/>
      </w:pPr>
      <w:r>
        <w:t>Where V</w:t>
      </w:r>
      <w:r>
        <w:rPr>
          <w:vertAlign w:val="subscript"/>
        </w:rPr>
        <w:t>f,inorg,res</w:t>
      </w:r>
      <w:r>
        <w:t xml:space="preserve"> is the volume of the free gas at reservoir condition, ρ</w:t>
      </w:r>
      <w:r>
        <w:rPr>
          <w:vertAlign w:val="subscript"/>
        </w:rPr>
        <w:t>f,res</w:t>
      </w:r>
      <w:r>
        <w:t xml:space="preserve"> and ρ</w:t>
      </w:r>
      <w:r>
        <w:rPr>
          <w:vertAlign w:val="subscript"/>
        </w:rPr>
        <w:t>f,surf</w:t>
      </w:r>
      <w:r>
        <w:t xml:space="preserve"> are the free gas density at reservoir and surface conditions, respectively. The total mass of the rock in Equation B.2 is expressed as the product of rock bulk density ρ</w:t>
      </w:r>
      <w:r>
        <w:rPr>
          <w:vertAlign w:val="subscript"/>
        </w:rPr>
        <w:t>b</w:t>
      </w:r>
      <w:r>
        <w:t xml:space="preserve"> and rock bulk volume V</w:t>
      </w:r>
      <w:r>
        <w:rPr>
          <w:vertAlign w:val="subscript"/>
        </w:rPr>
        <w:t>b</w:t>
      </w:r>
      <w:r>
        <w:t>. Then, the volume of the free gas at reservoir condition, V</w:t>
      </w:r>
      <w:r>
        <w:rPr>
          <w:vertAlign w:val="subscript"/>
        </w:rPr>
        <w:t>f,inorg,res</w:t>
      </w:r>
      <w:r>
        <w:t xml:space="preserve">, can be expressed in terms of porosity, bulk volume and water saturation. </w:t>
      </w:r>
    </w:p>
    <w:p w14:paraId="5AE38202" w14:textId="69470819" w:rsidR="003F3293" w:rsidRDefault="00975146" w:rsidP="003F3293">
      <w:pPr>
        <w:tabs>
          <w:tab w:val="right" w:leader="dot" w:pos="8460"/>
        </w:tabs>
        <w:rPr>
          <w:lang w:eastAsia="zh-CN"/>
        </w:rPr>
      </w:pPr>
      <w:r>
        <w:rPr>
          <w:noProof/>
          <w:position w:val="-70"/>
          <w:lang w:eastAsia="zh-CN" w:bidi="ar-SA"/>
        </w:rPr>
        <w:drawing>
          <wp:inline distT="0" distB="0" distL="0" distR="0" wp14:anchorId="022F205B" wp14:editId="142A0C50">
            <wp:extent cx="2604653" cy="868499"/>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644531" cy="881796"/>
                    </a:xfrm>
                    <a:prstGeom prst="rect">
                      <a:avLst/>
                    </a:prstGeom>
                    <a:noFill/>
                    <a:ln>
                      <a:noFill/>
                    </a:ln>
                  </pic:spPr>
                </pic:pic>
              </a:graphicData>
            </a:graphic>
          </wp:inline>
        </w:drawing>
      </w:r>
      <w:r w:rsidR="003F3293">
        <w:rPr>
          <w:lang w:eastAsia="zh-CN"/>
        </w:rPr>
        <w:tab/>
        <w:t>(B.3)</w:t>
      </w:r>
    </w:p>
    <w:p w14:paraId="64FF6668" w14:textId="2C9AC0AE" w:rsidR="003F3293" w:rsidRDefault="003F3293" w:rsidP="003F3293">
      <w:pPr>
        <w:jc w:val="both"/>
      </w:pPr>
      <w:r>
        <w:t>Where ϕ</w:t>
      </w:r>
      <w:r>
        <w:rPr>
          <w:vertAlign w:val="subscript"/>
        </w:rPr>
        <w:t>t</w:t>
      </w:r>
      <w:r>
        <w:t xml:space="preserve"> and ϕ</w:t>
      </w:r>
      <w:r>
        <w:rPr>
          <w:vertAlign w:val="subscript"/>
        </w:rPr>
        <w:t>k</w:t>
      </w:r>
      <w:r>
        <w:t xml:space="preserve"> are the total porosity and kerogen porosity, respectively. S</w:t>
      </w:r>
      <w:r>
        <w:rPr>
          <w:vertAlign w:val="subscript"/>
        </w:rPr>
        <w:t>w</w:t>
      </w:r>
      <w:r>
        <w:t xml:space="preserve"> is water saturation. In Equation B.3, the free gas density at surface condition in expressed in terms is apparent free gas molar mass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f</m:t>
            </m:r>
          </m:sub>
        </m:sSub>
      </m:oMath>
      <w:r>
        <w:rPr>
          <w:rFonts w:eastAsia="MS Mincho"/>
        </w:rPr>
        <w:t xml:space="preserve">, </w:t>
      </w:r>
      <w:r>
        <w:t>compressibility at surface condition</w:t>
      </w:r>
      <w:r>
        <w:rPr>
          <w:rFonts w:eastAsia="MS Mincho"/>
        </w:rPr>
        <w:t xml:space="preserve"> </w:t>
      </w:r>
      <w:r>
        <w:t>Z</w:t>
      </w:r>
      <w:r>
        <w:rPr>
          <w:vertAlign w:val="subscript"/>
        </w:rPr>
        <w:t>f</w:t>
      </w:r>
      <w:r>
        <w:t>, surface temperature and pressure and gas constant, based on gas law. If the surface condition is 298.15 K and 0.1 MPa, Equation (A.3) becomes:</w:t>
      </w:r>
    </w:p>
    <w:p w14:paraId="3508A243" w14:textId="3CA3B56C" w:rsidR="003F3293" w:rsidRDefault="00975146" w:rsidP="003F3293">
      <w:pPr>
        <w:tabs>
          <w:tab w:val="right" w:leader="dot" w:pos="8460"/>
        </w:tabs>
        <w:rPr>
          <w:lang w:eastAsia="zh-CN"/>
        </w:rPr>
      </w:pPr>
      <w:r>
        <w:rPr>
          <w:noProof/>
          <w:position w:val="-64"/>
          <w:lang w:eastAsia="zh-CN" w:bidi="ar-SA"/>
        </w:rPr>
        <w:drawing>
          <wp:inline distT="0" distB="0" distL="0" distR="0" wp14:anchorId="7A20ED84" wp14:editId="05FB6885">
            <wp:extent cx="3587889" cy="836204"/>
            <wp:effectExtent l="0" t="0" r="0" b="254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768052" cy="878193"/>
                    </a:xfrm>
                    <a:prstGeom prst="rect">
                      <a:avLst/>
                    </a:prstGeom>
                    <a:noFill/>
                    <a:ln>
                      <a:noFill/>
                    </a:ln>
                  </pic:spPr>
                </pic:pic>
              </a:graphicData>
            </a:graphic>
          </wp:inline>
        </w:drawing>
      </w:r>
      <w:r w:rsidR="003F3293">
        <w:rPr>
          <w:lang w:eastAsia="zh-CN"/>
        </w:rPr>
        <w:tab/>
        <w:t>(B.4)</w:t>
      </w:r>
    </w:p>
    <w:p w14:paraId="2745AF32" w14:textId="087B754E" w:rsidR="003F3293" w:rsidRDefault="003F3293" w:rsidP="003F3293">
      <w:pPr>
        <w:spacing w:after="100" w:afterAutospacing="1"/>
        <w:jc w:val="both"/>
        <w:rPr>
          <w:rFonts w:eastAsia="MS Mincho"/>
        </w:rPr>
      </w:pPr>
      <w:r>
        <w:t xml:space="preserve">In Equation B.4, the apparent free gas molar mass </w:t>
      </w:r>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M</m:t>
                </m:r>
              </m:e>
            </m:acc>
          </m:e>
          <m:sub>
            <m:r>
              <m:rPr>
                <m:sty m:val="p"/>
              </m:rPr>
              <w:rPr>
                <w:rFonts w:ascii="Cambria Math" w:hAnsi="Cambria Math"/>
              </w:rPr>
              <m:t>f</m:t>
            </m:r>
          </m:sub>
        </m:sSub>
      </m:oMath>
      <w:r>
        <w:rPr>
          <w:rFonts w:eastAsia="MS Mincho"/>
        </w:rPr>
        <w:t xml:space="preserve"> is expressed as the summation of the product of composition and molecular weight for each component. The coefficient 8.7355e5 has the unit of scf*g/(ton*mol). The unit of both the gas density and rock density is ton/m</w:t>
      </w:r>
      <w:r>
        <w:rPr>
          <w:rFonts w:eastAsia="MS Mincho"/>
          <w:vertAlign w:val="superscript"/>
        </w:rPr>
        <w:t>3</w:t>
      </w:r>
      <w:r>
        <w:rPr>
          <w:rFonts w:eastAsia="MS Mincho"/>
        </w:rPr>
        <w:t xml:space="preserve">. </w:t>
      </w:r>
    </w:p>
    <w:p w14:paraId="375ED640" w14:textId="77777777" w:rsidR="003F3293" w:rsidRDefault="003F3293" w:rsidP="003F3293">
      <w:pPr>
        <w:jc w:val="both"/>
        <w:rPr>
          <w:rFonts w:eastAsia="MS Mincho"/>
        </w:rPr>
      </w:pPr>
      <w:r>
        <w:rPr>
          <w:rFonts w:eastAsia="MS Mincho"/>
        </w:rPr>
        <w:t>Similarly, the free gas in organic content G</w:t>
      </w:r>
      <w:r>
        <w:rPr>
          <w:rFonts w:eastAsia="MS Mincho"/>
          <w:vertAlign w:val="subscript"/>
        </w:rPr>
        <w:t xml:space="preserve">f,org </w:t>
      </w:r>
      <w:r>
        <w:rPr>
          <w:rFonts w:eastAsia="MS Mincho"/>
        </w:rPr>
        <w:t xml:space="preserve">at surface condition. </w:t>
      </w:r>
    </w:p>
    <w:p w14:paraId="6B6939F1" w14:textId="0DBF2D5B" w:rsidR="003F3293" w:rsidRPr="00975146" w:rsidRDefault="00975146" w:rsidP="00975146">
      <w:pPr>
        <w:tabs>
          <w:tab w:val="right" w:leader="dot" w:pos="8460"/>
        </w:tabs>
        <w:rPr>
          <w:lang w:eastAsia="zh-CN"/>
        </w:rPr>
      </w:pPr>
      <w:r>
        <w:rPr>
          <w:noProof/>
          <w:position w:val="-64"/>
          <w:lang w:eastAsia="zh-CN" w:bidi="ar-SA"/>
        </w:rPr>
        <w:drawing>
          <wp:inline distT="0" distB="0" distL="0" distR="0" wp14:anchorId="1FE4BB28" wp14:editId="54E5C4E3">
            <wp:extent cx="3183733" cy="833029"/>
            <wp:effectExtent l="0" t="0" r="0" b="571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287943" cy="860296"/>
                    </a:xfrm>
                    <a:prstGeom prst="rect">
                      <a:avLst/>
                    </a:prstGeom>
                    <a:noFill/>
                    <a:ln>
                      <a:noFill/>
                    </a:ln>
                  </pic:spPr>
                </pic:pic>
              </a:graphicData>
            </a:graphic>
          </wp:inline>
        </w:drawing>
      </w:r>
      <w:r w:rsidR="003F3293">
        <w:rPr>
          <w:lang w:eastAsia="zh-CN"/>
        </w:rPr>
        <w:tab/>
        <w:t>(B.5)</w:t>
      </w:r>
    </w:p>
    <w:p w14:paraId="3EE0D274" w14:textId="77777777" w:rsidR="003F3293" w:rsidRDefault="003F3293" w:rsidP="003F3293">
      <w:pPr>
        <w:jc w:val="both"/>
      </w:pPr>
      <w:r>
        <w:t xml:space="preserve">Different than Equation B.4, the void volume of occupied by free gas in kerogen at reservoir condition is calculated by subtracting the total kerogen void volume by the volume taken by adsorbed gas. </w:t>
      </w:r>
    </w:p>
    <w:p w14:paraId="51F68860" w14:textId="6F24947A" w:rsidR="003F3293" w:rsidRDefault="00634FA7" w:rsidP="003F3293">
      <w:pPr>
        <w:jc w:val="both"/>
        <w:rPr>
          <w:rFonts w:eastAsia="MS Mincho"/>
          <w:lang w:eastAsia="zh-CN"/>
        </w:rPr>
      </w:pPr>
      <w:r>
        <w:t xml:space="preserve">Therefore, </w:t>
      </w:r>
      <w:r w:rsidR="003F3293">
        <w:rPr>
          <w:rFonts w:eastAsia="MS Mincho"/>
        </w:rPr>
        <w:t>the adsorbed gas in organic content G</w:t>
      </w:r>
      <w:r w:rsidR="003F3293">
        <w:rPr>
          <w:rFonts w:eastAsia="MS Mincho"/>
          <w:vertAlign w:val="subscript"/>
        </w:rPr>
        <w:t xml:space="preserve">ads </w:t>
      </w:r>
      <w:r w:rsidR="003F3293">
        <w:rPr>
          <w:rFonts w:eastAsia="MS Mincho"/>
        </w:rPr>
        <w:t>is:</w:t>
      </w:r>
    </w:p>
    <w:p w14:paraId="79DABBB7" w14:textId="0943ED8A" w:rsidR="003F3293" w:rsidRDefault="00975146" w:rsidP="003F3293">
      <w:pPr>
        <w:tabs>
          <w:tab w:val="right" w:leader="dot" w:pos="8460"/>
        </w:tabs>
        <w:rPr>
          <w:lang w:eastAsia="zh-CN"/>
        </w:rPr>
      </w:pPr>
      <w:r>
        <w:rPr>
          <w:noProof/>
          <w:position w:val="-64"/>
          <w:lang w:eastAsia="zh-CN" w:bidi="ar-SA"/>
        </w:rPr>
        <w:drawing>
          <wp:inline distT="0" distB="0" distL="0" distR="0" wp14:anchorId="1C765C39" wp14:editId="75C822BF">
            <wp:extent cx="2700745" cy="791301"/>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18427" cy="796482"/>
                    </a:xfrm>
                    <a:prstGeom prst="rect">
                      <a:avLst/>
                    </a:prstGeom>
                    <a:noFill/>
                    <a:ln>
                      <a:noFill/>
                    </a:ln>
                  </pic:spPr>
                </pic:pic>
              </a:graphicData>
            </a:graphic>
          </wp:inline>
        </w:drawing>
      </w:r>
      <w:r w:rsidR="003F3293">
        <w:rPr>
          <w:lang w:eastAsia="zh-CN"/>
        </w:rPr>
        <w:tab/>
        <w:t>(B.5)</w:t>
      </w:r>
    </w:p>
    <w:p w14:paraId="57604A73" w14:textId="77777777" w:rsidR="003F3293" w:rsidRDefault="003F3293" w:rsidP="003F3293">
      <w:pPr>
        <w:jc w:val="both"/>
        <w:rPr>
          <w:lang w:eastAsia="zh-CN"/>
        </w:rPr>
      </w:pPr>
    </w:p>
    <w:p w14:paraId="2414F811" w14:textId="77777777" w:rsidR="003F3293" w:rsidRDefault="003F3293" w:rsidP="003F3293">
      <w:pPr>
        <w:jc w:val="both"/>
      </w:pPr>
      <w:r>
        <w:t>Note that in Equation B.6 all the gas properties are the properties for the adsorbed gas, which is expected to be different compare to that of the free gas. y</w:t>
      </w:r>
      <w:r>
        <w:rPr>
          <w:vertAlign w:val="subscript"/>
        </w:rPr>
        <w:t>i</w:t>
      </w:r>
      <w:r>
        <w:t xml:space="preserve"> is the average fluid composition for the adsorbed gas.</w:t>
      </w:r>
    </w:p>
    <w:p w14:paraId="537D794B" w14:textId="77777777" w:rsidR="003F3293" w:rsidRPr="003F3293" w:rsidRDefault="003F3293">
      <w:pPr>
        <w:tabs>
          <w:tab w:val="right" w:leader="dot" w:pos="8460"/>
        </w:tabs>
        <w:rPr>
          <w:lang w:eastAsia="zh-CN"/>
        </w:rPr>
      </w:pPr>
    </w:p>
    <w:p w14:paraId="0FA31947" w14:textId="77777777" w:rsidR="003F3293" w:rsidRDefault="003F3293">
      <w:pPr>
        <w:tabs>
          <w:tab w:val="right" w:leader="dot" w:pos="8460"/>
        </w:tabs>
        <w:rPr>
          <w:lang w:eastAsia="zh-CN"/>
        </w:rPr>
      </w:pPr>
    </w:p>
    <w:sectPr w:rsidR="003F3293" w:rsidSect="000759E2">
      <w:footerReference w:type="default" r:id="rId19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3BF3E" w14:textId="77777777" w:rsidR="00C677F5" w:rsidRDefault="00C677F5">
      <w:pPr>
        <w:spacing w:line="240" w:lineRule="auto"/>
      </w:pPr>
      <w:r>
        <w:separator/>
      </w:r>
    </w:p>
  </w:endnote>
  <w:endnote w:type="continuationSeparator" w:id="0">
    <w:p w14:paraId="3E511E7E" w14:textId="77777777" w:rsidR="00C677F5" w:rsidRDefault="00C677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84264" w14:textId="77777777" w:rsidR="002F4E62" w:rsidRDefault="002F4E62">
    <w:pPr>
      <w:pStyle w:val="Footer"/>
      <w:jc w:val="center"/>
    </w:pPr>
    <w:r>
      <w:fldChar w:fldCharType="begin"/>
    </w:r>
    <w:r>
      <w:instrText xml:space="preserve"> PAGE   \* MERGEFORMAT </w:instrText>
    </w:r>
    <w:r>
      <w:fldChar w:fldCharType="separate"/>
    </w:r>
    <w:r w:rsidR="00230CB9">
      <w:rPr>
        <w:noProof/>
      </w:rPr>
      <w:t>xix</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594FE" w14:textId="77777777" w:rsidR="002F4E62" w:rsidRDefault="002F4E62">
    <w:pPr>
      <w:pStyle w:val="Footer"/>
      <w:jc w:val="center"/>
    </w:pPr>
    <w:r>
      <w:fldChar w:fldCharType="begin"/>
    </w:r>
    <w:r>
      <w:instrText xml:space="preserve"> PAGE   \* MERGEFORMAT </w:instrText>
    </w:r>
    <w:r>
      <w:fldChar w:fldCharType="separate"/>
    </w:r>
    <w:r w:rsidR="00230CB9">
      <w:rPr>
        <w:noProof/>
      </w:rPr>
      <w:t>27</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386E5" w14:textId="77777777" w:rsidR="00C677F5" w:rsidRDefault="00C677F5">
      <w:pPr>
        <w:spacing w:line="240" w:lineRule="auto"/>
      </w:pPr>
      <w:r>
        <w:separator/>
      </w:r>
    </w:p>
  </w:footnote>
  <w:footnote w:type="continuationSeparator" w:id="0">
    <w:p w14:paraId="31E0D571" w14:textId="77777777" w:rsidR="00C677F5" w:rsidRDefault="00C677F5">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917F84"/>
    <w:multiLevelType w:val="multilevel"/>
    <w:tmpl w:val="2491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7950A24"/>
    <w:multiLevelType w:val="multilevel"/>
    <w:tmpl w:val="6795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AC53067"/>
    <w:multiLevelType w:val="multilevel"/>
    <w:tmpl w:val="7AC530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en-US" w:vendorID="64" w:dllVersion="4096" w:nlCheck="1" w:checkStyle="0"/>
  <w:defaultTabStop w:val="720"/>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Q0Nza2NDU2NDCzMDdX0lEKTi0uzszPAykwqQUAxyhaoSwAAAA="/>
  </w:docVars>
  <w:rsids>
    <w:rsidRoot w:val="003A060D"/>
    <w:rsid w:val="000018C3"/>
    <w:rsid w:val="00004819"/>
    <w:rsid w:val="00013B37"/>
    <w:rsid w:val="00013BF4"/>
    <w:rsid w:val="00015054"/>
    <w:rsid w:val="000179CE"/>
    <w:rsid w:val="000202D9"/>
    <w:rsid w:val="00020562"/>
    <w:rsid w:val="0002126F"/>
    <w:rsid w:val="00022E91"/>
    <w:rsid w:val="0002304A"/>
    <w:rsid w:val="00024051"/>
    <w:rsid w:val="00025A12"/>
    <w:rsid w:val="00025D27"/>
    <w:rsid w:val="0002707F"/>
    <w:rsid w:val="00027787"/>
    <w:rsid w:val="00031792"/>
    <w:rsid w:val="0003206F"/>
    <w:rsid w:val="00033B49"/>
    <w:rsid w:val="00034110"/>
    <w:rsid w:val="00035201"/>
    <w:rsid w:val="00035B03"/>
    <w:rsid w:val="000370DC"/>
    <w:rsid w:val="000404D7"/>
    <w:rsid w:val="00040C8F"/>
    <w:rsid w:val="0004103B"/>
    <w:rsid w:val="00041638"/>
    <w:rsid w:val="000437EF"/>
    <w:rsid w:val="000500EC"/>
    <w:rsid w:val="00050D54"/>
    <w:rsid w:val="00052AC3"/>
    <w:rsid w:val="000539FE"/>
    <w:rsid w:val="000544BD"/>
    <w:rsid w:val="0005529E"/>
    <w:rsid w:val="00060244"/>
    <w:rsid w:val="00061D53"/>
    <w:rsid w:val="00062116"/>
    <w:rsid w:val="0006276B"/>
    <w:rsid w:val="00063084"/>
    <w:rsid w:val="000633D4"/>
    <w:rsid w:val="0006398D"/>
    <w:rsid w:val="00067BF5"/>
    <w:rsid w:val="000707B1"/>
    <w:rsid w:val="000718ED"/>
    <w:rsid w:val="000759E2"/>
    <w:rsid w:val="00076B36"/>
    <w:rsid w:val="00076B5F"/>
    <w:rsid w:val="00077F0A"/>
    <w:rsid w:val="000810D2"/>
    <w:rsid w:val="00081634"/>
    <w:rsid w:val="0008176F"/>
    <w:rsid w:val="0008226A"/>
    <w:rsid w:val="000844F6"/>
    <w:rsid w:val="00085FFD"/>
    <w:rsid w:val="000901F1"/>
    <w:rsid w:val="00093982"/>
    <w:rsid w:val="000949B6"/>
    <w:rsid w:val="000959B4"/>
    <w:rsid w:val="00096DAA"/>
    <w:rsid w:val="000973F4"/>
    <w:rsid w:val="000A1A6A"/>
    <w:rsid w:val="000A4A35"/>
    <w:rsid w:val="000A59CB"/>
    <w:rsid w:val="000A5CA6"/>
    <w:rsid w:val="000A64FF"/>
    <w:rsid w:val="000A6F5D"/>
    <w:rsid w:val="000A7B7E"/>
    <w:rsid w:val="000B0021"/>
    <w:rsid w:val="000B69EC"/>
    <w:rsid w:val="000B6D09"/>
    <w:rsid w:val="000B72FB"/>
    <w:rsid w:val="000B7DBF"/>
    <w:rsid w:val="000C003B"/>
    <w:rsid w:val="000C0D08"/>
    <w:rsid w:val="000C1183"/>
    <w:rsid w:val="000C18E6"/>
    <w:rsid w:val="000C24B8"/>
    <w:rsid w:val="000C2E2D"/>
    <w:rsid w:val="000C2E54"/>
    <w:rsid w:val="000C54C5"/>
    <w:rsid w:val="000C6DCE"/>
    <w:rsid w:val="000D087D"/>
    <w:rsid w:val="000D0CE4"/>
    <w:rsid w:val="000D1561"/>
    <w:rsid w:val="000D21E0"/>
    <w:rsid w:val="000D32FD"/>
    <w:rsid w:val="000D4347"/>
    <w:rsid w:val="000D5D80"/>
    <w:rsid w:val="000D5F9F"/>
    <w:rsid w:val="000D742D"/>
    <w:rsid w:val="000E068D"/>
    <w:rsid w:val="000E0D77"/>
    <w:rsid w:val="000E10FE"/>
    <w:rsid w:val="000E4BAE"/>
    <w:rsid w:val="000E75F0"/>
    <w:rsid w:val="000F16BC"/>
    <w:rsid w:val="000F1F70"/>
    <w:rsid w:val="000F3439"/>
    <w:rsid w:val="000F56FF"/>
    <w:rsid w:val="000F7251"/>
    <w:rsid w:val="001036A9"/>
    <w:rsid w:val="00105BBB"/>
    <w:rsid w:val="00105C07"/>
    <w:rsid w:val="00106C83"/>
    <w:rsid w:val="00111915"/>
    <w:rsid w:val="0011244A"/>
    <w:rsid w:val="00113ED7"/>
    <w:rsid w:val="00116C2A"/>
    <w:rsid w:val="00117052"/>
    <w:rsid w:val="00117FE0"/>
    <w:rsid w:val="00123189"/>
    <w:rsid w:val="00123A89"/>
    <w:rsid w:val="0012474B"/>
    <w:rsid w:val="001309F9"/>
    <w:rsid w:val="001315CA"/>
    <w:rsid w:val="0013160B"/>
    <w:rsid w:val="00131899"/>
    <w:rsid w:val="00132BA2"/>
    <w:rsid w:val="001335DC"/>
    <w:rsid w:val="00134AA0"/>
    <w:rsid w:val="00136074"/>
    <w:rsid w:val="001360C1"/>
    <w:rsid w:val="00142AED"/>
    <w:rsid w:val="00143562"/>
    <w:rsid w:val="00144B35"/>
    <w:rsid w:val="00145787"/>
    <w:rsid w:val="001476E4"/>
    <w:rsid w:val="00147CF0"/>
    <w:rsid w:val="00152935"/>
    <w:rsid w:val="00153B90"/>
    <w:rsid w:val="00161BAE"/>
    <w:rsid w:val="00163F31"/>
    <w:rsid w:val="00164A87"/>
    <w:rsid w:val="00165618"/>
    <w:rsid w:val="00165991"/>
    <w:rsid w:val="00166F36"/>
    <w:rsid w:val="00167B51"/>
    <w:rsid w:val="00171BD7"/>
    <w:rsid w:val="00172240"/>
    <w:rsid w:val="00174266"/>
    <w:rsid w:val="0017444E"/>
    <w:rsid w:val="00175C9E"/>
    <w:rsid w:val="00177E36"/>
    <w:rsid w:val="0018021B"/>
    <w:rsid w:val="00180428"/>
    <w:rsid w:val="00181B1C"/>
    <w:rsid w:val="00187691"/>
    <w:rsid w:val="00187C44"/>
    <w:rsid w:val="00190D78"/>
    <w:rsid w:val="0019170B"/>
    <w:rsid w:val="00192DD9"/>
    <w:rsid w:val="001931DE"/>
    <w:rsid w:val="001932F9"/>
    <w:rsid w:val="00193AE3"/>
    <w:rsid w:val="00194192"/>
    <w:rsid w:val="00195F6A"/>
    <w:rsid w:val="001A04AD"/>
    <w:rsid w:val="001A3FA5"/>
    <w:rsid w:val="001A424C"/>
    <w:rsid w:val="001A49C7"/>
    <w:rsid w:val="001B12EF"/>
    <w:rsid w:val="001B1636"/>
    <w:rsid w:val="001B17EA"/>
    <w:rsid w:val="001B1F34"/>
    <w:rsid w:val="001B4558"/>
    <w:rsid w:val="001B51FB"/>
    <w:rsid w:val="001B6C38"/>
    <w:rsid w:val="001C3B63"/>
    <w:rsid w:val="001C4938"/>
    <w:rsid w:val="001C6DE7"/>
    <w:rsid w:val="001D23FE"/>
    <w:rsid w:val="001D2B8A"/>
    <w:rsid w:val="001D3364"/>
    <w:rsid w:val="001D456D"/>
    <w:rsid w:val="001D4938"/>
    <w:rsid w:val="001D5E3A"/>
    <w:rsid w:val="001D7DA0"/>
    <w:rsid w:val="001E2404"/>
    <w:rsid w:val="001E729C"/>
    <w:rsid w:val="001E7BCC"/>
    <w:rsid w:val="001F1AD1"/>
    <w:rsid w:val="00200600"/>
    <w:rsid w:val="00203108"/>
    <w:rsid w:val="00203BC4"/>
    <w:rsid w:val="00204F96"/>
    <w:rsid w:val="00206DD6"/>
    <w:rsid w:val="002106DB"/>
    <w:rsid w:val="002114BE"/>
    <w:rsid w:val="002120F6"/>
    <w:rsid w:val="00212E67"/>
    <w:rsid w:val="0021445A"/>
    <w:rsid w:val="002147D8"/>
    <w:rsid w:val="002152D2"/>
    <w:rsid w:val="00216EFB"/>
    <w:rsid w:val="00222885"/>
    <w:rsid w:val="00223979"/>
    <w:rsid w:val="00223F71"/>
    <w:rsid w:val="00226D05"/>
    <w:rsid w:val="00226EB4"/>
    <w:rsid w:val="00230CB9"/>
    <w:rsid w:val="002313C4"/>
    <w:rsid w:val="00231B14"/>
    <w:rsid w:val="00232C7F"/>
    <w:rsid w:val="0023375C"/>
    <w:rsid w:val="00241359"/>
    <w:rsid w:val="0024195A"/>
    <w:rsid w:val="0024317E"/>
    <w:rsid w:val="00243D2C"/>
    <w:rsid w:val="00252AB1"/>
    <w:rsid w:val="00254272"/>
    <w:rsid w:val="00254D1A"/>
    <w:rsid w:val="00255C1A"/>
    <w:rsid w:val="00257B3A"/>
    <w:rsid w:val="00260F9A"/>
    <w:rsid w:val="0026161E"/>
    <w:rsid w:val="00261DEF"/>
    <w:rsid w:val="00262DB3"/>
    <w:rsid w:val="00265909"/>
    <w:rsid w:val="0026590A"/>
    <w:rsid w:val="00266299"/>
    <w:rsid w:val="0027174C"/>
    <w:rsid w:val="00271ED6"/>
    <w:rsid w:val="00272225"/>
    <w:rsid w:val="00272CAD"/>
    <w:rsid w:val="00277441"/>
    <w:rsid w:val="0027783E"/>
    <w:rsid w:val="002808CE"/>
    <w:rsid w:val="0028266C"/>
    <w:rsid w:val="00284A88"/>
    <w:rsid w:val="00286152"/>
    <w:rsid w:val="00286C29"/>
    <w:rsid w:val="002878FC"/>
    <w:rsid w:val="00290990"/>
    <w:rsid w:val="00291E28"/>
    <w:rsid w:val="00291E2C"/>
    <w:rsid w:val="002966F6"/>
    <w:rsid w:val="00297C22"/>
    <w:rsid w:val="002A057C"/>
    <w:rsid w:val="002A0C6A"/>
    <w:rsid w:val="002A1ECA"/>
    <w:rsid w:val="002A370D"/>
    <w:rsid w:val="002A3969"/>
    <w:rsid w:val="002A3B11"/>
    <w:rsid w:val="002A4253"/>
    <w:rsid w:val="002A4AA8"/>
    <w:rsid w:val="002A5454"/>
    <w:rsid w:val="002A55CF"/>
    <w:rsid w:val="002B09D7"/>
    <w:rsid w:val="002B168B"/>
    <w:rsid w:val="002B4527"/>
    <w:rsid w:val="002B5F94"/>
    <w:rsid w:val="002C0539"/>
    <w:rsid w:val="002C1BAC"/>
    <w:rsid w:val="002C43A5"/>
    <w:rsid w:val="002C485D"/>
    <w:rsid w:val="002C52B1"/>
    <w:rsid w:val="002C6C0E"/>
    <w:rsid w:val="002C6C5A"/>
    <w:rsid w:val="002C79E9"/>
    <w:rsid w:val="002D1851"/>
    <w:rsid w:val="002D1C45"/>
    <w:rsid w:val="002D302E"/>
    <w:rsid w:val="002D34EC"/>
    <w:rsid w:val="002D3B03"/>
    <w:rsid w:val="002D47A4"/>
    <w:rsid w:val="002D6740"/>
    <w:rsid w:val="002D6E20"/>
    <w:rsid w:val="002E0D41"/>
    <w:rsid w:val="002E141C"/>
    <w:rsid w:val="002E157F"/>
    <w:rsid w:val="002E2C22"/>
    <w:rsid w:val="002E3E19"/>
    <w:rsid w:val="002E53FD"/>
    <w:rsid w:val="002E6FDB"/>
    <w:rsid w:val="002E7A4C"/>
    <w:rsid w:val="002E7D77"/>
    <w:rsid w:val="002F1055"/>
    <w:rsid w:val="002F1A58"/>
    <w:rsid w:val="002F2780"/>
    <w:rsid w:val="002F4565"/>
    <w:rsid w:val="002F4E62"/>
    <w:rsid w:val="002F630E"/>
    <w:rsid w:val="002F752C"/>
    <w:rsid w:val="002F7AE2"/>
    <w:rsid w:val="00300AEF"/>
    <w:rsid w:val="00300FF7"/>
    <w:rsid w:val="00301A5F"/>
    <w:rsid w:val="00303760"/>
    <w:rsid w:val="003038A2"/>
    <w:rsid w:val="00304B16"/>
    <w:rsid w:val="0030639F"/>
    <w:rsid w:val="00306A25"/>
    <w:rsid w:val="00306FF7"/>
    <w:rsid w:val="0030755C"/>
    <w:rsid w:val="0030759F"/>
    <w:rsid w:val="0030767B"/>
    <w:rsid w:val="00307DE5"/>
    <w:rsid w:val="003119B7"/>
    <w:rsid w:val="003125CC"/>
    <w:rsid w:val="00314422"/>
    <w:rsid w:val="00314D3B"/>
    <w:rsid w:val="00314F3F"/>
    <w:rsid w:val="00315A17"/>
    <w:rsid w:val="0031750F"/>
    <w:rsid w:val="003218D0"/>
    <w:rsid w:val="00322C97"/>
    <w:rsid w:val="003240AA"/>
    <w:rsid w:val="00324541"/>
    <w:rsid w:val="00325CBB"/>
    <w:rsid w:val="0032620C"/>
    <w:rsid w:val="00330F9A"/>
    <w:rsid w:val="003321D8"/>
    <w:rsid w:val="00332A1B"/>
    <w:rsid w:val="00340C88"/>
    <w:rsid w:val="00341099"/>
    <w:rsid w:val="00342486"/>
    <w:rsid w:val="00343673"/>
    <w:rsid w:val="0034412C"/>
    <w:rsid w:val="003449F5"/>
    <w:rsid w:val="00344DC8"/>
    <w:rsid w:val="003450B1"/>
    <w:rsid w:val="00347725"/>
    <w:rsid w:val="003504C2"/>
    <w:rsid w:val="0035061E"/>
    <w:rsid w:val="00350CE1"/>
    <w:rsid w:val="00353200"/>
    <w:rsid w:val="003538D2"/>
    <w:rsid w:val="00354B55"/>
    <w:rsid w:val="003558BC"/>
    <w:rsid w:val="00357416"/>
    <w:rsid w:val="003635D6"/>
    <w:rsid w:val="0036398B"/>
    <w:rsid w:val="003639BC"/>
    <w:rsid w:val="0036401A"/>
    <w:rsid w:val="00364B1F"/>
    <w:rsid w:val="003659A0"/>
    <w:rsid w:val="003665CC"/>
    <w:rsid w:val="003705BC"/>
    <w:rsid w:val="00370AC3"/>
    <w:rsid w:val="00371B6D"/>
    <w:rsid w:val="003724EF"/>
    <w:rsid w:val="0037292B"/>
    <w:rsid w:val="00372A67"/>
    <w:rsid w:val="003773B8"/>
    <w:rsid w:val="003813BB"/>
    <w:rsid w:val="00383E12"/>
    <w:rsid w:val="003854B2"/>
    <w:rsid w:val="00385E9D"/>
    <w:rsid w:val="00385EB3"/>
    <w:rsid w:val="00386D55"/>
    <w:rsid w:val="00386E26"/>
    <w:rsid w:val="00393159"/>
    <w:rsid w:val="00394D1F"/>
    <w:rsid w:val="00396207"/>
    <w:rsid w:val="00397ACF"/>
    <w:rsid w:val="003A00CF"/>
    <w:rsid w:val="003A060D"/>
    <w:rsid w:val="003A1057"/>
    <w:rsid w:val="003A17CB"/>
    <w:rsid w:val="003A1EB6"/>
    <w:rsid w:val="003A246C"/>
    <w:rsid w:val="003A3F09"/>
    <w:rsid w:val="003A52CC"/>
    <w:rsid w:val="003B14D6"/>
    <w:rsid w:val="003B73A8"/>
    <w:rsid w:val="003B763D"/>
    <w:rsid w:val="003B7D45"/>
    <w:rsid w:val="003C2D87"/>
    <w:rsid w:val="003C3FF4"/>
    <w:rsid w:val="003C7BD7"/>
    <w:rsid w:val="003D317A"/>
    <w:rsid w:val="003D3FD6"/>
    <w:rsid w:val="003D479D"/>
    <w:rsid w:val="003D55BF"/>
    <w:rsid w:val="003D6197"/>
    <w:rsid w:val="003D7040"/>
    <w:rsid w:val="003E0763"/>
    <w:rsid w:val="003E17C7"/>
    <w:rsid w:val="003E22B5"/>
    <w:rsid w:val="003E401A"/>
    <w:rsid w:val="003E5DB3"/>
    <w:rsid w:val="003E792A"/>
    <w:rsid w:val="003E7DC3"/>
    <w:rsid w:val="003F02D7"/>
    <w:rsid w:val="003F0382"/>
    <w:rsid w:val="003F1757"/>
    <w:rsid w:val="003F23FE"/>
    <w:rsid w:val="003F3293"/>
    <w:rsid w:val="003F336A"/>
    <w:rsid w:val="003F3FF0"/>
    <w:rsid w:val="00403A71"/>
    <w:rsid w:val="00405B67"/>
    <w:rsid w:val="0041192B"/>
    <w:rsid w:val="00411A05"/>
    <w:rsid w:val="00411DF7"/>
    <w:rsid w:val="00415ABF"/>
    <w:rsid w:val="0041654B"/>
    <w:rsid w:val="00417473"/>
    <w:rsid w:val="0041769D"/>
    <w:rsid w:val="00423651"/>
    <w:rsid w:val="004237DE"/>
    <w:rsid w:val="00423FFD"/>
    <w:rsid w:val="004247A5"/>
    <w:rsid w:val="00433ED2"/>
    <w:rsid w:val="00434302"/>
    <w:rsid w:val="00435312"/>
    <w:rsid w:val="00441086"/>
    <w:rsid w:val="004431F8"/>
    <w:rsid w:val="00444B96"/>
    <w:rsid w:val="00444FEE"/>
    <w:rsid w:val="00446426"/>
    <w:rsid w:val="00452227"/>
    <w:rsid w:val="0045267A"/>
    <w:rsid w:val="00452A17"/>
    <w:rsid w:val="00453AA8"/>
    <w:rsid w:val="00456536"/>
    <w:rsid w:val="00457976"/>
    <w:rsid w:val="0046044D"/>
    <w:rsid w:val="00461AA9"/>
    <w:rsid w:val="00464478"/>
    <w:rsid w:val="00465884"/>
    <w:rsid w:val="00465896"/>
    <w:rsid w:val="004670EB"/>
    <w:rsid w:val="00467229"/>
    <w:rsid w:val="00471F76"/>
    <w:rsid w:val="00472B7F"/>
    <w:rsid w:val="00474967"/>
    <w:rsid w:val="004804BA"/>
    <w:rsid w:val="00481F15"/>
    <w:rsid w:val="00483E80"/>
    <w:rsid w:val="00484BD6"/>
    <w:rsid w:val="004876DA"/>
    <w:rsid w:val="00491F61"/>
    <w:rsid w:val="004920D4"/>
    <w:rsid w:val="004924D2"/>
    <w:rsid w:val="00493012"/>
    <w:rsid w:val="0049559E"/>
    <w:rsid w:val="004A3DEC"/>
    <w:rsid w:val="004A44F6"/>
    <w:rsid w:val="004A7A8A"/>
    <w:rsid w:val="004B55DC"/>
    <w:rsid w:val="004B6ABB"/>
    <w:rsid w:val="004C0AC1"/>
    <w:rsid w:val="004C352D"/>
    <w:rsid w:val="004C381B"/>
    <w:rsid w:val="004C6C9B"/>
    <w:rsid w:val="004D2A1C"/>
    <w:rsid w:val="004D41C4"/>
    <w:rsid w:val="004D6069"/>
    <w:rsid w:val="004D61EA"/>
    <w:rsid w:val="004D77CA"/>
    <w:rsid w:val="004E01BF"/>
    <w:rsid w:val="004E246F"/>
    <w:rsid w:val="004E389B"/>
    <w:rsid w:val="004E3CF2"/>
    <w:rsid w:val="004E59AB"/>
    <w:rsid w:val="004E6F5C"/>
    <w:rsid w:val="004F41EF"/>
    <w:rsid w:val="004F42DC"/>
    <w:rsid w:val="004F65E0"/>
    <w:rsid w:val="004F740C"/>
    <w:rsid w:val="0050083D"/>
    <w:rsid w:val="00501A55"/>
    <w:rsid w:val="00504075"/>
    <w:rsid w:val="005042A8"/>
    <w:rsid w:val="005065C8"/>
    <w:rsid w:val="005071EF"/>
    <w:rsid w:val="005100D1"/>
    <w:rsid w:val="0051336B"/>
    <w:rsid w:val="005165ED"/>
    <w:rsid w:val="005215BF"/>
    <w:rsid w:val="00521F7D"/>
    <w:rsid w:val="005246D3"/>
    <w:rsid w:val="00527625"/>
    <w:rsid w:val="0053028C"/>
    <w:rsid w:val="00531B08"/>
    <w:rsid w:val="0053234B"/>
    <w:rsid w:val="005354E8"/>
    <w:rsid w:val="00542479"/>
    <w:rsid w:val="005455DD"/>
    <w:rsid w:val="00545F7C"/>
    <w:rsid w:val="005511E8"/>
    <w:rsid w:val="00554874"/>
    <w:rsid w:val="00554C9C"/>
    <w:rsid w:val="00555FD0"/>
    <w:rsid w:val="00557086"/>
    <w:rsid w:val="005707B6"/>
    <w:rsid w:val="00575F8B"/>
    <w:rsid w:val="0057775C"/>
    <w:rsid w:val="00582EBC"/>
    <w:rsid w:val="00584508"/>
    <w:rsid w:val="00586285"/>
    <w:rsid w:val="00587C33"/>
    <w:rsid w:val="00590749"/>
    <w:rsid w:val="00596960"/>
    <w:rsid w:val="00596CB7"/>
    <w:rsid w:val="005A0254"/>
    <w:rsid w:val="005A1661"/>
    <w:rsid w:val="005A2769"/>
    <w:rsid w:val="005A2B79"/>
    <w:rsid w:val="005A4EA7"/>
    <w:rsid w:val="005A6FAC"/>
    <w:rsid w:val="005A7BBC"/>
    <w:rsid w:val="005B0705"/>
    <w:rsid w:val="005B57FB"/>
    <w:rsid w:val="005B6F79"/>
    <w:rsid w:val="005C0629"/>
    <w:rsid w:val="005C41C6"/>
    <w:rsid w:val="005C44BA"/>
    <w:rsid w:val="005C52E9"/>
    <w:rsid w:val="005C67D8"/>
    <w:rsid w:val="005C6F5E"/>
    <w:rsid w:val="005D106E"/>
    <w:rsid w:val="005D3A3E"/>
    <w:rsid w:val="005D66E1"/>
    <w:rsid w:val="005E036D"/>
    <w:rsid w:val="005E058B"/>
    <w:rsid w:val="005E07BB"/>
    <w:rsid w:val="005E0945"/>
    <w:rsid w:val="005E0D9A"/>
    <w:rsid w:val="005E253B"/>
    <w:rsid w:val="005E31A2"/>
    <w:rsid w:val="005E3D0A"/>
    <w:rsid w:val="005E6720"/>
    <w:rsid w:val="005F46FE"/>
    <w:rsid w:val="005F5384"/>
    <w:rsid w:val="005F5E10"/>
    <w:rsid w:val="005F5E55"/>
    <w:rsid w:val="005F6EB2"/>
    <w:rsid w:val="005F710E"/>
    <w:rsid w:val="005F7817"/>
    <w:rsid w:val="006006B1"/>
    <w:rsid w:val="006026B9"/>
    <w:rsid w:val="00602D1E"/>
    <w:rsid w:val="0060381D"/>
    <w:rsid w:val="00603DA4"/>
    <w:rsid w:val="00604394"/>
    <w:rsid w:val="006053BE"/>
    <w:rsid w:val="00605D18"/>
    <w:rsid w:val="00613415"/>
    <w:rsid w:val="00615A3F"/>
    <w:rsid w:val="0061606E"/>
    <w:rsid w:val="00616A57"/>
    <w:rsid w:val="00616C9C"/>
    <w:rsid w:val="00623E0C"/>
    <w:rsid w:val="006243C0"/>
    <w:rsid w:val="00624AD5"/>
    <w:rsid w:val="00624C72"/>
    <w:rsid w:val="00626017"/>
    <w:rsid w:val="006273C0"/>
    <w:rsid w:val="00627535"/>
    <w:rsid w:val="006312B3"/>
    <w:rsid w:val="006312DC"/>
    <w:rsid w:val="0063223C"/>
    <w:rsid w:val="006330A6"/>
    <w:rsid w:val="00633BB0"/>
    <w:rsid w:val="00633C74"/>
    <w:rsid w:val="00634FA7"/>
    <w:rsid w:val="00635A5A"/>
    <w:rsid w:val="00640323"/>
    <w:rsid w:val="00644A3F"/>
    <w:rsid w:val="00644BDC"/>
    <w:rsid w:val="00644DBC"/>
    <w:rsid w:val="00645211"/>
    <w:rsid w:val="006458D3"/>
    <w:rsid w:val="006459A1"/>
    <w:rsid w:val="00645A8F"/>
    <w:rsid w:val="00646595"/>
    <w:rsid w:val="00653C73"/>
    <w:rsid w:val="006551FB"/>
    <w:rsid w:val="00655675"/>
    <w:rsid w:val="00660B74"/>
    <w:rsid w:val="00661C13"/>
    <w:rsid w:val="0066471D"/>
    <w:rsid w:val="00665ABA"/>
    <w:rsid w:val="00666063"/>
    <w:rsid w:val="006679A4"/>
    <w:rsid w:val="00667B38"/>
    <w:rsid w:val="00670064"/>
    <w:rsid w:val="006719D6"/>
    <w:rsid w:val="00672434"/>
    <w:rsid w:val="00675290"/>
    <w:rsid w:val="00681A55"/>
    <w:rsid w:val="00682245"/>
    <w:rsid w:val="006828B4"/>
    <w:rsid w:val="0068797D"/>
    <w:rsid w:val="00687D9B"/>
    <w:rsid w:val="00691A0F"/>
    <w:rsid w:val="0069415A"/>
    <w:rsid w:val="00695279"/>
    <w:rsid w:val="006A00A5"/>
    <w:rsid w:val="006A0577"/>
    <w:rsid w:val="006A0EFF"/>
    <w:rsid w:val="006A146C"/>
    <w:rsid w:val="006A16BA"/>
    <w:rsid w:val="006A2080"/>
    <w:rsid w:val="006A2B3A"/>
    <w:rsid w:val="006A2F32"/>
    <w:rsid w:val="006A3937"/>
    <w:rsid w:val="006A4978"/>
    <w:rsid w:val="006A6340"/>
    <w:rsid w:val="006A6410"/>
    <w:rsid w:val="006A6824"/>
    <w:rsid w:val="006A77AC"/>
    <w:rsid w:val="006B1D41"/>
    <w:rsid w:val="006B2AEA"/>
    <w:rsid w:val="006B39ED"/>
    <w:rsid w:val="006B5145"/>
    <w:rsid w:val="006B53FF"/>
    <w:rsid w:val="006B5C7A"/>
    <w:rsid w:val="006B686B"/>
    <w:rsid w:val="006C1AEA"/>
    <w:rsid w:val="006C21CE"/>
    <w:rsid w:val="006C2D72"/>
    <w:rsid w:val="006D0A52"/>
    <w:rsid w:val="006D1884"/>
    <w:rsid w:val="006D19BB"/>
    <w:rsid w:val="006E2A23"/>
    <w:rsid w:val="006E3332"/>
    <w:rsid w:val="006E66D7"/>
    <w:rsid w:val="006E7156"/>
    <w:rsid w:val="006E7B17"/>
    <w:rsid w:val="006F088D"/>
    <w:rsid w:val="006F10CE"/>
    <w:rsid w:val="006F3ADE"/>
    <w:rsid w:val="006F4352"/>
    <w:rsid w:val="006F4C78"/>
    <w:rsid w:val="006F7C48"/>
    <w:rsid w:val="006F7E97"/>
    <w:rsid w:val="0070017B"/>
    <w:rsid w:val="00700F73"/>
    <w:rsid w:val="00704051"/>
    <w:rsid w:val="00705086"/>
    <w:rsid w:val="0071010B"/>
    <w:rsid w:val="00712E45"/>
    <w:rsid w:val="00714165"/>
    <w:rsid w:val="0071588F"/>
    <w:rsid w:val="00722400"/>
    <w:rsid w:val="00722C93"/>
    <w:rsid w:val="00722D58"/>
    <w:rsid w:val="00724471"/>
    <w:rsid w:val="00730994"/>
    <w:rsid w:val="00730F0A"/>
    <w:rsid w:val="007317F8"/>
    <w:rsid w:val="00734218"/>
    <w:rsid w:val="0073421C"/>
    <w:rsid w:val="00737529"/>
    <w:rsid w:val="00740F46"/>
    <w:rsid w:val="00744E6D"/>
    <w:rsid w:val="007461C3"/>
    <w:rsid w:val="007467FC"/>
    <w:rsid w:val="00746E16"/>
    <w:rsid w:val="007478E4"/>
    <w:rsid w:val="00752C87"/>
    <w:rsid w:val="007531BA"/>
    <w:rsid w:val="0075526B"/>
    <w:rsid w:val="007559B1"/>
    <w:rsid w:val="00756B1E"/>
    <w:rsid w:val="00760698"/>
    <w:rsid w:val="00761FDB"/>
    <w:rsid w:val="00762F04"/>
    <w:rsid w:val="007633F2"/>
    <w:rsid w:val="007636E3"/>
    <w:rsid w:val="00764EEC"/>
    <w:rsid w:val="007657FA"/>
    <w:rsid w:val="007713AB"/>
    <w:rsid w:val="00771931"/>
    <w:rsid w:val="0077247C"/>
    <w:rsid w:val="00773429"/>
    <w:rsid w:val="007739FB"/>
    <w:rsid w:val="00775701"/>
    <w:rsid w:val="00776039"/>
    <w:rsid w:val="00777E64"/>
    <w:rsid w:val="0078078A"/>
    <w:rsid w:val="007830AD"/>
    <w:rsid w:val="00783A2D"/>
    <w:rsid w:val="00783F5D"/>
    <w:rsid w:val="0078679A"/>
    <w:rsid w:val="007916A3"/>
    <w:rsid w:val="0079518D"/>
    <w:rsid w:val="00797847"/>
    <w:rsid w:val="007A0EEF"/>
    <w:rsid w:val="007A27FD"/>
    <w:rsid w:val="007A36C7"/>
    <w:rsid w:val="007A3C32"/>
    <w:rsid w:val="007A40D9"/>
    <w:rsid w:val="007A4E2C"/>
    <w:rsid w:val="007A54DB"/>
    <w:rsid w:val="007B06A5"/>
    <w:rsid w:val="007B1A1A"/>
    <w:rsid w:val="007B3298"/>
    <w:rsid w:val="007B3424"/>
    <w:rsid w:val="007B418E"/>
    <w:rsid w:val="007B4C20"/>
    <w:rsid w:val="007B5769"/>
    <w:rsid w:val="007B77DF"/>
    <w:rsid w:val="007B7B88"/>
    <w:rsid w:val="007C571D"/>
    <w:rsid w:val="007C6B7B"/>
    <w:rsid w:val="007D5E24"/>
    <w:rsid w:val="007D65E5"/>
    <w:rsid w:val="007D6833"/>
    <w:rsid w:val="007D712E"/>
    <w:rsid w:val="007D73BC"/>
    <w:rsid w:val="007D7C6D"/>
    <w:rsid w:val="007E0035"/>
    <w:rsid w:val="007E0B1F"/>
    <w:rsid w:val="007E2EF7"/>
    <w:rsid w:val="007E347E"/>
    <w:rsid w:val="007E523E"/>
    <w:rsid w:val="007E5847"/>
    <w:rsid w:val="007E5AC1"/>
    <w:rsid w:val="007E7385"/>
    <w:rsid w:val="007E7EF5"/>
    <w:rsid w:val="007F2648"/>
    <w:rsid w:val="007F2C21"/>
    <w:rsid w:val="007F7A84"/>
    <w:rsid w:val="00806573"/>
    <w:rsid w:val="00806AB8"/>
    <w:rsid w:val="0081102E"/>
    <w:rsid w:val="00813202"/>
    <w:rsid w:val="0081432A"/>
    <w:rsid w:val="008147E1"/>
    <w:rsid w:val="00815A4C"/>
    <w:rsid w:val="008166C2"/>
    <w:rsid w:val="008179FE"/>
    <w:rsid w:val="00817D35"/>
    <w:rsid w:val="00825395"/>
    <w:rsid w:val="00825617"/>
    <w:rsid w:val="00826402"/>
    <w:rsid w:val="0083066D"/>
    <w:rsid w:val="00831238"/>
    <w:rsid w:val="00832276"/>
    <w:rsid w:val="0084043F"/>
    <w:rsid w:val="008428C9"/>
    <w:rsid w:val="00844477"/>
    <w:rsid w:val="00845813"/>
    <w:rsid w:val="0084609E"/>
    <w:rsid w:val="00846975"/>
    <w:rsid w:val="00851A0B"/>
    <w:rsid w:val="00851C56"/>
    <w:rsid w:val="0085272D"/>
    <w:rsid w:val="00852FF2"/>
    <w:rsid w:val="00854082"/>
    <w:rsid w:val="0086523C"/>
    <w:rsid w:val="0086646F"/>
    <w:rsid w:val="00871346"/>
    <w:rsid w:val="00871484"/>
    <w:rsid w:val="00872BA8"/>
    <w:rsid w:val="00874651"/>
    <w:rsid w:val="0087497B"/>
    <w:rsid w:val="0087692B"/>
    <w:rsid w:val="008769A5"/>
    <w:rsid w:val="00876C0F"/>
    <w:rsid w:val="00877F7E"/>
    <w:rsid w:val="0088220B"/>
    <w:rsid w:val="008826E4"/>
    <w:rsid w:val="0088279B"/>
    <w:rsid w:val="008832B7"/>
    <w:rsid w:val="008839F9"/>
    <w:rsid w:val="008841C4"/>
    <w:rsid w:val="00886E82"/>
    <w:rsid w:val="008922F8"/>
    <w:rsid w:val="00894C98"/>
    <w:rsid w:val="00896F48"/>
    <w:rsid w:val="008A0545"/>
    <w:rsid w:val="008A1101"/>
    <w:rsid w:val="008A1146"/>
    <w:rsid w:val="008A1DFA"/>
    <w:rsid w:val="008A2BCA"/>
    <w:rsid w:val="008A3F58"/>
    <w:rsid w:val="008A4233"/>
    <w:rsid w:val="008A4F22"/>
    <w:rsid w:val="008B1932"/>
    <w:rsid w:val="008B2EB5"/>
    <w:rsid w:val="008B3EB7"/>
    <w:rsid w:val="008B4525"/>
    <w:rsid w:val="008B508E"/>
    <w:rsid w:val="008B586B"/>
    <w:rsid w:val="008B6B0E"/>
    <w:rsid w:val="008C067B"/>
    <w:rsid w:val="008C1945"/>
    <w:rsid w:val="008C7203"/>
    <w:rsid w:val="008D010A"/>
    <w:rsid w:val="008D3B42"/>
    <w:rsid w:val="008D55BE"/>
    <w:rsid w:val="008D58D3"/>
    <w:rsid w:val="008D7498"/>
    <w:rsid w:val="008E12EC"/>
    <w:rsid w:val="008E17A1"/>
    <w:rsid w:val="008E1C26"/>
    <w:rsid w:val="008E1CF0"/>
    <w:rsid w:val="008E24E5"/>
    <w:rsid w:val="008E2BE2"/>
    <w:rsid w:val="008E3024"/>
    <w:rsid w:val="008E7DB7"/>
    <w:rsid w:val="008F1822"/>
    <w:rsid w:val="008F4993"/>
    <w:rsid w:val="008F56C9"/>
    <w:rsid w:val="008F6B71"/>
    <w:rsid w:val="009013AC"/>
    <w:rsid w:val="00910E2F"/>
    <w:rsid w:val="00910E4F"/>
    <w:rsid w:val="009110E3"/>
    <w:rsid w:val="009114E1"/>
    <w:rsid w:val="0091252E"/>
    <w:rsid w:val="0091425E"/>
    <w:rsid w:val="00914D20"/>
    <w:rsid w:val="00915D34"/>
    <w:rsid w:val="00916CE5"/>
    <w:rsid w:val="00917308"/>
    <w:rsid w:val="00917A65"/>
    <w:rsid w:val="00917C35"/>
    <w:rsid w:val="00917D6C"/>
    <w:rsid w:val="00921A87"/>
    <w:rsid w:val="009245C5"/>
    <w:rsid w:val="00927233"/>
    <w:rsid w:val="009338CF"/>
    <w:rsid w:val="00936FDB"/>
    <w:rsid w:val="00937B18"/>
    <w:rsid w:val="009418C8"/>
    <w:rsid w:val="00941CCD"/>
    <w:rsid w:val="00943C08"/>
    <w:rsid w:val="009455C0"/>
    <w:rsid w:val="0094566D"/>
    <w:rsid w:val="00945847"/>
    <w:rsid w:val="00945904"/>
    <w:rsid w:val="009501BE"/>
    <w:rsid w:val="00950B66"/>
    <w:rsid w:val="00950BB0"/>
    <w:rsid w:val="00952E27"/>
    <w:rsid w:val="009541C5"/>
    <w:rsid w:val="009544D0"/>
    <w:rsid w:val="00955093"/>
    <w:rsid w:val="009569E6"/>
    <w:rsid w:val="00957012"/>
    <w:rsid w:val="0095719D"/>
    <w:rsid w:val="00957A51"/>
    <w:rsid w:val="009609B8"/>
    <w:rsid w:val="00962235"/>
    <w:rsid w:val="00962B80"/>
    <w:rsid w:val="0096367E"/>
    <w:rsid w:val="00963D1F"/>
    <w:rsid w:val="00963E1B"/>
    <w:rsid w:val="00964942"/>
    <w:rsid w:val="00964A3F"/>
    <w:rsid w:val="00966259"/>
    <w:rsid w:val="009671ED"/>
    <w:rsid w:val="0097111A"/>
    <w:rsid w:val="009716FD"/>
    <w:rsid w:val="009742A1"/>
    <w:rsid w:val="00975146"/>
    <w:rsid w:val="009754A0"/>
    <w:rsid w:val="00976AC4"/>
    <w:rsid w:val="00977FCE"/>
    <w:rsid w:val="00981B1B"/>
    <w:rsid w:val="00981FCF"/>
    <w:rsid w:val="009838AD"/>
    <w:rsid w:val="0098499D"/>
    <w:rsid w:val="009857CD"/>
    <w:rsid w:val="009864D8"/>
    <w:rsid w:val="009922B9"/>
    <w:rsid w:val="00992C28"/>
    <w:rsid w:val="009946DF"/>
    <w:rsid w:val="009969A4"/>
    <w:rsid w:val="009975E5"/>
    <w:rsid w:val="00997A12"/>
    <w:rsid w:val="009A29A5"/>
    <w:rsid w:val="009A3E86"/>
    <w:rsid w:val="009A6104"/>
    <w:rsid w:val="009A6EB2"/>
    <w:rsid w:val="009A7103"/>
    <w:rsid w:val="009B1B19"/>
    <w:rsid w:val="009B2982"/>
    <w:rsid w:val="009B338D"/>
    <w:rsid w:val="009B474C"/>
    <w:rsid w:val="009B49FC"/>
    <w:rsid w:val="009B54E5"/>
    <w:rsid w:val="009B5B20"/>
    <w:rsid w:val="009B6762"/>
    <w:rsid w:val="009B723C"/>
    <w:rsid w:val="009B739A"/>
    <w:rsid w:val="009B7B29"/>
    <w:rsid w:val="009C0970"/>
    <w:rsid w:val="009C0B27"/>
    <w:rsid w:val="009C0C20"/>
    <w:rsid w:val="009C0EF0"/>
    <w:rsid w:val="009C3B58"/>
    <w:rsid w:val="009C3C67"/>
    <w:rsid w:val="009C4638"/>
    <w:rsid w:val="009C4FEF"/>
    <w:rsid w:val="009D056A"/>
    <w:rsid w:val="009D0BCC"/>
    <w:rsid w:val="009D2286"/>
    <w:rsid w:val="009D75D7"/>
    <w:rsid w:val="009E01F9"/>
    <w:rsid w:val="009E0BC8"/>
    <w:rsid w:val="009E1112"/>
    <w:rsid w:val="009E21E8"/>
    <w:rsid w:val="009E23DC"/>
    <w:rsid w:val="009E5FEB"/>
    <w:rsid w:val="009F004B"/>
    <w:rsid w:val="009F606E"/>
    <w:rsid w:val="009F7DCD"/>
    <w:rsid w:val="00A0094B"/>
    <w:rsid w:val="00A01B0A"/>
    <w:rsid w:val="00A0751A"/>
    <w:rsid w:val="00A07FBA"/>
    <w:rsid w:val="00A10EC2"/>
    <w:rsid w:val="00A12AF1"/>
    <w:rsid w:val="00A155C9"/>
    <w:rsid w:val="00A2116C"/>
    <w:rsid w:val="00A21895"/>
    <w:rsid w:val="00A239A1"/>
    <w:rsid w:val="00A26E28"/>
    <w:rsid w:val="00A271E7"/>
    <w:rsid w:val="00A34D62"/>
    <w:rsid w:val="00A36098"/>
    <w:rsid w:val="00A36EC7"/>
    <w:rsid w:val="00A4001F"/>
    <w:rsid w:val="00A405B7"/>
    <w:rsid w:val="00A41636"/>
    <w:rsid w:val="00A460F3"/>
    <w:rsid w:val="00A4639B"/>
    <w:rsid w:val="00A50007"/>
    <w:rsid w:val="00A53ACC"/>
    <w:rsid w:val="00A54C8F"/>
    <w:rsid w:val="00A5592D"/>
    <w:rsid w:val="00A55C69"/>
    <w:rsid w:val="00A5626C"/>
    <w:rsid w:val="00A565D3"/>
    <w:rsid w:val="00A56DC6"/>
    <w:rsid w:val="00A56FAA"/>
    <w:rsid w:val="00A6502F"/>
    <w:rsid w:val="00A65F31"/>
    <w:rsid w:val="00A74CD3"/>
    <w:rsid w:val="00A75EF3"/>
    <w:rsid w:val="00A76D67"/>
    <w:rsid w:val="00A773AA"/>
    <w:rsid w:val="00A90647"/>
    <w:rsid w:val="00A907A4"/>
    <w:rsid w:val="00A93698"/>
    <w:rsid w:val="00A93A77"/>
    <w:rsid w:val="00A94289"/>
    <w:rsid w:val="00A972E2"/>
    <w:rsid w:val="00AA0B13"/>
    <w:rsid w:val="00AA16BA"/>
    <w:rsid w:val="00AA1B3B"/>
    <w:rsid w:val="00AA4136"/>
    <w:rsid w:val="00AA4AED"/>
    <w:rsid w:val="00AA4F56"/>
    <w:rsid w:val="00AB0A84"/>
    <w:rsid w:val="00AB1A8D"/>
    <w:rsid w:val="00AB3BBC"/>
    <w:rsid w:val="00AB415F"/>
    <w:rsid w:val="00AB5483"/>
    <w:rsid w:val="00AB59B7"/>
    <w:rsid w:val="00AB67E1"/>
    <w:rsid w:val="00AC0127"/>
    <w:rsid w:val="00AC08A5"/>
    <w:rsid w:val="00AC0EC1"/>
    <w:rsid w:val="00AC12F5"/>
    <w:rsid w:val="00AC163A"/>
    <w:rsid w:val="00AC5E50"/>
    <w:rsid w:val="00AC6105"/>
    <w:rsid w:val="00AC7CB9"/>
    <w:rsid w:val="00AD3317"/>
    <w:rsid w:val="00AD3544"/>
    <w:rsid w:val="00AD405D"/>
    <w:rsid w:val="00AD59C9"/>
    <w:rsid w:val="00AD5DEC"/>
    <w:rsid w:val="00AD7482"/>
    <w:rsid w:val="00AD7867"/>
    <w:rsid w:val="00AE461D"/>
    <w:rsid w:val="00AE5625"/>
    <w:rsid w:val="00AE643E"/>
    <w:rsid w:val="00AE7928"/>
    <w:rsid w:val="00AE7C9E"/>
    <w:rsid w:val="00AF00B8"/>
    <w:rsid w:val="00AF0BB2"/>
    <w:rsid w:val="00AF0D09"/>
    <w:rsid w:val="00AF11B8"/>
    <w:rsid w:val="00AF20EA"/>
    <w:rsid w:val="00AF2126"/>
    <w:rsid w:val="00AF44AE"/>
    <w:rsid w:val="00AF4904"/>
    <w:rsid w:val="00AF598F"/>
    <w:rsid w:val="00AF62D2"/>
    <w:rsid w:val="00B0367E"/>
    <w:rsid w:val="00B04014"/>
    <w:rsid w:val="00B05125"/>
    <w:rsid w:val="00B070C3"/>
    <w:rsid w:val="00B12678"/>
    <w:rsid w:val="00B1305E"/>
    <w:rsid w:val="00B1366C"/>
    <w:rsid w:val="00B13AC0"/>
    <w:rsid w:val="00B13B50"/>
    <w:rsid w:val="00B15B37"/>
    <w:rsid w:val="00B15E86"/>
    <w:rsid w:val="00B16995"/>
    <w:rsid w:val="00B2181C"/>
    <w:rsid w:val="00B22D9C"/>
    <w:rsid w:val="00B242CA"/>
    <w:rsid w:val="00B24733"/>
    <w:rsid w:val="00B24FD4"/>
    <w:rsid w:val="00B25380"/>
    <w:rsid w:val="00B25404"/>
    <w:rsid w:val="00B256B3"/>
    <w:rsid w:val="00B26394"/>
    <w:rsid w:val="00B26845"/>
    <w:rsid w:val="00B26A5E"/>
    <w:rsid w:val="00B26DC5"/>
    <w:rsid w:val="00B2728E"/>
    <w:rsid w:val="00B30FF7"/>
    <w:rsid w:val="00B3129D"/>
    <w:rsid w:val="00B3135A"/>
    <w:rsid w:val="00B31AD3"/>
    <w:rsid w:val="00B32517"/>
    <w:rsid w:val="00B34346"/>
    <w:rsid w:val="00B354BD"/>
    <w:rsid w:val="00B35A45"/>
    <w:rsid w:val="00B35EE6"/>
    <w:rsid w:val="00B36426"/>
    <w:rsid w:val="00B40394"/>
    <w:rsid w:val="00B418E3"/>
    <w:rsid w:val="00B4196C"/>
    <w:rsid w:val="00B4382E"/>
    <w:rsid w:val="00B43F0B"/>
    <w:rsid w:val="00B44B58"/>
    <w:rsid w:val="00B44D72"/>
    <w:rsid w:val="00B4630A"/>
    <w:rsid w:val="00B511C0"/>
    <w:rsid w:val="00B54F62"/>
    <w:rsid w:val="00B5541F"/>
    <w:rsid w:val="00B55BA0"/>
    <w:rsid w:val="00B6080A"/>
    <w:rsid w:val="00B67C32"/>
    <w:rsid w:val="00B730D6"/>
    <w:rsid w:val="00B744CB"/>
    <w:rsid w:val="00B76373"/>
    <w:rsid w:val="00B76A44"/>
    <w:rsid w:val="00B7765C"/>
    <w:rsid w:val="00B81276"/>
    <w:rsid w:val="00B86C04"/>
    <w:rsid w:val="00B90C01"/>
    <w:rsid w:val="00B90D72"/>
    <w:rsid w:val="00B91E22"/>
    <w:rsid w:val="00B94860"/>
    <w:rsid w:val="00B95C2E"/>
    <w:rsid w:val="00B96DAA"/>
    <w:rsid w:val="00B97B00"/>
    <w:rsid w:val="00BA1A3A"/>
    <w:rsid w:val="00BA1B0E"/>
    <w:rsid w:val="00BA383A"/>
    <w:rsid w:val="00BA39B5"/>
    <w:rsid w:val="00BA5264"/>
    <w:rsid w:val="00BA53ED"/>
    <w:rsid w:val="00BA63E5"/>
    <w:rsid w:val="00BA6DC0"/>
    <w:rsid w:val="00BB05D2"/>
    <w:rsid w:val="00BB2DDE"/>
    <w:rsid w:val="00BB3F72"/>
    <w:rsid w:val="00BB4908"/>
    <w:rsid w:val="00BB4E25"/>
    <w:rsid w:val="00BB4FEF"/>
    <w:rsid w:val="00BB5980"/>
    <w:rsid w:val="00BB62DE"/>
    <w:rsid w:val="00BB678C"/>
    <w:rsid w:val="00BB6899"/>
    <w:rsid w:val="00BB7B34"/>
    <w:rsid w:val="00BC0A5A"/>
    <w:rsid w:val="00BC10CB"/>
    <w:rsid w:val="00BC1C9F"/>
    <w:rsid w:val="00BC26F2"/>
    <w:rsid w:val="00BC2EDE"/>
    <w:rsid w:val="00BC4EAF"/>
    <w:rsid w:val="00BD1142"/>
    <w:rsid w:val="00BD2769"/>
    <w:rsid w:val="00BD325A"/>
    <w:rsid w:val="00BD3AE2"/>
    <w:rsid w:val="00BD45C8"/>
    <w:rsid w:val="00BD6CA1"/>
    <w:rsid w:val="00BD76E0"/>
    <w:rsid w:val="00BD7CBD"/>
    <w:rsid w:val="00BE3335"/>
    <w:rsid w:val="00BE3AB8"/>
    <w:rsid w:val="00BE63C3"/>
    <w:rsid w:val="00BE7A39"/>
    <w:rsid w:val="00BE7B61"/>
    <w:rsid w:val="00BE7C2A"/>
    <w:rsid w:val="00BF01E0"/>
    <w:rsid w:val="00BF25EA"/>
    <w:rsid w:val="00BF4914"/>
    <w:rsid w:val="00BF6F3F"/>
    <w:rsid w:val="00C01C28"/>
    <w:rsid w:val="00C02C4A"/>
    <w:rsid w:val="00C042F4"/>
    <w:rsid w:val="00C056E3"/>
    <w:rsid w:val="00C0663E"/>
    <w:rsid w:val="00C101FE"/>
    <w:rsid w:val="00C10617"/>
    <w:rsid w:val="00C110C4"/>
    <w:rsid w:val="00C11817"/>
    <w:rsid w:val="00C137E1"/>
    <w:rsid w:val="00C13ED8"/>
    <w:rsid w:val="00C16A10"/>
    <w:rsid w:val="00C16C66"/>
    <w:rsid w:val="00C16E0F"/>
    <w:rsid w:val="00C21B17"/>
    <w:rsid w:val="00C21DEE"/>
    <w:rsid w:val="00C2754B"/>
    <w:rsid w:val="00C30CCE"/>
    <w:rsid w:val="00C3420C"/>
    <w:rsid w:val="00C36194"/>
    <w:rsid w:val="00C36935"/>
    <w:rsid w:val="00C36E17"/>
    <w:rsid w:val="00C3745C"/>
    <w:rsid w:val="00C378FA"/>
    <w:rsid w:val="00C4062A"/>
    <w:rsid w:val="00C40FAF"/>
    <w:rsid w:val="00C41E0C"/>
    <w:rsid w:val="00C4224A"/>
    <w:rsid w:val="00C44794"/>
    <w:rsid w:val="00C44808"/>
    <w:rsid w:val="00C4480F"/>
    <w:rsid w:val="00C513D6"/>
    <w:rsid w:val="00C52EBD"/>
    <w:rsid w:val="00C5531C"/>
    <w:rsid w:val="00C62AB3"/>
    <w:rsid w:val="00C62E09"/>
    <w:rsid w:val="00C63C23"/>
    <w:rsid w:val="00C63E91"/>
    <w:rsid w:val="00C654CE"/>
    <w:rsid w:val="00C656E5"/>
    <w:rsid w:val="00C66BC0"/>
    <w:rsid w:val="00C67542"/>
    <w:rsid w:val="00C677F5"/>
    <w:rsid w:val="00C73673"/>
    <w:rsid w:val="00C7406C"/>
    <w:rsid w:val="00C74646"/>
    <w:rsid w:val="00C75509"/>
    <w:rsid w:val="00C813F3"/>
    <w:rsid w:val="00C8309D"/>
    <w:rsid w:val="00C8326D"/>
    <w:rsid w:val="00C8472F"/>
    <w:rsid w:val="00C91F0A"/>
    <w:rsid w:val="00C92079"/>
    <w:rsid w:val="00C955D7"/>
    <w:rsid w:val="00C95FBC"/>
    <w:rsid w:val="00C97AA8"/>
    <w:rsid w:val="00C97C53"/>
    <w:rsid w:val="00CA1E35"/>
    <w:rsid w:val="00CA3733"/>
    <w:rsid w:val="00CA373F"/>
    <w:rsid w:val="00CA4C81"/>
    <w:rsid w:val="00CA617A"/>
    <w:rsid w:val="00CA69AD"/>
    <w:rsid w:val="00CA7C73"/>
    <w:rsid w:val="00CB2138"/>
    <w:rsid w:val="00CB25C7"/>
    <w:rsid w:val="00CC0F6D"/>
    <w:rsid w:val="00CC4210"/>
    <w:rsid w:val="00CC4931"/>
    <w:rsid w:val="00CC4D85"/>
    <w:rsid w:val="00CC6FA5"/>
    <w:rsid w:val="00CC7599"/>
    <w:rsid w:val="00CD0846"/>
    <w:rsid w:val="00CD181C"/>
    <w:rsid w:val="00CD2527"/>
    <w:rsid w:val="00CD34D9"/>
    <w:rsid w:val="00CD547D"/>
    <w:rsid w:val="00CD5568"/>
    <w:rsid w:val="00CD60CD"/>
    <w:rsid w:val="00CD66B2"/>
    <w:rsid w:val="00CD7DD6"/>
    <w:rsid w:val="00CE00DC"/>
    <w:rsid w:val="00CE1629"/>
    <w:rsid w:val="00CE253F"/>
    <w:rsid w:val="00CE2F97"/>
    <w:rsid w:val="00CE7679"/>
    <w:rsid w:val="00CF0466"/>
    <w:rsid w:val="00CF2A78"/>
    <w:rsid w:val="00CF31CD"/>
    <w:rsid w:val="00CF6552"/>
    <w:rsid w:val="00D02295"/>
    <w:rsid w:val="00D03A7E"/>
    <w:rsid w:val="00D104E1"/>
    <w:rsid w:val="00D12DC4"/>
    <w:rsid w:val="00D13125"/>
    <w:rsid w:val="00D151DD"/>
    <w:rsid w:val="00D21C9C"/>
    <w:rsid w:val="00D22771"/>
    <w:rsid w:val="00D23514"/>
    <w:rsid w:val="00D27883"/>
    <w:rsid w:val="00D3003A"/>
    <w:rsid w:val="00D332B1"/>
    <w:rsid w:val="00D34FEE"/>
    <w:rsid w:val="00D358FB"/>
    <w:rsid w:val="00D3626D"/>
    <w:rsid w:val="00D37BB9"/>
    <w:rsid w:val="00D37DEE"/>
    <w:rsid w:val="00D4053B"/>
    <w:rsid w:val="00D40EF1"/>
    <w:rsid w:val="00D416E5"/>
    <w:rsid w:val="00D417E2"/>
    <w:rsid w:val="00D418C5"/>
    <w:rsid w:val="00D42672"/>
    <w:rsid w:val="00D43AC2"/>
    <w:rsid w:val="00D4495C"/>
    <w:rsid w:val="00D46204"/>
    <w:rsid w:val="00D54CEB"/>
    <w:rsid w:val="00D55855"/>
    <w:rsid w:val="00D61E49"/>
    <w:rsid w:val="00D666D6"/>
    <w:rsid w:val="00D666F3"/>
    <w:rsid w:val="00D70F6E"/>
    <w:rsid w:val="00D71BD0"/>
    <w:rsid w:val="00D72088"/>
    <w:rsid w:val="00D72B8A"/>
    <w:rsid w:val="00D75BC3"/>
    <w:rsid w:val="00D7667E"/>
    <w:rsid w:val="00D77D17"/>
    <w:rsid w:val="00D80FDB"/>
    <w:rsid w:val="00D83B1B"/>
    <w:rsid w:val="00D83B4A"/>
    <w:rsid w:val="00D85DF0"/>
    <w:rsid w:val="00D85F96"/>
    <w:rsid w:val="00D86906"/>
    <w:rsid w:val="00D9110D"/>
    <w:rsid w:val="00D911D3"/>
    <w:rsid w:val="00D92DAB"/>
    <w:rsid w:val="00D94F32"/>
    <w:rsid w:val="00D96621"/>
    <w:rsid w:val="00D97880"/>
    <w:rsid w:val="00DA0169"/>
    <w:rsid w:val="00DA10D5"/>
    <w:rsid w:val="00DA1971"/>
    <w:rsid w:val="00DA2381"/>
    <w:rsid w:val="00DA3AD9"/>
    <w:rsid w:val="00DA3AED"/>
    <w:rsid w:val="00DA5DCF"/>
    <w:rsid w:val="00DA757A"/>
    <w:rsid w:val="00DA7DC6"/>
    <w:rsid w:val="00DB285D"/>
    <w:rsid w:val="00DB3950"/>
    <w:rsid w:val="00DB4657"/>
    <w:rsid w:val="00DB482D"/>
    <w:rsid w:val="00DB664C"/>
    <w:rsid w:val="00DB7D81"/>
    <w:rsid w:val="00DB7F96"/>
    <w:rsid w:val="00DC3071"/>
    <w:rsid w:val="00DC3E91"/>
    <w:rsid w:val="00DC5D44"/>
    <w:rsid w:val="00DC6B2D"/>
    <w:rsid w:val="00DC6EC2"/>
    <w:rsid w:val="00DC7BB9"/>
    <w:rsid w:val="00DD2034"/>
    <w:rsid w:val="00DD21F2"/>
    <w:rsid w:val="00DD4CBB"/>
    <w:rsid w:val="00DD4EF8"/>
    <w:rsid w:val="00DD7B36"/>
    <w:rsid w:val="00DE1EF7"/>
    <w:rsid w:val="00DE50F8"/>
    <w:rsid w:val="00DE6137"/>
    <w:rsid w:val="00DF4EE6"/>
    <w:rsid w:val="00DF54D4"/>
    <w:rsid w:val="00DF5F9C"/>
    <w:rsid w:val="00DF7412"/>
    <w:rsid w:val="00DF7D67"/>
    <w:rsid w:val="00E02F97"/>
    <w:rsid w:val="00E04AB3"/>
    <w:rsid w:val="00E04E83"/>
    <w:rsid w:val="00E0501B"/>
    <w:rsid w:val="00E053DD"/>
    <w:rsid w:val="00E06C16"/>
    <w:rsid w:val="00E077DF"/>
    <w:rsid w:val="00E117BE"/>
    <w:rsid w:val="00E13792"/>
    <w:rsid w:val="00E14C96"/>
    <w:rsid w:val="00E1562E"/>
    <w:rsid w:val="00E20B9A"/>
    <w:rsid w:val="00E22CF9"/>
    <w:rsid w:val="00E252B0"/>
    <w:rsid w:val="00E25BA1"/>
    <w:rsid w:val="00E303B8"/>
    <w:rsid w:val="00E30C2E"/>
    <w:rsid w:val="00E33EFE"/>
    <w:rsid w:val="00E35B9F"/>
    <w:rsid w:val="00E40395"/>
    <w:rsid w:val="00E415D1"/>
    <w:rsid w:val="00E42D0F"/>
    <w:rsid w:val="00E43BAE"/>
    <w:rsid w:val="00E44712"/>
    <w:rsid w:val="00E453E8"/>
    <w:rsid w:val="00E462B8"/>
    <w:rsid w:val="00E4670A"/>
    <w:rsid w:val="00E47EEE"/>
    <w:rsid w:val="00E53D7E"/>
    <w:rsid w:val="00E54E3B"/>
    <w:rsid w:val="00E55F64"/>
    <w:rsid w:val="00E57ADE"/>
    <w:rsid w:val="00E6062A"/>
    <w:rsid w:val="00E6065B"/>
    <w:rsid w:val="00E60723"/>
    <w:rsid w:val="00E65238"/>
    <w:rsid w:val="00E6693B"/>
    <w:rsid w:val="00E70DE3"/>
    <w:rsid w:val="00E714F3"/>
    <w:rsid w:val="00E73EA5"/>
    <w:rsid w:val="00E74190"/>
    <w:rsid w:val="00E7702A"/>
    <w:rsid w:val="00E77477"/>
    <w:rsid w:val="00E842FB"/>
    <w:rsid w:val="00E845E5"/>
    <w:rsid w:val="00E848B2"/>
    <w:rsid w:val="00E848F9"/>
    <w:rsid w:val="00E9117A"/>
    <w:rsid w:val="00E915E0"/>
    <w:rsid w:val="00E94445"/>
    <w:rsid w:val="00E948D0"/>
    <w:rsid w:val="00E94F47"/>
    <w:rsid w:val="00EA19D8"/>
    <w:rsid w:val="00EA250C"/>
    <w:rsid w:val="00EA2B14"/>
    <w:rsid w:val="00EA7E4F"/>
    <w:rsid w:val="00EB199B"/>
    <w:rsid w:val="00EB2668"/>
    <w:rsid w:val="00EB4124"/>
    <w:rsid w:val="00EB4C2D"/>
    <w:rsid w:val="00EB4E17"/>
    <w:rsid w:val="00EB52BB"/>
    <w:rsid w:val="00EB74DB"/>
    <w:rsid w:val="00EC0029"/>
    <w:rsid w:val="00EC29D9"/>
    <w:rsid w:val="00EC39EE"/>
    <w:rsid w:val="00EC5176"/>
    <w:rsid w:val="00EC59D7"/>
    <w:rsid w:val="00EC5BFE"/>
    <w:rsid w:val="00ED0516"/>
    <w:rsid w:val="00ED0CF9"/>
    <w:rsid w:val="00ED4B8F"/>
    <w:rsid w:val="00ED6643"/>
    <w:rsid w:val="00ED6F9B"/>
    <w:rsid w:val="00EE044D"/>
    <w:rsid w:val="00EE287C"/>
    <w:rsid w:val="00EE3278"/>
    <w:rsid w:val="00EE3797"/>
    <w:rsid w:val="00EE5ED7"/>
    <w:rsid w:val="00EE7397"/>
    <w:rsid w:val="00EF0D04"/>
    <w:rsid w:val="00EF0F24"/>
    <w:rsid w:val="00EF3FAC"/>
    <w:rsid w:val="00EF410C"/>
    <w:rsid w:val="00EF7542"/>
    <w:rsid w:val="00EF7EA2"/>
    <w:rsid w:val="00F008BF"/>
    <w:rsid w:val="00F01A74"/>
    <w:rsid w:val="00F02287"/>
    <w:rsid w:val="00F036EC"/>
    <w:rsid w:val="00F041B3"/>
    <w:rsid w:val="00F04AEE"/>
    <w:rsid w:val="00F051A1"/>
    <w:rsid w:val="00F061D4"/>
    <w:rsid w:val="00F10587"/>
    <w:rsid w:val="00F10854"/>
    <w:rsid w:val="00F11C08"/>
    <w:rsid w:val="00F126E7"/>
    <w:rsid w:val="00F12FA8"/>
    <w:rsid w:val="00F161A8"/>
    <w:rsid w:val="00F1645D"/>
    <w:rsid w:val="00F20643"/>
    <w:rsid w:val="00F218DA"/>
    <w:rsid w:val="00F232B2"/>
    <w:rsid w:val="00F23C43"/>
    <w:rsid w:val="00F260AA"/>
    <w:rsid w:val="00F2631B"/>
    <w:rsid w:val="00F26808"/>
    <w:rsid w:val="00F27248"/>
    <w:rsid w:val="00F305E1"/>
    <w:rsid w:val="00F3145F"/>
    <w:rsid w:val="00F31EA2"/>
    <w:rsid w:val="00F35A07"/>
    <w:rsid w:val="00F35B3B"/>
    <w:rsid w:val="00F372CE"/>
    <w:rsid w:val="00F40A8C"/>
    <w:rsid w:val="00F40B1C"/>
    <w:rsid w:val="00F441FA"/>
    <w:rsid w:val="00F455F4"/>
    <w:rsid w:val="00F45913"/>
    <w:rsid w:val="00F45EDB"/>
    <w:rsid w:val="00F461A0"/>
    <w:rsid w:val="00F46A49"/>
    <w:rsid w:val="00F46C74"/>
    <w:rsid w:val="00F535AB"/>
    <w:rsid w:val="00F53D8F"/>
    <w:rsid w:val="00F54974"/>
    <w:rsid w:val="00F6021C"/>
    <w:rsid w:val="00F609C5"/>
    <w:rsid w:val="00F61F53"/>
    <w:rsid w:val="00F62D1C"/>
    <w:rsid w:val="00F66CCB"/>
    <w:rsid w:val="00F674E3"/>
    <w:rsid w:val="00F70AB6"/>
    <w:rsid w:val="00F720D3"/>
    <w:rsid w:val="00F7264C"/>
    <w:rsid w:val="00F72F3C"/>
    <w:rsid w:val="00F76E67"/>
    <w:rsid w:val="00F810FB"/>
    <w:rsid w:val="00F81CE2"/>
    <w:rsid w:val="00F8256F"/>
    <w:rsid w:val="00F840BF"/>
    <w:rsid w:val="00F84E79"/>
    <w:rsid w:val="00F91A1A"/>
    <w:rsid w:val="00F92450"/>
    <w:rsid w:val="00F931C5"/>
    <w:rsid w:val="00F93F11"/>
    <w:rsid w:val="00F9449F"/>
    <w:rsid w:val="00F95F2F"/>
    <w:rsid w:val="00FA0F84"/>
    <w:rsid w:val="00FA1F51"/>
    <w:rsid w:val="00FA2425"/>
    <w:rsid w:val="00FA65B2"/>
    <w:rsid w:val="00FA6998"/>
    <w:rsid w:val="00FA6E62"/>
    <w:rsid w:val="00FB412D"/>
    <w:rsid w:val="00FB4673"/>
    <w:rsid w:val="00FB46D4"/>
    <w:rsid w:val="00FB5804"/>
    <w:rsid w:val="00FC0D83"/>
    <w:rsid w:val="00FC33B4"/>
    <w:rsid w:val="00FC4809"/>
    <w:rsid w:val="00FC5D6F"/>
    <w:rsid w:val="00FC6A58"/>
    <w:rsid w:val="00FC6A61"/>
    <w:rsid w:val="00FD6DE9"/>
    <w:rsid w:val="00FD74EC"/>
    <w:rsid w:val="00FD7AFC"/>
    <w:rsid w:val="00FE21B9"/>
    <w:rsid w:val="00FE30C2"/>
    <w:rsid w:val="00FE5E96"/>
    <w:rsid w:val="00FE6A2F"/>
    <w:rsid w:val="00FE7E52"/>
    <w:rsid w:val="00FF33A9"/>
    <w:rsid w:val="00FF3ABC"/>
    <w:rsid w:val="00FF4E13"/>
    <w:rsid w:val="00FF5A45"/>
    <w:rsid w:val="00FF5E8B"/>
    <w:rsid w:val="00FF77E8"/>
    <w:rsid w:val="026268DC"/>
    <w:rsid w:val="0562142A"/>
    <w:rsid w:val="0DF31FE9"/>
    <w:rsid w:val="118A255A"/>
    <w:rsid w:val="13BC3C6D"/>
    <w:rsid w:val="164475A0"/>
    <w:rsid w:val="1D957486"/>
    <w:rsid w:val="1D9B20A4"/>
    <w:rsid w:val="23910AE2"/>
    <w:rsid w:val="24BF6007"/>
    <w:rsid w:val="29041359"/>
    <w:rsid w:val="29FC093F"/>
    <w:rsid w:val="2A72095E"/>
    <w:rsid w:val="2C2E7427"/>
    <w:rsid w:val="2D8456F6"/>
    <w:rsid w:val="2ED36756"/>
    <w:rsid w:val="310052FF"/>
    <w:rsid w:val="31FA4CD7"/>
    <w:rsid w:val="344C79A2"/>
    <w:rsid w:val="36D8514A"/>
    <w:rsid w:val="36FD7653"/>
    <w:rsid w:val="37A0614D"/>
    <w:rsid w:val="39102131"/>
    <w:rsid w:val="39CE7C64"/>
    <w:rsid w:val="3B4E3B7D"/>
    <w:rsid w:val="3BCF670E"/>
    <w:rsid w:val="3DE25234"/>
    <w:rsid w:val="40AC41A3"/>
    <w:rsid w:val="40B439B9"/>
    <w:rsid w:val="40BC32B5"/>
    <w:rsid w:val="43253230"/>
    <w:rsid w:val="4583781B"/>
    <w:rsid w:val="4B9D0ADF"/>
    <w:rsid w:val="4C8C1F7D"/>
    <w:rsid w:val="4D292D04"/>
    <w:rsid w:val="4EC84C59"/>
    <w:rsid w:val="4F0218CB"/>
    <w:rsid w:val="528255F4"/>
    <w:rsid w:val="52C450F9"/>
    <w:rsid w:val="568C47BB"/>
    <w:rsid w:val="569E3B5B"/>
    <w:rsid w:val="5B513B22"/>
    <w:rsid w:val="61E14839"/>
    <w:rsid w:val="658E4D7C"/>
    <w:rsid w:val="65D21E19"/>
    <w:rsid w:val="67145076"/>
    <w:rsid w:val="6D222830"/>
    <w:rsid w:val="6FBE32DE"/>
    <w:rsid w:val="70DE678E"/>
    <w:rsid w:val="71856BD6"/>
    <w:rsid w:val="742F4164"/>
    <w:rsid w:val="7A0E7C74"/>
    <w:rsid w:val="7A513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0C4C09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59E2"/>
    <w:pPr>
      <w:spacing w:line="480" w:lineRule="auto"/>
    </w:pPr>
    <w:rPr>
      <w:rFonts w:asciiTheme="minorHAnsi" w:hAnsiTheme="minorHAnsi"/>
      <w:sz w:val="24"/>
      <w:szCs w:val="24"/>
      <w:lang w:eastAsia="en-US" w:bidi="en-US"/>
    </w:rPr>
  </w:style>
  <w:style w:type="paragraph" w:styleId="Heading1">
    <w:name w:val="heading 1"/>
    <w:next w:val="Normal"/>
    <w:link w:val="Heading1Char"/>
    <w:uiPriority w:val="9"/>
    <w:qFormat/>
    <w:rsid w:val="000759E2"/>
    <w:pPr>
      <w:spacing w:line="480" w:lineRule="auto"/>
      <w:ind w:leftChars="100" w:left="1200" w:rightChars="100" w:right="100"/>
      <w:jc w:val="center"/>
      <w:outlineLvl w:val="0"/>
    </w:pPr>
    <w:rPr>
      <w:rFonts w:asciiTheme="majorHAnsi" w:hAnsiTheme="majorHAnsi"/>
      <w:b/>
      <w:bCs/>
      <w:sz w:val="32"/>
      <w:szCs w:val="32"/>
      <w:lang w:eastAsia="en-US" w:bidi="en-US"/>
    </w:rPr>
  </w:style>
  <w:style w:type="paragraph" w:styleId="Heading2">
    <w:name w:val="heading 2"/>
    <w:next w:val="Normal"/>
    <w:link w:val="Heading2Char"/>
    <w:uiPriority w:val="9"/>
    <w:unhideWhenUsed/>
    <w:qFormat/>
    <w:rsid w:val="000759E2"/>
    <w:pPr>
      <w:keepNext/>
      <w:spacing w:line="480" w:lineRule="auto"/>
      <w:contextualSpacing/>
      <w:outlineLvl w:val="1"/>
    </w:pPr>
    <w:rPr>
      <w:rFonts w:asciiTheme="majorHAnsi" w:hAnsiTheme="majorHAnsi"/>
      <w:b/>
      <w:bCs/>
      <w:iCs/>
      <w:sz w:val="28"/>
      <w:szCs w:val="28"/>
      <w:lang w:eastAsia="en-US" w:bidi="en-US"/>
    </w:rPr>
  </w:style>
  <w:style w:type="paragraph" w:styleId="Heading3">
    <w:name w:val="heading 3"/>
    <w:next w:val="Normal"/>
    <w:link w:val="Heading3Char"/>
    <w:uiPriority w:val="9"/>
    <w:unhideWhenUsed/>
    <w:qFormat/>
    <w:rsid w:val="000759E2"/>
    <w:pPr>
      <w:keepNext/>
      <w:spacing w:line="480" w:lineRule="auto"/>
      <w:outlineLvl w:val="2"/>
    </w:pPr>
    <w:rPr>
      <w:rFonts w:asciiTheme="majorHAnsi" w:hAnsiTheme="majorHAnsi"/>
      <w:bCs/>
      <w:i/>
      <w:sz w:val="24"/>
      <w:szCs w:val="24"/>
      <w:lang w:eastAsia="en-US" w:bidi="en-US"/>
    </w:rPr>
  </w:style>
  <w:style w:type="paragraph" w:styleId="Heading4">
    <w:name w:val="heading 4"/>
    <w:basedOn w:val="Normal"/>
    <w:next w:val="Normal"/>
    <w:link w:val="Heading4Char"/>
    <w:uiPriority w:val="9"/>
    <w:unhideWhenUsed/>
    <w:qFormat/>
    <w:rsid w:val="000759E2"/>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0759E2"/>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0759E2"/>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0759E2"/>
    <w:pPr>
      <w:spacing w:before="240" w:after="60"/>
      <w:outlineLvl w:val="6"/>
    </w:pPr>
  </w:style>
  <w:style w:type="paragraph" w:styleId="Heading8">
    <w:name w:val="heading 8"/>
    <w:basedOn w:val="Normal"/>
    <w:next w:val="Normal"/>
    <w:link w:val="Heading8Char"/>
    <w:uiPriority w:val="9"/>
    <w:unhideWhenUsed/>
    <w:qFormat/>
    <w:rsid w:val="000759E2"/>
    <w:pPr>
      <w:spacing w:before="240" w:after="60"/>
      <w:outlineLvl w:val="7"/>
    </w:pPr>
    <w:rPr>
      <w:i/>
      <w:iCs/>
    </w:rPr>
  </w:style>
  <w:style w:type="paragraph" w:styleId="Heading9">
    <w:name w:val="heading 9"/>
    <w:basedOn w:val="Normal"/>
    <w:next w:val="Normal"/>
    <w:link w:val="Heading9Char"/>
    <w:uiPriority w:val="9"/>
    <w:unhideWhenUsed/>
    <w:qFormat/>
    <w:rsid w:val="000759E2"/>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rsid w:val="000759E2"/>
    <w:pPr>
      <w:ind w:left="1440"/>
    </w:pPr>
    <w:rPr>
      <w:rFonts w:cstheme="minorHAnsi"/>
      <w:sz w:val="18"/>
      <w:szCs w:val="18"/>
    </w:rPr>
  </w:style>
  <w:style w:type="paragraph" w:styleId="Caption">
    <w:name w:val="caption"/>
    <w:basedOn w:val="Normal"/>
    <w:next w:val="Normal"/>
    <w:uiPriority w:val="35"/>
    <w:unhideWhenUsed/>
    <w:qFormat/>
    <w:rsid w:val="000759E2"/>
    <w:pPr>
      <w:spacing w:line="240" w:lineRule="auto"/>
    </w:pPr>
    <w:rPr>
      <w:b/>
      <w:bCs/>
      <w:szCs w:val="18"/>
    </w:rPr>
  </w:style>
  <w:style w:type="paragraph" w:styleId="DocumentMap">
    <w:name w:val="Document Map"/>
    <w:basedOn w:val="Normal"/>
    <w:link w:val="DocumentMapChar"/>
    <w:uiPriority w:val="99"/>
    <w:unhideWhenUsed/>
    <w:qFormat/>
    <w:rsid w:val="000759E2"/>
    <w:pPr>
      <w:spacing w:line="240" w:lineRule="auto"/>
    </w:pPr>
    <w:rPr>
      <w:rFonts w:ascii="Lucida Grande" w:hAnsi="Lucida Grande" w:cs="Lucida Grande"/>
    </w:rPr>
  </w:style>
  <w:style w:type="paragraph" w:styleId="TOC5">
    <w:name w:val="toc 5"/>
    <w:basedOn w:val="Normal"/>
    <w:next w:val="Normal"/>
    <w:uiPriority w:val="39"/>
    <w:unhideWhenUsed/>
    <w:qFormat/>
    <w:rsid w:val="000759E2"/>
    <w:pPr>
      <w:ind w:left="960"/>
    </w:pPr>
    <w:rPr>
      <w:rFonts w:cstheme="minorHAnsi"/>
      <w:sz w:val="18"/>
      <w:szCs w:val="18"/>
    </w:rPr>
  </w:style>
  <w:style w:type="paragraph" w:styleId="TOC3">
    <w:name w:val="toc 3"/>
    <w:basedOn w:val="Normal"/>
    <w:next w:val="Normal"/>
    <w:uiPriority w:val="39"/>
    <w:unhideWhenUsed/>
    <w:qFormat/>
    <w:rsid w:val="000759E2"/>
    <w:pPr>
      <w:ind w:left="480"/>
    </w:pPr>
    <w:rPr>
      <w:rFonts w:cstheme="minorHAnsi"/>
      <w:i/>
      <w:sz w:val="22"/>
      <w:szCs w:val="22"/>
    </w:rPr>
  </w:style>
  <w:style w:type="paragraph" w:styleId="TOC8">
    <w:name w:val="toc 8"/>
    <w:basedOn w:val="Normal"/>
    <w:next w:val="Normal"/>
    <w:uiPriority w:val="39"/>
    <w:unhideWhenUsed/>
    <w:qFormat/>
    <w:rsid w:val="000759E2"/>
    <w:pPr>
      <w:ind w:left="1680"/>
    </w:pPr>
    <w:rPr>
      <w:rFonts w:cstheme="minorHAnsi"/>
      <w:sz w:val="18"/>
      <w:szCs w:val="18"/>
    </w:rPr>
  </w:style>
  <w:style w:type="paragraph" w:styleId="BalloonText">
    <w:name w:val="Balloon Text"/>
    <w:basedOn w:val="Normal"/>
    <w:link w:val="BalloonTextChar"/>
    <w:uiPriority w:val="99"/>
    <w:unhideWhenUsed/>
    <w:qFormat/>
    <w:rsid w:val="000759E2"/>
    <w:rPr>
      <w:rFonts w:ascii="Tahoma" w:hAnsi="Tahoma" w:cs="Tahoma"/>
      <w:sz w:val="16"/>
      <w:szCs w:val="16"/>
    </w:rPr>
  </w:style>
  <w:style w:type="paragraph" w:styleId="Footer">
    <w:name w:val="footer"/>
    <w:basedOn w:val="Normal"/>
    <w:link w:val="FooterChar"/>
    <w:uiPriority w:val="99"/>
    <w:unhideWhenUsed/>
    <w:qFormat/>
    <w:rsid w:val="000759E2"/>
    <w:pPr>
      <w:tabs>
        <w:tab w:val="center" w:pos="4680"/>
        <w:tab w:val="right" w:pos="9360"/>
      </w:tabs>
    </w:pPr>
  </w:style>
  <w:style w:type="paragraph" w:styleId="Header">
    <w:name w:val="header"/>
    <w:basedOn w:val="Normal"/>
    <w:link w:val="HeaderChar"/>
    <w:uiPriority w:val="99"/>
    <w:unhideWhenUsed/>
    <w:qFormat/>
    <w:rsid w:val="000759E2"/>
    <w:pPr>
      <w:tabs>
        <w:tab w:val="center" w:pos="4680"/>
        <w:tab w:val="right" w:pos="9360"/>
      </w:tabs>
    </w:pPr>
  </w:style>
  <w:style w:type="paragraph" w:styleId="TOC1">
    <w:name w:val="toc 1"/>
    <w:basedOn w:val="Normal"/>
    <w:next w:val="Normal"/>
    <w:uiPriority w:val="39"/>
    <w:unhideWhenUsed/>
    <w:qFormat/>
    <w:rsid w:val="000759E2"/>
    <w:pPr>
      <w:spacing w:before="120"/>
    </w:pPr>
    <w:rPr>
      <w:rFonts w:cstheme="minorHAnsi"/>
      <w:b/>
      <w:caps/>
      <w:sz w:val="22"/>
      <w:szCs w:val="22"/>
    </w:rPr>
  </w:style>
  <w:style w:type="paragraph" w:styleId="TOC4">
    <w:name w:val="toc 4"/>
    <w:basedOn w:val="Normal"/>
    <w:next w:val="Normal"/>
    <w:uiPriority w:val="39"/>
    <w:unhideWhenUsed/>
    <w:qFormat/>
    <w:rsid w:val="000759E2"/>
    <w:pPr>
      <w:ind w:left="720"/>
    </w:pPr>
    <w:rPr>
      <w:rFonts w:cstheme="minorHAnsi"/>
      <w:sz w:val="18"/>
      <w:szCs w:val="18"/>
    </w:rPr>
  </w:style>
  <w:style w:type="paragraph" w:styleId="Subtitle">
    <w:name w:val="Subtitle"/>
    <w:basedOn w:val="Normal"/>
    <w:next w:val="Normal"/>
    <w:link w:val="SubtitleChar"/>
    <w:uiPriority w:val="11"/>
    <w:unhideWhenUsed/>
    <w:qFormat/>
    <w:rsid w:val="000759E2"/>
    <w:pPr>
      <w:spacing w:after="60"/>
      <w:jc w:val="center"/>
      <w:outlineLvl w:val="1"/>
    </w:pPr>
    <w:rPr>
      <w:rFonts w:ascii="Times New Roman" w:hAnsi="Times New Roman"/>
    </w:rPr>
  </w:style>
  <w:style w:type="paragraph" w:styleId="TOC6">
    <w:name w:val="toc 6"/>
    <w:basedOn w:val="Normal"/>
    <w:next w:val="Normal"/>
    <w:uiPriority w:val="39"/>
    <w:unhideWhenUsed/>
    <w:qFormat/>
    <w:rsid w:val="000759E2"/>
    <w:pPr>
      <w:ind w:left="1200"/>
    </w:pPr>
    <w:rPr>
      <w:rFonts w:cstheme="minorHAnsi"/>
      <w:sz w:val="18"/>
      <w:szCs w:val="18"/>
    </w:rPr>
  </w:style>
  <w:style w:type="paragraph" w:styleId="TableofFigures">
    <w:name w:val="table of figures"/>
    <w:basedOn w:val="Normal"/>
    <w:next w:val="Normal"/>
    <w:uiPriority w:val="99"/>
    <w:unhideWhenUsed/>
    <w:qFormat/>
    <w:rsid w:val="000759E2"/>
  </w:style>
  <w:style w:type="paragraph" w:styleId="TOC2">
    <w:name w:val="toc 2"/>
    <w:basedOn w:val="Normal"/>
    <w:next w:val="Normal"/>
    <w:uiPriority w:val="39"/>
    <w:unhideWhenUsed/>
    <w:qFormat/>
    <w:rsid w:val="000759E2"/>
    <w:pPr>
      <w:ind w:left="240"/>
    </w:pPr>
    <w:rPr>
      <w:rFonts w:cstheme="minorHAnsi"/>
      <w:smallCaps/>
      <w:sz w:val="22"/>
      <w:szCs w:val="22"/>
    </w:rPr>
  </w:style>
  <w:style w:type="paragraph" w:styleId="TOC9">
    <w:name w:val="toc 9"/>
    <w:basedOn w:val="Normal"/>
    <w:next w:val="Normal"/>
    <w:uiPriority w:val="39"/>
    <w:unhideWhenUsed/>
    <w:qFormat/>
    <w:rsid w:val="000759E2"/>
    <w:pPr>
      <w:ind w:left="1920"/>
    </w:pPr>
    <w:rPr>
      <w:rFonts w:cstheme="minorHAnsi"/>
      <w:sz w:val="18"/>
      <w:szCs w:val="18"/>
    </w:rPr>
  </w:style>
  <w:style w:type="paragraph" w:styleId="Title">
    <w:name w:val="Title"/>
    <w:basedOn w:val="Heading1"/>
    <w:next w:val="Normal"/>
    <w:link w:val="TitleChar"/>
    <w:uiPriority w:val="10"/>
    <w:qFormat/>
    <w:rsid w:val="000759E2"/>
    <w:pPr>
      <w:keepNext/>
    </w:pPr>
    <w:rPr>
      <w:bCs w:val="0"/>
    </w:rPr>
  </w:style>
  <w:style w:type="character" w:styleId="Strong">
    <w:name w:val="Strong"/>
    <w:basedOn w:val="DefaultParagraphFont"/>
    <w:uiPriority w:val="22"/>
    <w:unhideWhenUsed/>
    <w:qFormat/>
    <w:rsid w:val="000759E2"/>
    <w:rPr>
      <w:b/>
      <w:bCs/>
    </w:rPr>
  </w:style>
  <w:style w:type="character" w:styleId="Emphasis">
    <w:name w:val="Emphasis"/>
    <w:basedOn w:val="DefaultParagraphFont"/>
    <w:uiPriority w:val="20"/>
    <w:unhideWhenUsed/>
    <w:qFormat/>
    <w:rsid w:val="000759E2"/>
    <w:rPr>
      <w:rFonts w:ascii="Times New Roman" w:hAnsi="Times New Roman"/>
      <w:b/>
      <w:i/>
      <w:iCs/>
    </w:rPr>
  </w:style>
  <w:style w:type="character" w:styleId="Hyperlink">
    <w:name w:val="Hyperlink"/>
    <w:basedOn w:val="DefaultParagraphFont"/>
    <w:uiPriority w:val="99"/>
    <w:unhideWhenUsed/>
    <w:qFormat/>
    <w:rsid w:val="000759E2"/>
    <w:rPr>
      <w:color w:val="0000FF"/>
      <w:u w:val="single"/>
    </w:rPr>
  </w:style>
  <w:style w:type="table" w:styleId="TableGrid">
    <w:name w:val="Table Grid"/>
    <w:basedOn w:val="TableNormal"/>
    <w:qFormat/>
    <w:rsid w:val="00075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qFormat/>
    <w:rsid w:val="000759E2"/>
    <w:rPr>
      <w:rFonts w:asciiTheme="majorHAnsi" w:hAnsiTheme="majorHAnsi"/>
      <w:b/>
      <w:bCs/>
      <w:sz w:val="32"/>
      <w:szCs w:val="32"/>
      <w:lang w:bidi="en-US"/>
    </w:rPr>
  </w:style>
  <w:style w:type="character" w:customStyle="1" w:styleId="Heading2Char">
    <w:name w:val="Heading 2 Char"/>
    <w:basedOn w:val="DefaultParagraphFont"/>
    <w:link w:val="Heading2"/>
    <w:uiPriority w:val="9"/>
    <w:qFormat/>
    <w:rsid w:val="000759E2"/>
    <w:rPr>
      <w:rFonts w:asciiTheme="majorHAnsi" w:hAnsiTheme="majorHAnsi"/>
      <w:b/>
      <w:bCs/>
      <w:iCs/>
      <w:sz w:val="28"/>
      <w:szCs w:val="28"/>
      <w:lang w:bidi="en-US"/>
    </w:rPr>
  </w:style>
  <w:style w:type="character" w:customStyle="1" w:styleId="Heading3Char">
    <w:name w:val="Heading 3 Char"/>
    <w:basedOn w:val="DefaultParagraphFont"/>
    <w:link w:val="Heading3"/>
    <w:uiPriority w:val="9"/>
    <w:qFormat/>
    <w:rsid w:val="000759E2"/>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qFormat/>
    <w:rsid w:val="000759E2"/>
    <w:rPr>
      <w:rFonts w:cs="Times New Roman"/>
      <w:b/>
      <w:bCs/>
      <w:sz w:val="28"/>
      <w:szCs w:val="28"/>
    </w:rPr>
  </w:style>
  <w:style w:type="character" w:customStyle="1" w:styleId="Heading5Char">
    <w:name w:val="Heading 5 Char"/>
    <w:basedOn w:val="DefaultParagraphFont"/>
    <w:link w:val="Heading5"/>
    <w:uiPriority w:val="9"/>
    <w:semiHidden/>
    <w:qFormat/>
    <w:rsid w:val="000759E2"/>
    <w:rPr>
      <w:rFonts w:cs="Times New Roman"/>
      <w:b/>
      <w:bCs/>
      <w:i/>
      <w:iCs/>
      <w:sz w:val="26"/>
      <w:szCs w:val="26"/>
    </w:rPr>
  </w:style>
  <w:style w:type="character" w:customStyle="1" w:styleId="Heading6Char">
    <w:name w:val="Heading 6 Char"/>
    <w:basedOn w:val="DefaultParagraphFont"/>
    <w:link w:val="Heading6"/>
    <w:uiPriority w:val="9"/>
    <w:semiHidden/>
    <w:qFormat/>
    <w:rsid w:val="000759E2"/>
    <w:rPr>
      <w:rFonts w:cs="Times New Roman"/>
      <w:b/>
      <w:bCs/>
    </w:rPr>
  </w:style>
  <w:style w:type="character" w:customStyle="1" w:styleId="Heading7Char">
    <w:name w:val="Heading 7 Char"/>
    <w:basedOn w:val="DefaultParagraphFont"/>
    <w:link w:val="Heading7"/>
    <w:uiPriority w:val="9"/>
    <w:semiHidden/>
    <w:qFormat/>
    <w:rsid w:val="000759E2"/>
    <w:rPr>
      <w:rFonts w:cs="Times New Roman"/>
      <w:sz w:val="24"/>
      <w:szCs w:val="24"/>
    </w:rPr>
  </w:style>
  <w:style w:type="character" w:customStyle="1" w:styleId="Heading8Char">
    <w:name w:val="Heading 8 Char"/>
    <w:basedOn w:val="DefaultParagraphFont"/>
    <w:link w:val="Heading8"/>
    <w:uiPriority w:val="9"/>
    <w:semiHidden/>
    <w:qFormat/>
    <w:rsid w:val="000759E2"/>
    <w:rPr>
      <w:rFonts w:cs="Times New Roman"/>
      <w:i/>
      <w:iCs/>
      <w:sz w:val="24"/>
      <w:szCs w:val="24"/>
    </w:rPr>
  </w:style>
  <w:style w:type="character" w:customStyle="1" w:styleId="Heading9Char">
    <w:name w:val="Heading 9 Char"/>
    <w:basedOn w:val="DefaultParagraphFont"/>
    <w:link w:val="Heading9"/>
    <w:uiPriority w:val="9"/>
    <w:semiHidden/>
    <w:qFormat/>
    <w:rsid w:val="000759E2"/>
    <w:rPr>
      <w:rFonts w:ascii="Times New Roman" w:eastAsia="Times New Roman" w:hAnsi="Times New Roman" w:cs="Times New Roman"/>
    </w:rPr>
  </w:style>
  <w:style w:type="character" w:customStyle="1" w:styleId="TitleChar">
    <w:name w:val="Title Char"/>
    <w:basedOn w:val="DefaultParagraphFont"/>
    <w:link w:val="Title"/>
    <w:uiPriority w:val="10"/>
    <w:qFormat/>
    <w:rsid w:val="000759E2"/>
    <w:rPr>
      <w:rFonts w:asciiTheme="majorHAnsi" w:hAnsiTheme="majorHAnsi"/>
      <w:caps/>
      <w:sz w:val="24"/>
      <w:szCs w:val="32"/>
      <w:lang w:bidi="en-US"/>
    </w:rPr>
  </w:style>
  <w:style w:type="character" w:customStyle="1" w:styleId="SubtitleChar">
    <w:name w:val="Subtitle Char"/>
    <w:basedOn w:val="DefaultParagraphFont"/>
    <w:link w:val="Subtitle"/>
    <w:uiPriority w:val="11"/>
    <w:semiHidden/>
    <w:qFormat/>
    <w:rsid w:val="000759E2"/>
    <w:rPr>
      <w:sz w:val="24"/>
      <w:szCs w:val="24"/>
      <w:lang w:bidi="en-US"/>
    </w:rPr>
  </w:style>
  <w:style w:type="paragraph" w:customStyle="1" w:styleId="1">
    <w:name w:val="无间隔1"/>
    <w:basedOn w:val="Normal"/>
    <w:link w:val="Char"/>
    <w:uiPriority w:val="1"/>
    <w:semiHidden/>
    <w:qFormat/>
    <w:rsid w:val="000759E2"/>
    <w:pPr>
      <w:spacing w:line="240" w:lineRule="auto"/>
    </w:pPr>
    <w:rPr>
      <w:szCs w:val="32"/>
    </w:rPr>
  </w:style>
  <w:style w:type="paragraph" w:customStyle="1" w:styleId="10">
    <w:name w:val="引用1"/>
    <w:basedOn w:val="Normal"/>
    <w:next w:val="Normal"/>
    <w:link w:val="Char0"/>
    <w:uiPriority w:val="29"/>
    <w:unhideWhenUsed/>
    <w:qFormat/>
    <w:rsid w:val="000759E2"/>
    <w:rPr>
      <w:i/>
    </w:rPr>
  </w:style>
  <w:style w:type="character" w:customStyle="1" w:styleId="Char0">
    <w:name w:val="引用 Char"/>
    <w:basedOn w:val="DefaultParagraphFont"/>
    <w:link w:val="10"/>
    <w:uiPriority w:val="29"/>
    <w:semiHidden/>
    <w:qFormat/>
    <w:rsid w:val="000759E2"/>
    <w:rPr>
      <w:i/>
      <w:sz w:val="24"/>
      <w:szCs w:val="24"/>
      <w:lang w:bidi="en-US"/>
    </w:rPr>
  </w:style>
  <w:style w:type="paragraph" w:customStyle="1" w:styleId="11">
    <w:name w:val="明显引用1"/>
    <w:basedOn w:val="Normal"/>
    <w:next w:val="Normal"/>
    <w:link w:val="Char1"/>
    <w:uiPriority w:val="30"/>
    <w:unhideWhenUsed/>
    <w:qFormat/>
    <w:rsid w:val="000759E2"/>
    <w:pPr>
      <w:ind w:left="720" w:right="720"/>
    </w:pPr>
    <w:rPr>
      <w:b/>
      <w:i/>
      <w:szCs w:val="22"/>
    </w:rPr>
  </w:style>
  <w:style w:type="character" w:customStyle="1" w:styleId="Char1">
    <w:name w:val="明显引用 Char"/>
    <w:basedOn w:val="DefaultParagraphFont"/>
    <w:link w:val="11"/>
    <w:uiPriority w:val="30"/>
    <w:semiHidden/>
    <w:qFormat/>
    <w:rsid w:val="000759E2"/>
    <w:rPr>
      <w:b/>
      <w:i/>
      <w:sz w:val="24"/>
      <w:szCs w:val="22"/>
      <w:lang w:bidi="en-US"/>
    </w:rPr>
  </w:style>
  <w:style w:type="character" w:customStyle="1" w:styleId="12">
    <w:name w:val="不明显强调1"/>
    <w:uiPriority w:val="19"/>
    <w:unhideWhenUsed/>
    <w:qFormat/>
    <w:rsid w:val="000759E2"/>
    <w:rPr>
      <w:i/>
      <w:color w:val="5A5A5A"/>
    </w:rPr>
  </w:style>
  <w:style w:type="character" w:customStyle="1" w:styleId="13">
    <w:name w:val="明显强调1"/>
    <w:basedOn w:val="DefaultParagraphFont"/>
    <w:uiPriority w:val="21"/>
    <w:unhideWhenUsed/>
    <w:qFormat/>
    <w:rsid w:val="000759E2"/>
    <w:rPr>
      <w:b/>
      <w:i/>
      <w:sz w:val="24"/>
      <w:szCs w:val="24"/>
      <w:u w:val="single"/>
    </w:rPr>
  </w:style>
  <w:style w:type="character" w:customStyle="1" w:styleId="14">
    <w:name w:val="不明显参考1"/>
    <w:basedOn w:val="DefaultParagraphFont"/>
    <w:uiPriority w:val="31"/>
    <w:unhideWhenUsed/>
    <w:qFormat/>
    <w:rsid w:val="000759E2"/>
    <w:rPr>
      <w:sz w:val="24"/>
      <w:szCs w:val="24"/>
      <w:u w:val="single"/>
    </w:rPr>
  </w:style>
  <w:style w:type="character" w:customStyle="1" w:styleId="15">
    <w:name w:val="明显参考1"/>
    <w:basedOn w:val="DefaultParagraphFont"/>
    <w:uiPriority w:val="32"/>
    <w:unhideWhenUsed/>
    <w:qFormat/>
    <w:rsid w:val="000759E2"/>
    <w:rPr>
      <w:b/>
      <w:sz w:val="24"/>
      <w:u w:val="single"/>
    </w:rPr>
  </w:style>
  <w:style w:type="character" w:customStyle="1" w:styleId="16">
    <w:name w:val="书籍标题1"/>
    <w:basedOn w:val="DefaultParagraphFont"/>
    <w:uiPriority w:val="33"/>
    <w:unhideWhenUsed/>
    <w:qFormat/>
    <w:rsid w:val="000759E2"/>
    <w:rPr>
      <w:rFonts w:ascii="Times New Roman" w:eastAsia="Times New Roman" w:hAnsi="Times New Roman"/>
      <w:b/>
      <w:i/>
      <w:sz w:val="24"/>
      <w:szCs w:val="24"/>
    </w:rPr>
  </w:style>
  <w:style w:type="paragraph" w:customStyle="1" w:styleId="TOC10">
    <w:name w:val="TOC 标题1"/>
    <w:basedOn w:val="Heading1"/>
    <w:next w:val="Normal"/>
    <w:uiPriority w:val="39"/>
    <w:unhideWhenUsed/>
    <w:qFormat/>
    <w:rsid w:val="000759E2"/>
    <w:pPr>
      <w:outlineLvl w:val="9"/>
    </w:pPr>
  </w:style>
  <w:style w:type="character" w:customStyle="1" w:styleId="Char">
    <w:name w:val="无间隔 Char"/>
    <w:basedOn w:val="DefaultParagraphFont"/>
    <w:link w:val="1"/>
    <w:uiPriority w:val="1"/>
    <w:semiHidden/>
    <w:qFormat/>
    <w:rsid w:val="000759E2"/>
    <w:rPr>
      <w:rFonts w:asciiTheme="minorHAnsi" w:hAnsiTheme="minorHAnsi"/>
      <w:sz w:val="24"/>
      <w:szCs w:val="32"/>
      <w:lang w:bidi="en-US"/>
    </w:rPr>
  </w:style>
  <w:style w:type="character" w:customStyle="1" w:styleId="BalloonTextChar">
    <w:name w:val="Balloon Text Char"/>
    <w:basedOn w:val="DefaultParagraphFont"/>
    <w:link w:val="BalloonText"/>
    <w:uiPriority w:val="99"/>
    <w:semiHidden/>
    <w:qFormat/>
    <w:rsid w:val="000759E2"/>
    <w:rPr>
      <w:rFonts w:ascii="Tahoma" w:hAnsi="Tahoma" w:cs="Tahoma"/>
      <w:sz w:val="16"/>
      <w:szCs w:val="16"/>
      <w:lang w:bidi="en-US"/>
    </w:rPr>
  </w:style>
  <w:style w:type="character" w:customStyle="1" w:styleId="HeaderChar">
    <w:name w:val="Header Char"/>
    <w:basedOn w:val="DefaultParagraphFont"/>
    <w:link w:val="Header"/>
    <w:uiPriority w:val="99"/>
    <w:semiHidden/>
    <w:qFormat/>
    <w:rsid w:val="000759E2"/>
    <w:rPr>
      <w:sz w:val="24"/>
      <w:szCs w:val="24"/>
      <w:lang w:bidi="en-US"/>
    </w:rPr>
  </w:style>
  <w:style w:type="character" w:customStyle="1" w:styleId="FooterChar">
    <w:name w:val="Footer Char"/>
    <w:basedOn w:val="DefaultParagraphFont"/>
    <w:link w:val="Footer"/>
    <w:uiPriority w:val="99"/>
    <w:qFormat/>
    <w:rsid w:val="000759E2"/>
    <w:rPr>
      <w:sz w:val="24"/>
      <w:szCs w:val="24"/>
      <w:lang w:bidi="en-US"/>
    </w:rPr>
  </w:style>
  <w:style w:type="paragraph" w:customStyle="1" w:styleId="BlockQuotation">
    <w:name w:val="Block Quotation"/>
    <w:next w:val="Normal"/>
    <w:link w:val="BlockQuotationChar"/>
    <w:qFormat/>
    <w:rsid w:val="000759E2"/>
    <w:pPr>
      <w:spacing w:after="240"/>
      <w:ind w:left="720"/>
    </w:pPr>
    <w:rPr>
      <w:rFonts w:asciiTheme="minorHAnsi" w:hAnsiTheme="minorHAnsi"/>
      <w:sz w:val="24"/>
      <w:szCs w:val="24"/>
      <w:lang w:eastAsia="en-US" w:bidi="en-US"/>
    </w:rPr>
  </w:style>
  <w:style w:type="character" w:customStyle="1" w:styleId="17">
    <w:name w:val="占位符文本1"/>
    <w:basedOn w:val="DefaultParagraphFont"/>
    <w:uiPriority w:val="99"/>
    <w:semiHidden/>
    <w:qFormat/>
    <w:rsid w:val="000759E2"/>
    <w:rPr>
      <w:color w:val="808080"/>
    </w:rPr>
  </w:style>
  <w:style w:type="character" w:customStyle="1" w:styleId="BlockQuotationChar">
    <w:name w:val="Block Quotation Char"/>
    <w:basedOn w:val="Char"/>
    <w:link w:val="BlockQuotation"/>
    <w:qFormat/>
    <w:rsid w:val="000759E2"/>
    <w:rPr>
      <w:rFonts w:asciiTheme="minorHAnsi" w:hAnsiTheme="minorHAnsi"/>
      <w:sz w:val="24"/>
      <w:szCs w:val="24"/>
      <w:lang w:bidi="en-US"/>
    </w:rPr>
  </w:style>
  <w:style w:type="paragraph" w:customStyle="1" w:styleId="18">
    <w:name w:val="书目1"/>
    <w:basedOn w:val="Normal"/>
    <w:next w:val="Normal"/>
    <w:uiPriority w:val="37"/>
    <w:qFormat/>
    <w:rsid w:val="000759E2"/>
  </w:style>
  <w:style w:type="paragraph" w:customStyle="1" w:styleId="Chapter">
    <w:name w:val="Chapter"/>
    <w:next w:val="Normal"/>
    <w:qFormat/>
    <w:rsid w:val="000759E2"/>
    <w:pPr>
      <w:keepNext/>
      <w:pBdr>
        <w:bottom w:val="single" w:sz="4" w:space="1" w:color="auto"/>
      </w:pBdr>
      <w:spacing w:after="240"/>
    </w:pPr>
    <w:rPr>
      <w:rFonts w:asciiTheme="majorHAnsi" w:hAnsiTheme="majorHAnsi"/>
      <w:b/>
      <w:bCs/>
      <w:sz w:val="28"/>
      <w:szCs w:val="32"/>
      <w:lang w:eastAsia="en-US" w:bidi="en-US"/>
    </w:rPr>
  </w:style>
  <w:style w:type="paragraph" w:customStyle="1" w:styleId="19">
    <w:name w:val="列出段落1"/>
    <w:basedOn w:val="Normal"/>
    <w:uiPriority w:val="34"/>
    <w:unhideWhenUsed/>
    <w:qFormat/>
    <w:rsid w:val="000759E2"/>
    <w:pPr>
      <w:ind w:left="720"/>
      <w:contextualSpacing/>
    </w:pPr>
  </w:style>
  <w:style w:type="paragraph" w:customStyle="1" w:styleId="para1">
    <w:name w:val="para1"/>
    <w:basedOn w:val="Normal"/>
    <w:qFormat/>
    <w:rsid w:val="000759E2"/>
    <w:pPr>
      <w:suppressAutoHyphens/>
      <w:overflowPunct w:val="0"/>
      <w:autoSpaceDE w:val="0"/>
      <w:autoSpaceDN w:val="0"/>
      <w:adjustRightInd w:val="0"/>
      <w:spacing w:line="240" w:lineRule="auto"/>
      <w:ind w:firstLine="288"/>
      <w:jc w:val="both"/>
      <w:textAlignment w:val="baseline"/>
    </w:pPr>
    <w:rPr>
      <w:rFonts w:ascii="Times New Roman" w:hAnsi="Times New Roman"/>
      <w:sz w:val="20"/>
      <w:szCs w:val="20"/>
      <w:lang w:bidi="ar-SA"/>
    </w:rPr>
  </w:style>
  <w:style w:type="paragraph" w:customStyle="1" w:styleId="para">
    <w:name w:val="para"/>
    <w:basedOn w:val="Normal"/>
    <w:next w:val="para1"/>
    <w:qFormat/>
    <w:rsid w:val="000759E2"/>
    <w:pPr>
      <w:suppressAutoHyphens/>
      <w:overflowPunct w:val="0"/>
      <w:autoSpaceDE w:val="0"/>
      <w:autoSpaceDN w:val="0"/>
      <w:adjustRightInd w:val="0"/>
      <w:spacing w:line="240" w:lineRule="auto"/>
      <w:jc w:val="both"/>
      <w:textAlignment w:val="baseline"/>
    </w:pPr>
    <w:rPr>
      <w:rFonts w:ascii="Times New Roman" w:hAnsi="Times New Roman"/>
      <w:sz w:val="20"/>
      <w:szCs w:val="20"/>
      <w:lang w:bidi="ar-SA"/>
    </w:rPr>
  </w:style>
  <w:style w:type="table" w:customStyle="1" w:styleId="TableGrid1">
    <w:name w:val="Table Grid1"/>
    <w:basedOn w:val="TableNormal"/>
    <w:uiPriority w:val="59"/>
    <w:qFormat/>
    <w:rsid w:val="000759E2"/>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修订1"/>
    <w:hidden/>
    <w:uiPriority w:val="99"/>
    <w:semiHidden/>
    <w:qFormat/>
    <w:rsid w:val="000759E2"/>
    <w:rPr>
      <w:rFonts w:asciiTheme="minorHAnsi" w:hAnsiTheme="minorHAnsi"/>
      <w:sz w:val="24"/>
      <w:szCs w:val="24"/>
      <w:lang w:eastAsia="en-US" w:bidi="en-US"/>
    </w:rPr>
  </w:style>
  <w:style w:type="character" w:customStyle="1" w:styleId="DocumentMapChar">
    <w:name w:val="Document Map Char"/>
    <w:basedOn w:val="DefaultParagraphFont"/>
    <w:link w:val="DocumentMap"/>
    <w:uiPriority w:val="99"/>
    <w:semiHidden/>
    <w:qFormat/>
    <w:rsid w:val="000759E2"/>
    <w:rPr>
      <w:rFonts w:ascii="Lucida Grande" w:hAnsi="Lucida Grande" w:cs="Lucida Grande"/>
      <w:sz w:val="24"/>
      <w:szCs w:val="24"/>
      <w:lang w:bidi="en-US"/>
    </w:rPr>
  </w:style>
  <w:style w:type="character" w:customStyle="1" w:styleId="st">
    <w:name w:val="st"/>
    <w:basedOn w:val="DefaultParagraphFont"/>
    <w:qFormat/>
    <w:rsid w:val="000759E2"/>
  </w:style>
  <w:style w:type="character" w:customStyle="1" w:styleId="st1">
    <w:name w:val="st1"/>
    <w:basedOn w:val="DefaultParagraphFont"/>
    <w:qFormat/>
    <w:rsid w:val="000759E2"/>
  </w:style>
  <w:style w:type="paragraph" w:customStyle="1" w:styleId="Style12ptJustifiedLinespacingDouble">
    <w:name w:val="Style 12 pt Justified Line spacing:  Double"/>
    <w:basedOn w:val="Normal"/>
    <w:qFormat/>
    <w:rsid w:val="000759E2"/>
    <w:pPr>
      <w:spacing w:after="240" w:line="360" w:lineRule="auto"/>
      <w:jc w:val="both"/>
    </w:pPr>
    <w:rPr>
      <w:rFonts w:ascii="Arial" w:eastAsia="Times New Roman" w:hAnsi="Arial"/>
      <w:szCs w:val="20"/>
      <w:lang w:bidi="ar-SA"/>
    </w:rPr>
  </w:style>
  <w:style w:type="paragraph" w:customStyle="1" w:styleId="Head1">
    <w:name w:val="Head1"/>
    <w:basedOn w:val="Normal"/>
    <w:next w:val="para"/>
    <w:qFormat/>
    <w:rsid w:val="000759E2"/>
    <w:pPr>
      <w:keepNext/>
      <w:suppressAutoHyphens/>
    </w:pPr>
    <w:rPr>
      <w:rFonts w:ascii="Arial" w:hAnsi="Arial"/>
      <w:b/>
      <w:sz w:val="28"/>
    </w:rPr>
  </w:style>
  <w:style w:type="character" w:styleId="PlaceholderText">
    <w:name w:val="Placeholder Text"/>
    <w:basedOn w:val="DefaultParagraphFont"/>
    <w:uiPriority w:val="99"/>
    <w:semiHidden/>
    <w:rsid w:val="0002707F"/>
    <w:rPr>
      <w:color w:val="808080"/>
    </w:rPr>
  </w:style>
  <w:style w:type="paragraph" w:styleId="Revision">
    <w:name w:val="Revision"/>
    <w:hidden/>
    <w:uiPriority w:val="99"/>
    <w:semiHidden/>
    <w:rsid w:val="00B418E3"/>
    <w:rPr>
      <w:rFonts w:asciiTheme="minorHAnsi" w:hAnsiTheme="minorHAnsi"/>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24803">
      <w:bodyDiv w:val="1"/>
      <w:marLeft w:val="0"/>
      <w:marRight w:val="0"/>
      <w:marTop w:val="0"/>
      <w:marBottom w:val="0"/>
      <w:divBdr>
        <w:top w:val="none" w:sz="0" w:space="0" w:color="auto"/>
        <w:left w:val="none" w:sz="0" w:space="0" w:color="auto"/>
        <w:bottom w:val="none" w:sz="0" w:space="0" w:color="auto"/>
        <w:right w:val="none" w:sz="0" w:space="0" w:color="auto"/>
      </w:divBdr>
    </w:div>
    <w:div w:id="185140333">
      <w:bodyDiv w:val="1"/>
      <w:marLeft w:val="0"/>
      <w:marRight w:val="0"/>
      <w:marTop w:val="0"/>
      <w:marBottom w:val="0"/>
      <w:divBdr>
        <w:top w:val="none" w:sz="0" w:space="0" w:color="auto"/>
        <w:left w:val="none" w:sz="0" w:space="0" w:color="auto"/>
        <w:bottom w:val="none" w:sz="0" w:space="0" w:color="auto"/>
        <w:right w:val="none" w:sz="0" w:space="0" w:color="auto"/>
      </w:divBdr>
    </w:div>
    <w:div w:id="317422595">
      <w:bodyDiv w:val="1"/>
      <w:marLeft w:val="0"/>
      <w:marRight w:val="0"/>
      <w:marTop w:val="0"/>
      <w:marBottom w:val="0"/>
      <w:divBdr>
        <w:top w:val="none" w:sz="0" w:space="0" w:color="auto"/>
        <w:left w:val="none" w:sz="0" w:space="0" w:color="auto"/>
        <w:bottom w:val="none" w:sz="0" w:space="0" w:color="auto"/>
        <w:right w:val="none" w:sz="0" w:space="0" w:color="auto"/>
      </w:divBdr>
    </w:div>
    <w:div w:id="408232247">
      <w:bodyDiv w:val="1"/>
      <w:marLeft w:val="0"/>
      <w:marRight w:val="0"/>
      <w:marTop w:val="0"/>
      <w:marBottom w:val="0"/>
      <w:divBdr>
        <w:top w:val="none" w:sz="0" w:space="0" w:color="auto"/>
        <w:left w:val="none" w:sz="0" w:space="0" w:color="auto"/>
        <w:bottom w:val="none" w:sz="0" w:space="0" w:color="auto"/>
        <w:right w:val="none" w:sz="0" w:space="0" w:color="auto"/>
      </w:divBdr>
    </w:div>
    <w:div w:id="641235164">
      <w:bodyDiv w:val="1"/>
      <w:marLeft w:val="0"/>
      <w:marRight w:val="0"/>
      <w:marTop w:val="0"/>
      <w:marBottom w:val="0"/>
      <w:divBdr>
        <w:top w:val="none" w:sz="0" w:space="0" w:color="auto"/>
        <w:left w:val="none" w:sz="0" w:space="0" w:color="auto"/>
        <w:bottom w:val="none" w:sz="0" w:space="0" w:color="auto"/>
        <w:right w:val="none" w:sz="0" w:space="0" w:color="auto"/>
      </w:divBdr>
    </w:div>
    <w:div w:id="847208374">
      <w:bodyDiv w:val="1"/>
      <w:marLeft w:val="0"/>
      <w:marRight w:val="0"/>
      <w:marTop w:val="0"/>
      <w:marBottom w:val="0"/>
      <w:divBdr>
        <w:top w:val="none" w:sz="0" w:space="0" w:color="auto"/>
        <w:left w:val="none" w:sz="0" w:space="0" w:color="auto"/>
        <w:bottom w:val="none" w:sz="0" w:space="0" w:color="auto"/>
        <w:right w:val="none" w:sz="0" w:space="0" w:color="auto"/>
      </w:divBdr>
    </w:div>
    <w:div w:id="963657949">
      <w:bodyDiv w:val="1"/>
      <w:marLeft w:val="0"/>
      <w:marRight w:val="0"/>
      <w:marTop w:val="0"/>
      <w:marBottom w:val="0"/>
      <w:divBdr>
        <w:top w:val="none" w:sz="0" w:space="0" w:color="auto"/>
        <w:left w:val="none" w:sz="0" w:space="0" w:color="auto"/>
        <w:bottom w:val="none" w:sz="0" w:space="0" w:color="auto"/>
        <w:right w:val="none" w:sz="0" w:space="0" w:color="auto"/>
      </w:divBdr>
    </w:div>
    <w:div w:id="1109354191">
      <w:bodyDiv w:val="1"/>
      <w:marLeft w:val="0"/>
      <w:marRight w:val="0"/>
      <w:marTop w:val="0"/>
      <w:marBottom w:val="0"/>
      <w:divBdr>
        <w:top w:val="none" w:sz="0" w:space="0" w:color="auto"/>
        <w:left w:val="none" w:sz="0" w:space="0" w:color="auto"/>
        <w:bottom w:val="none" w:sz="0" w:space="0" w:color="auto"/>
        <w:right w:val="none" w:sz="0" w:space="0" w:color="auto"/>
      </w:divBdr>
    </w:div>
    <w:div w:id="1171483668">
      <w:bodyDiv w:val="1"/>
      <w:marLeft w:val="0"/>
      <w:marRight w:val="0"/>
      <w:marTop w:val="0"/>
      <w:marBottom w:val="0"/>
      <w:divBdr>
        <w:top w:val="none" w:sz="0" w:space="0" w:color="auto"/>
        <w:left w:val="none" w:sz="0" w:space="0" w:color="auto"/>
        <w:bottom w:val="none" w:sz="0" w:space="0" w:color="auto"/>
        <w:right w:val="none" w:sz="0" w:space="0" w:color="auto"/>
      </w:divBdr>
    </w:div>
    <w:div w:id="1230926342">
      <w:bodyDiv w:val="1"/>
      <w:marLeft w:val="0"/>
      <w:marRight w:val="0"/>
      <w:marTop w:val="0"/>
      <w:marBottom w:val="0"/>
      <w:divBdr>
        <w:top w:val="none" w:sz="0" w:space="0" w:color="auto"/>
        <w:left w:val="none" w:sz="0" w:space="0" w:color="auto"/>
        <w:bottom w:val="none" w:sz="0" w:space="0" w:color="auto"/>
        <w:right w:val="none" w:sz="0" w:space="0" w:color="auto"/>
      </w:divBdr>
    </w:div>
    <w:div w:id="1584797626">
      <w:bodyDiv w:val="1"/>
      <w:marLeft w:val="0"/>
      <w:marRight w:val="0"/>
      <w:marTop w:val="0"/>
      <w:marBottom w:val="0"/>
      <w:divBdr>
        <w:top w:val="none" w:sz="0" w:space="0" w:color="auto"/>
        <w:left w:val="none" w:sz="0" w:space="0" w:color="auto"/>
        <w:bottom w:val="none" w:sz="0" w:space="0" w:color="auto"/>
        <w:right w:val="none" w:sz="0" w:space="0" w:color="auto"/>
      </w:divBdr>
    </w:div>
    <w:div w:id="1604721696">
      <w:bodyDiv w:val="1"/>
      <w:marLeft w:val="0"/>
      <w:marRight w:val="0"/>
      <w:marTop w:val="0"/>
      <w:marBottom w:val="0"/>
      <w:divBdr>
        <w:top w:val="none" w:sz="0" w:space="0" w:color="auto"/>
        <w:left w:val="none" w:sz="0" w:space="0" w:color="auto"/>
        <w:bottom w:val="none" w:sz="0" w:space="0" w:color="auto"/>
        <w:right w:val="none" w:sz="0" w:space="0" w:color="auto"/>
      </w:divBdr>
    </w:div>
    <w:div w:id="2090613970">
      <w:bodyDiv w:val="1"/>
      <w:marLeft w:val="0"/>
      <w:marRight w:val="0"/>
      <w:marTop w:val="0"/>
      <w:marBottom w:val="0"/>
      <w:divBdr>
        <w:top w:val="none" w:sz="0" w:space="0" w:color="auto"/>
        <w:left w:val="none" w:sz="0" w:space="0" w:color="auto"/>
        <w:bottom w:val="none" w:sz="0" w:space="0" w:color="auto"/>
        <w:right w:val="none" w:sz="0" w:space="0" w:color="auto"/>
      </w:divBdr>
    </w:div>
    <w:div w:id="2117289584">
      <w:bodyDiv w:val="1"/>
      <w:marLeft w:val="0"/>
      <w:marRight w:val="0"/>
      <w:marTop w:val="0"/>
      <w:marBottom w:val="0"/>
      <w:divBdr>
        <w:top w:val="none" w:sz="0" w:space="0" w:color="auto"/>
        <w:left w:val="none" w:sz="0" w:space="0" w:color="auto"/>
        <w:bottom w:val="none" w:sz="0" w:space="0" w:color="auto"/>
        <w:right w:val="none" w:sz="0" w:space="0" w:color="auto"/>
      </w:divBdr>
    </w:div>
    <w:div w:id="2135099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97.png"/><Relationship Id="rId143" Type="http://schemas.openxmlformats.org/officeDocument/2006/relationships/image" Target="media/image98.jpeg"/><Relationship Id="rId144" Type="http://schemas.openxmlformats.org/officeDocument/2006/relationships/image" Target="media/image99.wmf"/><Relationship Id="rId145" Type="http://schemas.openxmlformats.org/officeDocument/2006/relationships/image" Target="media/image100.wmf"/><Relationship Id="rId146" Type="http://schemas.openxmlformats.org/officeDocument/2006/relationships/image" Target="media/image101.wmf"/><Relationship Id="rId147" Type="http://schemas.openxmlformats.org/officeDocument/2006/relationships/image" Target="media/image102.wmf"/><Relationship Id="rId148" Type="http://schemas.openxmlformats.org/officeDocument/2006/relationships/image" Target="media/image103.wmf"/><Relationship Id="rId149" Type="http://schemas.openxmlformats.org/officeDocument/2006/relationships/image" Target="media/image104.wmf"/><Relationship Id="rId180" Type="http://schemas.openxmlformats.org/officeDocument/2006/relationships/image" Target="media/image134.emf"/><Relationship Id="rId181" Type="http://schemas.openxmlformats.org/officeDocument/2006/relationships/image" Target="media/image135.emf"/><Relationship Id="rId182" Type="http://schemas.openxmlformats.org/officeDocument/2006/relationships/image" Target="media/image136.emf"/><Relationship Id="rId40" Type="http://schemas.openxmlformats.org/officeDocument/2006/relationships/image" Target="media/image28.emf"/><Relationship Id="rId41" Type="http://schemas.openxmlformats.org/officeDocument/2006/relationships/image" Target="media/image29.emf"/><Relationship Id="rId42" Type="http://schemas.openxmlformats.org/officeDocument/2006/relationships/image" Target="media/image30.emf"/><Relationship Id="rId43" Type="http://schemas.openxmlformats.org/officeDocument/2006/relationships/image" Target="media/image31.emf"/><Relationship Id="rId44" Type="http://schemas.openxmlformats.org/officeDocument/2006/relationships/image" Target="media/image32.emf"/><Relationship Id="rId45" Type="http://schemas.openxmlformats.org/officeDocument/2006/relationships/image" Target="media/image33.emf"/><Relationship Id="rId46" Type="http://schemas.openxmlformats.org/officeDocument/2006/relationships/image" Target="media/image34.emf"/><Relationship Id="rId47" Type="http://schemas.openxmlformats.org/officeDocument/2006/relationships/image" Target="media/image35.emf"/><Relationship Id="rId48" Type="http://schemas.openxmlformats.org/officeDocument/2006/relationships/image" Target="media/image36.emf"/><Relationship Id="rId49" Type="http://schemas.openxmlformats.org/officeDocument/2006/relationships/image" Target="media/image37.emf"/><Relationship Id="rId183" Type="http://schemas.openxmlformats.org/officeDocument/2006/relationships/image" Target="media/image137.emf"/><Relationship Id="rId184" Type="http://schemas.openxmlformats.org/officeDocument/2006/relationships/image" Target="media/image138.emf"/><Relationship Id="rId185" Type="http://schemas.openxmlformats.org/officeDocument/2006/relationships/image" Target="media/image139.emf"/><Relationship Id="rId186" Type="http://schemas.openxmlformats.org/officeDocument/2006/relationships/image" Target="media/image140.emf"/><Relationship Id="rId187" Type="http://schemas.openxmlformats.org/officeDocument/2006/relationships/image" Target="media/image141.wmf"/><Relationship Id="rId188" Type="http://schemas.openxmlformats.org/officeDocument/2006/relationships/image" Target="media/image142.wmf"/><Relationship Id="rId189" Type="http://schemas.openxmlformats.org/officeDocument/2006/relationships/image" Target="media/image143.wmf"/><Relationship Id="rId80" Type="http://schemas.openxmlformats.org/officeDocument/2006/relationships/image" Target="media/image61.emf"/><Relationship Id="rId81" Type="http://schemas.openxmlformats.org/officeDocument/2006/relationships/image" Target="media/image62.emf"/><Relationship Id="rId82" Type="http://schemas.openxmlformats.org/officeDocument/2006/relationships/image" Target="media/image63.emf"/><Relationship Id="rId83" Type="http://schemas.openxmlformats.org/officeDocument/2006/relationships/image" Target="media/image64.emf"/><Relationship Id="rId84" Type="http://schemas.openxmlformats.org/officeDocument/2006/relationships/image" Target="media/image65.emf"/><Relationship Id="rId85" Type="http://schemas.openxmlformats.org/officeDocument/2006/relationships/image" Target="media/image66.emf"/><Relationship Id="rId86" Type="http://schemas.openxmlformats.org/officeDocument/2006/relationships/image" Target="media/image67.emf"/><Relationship Id="rId87" Type="http://schemas.openxmlformats.org/officeDocument/2006/relationships/oleObject" Target="embeddings/oleObject9.bin"/><Relationship Id="rId88" Type="http://schemas.openxmlformats.org/officeDocument/2006/relationships/image" Target="media/image68.emf"/><Relationship Id="rId89" Type="http://schemas.openxmlformats.org/officeDocument/2006/relationships/oleObject" Target="embeddings/oleObject10.bin"/><Relationship Id="rId110" Type="http://schemas.openxmlformats.org/officeDocument/2006/relationships/chart" Target="charts/chart16.xml"/><Relationship Id="rId111" Type="http://schemas.openxmlformats.org/officeDocument/2006/relationships/chart" Target="charts/chart17.xml"/><Relationship Id="rId112" Type="http://schemas.openxmlformats.org/officeDocument/2006/relationships/chart" Target="charts/chart18.xml"/><Relationship Id="rId113" Type="http://schemas.openxmlformats.org/officeDocument/2006/relationships/chart" Target="charts/chart19.xml"/><Relationship Id="rId114" Type="http://schemas.openxmlformats.org/officeDocument/2006/relationships/chart" Target="charts/chart20.xml"/><Relationship Id="rId115" Type="http://schemas.openxmlformats.org/officeDocument/2006/relationships/chart" Target="charts/chart21.xml"/><Relationship Id="rId116" Type="http://schemas.openxmlformats.org/officeDocument/2006/relationships/chart" Target="charts/chart22.xml"/><Relationship Id="rId117" Type="http://schemas.openxmlformats.org/officeDocument/2006/relationships/chart" Target="charts/chart23.xml"/><Relationship Id="rId118" Type="http://schemas.openxmlformats.org/officeDocument/2006/relationships/image" Target="media/image76.png"/><Relationship Id="rId119" Type="http://schemas.openxmlformats.org/officeDocument/2006/relationships/image" Target="media/image77.png"/><Relationship Id="rId150" Type="http://schemas.openxmlformats.org/officeDocument/2006/relationships/image" Target="media/image105.jpeg"/><Relationship Id="rId151" Type="http://schemas.openxmlformats.org/officeDocument/2006/relationships/image" Target="media/image106.png"/><Relationship Id="rId152" Type="http://schemas.openxmlformats.org/officeDocument/2006/relationships/image" Target="media/image107.png"/><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emf"/><Relationship Id="rId17" Type="http://schemas.openxmlformats.org/officeDocument/2006/relationships/image" Target="media/image8.emf"/><Relationship Id="rId18" Type="http://schemas.openxmlformats.org/officeDocument/2006/relationships/image" Target="media/image9.emf"/><Relationship Id="rId19" Type="http://schemas.openxmlformats.org/officeDocument/2006/relationships/image" Target="media/image10.emf"/><Relationship Id="rId153" Type="http://schemas.openxmlformats.org/officeDocument/2006/relationships/image" Target="media/image108.jpeg"/><Relationship Id="rId154" Type="http://schemas.openxmlformats.org/officeDocument/2006/relationships/image" Target="media/image109.jpeg"/><Relationship Id="rId155" Type="http://schemas.openxmlformats.org/officeDocument/2006/relationships/image" Target="media/image110.jpeg"/><Relationship Id="rId156" Type="http://schemas.openxmlformats.org/officeDocument/2006/relationships/image" Target="media/image111.jpeg"/><Relationship Id="rId157" Type="http://schemas.openxmlformats.org/officeDocument/2006/relationships/image" Target="media/image112.jpeg"/><Relationship Id="rId158" Type="http://schemas.openxmlformats.org/officeDocument/2006/relationships/image" Target="media/image113.jpeg"/><Relationship Id="rId159" Type="http://schemas.openxmlformats.org/officeDocument/2006/relationships/image" Target="media/image114.jpeg"/><Relationship Id="rId190" Type="http://schemas.openxmlformats.org/officeDocument/2006/relationships/image" Target="media/image144.wmf"/><Relationship Id="rId191" Type="http://schemas.openxmlformats.org/officeDocument/2006/relationships/image" Target="media/image145.wmf"/><Relationship Id="rId192" Type="http://schemas.openxmlformats.org/officeDocument/2006/relationships/footer" Target="footer2.xml"/><Relationship Id="rId50" Type="http://schemas.openxmlformats.org/officeDocument/2006/relationships/chart" Target="charts/chart1.xml"/><Relationship Id="rId51" Type="http://schemas.openxmlformats.org/officeDocument/2006/relationships/chart" Target="charts/chart2.xml"/><Relationship Id="rId52" Type="http://schemas.openxmlformats.org/officeDocument/2006/relationships/image" Target="media/image38.wmf"/><Relationship Id="rId53" Type="http://schemas.openxmlformats.org/officeDocument/2006/relationships/image" Target="media/image39.emf"/><Relationship Id="rId54" Type="http://schemas.openxmlformats.org/officeDocument/2006/relationships/image" Target="media/image40.emf"/><Relationship Id="rId55" Type="http://schemas.openxmlformats.org/officeDocument/2006/relationships/image" Target="media/image41.emf"/><Relationship Id="rId56" Type="http://schemas.openxmlformats.org/officeDocument/2006/relationships/image" Target="media/image42.emf"/><Relationship Id="rId57" Type="http://schemas.openxmlformats.org/officeDocument/2006/relationships/image" Target="media/image43.emf"/><Relationship Id="rId58" Type="http://schemas.openxmlformats.org/officeDocument/2006/relationships/image" Target="media/image44.emf"/><Relationship Id="rId59" Type="http://schemas.openxmlformats.org/officeDocument/2006/relationships/image" Target="media/image45.emf"/><Relationship Id="rId193" Type="http://schemas.openxmlformats.org/officeDocument/2006/relationships/fontTable" Target="fontTable.xml"/><Relationship Id="rId194" Type="http://schemas.openxmlformats.org/officeDocument/2006/relationships/glossaryDocument" Target="glossary/document.xml"/><Relationship Id="rId195" Type="http://schemas.openxmlformats.org/officeDocument/2006/relationships/theme" Target="theme/theme1.xml"/><Relationship Id="rId90" Type="http://schemas.openxmlformats.org/officeDocument/2006/relationships/image" Target="media/image69.png"/><Relationship Id="rId91" Type="http://schemas.openxmlformats.org/officeDocument/2006/relationships/chart" Target="charts/chart3.xml"/><Relationship Id="rId92" Type="http://schemas.openxmlformats.org/officeDocument/2006/relationships/chart" Target="charts/chart4.xml"/><Relationship Id="rId93" Type="http://schemas.openxmlformats.org/officeDocument/2006/relationships/chart" Target="charts/chart5.xml"/><Relationship Id="rId94" Type="http://schemas.openxmlformats.org/officeDocument/2006/relationships/chart" Target="charts/chart6.xml"/><Relationship Id="rId95" Type="http://schemas.openxmlformats.org/officeDocument/2006/relationships/image" Target="media/image70.png"/><Relationship Id="rId96" Type="http://schemas.openxmlformats.org/officeDocument/2006/relationships/chart" Target="charts/chart7.xml"/><Relationship Id="rId97" Type="http://schemas.openxmlformats.org/officeDocument/2006/relationships/chart" Target="charts/chart8.xml"/><Relationship Id="rId98" Type="http://schemas.openxmlformats.org/officeDocument/2006/relationships/image" Target="media/image71.png"/><Relationship Id="rId99" Type="http://schemas.openxmlformats.org/officeDocument/2006/relationships/image" Target="media/image72.png"/><Relationship Id="rId120" Type="http://schemas.openxmlformats.org/officeDocument/2006/relationships/image" Target="media/image78.emf"/><Relationship Id="rId121" Type="http://schemas.openxmlformats.org/officeDocument/2006/relationships/image" Target="media/image79.wmf"/><Relationship Id="rId122" Type="http://schemas.openxmlformats.org/officeDocument/2006/relationships/image" Target="media/image80.wmf"/><Relationship Id="rId123" Type="http://schemas.openxmlformats.org/officeDocument/2006/relationships/image" Target="media/image81.wmf"/><Relationship Id="rId124" Type="http://schemas.openxmlformats.org/officeDocument/2006/relationships/image" Target="media/image82.wmf"/><Relationship Id="rId125" Type="http://schemas.openxmlformats.org/officeDocument/2006/relationships/image" Target="media/image83.wmf"/><Relationship Id="rId126" Type="http://schemas.openxmlformats.org/officeDocument/2006/relationships/image" Target="media/image84.wmf"/><Relationship Id="rId127" Type="http://schemas.openxmlformats.org/officeDocument/2006/relationships/chart" Target="charts/chart24.xml"/><Relationship Id="rId128" Type="http://schemas.openxmlformats.org/officeDocument/2006/relationships/chart" Target="charts/chart25.xml"/><Relationship Id="rId129" Type="http://schemas.openxmlformats.org/officeDocument/2006/relationships/chart" Target="charts/chart26.xml"/><Relationship Id="rId160" Type="http://schemas.openxmlformats.org/officeDocument/2006/relationships/image" Target="media/image115.jpeg"/><Relationship Id="rId161" Type="http://schemas.openxmlformats.org/officeDocument/2006/relationships/image" Target="media/image116.jpeg"/><Relationship Id="rId162" Type="http://schemas.openxmlformats.org/officeDocument/2006/relationships/image" Target="media/image117.jpeg"/><Relationship Id="rId20" Type="http://schemas.openxmlformats.org/officeDocument/2006/relationships/image" Target="media/image11.emf"/><Relationship Id="rId21" Type="http://schemas.openxmlformats.org/officeDocument/2006/relationships/image" Target="media/image12.emf"/><Relationship Id="rId22" Type="http://schemas.openxmlformats.org/officeDocument/2006/relationships/image" Target="media/image13.emf"/><Relationship Id="rId23" Type="http://schemas.openxmlformats.org/officeDocument/2006/relationships/image" Target="media/image14.emf"/><Relationship Id="rId24" Type="http://schemas.openxmlformats.org/officeDocument/2006/relationships/image" Target="media/image15.emf"/><Relationship Id="rId25" Type="http://schemas.openxmlformats.org/officeDocument/2006/relationships/image" Target="media/image16.emf"/><Relationship Id="rId26" Type="http://schemas.openxmlformats.org/officeDocument/2006/relationships/image" Target="media/image17.emf"/><Relationship Id="rId27" Type="http://schemas.openxmlformats.org/officeDocument/2006/relationships/image" Target="media/image18.emf"/><Relationship Id="rId28" Type="http://schemas.openxmlformats.org/officeDocument/2006/relationships/image" Target="media/image19.emf"/><Relationship Id="rId29" Type="http://schemas.openxmlformats.org/officeDocument/2006/relationships/image" Target="media/image20.emf"/><Relationship Id="rId163" Type="http://schemas.openxmlformats.org/officeDocument/2006/relationships/image" Target="media/image118.jpeg"/><Relationship Id="rId164" Type="http://schemas.openxmlformats.org/officeDocument/2006/relationships/image" Target="media/image119.jpeg"/><Relationship Id="rId165" Type="http://schemas.openxmlformats.org/officeDocument/2006/relationships/image" Target="media/image120.jpeg"/><Relationship Id="rId166" Type="http://schemas.openxmlformats.org/officeDocument/2006/relationships/image" Target="media/image121.png"/><Relationship Id="rId167" Type="http://schemas.openxmlformats.org/officeDocument/2006/relationships/image" Target="media/image122.png"/><Relationship Id="rId168" Type="http://schemas.openxmlformats.org/officeDocument/2006/relationships/image" Target="media/image123.png"/><Relationship Id="rId169" Type="http://schemas.openxmlformats.org/officeDocument/2006/relationships/image" Target="media/image124.png"/><Relationship Id="rId60" Type="http://schemas.openxmlformats.org/officeDocument/2006/relationships/image" Target="media/image46.emf"/><Relationship Id="rId61" Type="http://schemas.openxmlformats.org/officeDocument/2006/relationships/image" Target="media/image47.png"/><Relationship Id="rId62" Type="http://schemas.openxmlformats.org/officeDocument/2006/relationships/image" Target="media/image48.emf"/><Relationship Id="rId63" Type="http://schemas.openxmlformats.org/officeDocument/2006/relationships/image" Target="media/image49.wmf"/><Relationship Id="rId64" Type="http://schemas.openxmlformats.org/officeDocument/2006/relationships/oleObject" Target="embeddings/oleObject4.bin"/><Relationship Id="rId65" Type="http://schemas.openxmlformats.org/officeDocument/2006/relationships/image" Target="media/image50.emf"/><Relationship Id="rId66" Type="http://schemas.openxmlformats.org/officeDocument/2006/relationships/oleObject" Target="embeddings/oleObject5.bin"/><Relationship Id="rId67" Type="http://schemas.openxmlformats.org/officeDocument/2006/relationships/image" Target="media/image51.emf"/><Relationship Id="rId68" Type="http://schemas.openxmlformats.org/officeDocument/2006/relationships/oleObject" Target="embeddings/oleObject6.bin"/><Relationship Id="rId69" Type="http://schemas.openxmlformats.org/officeDocument/2006/relationships/image" Target="media/image52.wmf"/><Relationship Id="rId130" Type="http://schemas.openxmlformats.org/officeDocument/2006/relationships/image" Target="media/image85.png"/><Relationship Id="rId131" Type="http://schemas.openxmlformats.org/officeDocument/2006/relationships/image" Target="media/image86.png"/><Relationship Id="rId132" Type="http://schemas.openxmlformats.org/officeDocument/2006/relationships/image" Target="media/image87.png"/><Relationship Id="rId133" Type="http://schemas.openxmlformats.org/officeDocument/2006/relationships/image" Target="media/image88.png"/><Relationship Id="rId134" Type="http://schemas.openxmlformats.org/officeDocument/2006/relationships/image" Target="media/image89.png"/><Relationship Id="rId135" Type="http://schemas.openxmlformats.org/officeDocument/2006/relationships/image" Target="media/image90.png"/><Relationship Id="rId136" Type="http://schemas.openxmlformats.org/officeDocument/2006/relationships/image" Target="media/image91.png"/><Relationship Id="rId137" Type="http://schemas.openxmlformats.org/officeDocument/2006/relationships/image" Target="media/image92.png"/><Relationship Id="rId138" Type="http://schemas.openxmlformats.org/officeDocument/2006/relationships/image" Target="media/image93.wmf"/><Relationship Id="rId139" Type="http://schemas.openxmlformats.org/officeDocument/2006/relationships/image" Target="media/image94.wmf"/><Relationship Id="rId170" Type="http://schemas.openxmlformats.org/officeDocument/2006/relationships/image" Target="media/image125.png"/><Relationship Id="rId171" Type="http://schemas.openxmlformats.org/officeDocument/2006/relationships/image" Target="media/image126.png"/><Relationship Id="rId172" Type="http://schemas.openxmlformats.org/officeDocument/2006/relationships/image" Target="media/image127.png"/><Relationship Id="rId30" Type="http://schemas.openxmlformats.org/officeDocument/2006/relationships/oleObject" Target="embeddings/oleObject1.bin"/><Relationship Id="rId31" Type="http://schemas.openxmlformats.org/officeDocument/2006/relationships/image" Target="media/image21.emf"/><Relationship Id="rId32" Type="http://schemas.openxmlformats.org/officeDocument/2006/relationships/oleObject" Target="embeddings/oleObject2.bin"/><Relationship Id="rId33" Type="http://schemas.openxmlformats.org/officeDocument/2006/relationships/image" Target="media/image22.emf"/><Relationship Id="rId34" Type="http://schemas.openxmlformats.org/officeDocument/2006/relationships/oleObject" Target="embeddings/oleObject3.bin"/><Relationship Id="rId35" Type="http://schemas.openxmlformats.org/officeDocument/2006/relationships/image" Target="media/image23.emf"/><Relationship Id="rId36" Type="http://schemas.openxmlformats.org/officeDocument/2006/relationships/image" Target="media/image24.emf"/><Relationship Id="rId37" Type="http://schemas.openxmlformats.org/officeDocument/2006/relationships/image" Target="media/image25.emf"/><Relationship Id="rId38" Type="http://schemas.openxmlformats.org/officeDocument/2006/relationships/image" Target="media/image26.emf"/><Relationship Id="rId39" Type="http://schemas.openxmlformats.org/officeDocument/2006/relationships/image" Target="media/image27.emf"/><Relationship Id="rId173" Type="http://schemas.openxmlformats.org/officeDocument/2006/relationships/image" Target="media/image128.png"/><Relationship Id="rId174" Type="http://schemas.openxmlformats.org/officeDocument/2006/relationships/image" Target="media/image129.png"/><Relationship Id="rId175" Type="http://schemas.openxmlformats.org/officeDocument/2006/relationships/image" Target="media/image130.png"/><Relationship Id="rId176" Type="http://schemas.openxmlformats.org/officeDocument/2006/relationships/hyperlink" Target="http://www.eia.gov" TargetMode="External"/><Relationship Id="rId177" Type="http://schemas.openxmlformats.org/officeDocument/2006/relationships/image" Target="media/image131.emf"/><Relationship Id="rId178" Type="http://schemas.openxmlformats.org/officeDocument/2006/relationships/image" Target="media/image132.emf"/><Relationship Id="rId179" Type="http://schemas.openxmlformats.org/officeDocument/2006/relationships/image" Target="media/image133.emf"/><Relationship Id="rId70" Type="http://schemas.openxmlformats.org/officeDocument/2006/relationships/oleObject" Target="embeddings/oleObject7.bin"/><Relationship Id="rId71" Type="http://schemas.openxmlformats.org/officeDocument/2006/relationships/image" Target="media/image53.emf"/><Relationship Id="rId72" Type="http://schemas.openxmlformats.org/officeDocument/2006/relationships/oleObject" Target="embeddings/oleObject8.bin"/><Relationship Id="rId73" Type="http://schemas.openxmlformats.org/officeDocument/2006/relationships/image" Target="media/image54.png"/><Relationship Id="rId74" Type="http://schemas.openxmlformats.org/officeDocument/2006/relationships/image" Target="media/image55.emf"/><Relationship Id="rId75" Type="http://schemas.openxmlformats.org/officeDocument/2006/relationships/image" Target="media/image56.emf"/><Relationship Id="rId76" Type="http://schemas.openxmlformats.org/officeDocument/2006/relationships/image" Target="media/image57.emf"/><Relationship Id="rId77" Type="http://schemas.openxmlformats.org/officeDocument/2006/relationships/image" Target="media/image58.emf"/><Relationship Id="rId78" Type="http://schemas.openxmlformats.org/officeDocument/2006/relationships/image" Target="media/image59.emf"/><Relationship Id="rId79" Type="http://schemas.openxmlformats.org/officeDocument/2006/relationships/image" Target="media/image60.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100" Type="http://schemas.openxmlformats.org/officeDocument/2006/relationships/image" Target="media/image73.png"/><Relationship Id="rId101" Type="http://schemas.openxmlformats.org/officeDocument/2006/relationships/image" Target="media/image74.png"/><Relationship Id="rId102" Type="http://schemas.openxmlformats.org/officeDocument/2006/relationships/image" Target="media/image75.png"/><Relationship Id="rId103" Type="http://schemas.openxmlformats.org/officeDocument/2006/relationships/chart" Target="charts/chart9.xml"/><Relationship Id="rId104" Type="http://schemas.openxmlformats.org/officeDocument/2006/relationships/chart" Target="charts/chart10.xml"/><Relationship Id="rId105" Type="http://schemas.openxmlformats.org/officeDocument/2006/relationships/chart" Target="charts/chart11.xml"/><Relationship Id="rId106" Type="http://schemas.openxmlformats.org/officeDocument/2006/relationships/chart" Target="charts/chart12.xml"/><Relationship Id="rId107" Type="http://schemas.openxmlformats.org/officeDocument/2006/relationships/chart" Target="charts/chart13.xml"/><Relationship Id="rId108" Type="http://schemas.openxmlformats.org/officeDocument/2006/relationships/chart" Target="charts/chart14.xml"/><Relationship Id="rId109" Type="http://schemas.openxmlformats.org/officeDocument/2006/relationships/chart" Target="charts/chart15.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40" Type="http://schemas.openxmlformats.org/officeDocument/2006/relationships/image" Target="media/image95.wmf"/><Relationship Id="rId141" Type="http://schemas.openxmlformats.org/officeDocument/2006/relationships/image" Target="media/image96.wmf"/></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erln:Documents:Research:Reports:Report%20#9:Report#%25252525252525252525252520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Macintosh%20HD:Users:erln:Documents:Research:Conferences:URC-2013:Work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Users\erln\Documents\Research\Conferences\URC-2014\C1234(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Macintosh%20HD:Users:erln:Desktop:Density_profile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mayix\Desktop\Research\GIP\Density_profile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mayix\Desktop\Research\GIP\Density_profil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Macintosh%20HD:Users:erln:Desktop:C1densit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Macintosh%20HD:Users:erln:Desktop:C1densit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Macintosh%20HD:Users:erln:Desktop:C1densit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Macintosh%20HD:Users:erln:Desktop:C1densit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Macintosh%20HD:Users:erln:Desktop:C1densit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erln:Documents:Research:Reports:Report%20#9:Report#%25252525252525252525252520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Users\erln\Documents\Research\Reports\SP%2015\Report%204\adsorption%20match_c1c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Users\erln\Documents\Research\Reports\SP%2015\Report%204\adsorption%20match_c1c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Users\erln\Documents\Research\Reports\SP%2015\Report%2010\Workbook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Users\erln\Documents\Research\Reports\SP%2015\Report%2010\Workbook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mayix\Desktop\Research\GIP\Density_profile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mayix\Desktop\Research\GIP\Density_profile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mayix\Desktop\Research\GIP\Density_profi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erln\Documents\Thesis\MS%20Thesis\Figures\Figure%203.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erln\Documents\Research\Conferences\URC-2014\Work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erln:Documents:Research:Conferences:URC-2013:Work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erln:Documents:Research:Conferences:URC-2013:Work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erln\Documents\Thesis\MS%20Thesis\Codes\4.1.2%20Flash%20Calculati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sers\erln\Documents\Thesis\MS%20Thesis\Codes\4.1.2%20Flash%20Calculatio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sers\erln\Documents\Thesis\MS%20Thesis\Codes\Phase%20Envelop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356681050462"/>
          <c:y val="0.0359429407536185"/>
          <c:w val="0.826663033646218"/>
          <c:h val="0.839458761011671"/>
        </c:manualLayout>
      </c:layout>
      <c:scatterChart>
        <c:scatterStyle val="lineMarker"/>
        <c:varyColors val="0"/>
        <c:ser>
          <c:idx val="0"/>
          <c:order val="0"/>
          <c:tx>
            <c:strRef>
              <c:f>Methane in Graphite</c:f>
              <c:strCache>
                <c:ptCount val="1"/>
                <c:pt idx="0">
                  <c:v>Methane in Graphite</c:v>
                </c:pt>
              </c:strCache>
            </c:strRef>
          </c:tx>
          <c:spPr>
            <a:ln w="28575" cap="rnd" cmpd="sng" algn="ctr">
              <a:noFill/>
              <a:prstDash val="solid"/>
              <a:round/>
            </a:ln>
          </c:spPr>
          <c:xVal>
            <c:numRef>
              <c:f>Sheet1!$E$3:$E$13</c:f>
              <c:numCache>
                <c:formatCode>General</c:formatCode>
                <c:ptCount val="11"/>
                <c:pt idx="0">
                  <c:v>3.991888482603346</c:v>
                </c:pt>
                <c:pt idx="1">
                  <c:v>2.971503283511128</c:v>
                </c:pt>
                <c:pt idx="2">
                  <c:v>2.500612650099268</c:v>
                </c:pt>
                <c:pt idx="3">
                  <c:v>2.00214630083449</c:v>
                </c:pt>
                <c:pt idx="4">
                  <c:v>1.49883914907904</c:v>
                </c:pt>
                <c:pt idx="5">
                  <c:v>0.997516184700095</c:v>
                </c:pt>
                <c:pt idx="6">
                  <c:v>0.899377630679571</c:v>
                </c:pt>
                <c:pt idx="7">
                  <c:v>0.798511574425271</c:v>
                </c:pt>
                <c:pt idx="8">
                  <c:v>0.599498818987327</c:v>
                </c:pt>
                <c:pt idx="9">
                  <c:v>0.570157933747648</c:v>
                </c:pt>
                <c:pt idx="10">
                  <c:v>0.54089724034228</c:v>
                </c:pt>
              </c:numCache>
            </c:numRef>
          </c:xVal>
          <c:yVal>
            <c:numRef>
              <c:f>Sheet1!$C$3:$C$13</c:f>
              <c:numCache>
                <c:formatCode>General</c:formatCode>
                <c:ptCount val="11"/>
                <c:pt idx="0">
                  <c:v>0.0343592</c:v>
                </c:pt>
                <c:pt idx="1">
                  <c:v>0.0640205</c:v>
                </c:pt>
                <c:pt idx="2">
                  <c:v>0.0838047000000001</c:v>
                </c:pt>
                <c:pt idx="3">
                  <c:v>0.111028</c:v>
                </c:pt>
                <c:pt idx="4">
                  <c:v>0.202324</c:v>
                </c:pt>
                <c:pt idx="5">
                  <c:v>0.362776</c:v>
                </c:pt>
                <c:pt idx="6">
                  <c:v>0.522857</c:v>
                </c:pt>
                <c:pt idx="7">
                  <c:v>0.587048</c:v>
                </c:pt>
                <c:pt idx="8">
                  <c:v>0.59757</c:v>
                </c:pt>
                <c:pt idx="9">
                  <c:v>0.59771</c:v>
                </c:pt>
                <c:pt idx="10">
                  <c:v>0.597866</c:v>
                </c:pt>
              </c:numCache>
            </c:numRef>
          </c:yVal>
          <c:smooth val="0"/>
          <c:extLst xmlns:c16r2="http://schemas.microsoft.com/office/drawing/2015/06/chart">
            <c:ext xmlns:c16="http://schemas.microsoft.com/office/drawing/2014/chart" uri="{C3380CC4-5D6E-409C-BE32-E72D297353CC}">
              <c16:uniqueId val="{00000000-63AB-4945-A09E-157424C7CF59}"/>
            </c:ext>
          </c:extLst>
        </c:ser>
        <c:ser>
          <c:idx val="1"/>
          <c:order val="1"/>
          <c:tx>
            <c:strRef>
              <c:f>n-Butane in Graphite</c:f>
              <c:strCache>
                <c:ptCount val="1"/>
                <c:pt idx="0">
                  <c:v>n-Butane in Graphite</c:v>
                </c:pt>
              </c:strCache>
            </c:strRef>
          </c:tx>
          <c:spPr>
            <a:ln w="28575" cap="rnd" cmpd="sng" algn="ctr">
              <a:noFill/>
              <a:prstDash val="solid"/>
              <a:round/>
            </a:ln>
          </c:spPr>
          <c:xVal>
            <c:numRef>
              <c:f>Sheet1!$I$3:$I$11</c:f>
              <c:numCache>
                <c:formatCode>General</c:formatCode>
                <c:ptCount val="9"/>
                <c:pt idx="0">
                  <c:v>3.986398408629748</c:v>
                </c:pt>
                <c:pt idx="1">
                  <c:v>3.001948264423608</c:v>
                </c:pt>
                <c:pt idx="2">
                  <c:v>2.489835247601671</c:v>
                </c:pt>
                <c:pt idx="3">
                  <c:v>2.00931922255421</c:v>
                </c:pt>
                <c:pt idx="4">
                  <c:v>1.49863698965791</c:v>
                </c:pt>
                <c:pt idx="5">
                  <c:v>0.99310783164836</c:v>
                </c:pt>
                <c:pt idx="6">
                  <c:v>0.794502045842766</c:v>
                </c:pt>
                <c:pt idx="7">
                  <c:v>0.595890737474378</c:v>
                </c:pt>
                <c:pt idx="8">
                  <c:v>0.574105543563129</c:v>
                </c:pt>
              </c:numCache>
            </c:numRef>
          </c:xVal>
          <c:yVal>
            <c:numRef>
              <c:f>Sheet1!$G$3:$G$11</c:f>
              <c:numCache>
                <c:formatCode>General</c:formatCode>
                <c:ptCount val="9"/>
                <c:pt idx="0">
                  <c:v>0.0563265</c:v>
                </c:pt>
                <c:pt idx="1">
                  <c:v>0.0857143</c:v>
                </c:pt>
                <c:pt idx="2">
                  <c:v>0.107755</c:v>
                </c:pt>
                <c:pt idx="3">
                  <c:v>0.146939</c:v>
                </c:pt>
                <c:pt idx="4">
                  <c:v>0.24</c:v>
                </c:pt>
                <c:pt idx="5">
                  <c:v>0.457959</c:v>
                </c:pt>
                <c:pt idx="6">
                  <c:v>0.570612</c:v>
                </c:pt>
                <c:pt idx="7">
                  <c:v>0.658776</c:v>
                </c:pt>
                <c:pt idx="8">
                  <c:v>0.661224</c:v>
                </c:pt>
              </c:numCache>
            </c:numRef>
          </c:yVal>
          <c:smooth val="0"/>
          <c:extLst xmlns:c16r2="http://schemas.microsoft.com/office/drawing/2015/06/chart">
            <c:ext xmlns:c16="http://schemas.microsoft.com/office/drawing/2014/chart" uri="{C3380CC4-5D6E-409C-BE32-E72D297353CC}">
              <c16:uniqueId val="{00000001-63AB-4945-A09E-157424C7CF59}"/>
            </c:ext>
          </c:extLst>
        </c:ser>
        <c:ser>
          <c:idx val="2"/>
          <c:order val="2"/>
          <c:tx>
            <c:strRef>
              <c:f>n-Octane in Graphite</c:f>
              <c:strCache>
                <c:ptCount val="1"/>
                <c:pt idx="0">
                  <c:v>n-Octane in Graphite</c:v>
                </c:pt>
              </c:strCache>
            </c:strRef>
          </c:tx>
          <c:spPr>
            <a:ln w="28575" cap="rnd" cmpd="sng" algn="ctr">
              <a:noFill/>
              <a:prstDash val="solid"/>
              <a:round/>
            </a:ln>
          </c:spPr>
          <c:xVal>
            <c:numRef>
              <c:f>Sheet1!$M$3:$M$12</c:f>
              <c:numCache>
                <c:formatCode>General</c:formatCode>
                <c:ptCount val="10"/>
                <c:pt idx="0">
                  <c:v>4.98504486540379</c:v>
                </c:pt>
                <c:pt idx="1">
                  <c:v>3.988513082322913</c:v>
                </c:pt>
                <c:pt idx="2">
                  <c:v>3.005205015086128</c:v>
                </c:pt>
                <c:pt idx="3">
                  <c:v>1.99369593345841</c:v>
                </c:pt>
                <c:pt idx="4">
                  <c:v>1.49081286571503</c:v>
                </c:pt>
                <c:pt idx="5">
                  <c:v>1.1972434666424</c:v>
                </c:pt>
                <c:pt idx="6">
                  <c:v>0.994658682872972</c:v>
                </c:pt>
                <c:pt idx="7">
                  <c:v>0.893431491673218</c:v>
                </c:pt>
                <c:pt idx="8">
                  <c:v>0.796311485200551</c:v>
                </c:pt>
                <c:pt idx="9">
                  <c:v>0.695395784510754</c:v>
                </c:pt>
              </c:numCache>
            </c:numRef>
          </c:xVal>
          <c:yVal>
            <c:numRef>
              <c:f>Sheet1!$K$3:$K$12</c:f>
              <c:numCache>
                <c:formatCode>General</c:formatCode>
                <c:ptCount val="10"/>
                <c:pt idx="0">
                  <c:v>0.0487805</c:v>
                </c:pt>
                <c:pt idx="1">
                  <c:v>0.0658537</c:v>
                </c:pt>
                <c:pt idx="2">
                  <c:v>0.095122</c:v>
                </c:pt>
                <c:pt idx="3">
                  <c:v>0.168293</c:v>
                </c:pt>
                <c:pt idx="4">
                  <c:v>0.265854</c:v>
                </c:pt>
                <c:pt idx="5">
                  <c:v>0.35122</c:v>
                </c:pt>
                <c:pt idx="6">
                  <c:v>0.509756</c:v>
                </c:pt>
                <c:pt idx="7">
                  <c:v>0.54878</c:v>
                </c:pt>
                <c:pt idx="8">
                  <c:v>0.582927</c:v>
                </c:pt>
                <c:pt idx="9">
                  <c:v>0.643902</c:v>
                </c:pt>
              </c:numCache>
            </c:numRef>
          </c:yVal>
          <c:smooth val="0"/>
          <c:extLst xmlns:c16r2="http://schemas.microsoft.com/office/drawing/2015/06/chart">
            <c:ext xmlns:c16="http://schemas.microsoft.com/office/drawing/2014/chart" uri="{C3380CC4-5D6E-409C-BE32-E72D297353CC}">
              <c16:uniqueId val="{00000002-63AB-4945-A09E-157424C7CF59}"/>
            </c:ext>
          </c:extLst>
        </c:ser>
        <c:ser>
          <c:idx val="3"/>
          <c:order val="3"/>
          <c:tx>
            <c:strRef>
              <c:f>Methane in Mica</c:f>
              <c:strCache>
                <c:ptCount val="1"/>
                <c:pt idx="0">
                  <c:v>Methane in Mica</c:v>
                </c:pt>
              </c:strCache>
            </c:strRef>
          </c:tx>
          <c:spPr>
            <a:ln w="28575" cap="rnd" cmpd="sng" algn="ctr">
              <a:noFill/>
              <a:prstDash val="solid"/>
              <a:round/>
            </a:ln>
          </c:spPr>
          <c:xVal>
            <c:numRef>
              <c:f>Sheet1!$E$15:$E$26</c:f>
              <c:numCache>
                <c:formatCode>General</c:formatCode>
                <c:ptCount val="12"/>
                <c:pt idx="0">
                  <c:v>4.021038071188427</c:v>
                </c:pt>
                <c:pt idx="1">
                  <c:v>3.02547144408777</c:v>
                </c:pt>
                <c:pt idx="2">
                  <c:v>2.51882824110224</c:v>
                </c:pt>
                <c:pt idx="3">
                  <c:v>2.02353369689489</c:v>
                </c:pt>
                <c:pt idx="4">
                  <c:v>1.50837980400113</c:v>
                </c:pt>
                <c:pt idx="5">
                  <c:v>1.00979705098869</c:v>
                </c:pt>
                <c:pt idx="6">
                  <c:v>0.829820426859627</c:v>
                </c:pt>
                <c:pt idx="7">
                  <c:v>0.799379681367259</c:v>
                </c:pt>
                <c:pt idx="8">
                  <c:v>0.701847965693671</c:v>
                </c:pt>
                <c:pt idx="9">
                  <c:v>0.600459952323482</c:v>
                </c:pt>
                <c:pt idx="10">
                  <c:v>0.540631132784413</c:v>
                </c:pt>
                <c:pt idx="11">
                  <c:v>0.501746076345683</c:v>
                </c:pt>
              </c:numCache>
            </c:numRef>
          </c:xVal>
          <c:yVal>
            <c:numRef>
              <c:f>Sheet1!$C$15:$C$26</c:f>
              <c:numCache>
                <c:formatCode>General</c:formatCode>
                <c:ptCount val="12"/>
                <c:pt idx="0">
                  <c:v>0.0444444</c:v>
                </c:pt>
                <c:pt idx="1">
                  <c:v>0.0740741</c:v>
                </c:pt>
                <c:pt idx="2">
                  <c:v>0.101235</c:v>
                </c:pt>
                <c:pt idx="3">
                  <c:v>0.138272</c:v>
                </c:pt>
                <c:pt idx="4">
                  <c:v>0.202469</c:v>
                </c:pt>
                <c:pt idx="5">
                  <c:v>0.323457</c:v>
                </c:pt>
                <c:pt idx="6">
                  <c:v>0.414815</c:v>
                </c:pt>
                <c:pt idx="7">
                  <c:v>0.48642</c:v>
                </c:pt>
                <c:pt idx="8">
                  <c:v>0.575309</c:v>
                </c:pt>
                <c:pt idx="9">
                  <c:v>0.587654</c:v>
                </c:pt>
                <c:pt idx="10">
                  <c:v>0.587654</c:v>
                </c:pt>
                <c:pt idx="11">
                  <c:v>0.587654</c:v>
                </c:pt>
              </c:numCache>
            </c:numRef>
          </c:yVal>
          <c:smooth val="0"/>
          <c:extLst xmlns:c16r2="http://schemas.microsoft.com/office/drawing/2015/06/chart">
            <c:ext xmlns:c16="http://schemas.microsoft.com/office/drawing/2014/chart" uri="{C3380CC4-5D6E-409C-BE32-E72D297353CC}">
              <c16:uniqueId val="{00000003-63AB-4945-A09E-157424C7CF59}"/>
            </c:ext>
          </c:extLst>
        </c:ser>
        <c:ser>
          <c:idx val="4"/>
          <c:order val="4"/>
          <c:tx>
            <c:strRef>
              <c:f>n-Butane in Mica</c:f>
              <c:strCache>
                <c:ptCount val="1"/>
                <c:pt idx="0">
                  <c:v>n-Butane in Mica</c:v>
                </c:pt>
              </c:strCache>
            </c:strRef>
          </c:tx>
          <c:spPr>
            <a:ln w="28575" cap="rnd" cmpd="sng" algn="ctr">
              <a:noFill/>
              <a:prstDash val="solid"/>
              <a:round/>
            </a:ln>
          </c:spPr>
          <c:xVal>
            <c:numRef>
              <c:f>Sheet1!$I$15:$I$24</c:f>
              <c:numCache>
                <c:formatCode>General</c:formatCode>
                <c:ptCount val="10"/>
                <c:pt idx="0">
                  <c:v>4.029284842233348</c:v>
                </c:pt>
                <c:pt idx="1">
                  <c:v>2.496106074523738</c:v>
                </c:pt>
                <c:pt idx="2">
                  <c:v>1.99115132351828</c:v>
                </c:pt>
                <c:pt idx="3">
                  <c:v>1.504392827055</c:v>
                </c:pt>
                <c:pt idx="4">
                  <c:v>1.005149380275149</c:v>
                </c:pt>
                <c:pt idx="5">
                  <c:v>0.804246421103426</c:v>
                </c:pt>
                <c:pt idx="6">
                  <c:v>0.672562800551501</c:v>
                </c:pt>
                <c:pt idx="7">
                  <c:v>0.602453189387185</c:v>
                </c:pt>
                <c:pt idx="8">
                  <c:v>0.572593389981905</c:v>
                </c:pt>
                <c:pt idx="9">
                  <c:v>0.553201376365024</c:v>
                </c:pt>
              </c:numCache>
            </c:numRef>
          </c:xVal>
          <c:yVal>
            <c:numRef>
              <c:f>Sheet1!$G$15:$G$24</c:f>
              <c:numCache>
                <c:formatCode>General</c:formatCode>
                <c:ptCount val="10"/>
                <c:pt idx="0">
                  <c:v>0.0669421</c:v>
                </c:pt>
                <c:pt idx="1">
                  <c:v>0.119008</c:v>
                </c:pt>
                <c:pt idx="2">
                  <c:v>0.156198</c:v>
                </c:pt>
                <c:pt idx="3">
                  <c:v>0.220661</c:v>
                </c:pt>
                <c:pt idx="4">
                  <c:v>0.344628</c:v>
                </c:pt>
                <c:pt idx="5">
                  <c:v>0.468595</c:v>
                </c:pt>
                <c:pt idx="6">
                  <c:v>0.590083</c:v>
                </c:pt>
                <c:pt idx="7">
                  <c:v>0.627273</c:v>
                </c:pt>
                <c:pt idx="8">
                  <c:v>0.642149</c:v>
                </c:pt>
                <c:pt idx="9">
                  <c:v>0.642149</c:v>
                </c:pt>
              </c:numCache>
            </c:numRef>
          </c:yVal>
          <c:smooth val="0"/>
          <c:extLst xmlns:c16r2="http://schemas.microsoft.com/office/drawing/2015/06/chart">
            <c:ext xmlns:c16="http://schemas.microsoft.com/office/drawing/2014/chart" uri="{C3380CC4-5D6E-409C-BE32-E72D297353CC}">
              <c16:uniqueId val="{00000004-63AB-4945-A09E-157424C7CF59}"/>
            </c:ext>
          </c:extLst>
        </c:ser>
        <c:ser>
          <c:idx val="5"/>
          <c:order val="5"/>
          <c:tx>
            <c:strRef>
              <c:f>n-Octane in Mica</c:f>
              <c:strCache>
                <c:ptCount val="1"/>
                <c:pt idx="0">
                  <c:v>n-Octane in Mica</c:v>
                </c:pt>
              </c:strCache>
            </c:strRef>
          </c:tx>
          <c:spPr>
            <a:ln w="28575" cap="rnd" cmpd="sng" algn="ctr">
              <a:noFill/>
              <a:prstDash val="solid"/>
              <a:round/>
            </a:ln>
          </c:spPr>
          <c:xVal>
            <c:numRef>
              <c:f>Sheet1!$M$15:$M$24</c:f>
              <c:numCache>
                <c:formatCode>General</c:formatCode>
                <c:ptCount val="10"/>
                <c:pt idx="0">
                  <c:v>5.05022448247825</c:v>
                </c:pt>
                <c:pt idx="1">
                  <c:v>4.010378860490937</c:v>
                </c:pt>
                <c:pt idx="2">
                  <c:v>3.01738314429428</c:v>
                </c:pt>
                <c:pt idx="3">
                  <c:v>1.99710419891158</c:v>
                </c:pt>
                <c:pt idx="4">
                  <c:v>1.50384533251524</c:v>
                </c:pt>
                <c:pt idx="5">
                  <c:v>1.001520307827279</c:v>
                </c:pt>
                <c:pt idx="6">
                  <c:v>0.799827237316739</c:v>
                </c:pt>
                <c:pt idx="7">
                  <c:v>0.699462113634615</c:v>
                </c:pt>
                <c:pt idx="8">
                  <c:v>0.670582870631152</c:v>
                </c:pt>
                <c:pt idx="9">
                  <c:v>0.648315029239008</c:v>
                </c:pt>
              </c:numCache>
            </c:numRef>
          </c:xVal>
          <c:yVal>
            <c:numRef>
              <c:f>Sheet1!$K$15:$K$24</c:f>
              <c:numCache>
                <c:formatCode>General</c:formatCode>
                <c:ptCount val="10"/>
                <c:pt idx="0">
                  <c:v>0.0669421</c:v>
                </c:pt>
                <c:pt idx="1">
                  <c:v>0.0917355000000001</c:v>
                </c:pt>
                <c:pt idx="2">
                  <c:v>0.116529</c:v>
                </c:pt>
                <c:pt idx="3">
                  <c:v>0.178512</c:v>
                </c:pt>
                <c:pt idx="4">
                  <c:v>0.247934</c:v>
                </c:pt>
                <c:pt idx="5">
                  <c:v>0.37438</c:v>
                </c:pt>
                <c:pt idx="6">
                  <c:v>0.530579</c:v>
                </c:pt>
                <c:pt idx="7">
                  <c:v>0.567769</c:v>
                </c:pt>
                <c:pt idx="8">
                  <c:v>0.590083</c:v>
                </c:pt>
                <c:pt idx="9">
                  <c:v>0.595041</c:v>
                </c:pt>
              </c:numCache>
            </c:numRef>
          </c:yVal>
          <c:smooth val="0"/>
          <c:extLst xmlns:c16r2="http://schemas.microsoft.com/office/drawing/2015/06/chart">
            <c:ext xmlns:c16="http://schemas.microsoft.com/office/drawing/2014/chart" uri="{C3380CC4-5D6E-409C-BE32-E72D297353CC}">
              <c16:uniqueId val="{00000005-63AB-4945-A09E-157424C7CF59}"/>
            </c:ext>
          </c:extLst>
        </c:ser>
        <c:dLbls>
          <c:showLegendKey val="0"/>
          <c:showVal val="0"/>
          <c:showCatName val="0"/>
          <c:showSerName val="0"/>
          <c:showPercent val="0"/>
          <c:showBubbleSize val="0"/>
        </c:dLbls>
        <c:axId val="1962022000"/>
        <c:axId val="1962886160"/>
      </c:scatterChart>
      <c:valAx>
        <c:axId val="1962022000"/>
        <c:scaling>
          <c:logBase val="10.0"/>
          <c:orientation val="minMax"/>
        </c:scaling>
        <c:delete val="0"/>
        <c:axPos val="b"/>
        <c:title>
          <c:tx>
            <c:rich>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r>
                  <a:rPr lang="en-US" b="0"/>
                  <a:t>D,</a:t>
                </a:r>
                <a:r>
                  <a:rPr lang="en-US" b="0" baseline="0"/>
                  <a:t> nm</a:t>
                </a:r>
                <a:endParaRPr lang="en-US" b="0"/>
              </a:p>
            </c:rich>
          </c:tx>
          <c:overlay val="0"/>
        </c:title>
        <c:numFmt formatCode="General" sourceLinked="1"/>
        <c:majorTickMark val="in"/>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886160"/>
        <c:crossesAt val="0.01"/>
        <c:crossBetween val="midCat"/>
      </c:valAx>
      <c:valAx>
        <c:axId val="1962886160"/>
        <c:scaling>
          <c:logBase val="10.0"/>
          <c:orientation val="minMax"/>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r>
                  <a:rPr lang="el-GR" sz="1200" b="0" i="0" baseline="0">
                    <a:effectLst/>
                  </a:rPr>
                  <a:t>Δ T</a:t>
                </a:r>
                <a:r>
                  <a:rPr lang="el-GR" sz="1200" b="0" i="0" baseline="-25000">
                    <a:effectLst/>
                  </a:rPr>
                  <a:t>C</a:t>
                </a:r>
                <a:endParaRPr lang="el-GR" sz="1200" b="0">
                  <a:effectLst/>
                </a:endParaRPr>
              </a:p>
            </c:rich>
          </c:tx>
          <c:overlay val="0"/>
        </c:title>
        <c:numFmt formatCode="General" sourceLinked="1"/>
        <c:majorTickMark val="in"/>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022000"/>
        <c:crossesAt val="0.1"/>
        <c:crossBetween val="midCat"/>
      </c:valAx>
      <c:spPr>
        <a:ln>
          <a:solidFill>
            <a:schemeClr val="tx1"/>
          </a:solidFill>
        </a:ln>
      </c:spPr>
    </c:plotArea>
    <c:legend>
      <c:legendPos val="r"/>
      <c:layout>
        <c:manualLayout>
          <c:xMode val="edge"/>
          <c:yMode val="edge"/>
          <c:x val="0.124149762000089"/>
          <c:y val="0.23707410734732"/>
          <c:w val="0.234955708661417"/>
          <c:h val="0.607263978716254"/>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0910517226238913"/>
          <c:y val="0.0520522426292927"/>
          <c:w val="0.871675935954103"/>
          <c:h val="0.803291463567054"/>
        </c:manualLayout>
      </c:layout>
      <c:scatterChart>
        <c:scatterStyle val="smoothMarker"/>
        <c:varyColors val="0"/>
        <c:ser>
          <c:idx val="0"/>
          <c:order val="0"/>
          <c:tx>
            <c:strRef>
              <c:f>Methane Local Density</c:f>
              <c:strCache>
                <c:ptCount val="1"/>
                <c:pt idx="0">
                  <c:v>Methane Local Density</c:v>
                </c:pt>
              </c:strCache>
            </c:strRef>
          </c:tx>
          <c:spPr>
            <a:ln w="28575" cap="rnd" cmpd="sng" algn="ctr">
              <a:solidFill>
                <a:schemeClr val="tx1"/>
              </a:solidFill>
              <a:prstDash val="solid"/>
              <a:round/>
            </a:ln>
          </c:spPr>
          <c:marker>
            <c:symbol val="none"/>
          </c:marker>
          <c:xVal>
            <c:numRef>
              <c:f>'C1_2.4nm'!$B$2:$B$204</c:f>
              <c:numCache>
                <c:formatCode>General</c:formatCode>
                <c:ptCount val="203"/>
                <c:pt idx="0">
                  <c:v>0.1865</c:v>
                </c:pt>
                <c:pt idx="1">
                  <c:v>0.1965</c:v>
                </c:pt>
                <c:pt idx="2">
                  <c:v>0.2065</c:v>
                </c:pt>
                <c:pt idx="3">
                  <c:v>0.2165</c:v>
                </c:pt>
                <c:pt idx="4">
                  <c:v>0.2265</c:v>
                </c:pt>
                <c:pt idx="5">
                  <c:v>0.2365</c:v>
                </c:pt>
                <c:pt idx="6">
                  <c:v>0.2465</c:v>
                </c:pt>
                <c:pt idx="7">
                  <c:v>0.2565</c:v>
                </c:pt>
                <c:pt idx="8">
                  <c:v>0.2665</c:v>
                </c:pt>
                <c:pt idx="9">
                  <c:v>0.2765</c:v>
                </c:pt>
                <c:pt idx="10">
                  <c:v>0.2865</c:v>
                </c:pt>
                <c:pt idx="11">
                  <c:v>0.2965</c:v>
                </c:pt>
                <c:pt idx="12">
                  <c:v>0.3065</c:v>
                </c:pt>
                <c:pt idx="13">
                  <c:v>0.3165</c:v>
                </c:pt>
                <c:pt idx="14">
                  <c:v>0.3265</c:v>
                </c:pt>
                <c:pt idx="15">
                  <c:v>0.3365</c:v>
                </c:pt>
                <c:pt idx="16">
                  <c:v>0.3465</c:v>
                </c:pt>
                <c:pt idx="17">
                  <c:v>0.3565</c:v>
                </c:pt>
                <c:pt idx="18">
                  <c:v>0.3665</c:v>
                </c:pt>
                <c:pt idx="19">
                  <c:v>0.3765</c:v>
                </c:pt>
                <c:pt idx="20">
                  <c:v>0.3865</c:v>
                </c:pt>
                <c:pt idx="21">
                  <c:v>0.3965</c:v>
                </c:pt>
                <c:pt idx="22">
                  <c:v>0.4065</c:v>
                </c:pt>
                <c:pt idx="23">
                  <c:v>0.4165</c:v>
                </c:pt>
                <c:pt idx="24">
                  <c:v>0.4265</c:v>
                </c:pt>
                <c:pt idx="25">
                  <c:v>0.4365</c:v>
                </c:pt>
                <c:pt idx="26">
                  <c:v>0.4465</c:v>
                </c:pt>
                <c:pt idx="27">
                  <c:v>0.4565</c:v>
                </c:pt>
                <c:pt idx="28">
                  <c:v>0.4665</c:v>
                </c:pt>
                <c:pt idx="29">
                  <c:v>0.4765</c:v>
                </c:pt>
                <c:pt idx="30">
                  <c:v>0.4865</c:v>
                </c:pt>
                <c:pt idx="31">
                  <c:v>0.4965</c:v>
                </c:pt>
                <c:pt idx="32">
                  <c:v>0.5065</c:v>
                </c:pt>
                <c:pt idx="33">
                  <c:v>0.5165</c:v>
                </c:pt>
                <c:pt idx="34">
                  <c:v>0.5265</c:v>
                </c:pt>
                <c:pt idx="35">
                  <c:v>0.5365</c:v>
                </c:pt>
                <c:pt idx="36">
                  <c:v>0.5465</c:v>
                </c:pt>
                <c:pt idx="37">
                  <c:v>0.5565</c:v>
                </c:pt>
                <c:pt idx="38">
                  <c:v>0.5665</c:v>
                </c:pt>
                <c:pt idx="39">
                  <c:v>0.5765</c:v>
                </c:pt>
                <c:pt idx="40">
                  <c:v>0.5865</c:v>
                </c:pt>
                <c:pt idx="41">
                  <c:v>0.5965</c:v>
                </c:pt>
                <c:pt idx="42">
                  <c:v>0.6065</c:v>
                </c:pt>
                <c:pt idx="43">
                  <c:v>0.6165</c:v>
                </c:pt>
                <c:pt idx="44">
                  <c:v>0.6265</c:v>
                </c:pt>
                <c:pt idx="45">
                  <c:v>0.6365</c:v>
                </c:pt>
                <c:pt idx="46">
                  <c:v>0.6465</c:v>
                </c:pt>
                <c:pt idx="47">
                  <c:v>0.6565</c:v>
                </c:pt>
                <c:pt idx="48">
                  <c:v>0.6665</c:v>
                </c:pt>
                <c:pt idx="49">
                  <c:v>0.6765</c:v>
                </c:pt>
                <c:pt idx="50">
                  <c:v>0.6865</c:v>
                </c:pt>
                <c:pt idx="51">
                  <c:v>0.6965</c:v>
                </c:pt>
                <c:pt idx="52">
                  <c:v>0.7065</c:v>
                </c:pt>
                <c:pt idx="53">
                  <c:v>0.7165</c:v>
                </c:pt>
                <c:pt idx="54">
                  <c:v>0.7265</c:v>
                </c:pt>
                <c:pt idx="55">
                  <c:v>0.7365</c:v>
                </c:pt>
                <c:pt idx="56">
                  <c:v>0.7465</c:v>
                </c:pt>
                <c:pt idx="57">
                  <c:v>0.7565</c:v>
                </c:pt>
                <c:pt idx="58">
                  <c:v>0.7665</c:v>
                </c:pt>
                <c:pt idx="59">
                  <c:v>0.7765</c:v>
                </c:pt>
                <c:pt idx="60">
                  <c:v>0.7865</c:v>
                </c:pt>
                <c:pt idx="61">
                  <c:v>0.7965</c:v>
                </c:pt>
                <c:pt idx="62">
                  <c:v>0.8065</c:v>
                </c:pt>
                <c:pt idx="63">
                  <c:v>0.8165</c:v>
                </c:pt>
                <c:pt idx="64">
                  <c:v>0.8265</c:v>
                </c:pt>
                <c:pt idx="65">
                  <c:v>0.8365</c:v>
                </c:pt>
                <c:pt idx="66">
                  <c:v>0.8465</c:v>
                </c:pt>
                <c:pt idx="67">
                  <c:v>0.8565</c:v>
                </c:pt>
                <c:pt idx="68">
                  <c:v>0.8665</c:v>
                </c:pt>
                <c:pt idx="69">
                  <c:v>0.8765</c:v>
                </c:pt>
                <c:pt idx="70">
                  <c:v>0.8865</c:v>
                </c:pt>
                <c:pt idx="71">
                  <c:v>0.8965</c:v>
                </c:pt>
                <c:pt idx="72">
                  <c:v>0.9065</c:v>
                </c:pt>
                <c:pt idx="73">
                  <c:v>0.9165</c:v>
                </c:pt>
                <c:pt idx="74">
                  <c:v>0.9265</c:v>
                </c:pt>
                <c:pt idx="75">
                  <c:v>0.9365</c:v>
                </c:pt>
                <c:pt idx="76">
                  <c:v>0.9465</c:v>
                </c:pt>
                <c:pt idx="77">
                  <c:v>0.9565</c:v>
                </c:pt>
                <c:pt idx="78">
                  <c:v>0.9665</c:v>
                </c:pt>
                <c:pt idx="79">
                  <c:v>0.9765</c:v>
                </c:pt>
                <c:pt idx="80">
                  <c:v>0.9865</c:v>
                </c:pt>
                <c:pt idx="81">
                  <c:v>0.9965</c:v>
                </c:pt>
                <c:pt idx="82">
                  <c:v>1.0065</c:v>
                </c:pt>
                <c:pt idx="83">
                  <c:v>1.0165</c:v>
                </c:pt>
                <c:pt idx="84">
                  <c:v>1.0265</c:v>
                </c:pt>
                <c:pt idx="85">
                  <c:v>1.0365</c:v>
                </c:pt>
                <c:pt idx="86">
                  <c:v>1.0465</c:v>
                </c:pt>
                <c:pt idx="87">
                  <c:v>1.0565</c:v>
                </c:pt>
                <c:pt idx="88">
                  <c:v>1.0665</c:v>
                </c:pt>
                <c:pt idx="89">
                  <c:v>1.0765</c:v>
                </c:pt>
                <c:pt idx="90">
                  <c:v>1.0865</c:v>
                </c:pt>
                <c:pt idx="91">
                  <c:v>1.0965</c:v>
                </c:pt>
                <c:pt idx="92">
                  <c:v>1.1065</c:v>
                </c:pt>
                <c:pt idx="93">
                  <c:v>1.1165</c:v>
                </c:pt>
                <c:pt idx="94">
                  <c:v>1.1265</c:v>
                </c:pt>
                <c:pt idx="95">
                  <c:v>1.1365</c:v>
                </c:pt>
                <c:pt idx="96">
                  <c:v>1.1465</c:v>
                </c:pt>
                <c:pt idx="97">
                  <c:v>1.1565</c:v>
                </c:pt>
                <c:pt idx="98">
                  <c:v>1.1665</c:v>
                </c:pt>
                <c:pt idx="99">
                  <c:v>1.1765</c:v>
                </c:pt>
                <c:pt idx="100">
                  <c:v>1.1865</c:v>
                </c:pt>
                <c:pt idx="101">
                  <c:v>1.1965</c:v>
                </c:pt>
                <c:pt idx="102">
                  <c:v>1.206499999999999</c:v>
                </c:pt>
                <c:pt idx="103">
                  <c:v>1.216499999999999</c:v>
                </c:pt>
                <c:pt idx="104">
                  <c:v>1.226499999999999</c:v>
                </c:pt>
                <c:pt idx="105">
                  <c:v>1.236499999999999</c:v>
                </c:pt>
                <c:pt idx="106">
                  <c:v>1.246499999999999</c:v>
                </c:pt>
                <c:pt idx="107">
                  <c:v>1.2565</c:v>
                </c:pt>
                <c:pt idx="108">
                  <c:v>1.2665</c:v>
                </c:pt>
                <c:pt idx="109">
                  <c:v>1.2765</c:v>
                </c:pt>
                <c:pt idx="110">
                  <c:v>1.2865</c:v>
                </c:pt>
                <c:pt idx="111">
                  <c:v>1.2965</c:v>
                </c:pt>
                <c:pt idx="112">
                  <c:v>1.3065</c:v>
                </c:pt>
                <c:pt idx="113">
                  <c:v>1.3165</c:v>
                </c:pt>
                <c:pt idx="114">
                  <c:v>1.3265</c:v>
                </c:pt>
                <c:pt idx="115">
                  <c:v>1.3365</c:v>
                </c:pt>
                <c:pt idx="116">
                  <c:v>1.3465</c:v>
                </c:pt>
                <c:pt idx="117">
                  <c:v>1.3565</c:v>
                </c:pt>
                <c:pt idx="118">
                  <c:v>1.3665</c:v>
                </c:pt>
                <c:pt idx="119">
                  <c:v>1.3765</c:v>
                </c:pt>
                <c:pt idx="120">
                  <c:v>1.3865</c:v>
                </c:pt>
                <c:pt idx="121">
                  <c:v>1.3965</c:v>
                </c:pt>
                <c:pt idx="122">
                  <c:v>1.406499999999999</c:v>
                </c:pt>
                <c:pt idx="123">
                  <c:v>1.416499999999999</c:v>
                </c:pt>
                <c:pt idx="124">
                  <c:v>1.426499999999999</c:v>
                </c:pt>
                <c:pt idx="125">
                  <c:v>1.436499999999999</c:v>
                </c:pt>
                <c:pt idx="126">
                  <c:v>1.446499999999999</c:v>
                </c:pt>
                <c:pt idx="127">
                  <c:v>1.456499999999999</c:v>
                </c:pt>
                <c:pt idx="128">
                  <c:v>1.466499999999999</c:v>
                </c:pt>
                <c:pt idx="129">
                  <c:v>1.476499999999999</c:v>
                </c:pt>
                <c:pt idx="130">
                  <c:v>1.486499999999999</c:v>
                </c:pt>
                <c:pt idx="131">
                  <c:v>1.496499999999999</c:v>
                </c:pt>
                <c:pt idx="132">
                  <c:v>1.5065</c:v>
                </c:pt>
                <c:pt idx="133">
                  <c:v>1.5165</c:v>
                </c:pt>
                <c:pt idx="134">
                  <c:v>1.5265</c:v>
                </c:pt>
                <c:pt idx="135">
                  <c:v>1.5365</c:v>
                </c:pt>
                <c:pt idx="136">
                  <c:v>1.5465</c:v>
                </c:pt>
                <c:pt idx="137">
                  <c:v>1.5565</c:v>
                </c:pt>
                <c:pt idx="138">
                  <c:v>1.5665</c:v>
                </c:pt>
                <c:pt idx="139">
                  <c:v>1.5765</c:v>
                </c:pt>
                <c:pt idx="140">
                  <c:v>1.5865</c:v>
                </c:pt>
                <c:pt idx="141">
                  <c:v>1.5965</c:v>
                </c:pt>
                <c:pt idx="142">
                  <c:v>1.6065</c:v>
                </c:pt>
                <c:pt idx="143">
                  <c:v>1.61649999999999</c:v>
                </c:pt>
                <c:pt idx="144">
                  <c:v>1.6265</c:v>
                </c:pt>
                <c:pt idx="145">
                  <c:v>1.6365</c:v>
                </c:pt>
                <c:pt idx="146">
                  <c:v>1.6465</c:v>
                </c:pt>
                <c:pt idx="147">
                  <c:v>1.6565</c:v>
                </c:pt>
                <c:pt idx="148">
                  <c:v>1.66649999999999</c:v>
                </c:pt>
                <c:pt idx="149">
                  <c:v>1.6765</c:v>
                </c:pt>
                <c:pt idx="150">
                  <c:v>1.6865</c:v>
                </c:pt>
                <c:pt idx="151">
                  <c:v>1.6965</c:v>
                </c:pt>
                <c:pt idx="152">
                  <c:v>1.706499999999999</c:v>
                </c:pt>
                <c:pt idx="153">
                  <c:v>1.716499999999989</c:v>
                </c:pt>
                <c:pt idx="154">
                  <c:v>1.726499999999999</c:v>
                </c:pt>
                <c:pt idx="155">
                  <c:v>1.736499999999999</c:v>
                </c:pt>
                <c:pt idx="156">
                  <c:v>1.746499999999999</c:v>
                </c:pt>
                <c:pt idx="157">
                  <c:v>1.7565</c:v>
                </c:pt>
                <c:pt idx="158">
                  <c:v>1.766499999999989</c:v>
                </c:pt>
                <c:pt idx="159">
                  <c:v>1.7765</c:v>
                </c:pt>
                <c:pt idx="160">
                  <c:v>1.7865</c:v>
                </c:pt>
                <c:pt idx="161">
                  <c:v>1.7965</c:v>
                </c:pt>
                <c:pt idx="162">
                  <c:v>1.8065</c:v>
                </c:pt>
                <c:pt idx="163">
                  <c:v>1.81649999999999</c:v>
                </c:pt>
                <c:pt idx="164">
                  <c:v>1.8265</c:v>
                </c:pt>
                <c:pt idx="165">
                  <c:v>1.8365</c:v>
                </c:pt>
                <c:pt idx="166">
                  <c:v>1.8465</c:v>
                </c:pt>
                <c:pt idx="167">
                  <c:v>1.8565</c:v>
                </c:pt>
                <c:pt idx="168">
                  <c:v>1.86649999999999</c:v>
                </c:pt>
                <c:pt idx="169">
                  <c:v>1.8765</c:v>
                </c:pt>
                <c:pt idx="170">
                  <c:v>1.8865</c:v>
                </c:pt>
                <c:pt idx="171">
                  <c:v>1.8965</c:v>
                </c:pt>
                <c:pt idx="172">
                  <c:v>1.9065</c:v>
                </c:pt>
                <c:pt idx="173">
                  <c:v>1.91649999999999</c:v>
                </c:pt>
                <c:pt idx="174">
                  <c:v>1.9265</c:v>
                </c:pt>
                <c:pt idx="175">
                  <c:v>1.9365</c:v>
                </c:pt>
                <c:pt idx="176">
                  <c:v>1.9465</c:v>
                </c:pt>
                <c:pt idx="177">
                  <c:v>1.9565</c:v>
                </c:pt>
                <c:pt idx="178">
                  <c:v>1.96649999999999</c:v>
                </c:pt>
                <c:pt idx="179">
                  <c:v>1.9765</c:v>
                </c:pt>
                <c:pt idx="180">
                  <c:v>1.9865</c:v>
                </c:pt>
                <c:pt idx="181">
                  <c:v>1.9965</c:v>
                </c:pt>
                <c:pt idx="182">
                  <c:v>2.0065</c:v>
                </c:pt>
                <c:pt idx="183">
                  <c:v>2.016499999999998</c:v>
                </c:pt>
                <c:pt idx="184">
                  <c:v>2.0265</c:v>
                </c:pt>
                <c:pt idx="185">
                  <c:v>2.036499999999998</c:v>
                </c:pt>
                <c:pt idx="186">
                  <c:v>2.0465</c:v>
                </c:pt>
                <c:pt idx="187">
                  <c:v>2.056499999999998</c:v>
                </c:pt>
                <c:pt idx="188">
                  <c:v>2.0665</c:v>
                </c:pt>
                <c:pt idx="189">
                  <c:v>2.076499999999998</c:v>
                </c:pt>
                <c:pt idx="190">
                  <c:v>2.0865</c:v>
                </c:pt>
                <c:pt idx="191">
                  <c:v>2.096499999999998</c:v>
                </c:pt>
                <c:pt idx="192">
                  <c:v>2.1065</c:v>
                </c:pt>
                <c:pt idx="193">
                  <c:v>2.116499999999998</c:v>
                </c:pt>
                <c:pt idx="194">
                  <c:v>2.1265</c:v>
                </c:pt>
                <c:pt idx="195">
                  <c:v>2.136499999999998</c:v>
                </c:pt>
                <c:pt idx="196">
                  <c:v>2.1465</c:v>
                </c:pt>
                <c:pt idx="197">
                  <c:v>2.156499999999998</c:v>
                </c:pt>
                <c:pt idx="198">
                  <c:v>2.1665</c:v>
                </c:pt>
                <c:pt idx="199">
                  <c:v>2.176499999999998</c:v>
                </c:pt>
                <c:pt idx="200">
                  <c:v>2.1865</c:v>
                </c:pt>
                <c:pt idx="201">
                  <c:v>2.196499999999998</c:v>
                </c:pt>
                <c:pt idx="202">
                  <c:v>2.2065</c:v>
                </c:pt>
              </c:numCache>
            </c:numRef>
          </c:xVal>
          <c:yVal>
            <c:numRef>
              <c:f>'C1_2.4nm'!$D$2:$D$204</c:f>
              <c:numCache>
                <c:formatCode>General</c:formatCode>
                <c:ptCount val="203"/>
                <c:pt idx="0">
                  <c:v>0.482427946518224</c:v>
                </c:pt>
                <c:pt idx="1">
                  <c:v>0.4804401131204</c:v>
                </c:pt>
                <c:pt idx="2">
                  <c:v>0.476354196917664</c:v>
                </c:pt>
                <c:pt idx="3">
                  <c:v>0.47067786169496</c:v>
                </c:pt>
                <c:pt idx="4">
                  <c:v>0.46371682903904</c:v>
                </c:pt>
                <c:pt idx="5">
                  <c:v>0.455675118467008</c:v>
                </c:pt>
                <c:pt idx="6">
                  <c:v>0.4467047054652</c:v>
                </c:pt>
                <c:pt idx="7">
                  <c:v>0.436931903831696</c:v>
                </c:pt>
                <c:pt idx="8">
                  <c:v>0.426471887150608</c:v>
                </c:pt>
                <c:pt idx="9">
                  <c:v>0.415436533920064</c:v>
                </c:pt>
                <c:pt idx="10">
                  <c:v>0.403938150334368</c:v>
                </c:pt>
                <c:pt idx="11">
                  <c:v>0.392090469118704</c:v>
                </c:pt>
                <c:pt idx="12">
                  <c:v>0.380007813130128</c:v>
                </c:pt>
                <c:pt idx="13">
                  <c:v>0.367803089190368</c:v>
                </c:pt>
                <c:pt idx="14">
                  <c:v>0.355585168953248</c:v>
                </c:pt>
                <c:pt idx="15">
                  <c:v>0.34345613367416</c:v>
                </c:pt>
                <c:pt idx="16">
                  <c:v>0.331508769877344</c:v>
                </c:pt>
                <c:pt idx="17">
                  <c:v>0.319824593899601</c:v>
                </c:pt>
                <c:pt idx="18">
                  <c:v>0.308472563539168</c:v>
                </c:pt>
                <c:pt idx="19">
                  <c:v>0.297508520444976</c:v>
                </c:pt>
                <c:pt idx="20">
                  <c:v>0.286975312595216</c:v>
                </c:pt>
                <c:pt idx="21">
                  <c:v>0.27690348156696</c:v>
                </c:pt>
                <c:pt idx="22">
                  <c:v>0.267312366266224</c:v>
                </c:pt>
                <c:pt idx="23">
                  <c:v>0.258211469245104</c:v>
                </c:pt>
                <c:pt idx="24">
                  <c:v>0.249601946074192</c:v>
                </c:pt>
                <c:pt idx="25">
                  <c:v>0.241478104060864</c:v>
                </c:pt>
                <c:pt idx="26">
                  <c:v>0.23382882660744</c:v>
                </c:pt>
                <c:pt idx="27">
                  <c:v>0.22663886843096</c:v>
                </c:pt>
                <c:pt idx="28">
                  <c:v>0.21988999161616</c:v>
                </c:pt>
                <c:pt idx="29">
                  <c:v>0.213561931740912</c:v>
                </c:pt>
                <c:pt idx="30">
                  <c:v>0.20763319704288</c:v>
                </c:pt>
                <c:pt idx="31">
                  <c:v>0.202081712450688</c:v>
                </c:pt>
                <c:pt idx="32">
                  <c:v>0.1968853252636</c:v>
                </c:pt>
                <c:pt idx="33">
                  <c:v>0.192022191345296</c:v>
                </c:pt>
                <c:pt idx="34">
                  <c:v>0.187471060811216</c:v>
                </c:pt>
                <c:pt idx="35">
                  <c:v>0.18321148106888</c:v>
                </c:pt>
                <c:pt idx="36">
                  <c:v>0.179223933268032</c:v>
                </c:pt>
                <c:pt idx="37">
                  <c:v>0.175489916121696</c:v>
                </c:pt>
                <c:pt idx="38">
                  <c:v>0.17199385778016</c:v>
                </c:pt>
                <c:pt idx="39">
                  <c:v>0.168724025567632</c:v>
                </c:pt>
                <c:pt idx="40">
                  <c:v>0.16566405581544</c:v>
                </c:pt>
                <c:pt idx="41">
                  <c:v>0.162798527878528</c:v>
                </c:pt>
                <c:pt idx="42">
                  <c:v>0.160113241474656</c:v>
                </c:pt>
                <c:pt idx="43">
                  <c:v>0.157595126456144</c:v>
                </c:pt>
                <c:pt idx="44">
                  <c:v>0.155232156387392</c:v>
                </c:pt>
                <c:pt idx="45">
                  <c:v>0.153013266616496</c:v>
                </c:pt>
                <c:pt idx="46">
                  <c:v>0.150928277237088</c:v>
                </c:pt>
                <c:pt idx="47">
                  <c:v>0.148967821117856</c:v>
                </c:pt>
                <c:pt idx="48">
                  <c:v>0.147123277017152</c:v>
                </c:pt>
                <c:pt idx="49">
                  <c:v>0.145386707684768</c:v>
                </c:pt>
                <c:pt idx="50">
                  <c:v>0.14375080277456</c:v>
                </c:pt>
                <c:pt idx="51">
                  <c:v>0.14220882633864</c:v>
                </c:pt>
                <c:pt idx="52">
                  <c:v>0.140754568642368</c:v>
                </c:pt>
                <c:pt idx="53">
                  <c:v>0.139382302022704</c:v>
                </c:pt>
                <c:pt idx="54">
                  <c:v>0.138086740507184</c:v>
                </c:pt>
                <c:pt idx="55">
                  <c:v>0.136863002912992</c:v>
                </c:pt>
                <c:pt idx="56">
                  <c:v>0.135706579153968</c:v>
                </c:pt>
                <c:pt idx="57">
                  <c:v>0.134613299495152</c:v>
                </c:pt>
                <c:pt idx="58">
                  <c:v>0.133579306508352</c:v>
                </c:pt>
                <c:pt idx="59">
                  <c:v>0.132601029498048</c:v>
                </c:pt>
                <c:pt idx="60">
                  <c:v>0.131675161182544</c:v>
                </c:pt>
                <c:pt idx="61">
                  <c:v>0.130798636431808</c:v>
                </c:pt>
                <c:pt idx="62">
                  <c:v>0.129968612878384</c:v>
                </c:pt>
                <c:pt idx="63">
                  <c:v>0.129182453233792</c:v>
                </c:pt>
                <c:pt idx="64">
                  <c:v>0.128437709156</c:v>
                </c:pt>
                <c:pt idx="65">
                  <c:v>0.12773210652808</c:v>
                </c:pt>
                <c:pt idx="66">
                  <c:v>0.12706353201968</c:v>
                </c:pt>
                <c:pt idx="67">
                  <c:v>0.126430020815232</c:v>
                </c:pt>
                <c:pt idx="68">
                  <c:v>0.125829745403216</c:v>
                </c:pt>
                <c:pt idx="69">
                  <c:v>0.125261005330384</c:v>
                </c:pt>
                <c:pt idx="70">
                  <c:v>0.124722217834144</c:v>
                </c:pt>
                <c:pt idx="71">
                  <c:v>0.124211909274352</c:v>
                </c:pt>
                <c:pt idx="72">
                  <c:v>0.123728707293008</c:v>
                </c:pt>
                <c:pt idx="73">
                  <c:v>0.123271333637392</c:v>
                </c:pt>
                <c:pt idx="74">
                  <c:v>0.122838597588064</c:v>
                </c:pt>
                <c:pt idx="75">
                  <c:v>0.122429389938944</c:v>
                </c:pt>
                <c:pt idx="76">
                  <c:v>0.122042677481328</c:v>
                </c:pt>
                <c:pt idx="77">
                  <c:v>0.121677497948768</c:v>
                </c:pt>
                <c:pt idx="78">
                  <c:v>0.121332955383504</c:v>
                </c:pt>
                <c:pt idx="79">
                  <c:v>0.121008215888928</c:v>
                </c:pt>
                <c:pt idx="80">
                  <c:v>0.120702503736</c:v>
                </c:pt>
                <c:pt idx="81">
                  <c:v>0.120415097794544</c:v>
                </c:pt>
                <c:pt idx="82">
                  <c:v>0.120145328263296</c:v>
                </c:pt>
                <c:pt idx="83">
                  <c:v>0.11989257367472</c:v>
                </c:pt>
                <c:pt idx="84">
                  <c:v>0.119656258153216</c:v>
                </c:pt>
                <c:pt idx="85">
                  <c:v>0.119435848907264</c:v>
                </c:pt>
                <c:pt idx="86">
                  <c:v>0.11923085393808</c:v>
                </c:pt>
                <c:pt idx="87">
                  <c:v>0.11904081994864</c:v>
                </c:pt>
                <c:pt idx="88">
                  <c:v>0.118865330439152</c:v>
                </c:pt>
                <c:pt idx="89">
                  <c:v>0.118704003975792</c:v>
                </c:pt>
                <c:pt idx="90">
                  <c:v>0.11855649262144</c:v>
                </c:pt>
                <c:pt idx="91">
                  <c:v>0.118422480517648</c:v>
                </c:pt>
                <c:pt idx="92">
                  <c:v>0.118301682609008</c:v>
                </c:pt>
                <c:pt idx="93">
                  <c:v>0.118193843501328</c:v>
                </c:pt>
                <c:pt idx="94">
                  <c:v>0.118098736446304</c:v>
                </c:pt>
                <c:pt idx="95">
                  <c:v>0.118016162446464</c:v>
                </c:pt>
                <c:pt idx="96">
                  <c:v>0.11794594947432</c:v>
                </c:pt>
                <c:pt idx="97">
                  <c:v>0.117887951801232</c:v>
                </c:pt>
                <c:pt idx="98">
                  <c:v>0.117842049431408</c:v>
                </c:pt>
                <c:pt idx="99">
                  <c:v>0.117808147637952</c:v>
                </c:pt>
                <c:pt idx="100">
                  <c:v>0.1177861765976</c:v>
                </c:pt>
                <c:pt idx="101">
                  <c:v>0.11777609112224</c:v>
                </c:pt>
                <c:pt idx="102">
                  <c:v>0.117777870485552</c:v>
                </c:pt>
                <c:pt idx="103">
                  <c:v>0.11779151834352</c:v>
                </c:pt>
                <c:pt idx="104">
                  <c:v>0.117817062748352</c:v>
                </c:pt>
                <c:pt idx="105">
                  <c:v>0.117854556256192</c:v>
                </c:pt>
                <c:pt idx="106">
                  <c:v>0.117904076128864</c:v>
                </c:pt>
                <c:pt idx="107">
                  <c:v>0.117965724631152</c:v>
                </c:pt>
                <c:pt idx="108">
                  <c:v>0.11803962942536</c:v>
                </c:pt>
                <c:pt idx="109">
                  <c:v>0.118125944065664</c:v>
                </c:pt>
                <c:pt idx="110">
                  <c:v>0.118224848595168</c:v>
                </c:pt>
                <c:pt idx="111">
                  <c:v>0.118336550249536</c:v>
                </c:pt>
                <c:pt idx="112">
                  <c:v>0.118461284271472</c:v>
                </c:pt>
                <c:pt idx="113">
                  <c:v>0.118599314841328</c:v>
                </c:pt>
                <c:pt idx="114">
                  <c:v>0.118750936129568</c:v>
                </c:pt>
                <c:pt idx="115">
                  <c:v>0.118916473477984</c:v>
                </c:pt>
                <c:pt idx="116">
                  <c:v>0.119096284717152</c:v>
                </c:pt>
                <c:pt idx="117">
                  <c:v>0.119290761628736</c:v>
                </c:pt>
                <c:pt idx="118">
                  <c:v>0.119500331562272</c:v>
                </c:pt>
                <c:pt idx="119">
                  <c:v>0.119725459217088</c:v>
                </c:pt>
                <c:pt idx="120">
                  <c:v>0.119966648601456</c:v>
                </c:pt>
                <c:pt idx="121">
                  <c:v>0.120224445181968</c:v>
                </c:pt>
                <c:pt idx="122">
                  <c:v>0.120499438238192</c:v>
                </c:pt>
                <c:pt idx="123">
                  <c:v>0.120792263438768</c:v>
                </c:pt>
                <c:pt idx="124">
                  <c:v>0.121103605657072</c:v>
                </c:pt>
                <c:pt idx="125">
                  <c:v>0.121434202046464</c:v>
                </c:pt>
                <c:pt idx="126">
                  <c:v>0.121784845397296</c:v>
                </c:pt>
                <c:pt idx="127">
                  <c:v>0.122156387800208</c:v>
                </c:pt>
                <c:pt idx="128">
                  <c:v>0.12254974464264</c:v>
                </c:pt>
                <c:pt idx="129">
                  <c:v>0.122965898968704</c:v>
                </c:pt>
                <c:pt idx="130">
                  <c:v>0.123405906235392</c:v>
                </c:pt>
                <c:pt idx="131">
                  <c:v>0.123870899501536</c:v>
                </c:pt>
                <c:pt idx="132">
                  <c:v>0.124362095090336</c:v>
                </c:pt>
                <c:pt idx="133">
                  <c:v>0.124880798769568</c:v>
                </c:pt>
                <c:pt idx="134">
                  <c:v>0.125428412499328</c:v>
                </c:pt>
                <c:pt idx="135">
                  <c:v>0.126006441801408</c:v>
                </c:pt>
                <c:pt idx="136">
                  <c:v>0.12661650381104</c:v>
                </c:pt>
                <c:pt idx="137">
                  <c:v>0.127260336076976</c:v>
                </c:pt>
                <c:pt idx="138">
                  <c:v>0.127939806184016</c:v>
                </c:pt>
                <c:pt idx="139">
                  <c:v>0.128656922278656</c:v>
                </c:pt>
                <c:pt idx="140">
                  <c:v>0.129413844587744</c:v>
                </c:pt>
                <c:pt idx="141">
                  <c:v>0.130212898028704</c:v>
                </c:pt>
                <c:pt idx="142">
                  <c:v>0.131056586020112</c:v>
                </c:pt>
                <c:pt idx="143">
                  <c:v>0.131947605612496</c:v>
                </c:pt>
                <c:pt idx="144">
                  <c:v>0.132888864070784</c:v>
                </c:pt>
                <c:pt idx="145">
                  <c:v>0.133883497052816</c:v>
                </c:pt>
                <c:pt idx="146">
                  <c:v>0.134934888542016</c:v>
                </c:pt>
                <c:pt idx="147">
                  <c:v>0.136046692706592</c:v>
                </c:pt>
                <c:pt idx="148">
                  <c:v>0.137222857873408</c:v>
                </c:pt>
                <c:pt idx="149">
                  <c:v>0.138467652819792</c:v>
                </c:pt>
                <c:pt idx="150">
                  <c:v>0.13978569560344</c:v>
                </c:pt>
                <c:pt idx="151">
                  <c:v>0.141181985165472</c:v>
                </c:pt>
                <c:pt idx="152">
                  <c:v>0.142661935957952</c:v>
                </c:pt>
                <c:pt idx="153">
                  <c:v>0.144231415859728</c:v>
                </c:pt>
                <c:pt idx="154">
                  <c:v>0.14589678765608</c:v>
                </c:pt>
                <c:pt idx="155">
                  <c:v>0.147664954363568</c:v>
                </c:pt>
                <c:pt idx="156">
                  <c:v>0.149543408682832</c:v>
                </c:pt>
                <c:pt idx="157">
                  <c:v>0.15154028685248</c:v>
                </c:pt>
                <c:pt idx="158">
                  <c:v>0.153664427157712</c:v>
                </c:pt>
                <c:pt idx="159">
                  <c:v>0.155925433309008</c:v>
                </c:pt>
                <c:pt idx="160">
                  <c:v>0.158333742847376</c:v>
                </c:pt>
                <c:pt idx="161">
                  <c:v>0.160900700643184</c:v>
                </c:pt>
                <c:pt idx="162">
                  <c:v>0.163638637428784</c:v>
                </c:pt>
                <c:pt idx="163">
                  <c:v>0.166560953128368</c:v>
                </c:pt>
                <c:pt idx="164">
                  <c:v>0.16968220451</c:v>
                </c:pt>
                <c:pt idx="165">
                  <c:v>0.17301819636688</c:v>
                </c:pt>
                <c:pt idx="166">
                  <c:v>0.176584559009072</c:v>
                </c:pt>
                <c:pt idx="167">
                  <c:v>0.18039275534824</c:v>
                </c:pt>
                <c:pt idx="168">
                  <c:v>0.184459922645376</c:v>
                </c:pt>
                <c:pt idx="169">
                  <c:v>0.18880487362296</c:v>
                </c:pt>
                <c:pt idx="170">
                  <c:v>0.19344741820232</c:v>
                </c:pt>
                <c:pt idx="171">
                  <c:v>0.198408265231536</c:v>
                </c:pt>
                <c:pt idx="172">
                  <c:v>0.203708867622048</c:v>
                </c:pt>
                <c:pt idx="173">
                  <c:v>0.209371196290768</c:v>
                </c:pt>
                <c:pt idx="174">
                  <c:v>0.215417426264432</c:v>
                </c:pt>
                <c:pt idx="175">
                  <c:v>0.221869516657312</c:v>
                </c:pt>
                <c:pt idx="176">
                  <c:v>0.228748665417776</c:v>
                </c:pt>
                <c:pt idx="177">
                  <c:v>0.2360746203576</c:v>
                </c:pt>
                <c:pt idx="178">
                  <c:v>0.243864830820784</c:v>
                </c:pt>
                <c:pt idx="179">
                  <c:v>0.252133430368928</c:v>
                </c:pt>
                <c:pt idx="180">
                  <c:v>0.260890051082064</c:v>
                </c:pt>
                <c:pt idx="181">
                  <c:v>0.270138485418816</c:v>
                </c:pt>
                <c:pt idx="182">
                  <c:v>0.279875232543504</c:v>
                </c:pt>
                <c:pt idx="183">
                  <c:v>0.290087992240464</c:v>
                </c:pt>
                <c:pt idx="184">
                  <c:v>0.300754199205152</c:v>
                </c:pt>
                <c:pt idx="185">
                  <c:v>0.311839719904752</c:v>
                </c:pt>
                <c:pt idx="186">
                  <c:v>0.323297857421728</c:v>
                </c:pt>
                <c:pt idx="187">
                  <c:v>0.335068818962176</c:v>
                </c:pt>
                <c:pt idx="188">
                  <c:v>0.34707978761672</c:v>
                </c:pt>
                <c:pt idx="189">
                  <c:v>0.359245697645392</c:v>
                </c:pt>
                <c:pt idx="190">
                  <c:v>0.371470738481248</c:v>
                </c:pt>
                <c:pt idx="191">
                  <c:v>0.383650510964112</c:v>
                </c:pt>
                <c:pt idx="192">
                  <c:v>0.395674641420944</c:v>
                </c:pt>
                <c:pt idx="193">
                  <c:v>0.407429541169936</c:v>
                </c:pt>
                <c:pt idx="194">
                  <c:v>0.41880089546272</c:v>
                </c:pt>
                <c:pt idx="195">
                  <c:v>0.429675381044176</c:v>
                </c:pt>
                <c:pt idx="196">
                  <c:v>0.439941028722992</c:v>
                </c:pt>
                <c:pt idx="197">
                  <c:v>0.449485516170656</c:v>
                </c:pt>
                <c:pt idx="198">
                  <c:v>0.458191390699888</c:v>
                </c:pt>
                <c:pt idx="199">
                  <c:v>0.465926569367152</c:v>
                </c:pt>
                <c:pt idx="200">
                  <c:v>0.472526987600592</c:v>
                </c:pt>
                <c:pt idx="201">
                  <c:v>0.47776488025472</c:v>
                </c:pt>
                <c:pt idx="202">
                  <c:v>0.481288003835264</c:v>
                </c:pt>
              </c:numCache>
            </c:numRef>
          </c:yVal>
          <c:smooth val="1"/>
          <c:extLst xmlns:c16r2="http://schemas.microsoft.com/office/drawing/2015/06/chart">
            <c:ext xmlns:c16="http://schemas.microsoft.com/office/drawing/2014/chart" uri="{C3380CC4-5D6E-409C-BE32-E72D297353CC}">
              <c16:uniqueId val="{00000000-513D-4F3E-885E-D7AAF15539F8}"/>
            </c:ext>
          </c:extLst>
        </c:ser>
        <c:ser>
          <c:idx val="1"/>
          <c:order val="1"/>
          <c:tx>
            <c:strRef>
              <c:f>Methane Bulk Density</c:f>
              <c:strCache>
                <c:ptCount val="1"/>
                <c:pt idx="0">
                  <c:v>Methane Bulk Density</c:v>
                </c:pt>
              </c:strCache>
            </c:strRef>
          </c:tx>
          <c:spPr>
            <a:ln w="28575" cap="rnd" cmpd="sng" algn="ctr">
              <a:solidFill>
                <a:schemeClr val="tx1"/>
              </a:solidFill>
              <a:prstDash val="dash"/>
              <a:round/>
            </a:ln>
          </c:spPr>
          <c:marker>
            <c:symbol val="none"/>
          </c:marker>
          <c:xVal>
            <c:numRef>
              <c:f>'C1_2.4nm'!$B$2:$B$204</c:f>
              <c:numCache>
                <c:formatCode>General</c:formatCode>
                <c:ptCount val="203"/>
                <c:pt idx="0">
                  <c:v>0.1865</c:v>
                </c:pt>
                <c:pt idx="1">
                  <c:v>0.1965</c:v>
                </c:pt>
                <c:pt idx="2">
                  <c:v>0.2065</c:v>
                </c:pt>
                <c:pt idx="3">
                  <c:v>0.2165</c:v>
                </c:pt>
                <c:pt idx="4">
                  <c:v>0.2265</c:v>
                </c:pt>
                <c:pt idx="5">
                  <c:v>0.2365</c:v>
                </c:pt>
                <c:pt idx="6">
                  <c:v>0.2465</c:v>
                </c:pt>
                <c:pt idx="7">
                  <c:v>0.2565</c:v>
                </c:pt>
                <c:pt idx="8">
                  <c:v>0.2665</c:v>
                </c:pt>
                <c:pt idx="9">
                  <c:v>0.2765</c:v>
                </c:pt>
                <c:pt idx="10">
                  <c:v>0.2865</c:v>
                </c:pt>
                <c:pt idx="11">
                  <c:v>0.2965</c:v>
                </c:pt>
                <c:pt idx="12">
                  <c:v>0.3065</c:v>
                </c:pt>
                <c:pt idx="13">
                  <c:v>0.3165</c:v>
                </c:pt>
                <c:pt idx="14">
                  <c:v>0.3265</c:v>
                </c:pt>
                <c:pt idx="15">
                  <c:v>0.3365</c:v>
                </c:pt>
                <c:pt idx="16">
                  <c:v>0.3465</c:v>
                </c:pt>
                <c:pt idx="17">
                  <c:v>0.3565</c:v>
                </c:pt>
                <c:pt idx="18">
                  <c:v>0.3665</c:v>
                </c:pt>
                <c:pt idx="19">
                  <c:v>0.3765</c:v>
                </c:pt>
                <c:pt idx="20">
                  <c:v>0.3865</c:v>
                </c:pt>
                <c:pt idx="21">
                  <c:v>0.3965</c:v>
                </c:pt>
                <c:pt idx="22">
                  <c:v>0.4065</c:v>
                </c:pt>
                <c:pt idx="23">
                  <c:v>0.4165</c:v>
                </c:pt>
                <c:pt idx="24">
                  <c:v>0.4265</c:v>
                </c:pt>
                <c:pt idx="25">
                  <c:v>0.4365</c:v>
                </c:pt>
                <c:pt idx="26">
                  <c:v>0.4465</c:v>
                </c:pt>
                <c:pt idx="27">
                  <c:v>0.4565</c:v>
                </c:pt>
                <c:pt idx="28">
                  <c:v>0.4665</c:v>
                </c:pt>
                <c:pt idx="29">
                  <c:v>0.4765</c:v>
                </c:pt>
                <c:pt idx="30">
                  <c:v>0.4865</c:v>
                </c:pt>
                <c:pt idx="31">
                  <c:v>0.4965</c:v>
                </c:pt>
                <c:pt idx="32">
                  <c:v>0.5065</c:v>
                </c:pt>
                <c:pt idx="33">
                  <c:v>0.5165</c:v>
                </c:pt>
                <c:pt idx="34">
                  <c:v>0.5265</c:v>
                </c:pt>
                <c:pt idx="35">
                  <c:v>0.5365</c:v>
                </c:pt>
                <c:pt idx="36">
                  <c:v>0.5465</c:v>
                </c:pt>
                <c:pt idx="37">
                  <c:v>0.5565</c:v>
                </c:pt>
                <c:pt idx="38">
                  <c:v>0.5665</c:v>
                </c:pt>
                <c:pt idx="39">
                  <c:v>0.5765</c:v>
                </c:pt>
                <c:pt idx="40">
                  <c:v>0.5865</c:v>
                </c:pt>
                <c:pt idx="41">
                  <c:v>0.5965</c:v>
                </c:pt>
                <c:pt idx="42">
                  <c:v>0.6065</c:v>
                </c:pt>
                <c:pt idx="43">
                  <c:v>0.6165</c:v>
                </c:pt>
                <c:pt idx="44">
                  <c:v>0.6265</c:v>
                </c:pt>
                <c:pt idx="45">
                  <c:v>0.6365</c:v>
                </c:pt>
                <c:pt idx="46">
                  <c:v>0.6465</c:v>
                </c:pt>
                <c:pt idx="47">
                  <c:v>0.6565</c:v>
                </c:pt>
                <c:pt idx="48">
                  <c:v>0.6665</c:v>
                </c:pt>
                <c:pt idx="49">
                  <c:v>0.6765</c:v>
                </c:pt>
                <c:pt idx="50">
                  <c:v>0.6865</c:v>
                </c:pt>
                <c:pt idx="51">
                  <c:v>0.6965</c:v>
                </c:pt>
                <c:pt idx="52">
                  <c:v>0.7065</c:v>
                </c:pt>
                <c:pt idx="53">
                  <c:v>0.7165</c:v>
                </c:pt>
                <c:pt idx="54">
                  <c:v>0.7265</c:v>
                </c:pt>
                <c:pt idx="55">
                  <c:v>0.7365</c:v>
                </c:pt>
                <c:pt idx="56">
                  <c:v>0.7465</c:v>
                </c:pt>
                <c:pt idx="57">
                  <c:v>0.7565</c:v>
                </c:pt>
                <c:pt idx="58">
                  <c:v>0.7665</c:v>
                </c:pt>
                <c:pt idx="59">
                  <c:v>0.7765</c:v>
                </c:pt>
                <c:pt idx="60">
                  <c:v>0.7865</c:v>
                </c:pt>
                <c:pt idx="61">
                  <c:v>0.7965</c:v>
                </c:pt>
                <c:pt idx="62">
                  <c:v>0.8065</c:v>
                </c:pt>
                <c:pt idx="63">
                  <c:v>0.8165</c:v>
                </c:pt>
                <c:pt idx="64">
                  <c:v>0.8265</c:v>
                </c:pt>
                <c:pt idx="65">
                  <c:v>0.8365</c:v>
                </c:pt>
                <c:pt idx="66">
                  <c:v>0.8465</c:v>
                </c:pt>
                <c:pt idx="67">
                  <c:v>0.8565</c:v>
                </c:pt>
                <c:pt idx="68">
                  <c:v>0.8665</c:v>
                </c:pt>
                <c:pt idx="69">
                  <c:v>0.8765</c:v>
                </c:pt>
                <c:pt idx="70">
                  <c:v>0.8865</c:v>
                </c:pt>
                <c:pt idx="71">
                  <c:v>0.8965</c:v>
                </c:pt>
                <c:pt idx="72">
                  <c:v>0.9065</c:v>
                </c:pt>
                <c:pt idx="73">
                  <c:v>0.9165</c:v>
                </c:pt>
                <c:pt idx="74">
                  <c:v>0.9265</c:v>
                </c:pt>
                <c:pt idx="75">
                  <c:v>0.9365</c:v>
                </c:pt>
                <c:pt idx="76">
                  <c:v>0.9465</c:v>
                </c:pt>
                <c:pt idx="77">
                  <c:v>0.9565</c:v>
                </c:pt>
                <c:pt idx="78">
                  <c:v>0.9665</c:v>
                </c:pt>
                <c:pt idx="79">
                  <c:v>0.9765</c:v>
                </c:pt>
                <c:pt idx="80">
                  <c:v>0.9865</c:v>
                </c:pt>
                <c:pt idx="81">
                  <c:v>0.9965</c:v>
                </c:pt>
                <c:pt idx="82">
                  <c:v>1.0065</c:v>
                </c:pt>
                <c:pt idx="83">
                  <c:v>1.0165</c:v>
                </c:pt>
                <c:pt idx="84">
                  <c:v>1.0265</c:v>
                </c:pt>
                <c:pt idx="85">
                  <c:v>1.0365</c:v>
                </c:pt>
                <c:pt idx="86">
                  <c:v>1.0465</c:v>
                </c:pt>
                <c:pt idx="87">
                  <c:v>1.0565</c:v>
                </c:pt>
                <c:pt idx="88">
                  <c:v>1.0665</c:v>
                </c:pt>
                <c:pt idx="89">
                  <c:v>1.0765</c:v>
                </c:pt>
                <c:pt idx="90">
                  <c:v>1.0865</c:v>
                </c:pt>
                <c:pt idx="91">
                  <c:v>1.0965</c:v>
                </c:pt>
                <c:pt idx="92">
                  <c:v>1.1065</c:v>
                </c:pt>
                <c:pt idx="93">
                  <c:v>1.1165</c:v>
                </c:pt>
                <c:pt idx="94">
                  <c:v>1.1265</c:v>
                </c:pt>
                <c:pt idx="95">
                  <c:v>1.1365</c:v>
                </c:pt>
                <c:pt idx="96">
                  <c:v>1.1465</c:v>
                </c:pt>
                <c:pt idx="97">
                  <c:v>1.1565</c:v>
                </c:pt>
                <c:pt idx="98">
                  <c:v>1.1665</c:v>
                </c:pt>
                <c:pt idx="99">
                  <c:v>1.1765</c:v>
                </c:pt>
                <c:pt idx="100">
                  <c:v>1.1865</c:v>
                </c:pt>
                <c:pt idx="101">
                  <c:v>1.1965</c:v>
                </c:pt>
                <c:pt idx="102">
                  <c:v>1.206499999999999</c:v>
                </c:pt>
                <c:pt idx="103">
                  <c:v>1.216499999999999</c:v>
                </c:pt>
                <c:pt idx="104">
                  <c:v>1.226499999999999</c:v>
                </c:pt>
                <c:pt idx="105">
                  <c:v>1.236499999999999</c:v>
                </c:pt>
                <c:pt idx="106">
                  <c:v>1.246499999999999</c:v>
                </c:pt>
                <c:pt idx="107">
                  <c:v>1.2565</c:v>
                </c:pt>
                <c:pt idx="108">
                  <c:v>1.2665</c:v>
                </c:pt>
                <c:pt idx="109">
                  <c:v>1.2765</c:v>
                </c:pt>
                <c:pt idx="110">
                  <c:v>1.2865</c:v>
                </c:pt>
                <c:pt idx="111">
                  <c:v>1.2965</c:v>
                </c:pt>
                <c:pt idx="112">
                  <c:v>1.3065</c:v>
                </c:pt>
                <c:pt idx="113">
                  <c:v>1.3165</c:v>
                </c:pt>
                <c:pt idx="114">
                  <c:v>1.3265</c:v>
                </c:pt>
                <c:pt idx="115">
                  <c:v>1.3365</c:v>
                </c:pt>
                <c:pt idx="116">
                  <c:v>1.3465</c:v>
                </c:pt>
                <c:pt idx="117">
                  <c:v>1.3565</c:v>
                </c:pt>
                <c:pt idx="118">
                  <c:v>1.3665</c:v>
                </c:pt>
                <c:pt idx="119">
                  <c:v>1.3765</c:v>
                </c:pt>
                <c:pt idx="120">
                  <c:v>1.3865</c:v>
                </c:pt>
                <c:pt idx="121">
                  <c:v>1.3965</c:v>
                </c:pt>
                <c:pt idx="122">
                  <c:v>1.406499999999999</c:v>
                </c:pt>
                <c:pt idx="123">
                  <c:v>1.416499999999999</c:v>
                </c:pt>
                <c:pt idx="124">
                  <c:v>1.426499999999999</c:v>
                </c:pt>
                <c:pt idx="125">
                  <c:v>1.436499999999999</c:v>
                </c:pt>
                <c:pt idx="126">
                  <c:v>1.446499999999999</c:v>
                </c:pt>
                <c:pt idx="127">
                  <c:v>1.456499999999999</c:v>
                </c:pt>
                <c:pt idx="128">
                  <c:v>1.466499999999999</c:v>
                </c:pt>
                <c:pt idx="129">
                  <c:v>1.476499999999999</c:v>
                </c:pt>
                <c:pt idx="130">
                  <c:v>1.486499999999999</c:v>
                </c:pt>
                <c:pt idx="131">
                  <c:v>1.496499999999999</c:v>
                </c:pt>
                <c:pt idx="132">
                  <c:v>1.5065</c:v>
                </c:pt>
                <c:pt idx="133">
                  <c:v>1.5165</c:v>
                </c:pt>
                <c:pt idx="134">
                  <c:v>1.5265</c:v>
                </c:pt>
                <c:pt idx="135">
                  <c:v>1.5365</c:v>
                </c:pt>
                <c:pt idx="136">
                  <c:v>1.5465</c:v>
                </c:pt>
                <c:pt idx="137">
                  <c:v>1.5565</c:v>
                </c:pt>
                <c:pt idx="138">
                  <c:v>1.5665</c:v>
                </c:pt>
                <c:pt idx="139">
                  <c:v>1.5765</c:v>
                </c:pt>
                <c:pt idx="140">
                  <c:v>1.5865</c:v>
                </c:pt>
                <c:pt idx="141">
                  <c:v>1.5965</c:v>
                </c:pt>
                <c:pt idx="142">
                  <c:v>1.6065</c:v>
                </c:pt>
                <c:pt idx="143">
                  <c:v>1.61649999999999</c:v>
                </c:pt>
                <c:pt idx="144">
                  <c:v>1.6265</c:v>
                </c:pt>
                <c:pt idx="145">
                  <c:v>1.6365</c:v>
                </c:pt>
                <c:pt idx="146">
                  <c:v>1.6465</c:v>
                </c:pt>
                <c:pt idx="147">
                  <c:v>1.6565</c:v>
                </c:pt>
                <c:pt idx="148">
                  <c:v>1.66649999999999</c:v>
                </c:pt>
                <c:pt idx="149">
                  <c:v>1.6765</c:v>
                </c:pt>
                <c:pt idx="150">
                  <c:v>1.6865</c:v>
                </c:pt>
                <c:pt idx="151">
                  <c:v>1.6965</c:v>
                </c:pt>
                <c:pt idx="152">
                  <c:v>1.706499999999999</c:v>
                </c:pt>
                <c:pt idx="153">
                  <c:v>1.716499999999989</c:v>
                </c:pt>
                <c:pt idx="154">
                  <c:v>1.726499999999999</c:v>
                </c:pt>
                <c:pt idx="155">
                  <c:v>1.736499999999999</c:v>
                </c:pt>
                <c:pt idx="156">
                  <c:v>1.746499999999999</c:v>
                </c:pt>
                <c:pt idx="157">
                  <c:v>1.7565</c:v>
                </c:pt>
                <c:pt idx="158">
                  <c:v>1.766499999999989</c:v>
                </c:pt>
                <c:pt idx="159">
                  <c:v>1.7765</c:v>
                </c:pt>
                <c:pt idx="160">
                  <c:v>1.7865</c:v>
                </c:pt>
                <c:pt idx="161">
                  <c:v>1.7965</c:v>
                </c:pt>
                <c:pt idx="162">
                  <c:v>1.8065</c:v>
                </c:pt>
                <c:pt idx="163">
                  <c:v>1.81649999999999</c:v>
                </c:pt>
                <c:pt idx="164">
                  <c:v>1.8265</c:v>
                </c:pt>
                <c:pt idx="165">
                  <c:v>1.8365</c:v>
                </c:pt>
                <c:pt idx="166">
                  <c:v>1.8465</c:v>
                </c:pt>
                <c:pt idx="167">
                  <c:v>1.8565</c:v>
                </c:pt>
                <c:pt idx="168">
                  <c:v>1.86649999999999</c:v>
                </c:pt>
                <c:pt idx="169">
                  <c:v>1.8765</c:v>
                </c:pt>
                <c:pt idx="170">
                  <c:v>1.8865</c:v>
                </c:pt>
                <c:pt idx="171">
                  <c:v>1.8965</c:v>
                </c:pt>
                <c:pt idx="172">
                  <c:v>1.9065</c:v>
                </c:pt>
                <c:pt idx="173">
                  <c:v>1.91649999999999</c:v>
                </c:pt>
                <c:pt idx="174">
                  <c:v>1.9265</c:v>
                </c:pt>
                <c:pt idx="175">
                  <c:v>1.9365</c:v>
                </c:pt>
                <c:pt idx="176">
                  <c:v>1.9465</c:v>
                </c:pt>
                <c:pt idx="177">
                  <c:v>1.9565</c:v>
                </c:pt>
                <c:pt idx="178">
                  <c:v>1.96649999999999</c:v>
                </c:pt>
                <c:pt idx="179">
                  <c:v>1.9765</c:v>
                </c:pt>
                <c:pt idx="180">
                  <c:v>1.9865</c:v>
                </c:pt>
                <c:pt idx="181">
                  <c:v>1.9965</c:v>
                </c:pt>
                <c:pt idx="182">
                  <c:v>2.0065</c:v>
                </c:pt>
                <c:pt idx="183">
                  <c:v>2.016499999999998</c:v>
                </c:pt>
                <c:pt idx="184">
                  <c:v>2.0265</c:v>
                </c:pt>
                <c:pt idx="185">
                  <c:v>2.036499999999998</c:v>
                </c:pt>
                <c:pt idx="186">
                  <c:v>2.0465</c:v>
                </c:pt>
                <c:pt idx="187">
                  <c:v>2.056499999999998</c:v>
                </c:pt>
                <c:pt idx="188">
                  <c:v>2.0665</c:v>
                </c:pt>
                <c:pt idx="189">
                  <c:v>2.076499999999998</c:v>
                </c:pt>
                <c:pt idx="190">
                  <c:v>2.0865</c:v>
                </c:pt>
                <c:pt idx="191">
                  <c:v>2.096499999999998</c:v>
                </c:pt>
                <c:pt idx="192">
                  <c:v>2.1065</c:v>
                </c:pt>
                <c:pt idx="193">
                  <c:v>2.116499999999998</c:v>
                </c:pt>
                <c:pt idx="194">
                  <c:v>2.1265</c:v>
                </c:pt>
                <c:pt idx="195">
                  <c:v>2.136499999999998</c:v>
                </c:pt>
                <c:pt idx="196">
                  <c:v>2.1465</c:v>
                </c:pt>
                <c:pt idx="197">
                  <c:v>2.156499999999998</c:v>
                </c:pt>
                <c:pt idx="198">
                  <c:v>2.1665</c:v>
                </c:pt>
                <c:pt idx="199">
                  <c:v>2.176499999999998</c:v>
                </c:pt>
                <c:pt idx="200">
                  <c:v>2.1865</c:v>
                </c:pt>
                <c:pt idx="201">
                  <c:v>2.196499999999998</c:v>
                </c:pt>
                <c:pt idx="202">
                  <c:v>2.2065</c:v>
                </c:pt>
              </c:numCache>
            </c:numRef>
          </c:xVal>
          <c:yVal>
            <c:numRef>
              <c:f>'C1_2.4nm'!$F$2:$F$204</c:f>
              <c:numCache>
                <c:formatCode>General</c:formatCode>
                <c:ptCount val="203"/>
                <c:pt idx="0">
                  <c:v>0.10392334657896</c:v>
                </c:pt>
                <c:pt idx="1">
                  <c:v>0.10392334657896</c:v>
                </c:pt>
                <c:pt idx="2">
                  <c:v>0.10392334657896</c:v>
                </c:pt>
                <c:pt idx="3">
                  <c:v>0.10392334657896</c:v>
                </c:pt>
                <c:pt idx="4">
                  <c:v>0.10392334657896</c:v>
                </c:pt>
                <c:pt idx="5">
                  <c:v>0.10392334657896</c:v>
                </c:pt>
                <c:pt idx="6">
                  <c:v>0.10392334657896</c:v>
                </c:pt>
                <c:pt idx="7">
                  <c:v>0.10392334657896</c:v>
                </c:pt>
                <c:pt idx="8">
                  <c:v>0.10392334657896</c:v>
                </c:pt>
                <c:pt idx="9">
                  <c:v>0.10392334657896</c:v>
                </c:pt>
                <c:pt idx="10">
                  <c:v>0.10392334657896</c:v>
                </c:pt>
                <c:pt idx="11">
                  <c:v>0.10392334657896</c:v>
                </c:pt>
                <c:pt idx="12">
                  <c:v>0.10392334657896</c:v>
                </c:pt>
                <c:pt idx="13">
                  <c:v>0.10392334657896</c:v>
                </c:pt>
                <c:pt idx="14">
                  <c:v>0.10392334657896</c:v>
                </c:pt>
                <c:pt idx="15">
                  <c:v>0.10392334657896</c:v>
                </c:pt>
                <c:pt idx="16">
                  <c:v>0.10392334657896</c:v>
                </c:pt>
                <c:pt idx="17">
                  <c:v>0.10392334657896</c:v>
                </c:pt>
                <c:pt idx="18">
                  <c:v>0.10392334657896</c:v>
                </c:pt>
                <c:pt idx="19">
                  <c:v>0.10392334657896</c:v>
                </c:pt>
                <c:pt idx="20">
                  <c:v>0.10392334657896</c:v>
                </c:pt>
                <c:pt idx="21">
                  <c:v>0.10392334657896</c:v>
                </c:pt>
                <c:pt idx="22">
                  <c:v>0.10392334657896</c:v>
                </c:pt>
                <c:pt idx="23">
                  <c:v>0.10392334657896</c:v>
                </c:pt>
                <c:pt idx="24">
                  <c:v>0.10392334657896</c:v>
                </c:pt>
                <c:pt idx="25">
                  <c:v>0.10392334657896</c:v>
                </c:pt>
                <c:pt idx="26">
                  <c:v>0.10392334657896</c:v>
                </c:pt>
                <c:pt idx="27">
                  <c:v>0.10392334657896</c:v>
                </c:pt>
                <c:pt idx="28">
                  <c:v>0.10392334657896</c:v>
                </c:pt>
                <c:pt idx="29">
                  <c:v>0.10392334657896</c:v>
                </c:pt>
                <c:pt idx="30">
                  <c:v>0.10392334657896</c:v>
                </c:pt>
                <c:pt idx="31">
                  <c:v>0.10392334657896</c:v>
                </c:pt>
                <c:pt idx="32">
                  <c:v>0.10392334657896</c:v>
                </c:pt>
                <c:pt idx="33">
                  <c:v>0.10392334657896</c:v>
                </c:pt>
                <c:pt idx="34">
                  <c:v>0.10392334657896</c:v>
                </c:pt>
                <c:pt idx="35">
                  <c:v>0.10392334657896</c:v>
                </c:pt>
                <c:pt idx="36">
                  <c:v>0.10392334657896</c:v>
                </c:pt>
                <c:pt idx="37">
                  <c:v>0.10392334657896</c:v>
                </c:pt>
                <c:pt idx="38">
                  <c:v>0.10392334657896</c:v>
                </c:pt>
                <c:pt idx="39">
                  <c:v>0.10392334657896</c:v>
                </c:pt>
                <c:pt idx="40">
                  <c:v>0.10392334657896</c:v>
                </c:pt>
                <c:pt idx="41">
                  <c:v>0.10392334657896</c:v>
                </c:pt>
                <c:pt idx="42">
                  <c:v>0.10392334657896</c:v>
                </c:pt>
                <c:pt idx="43">
                  <c:v>0.10392334657896</c:v>
                </c:pt>
                <c:pt idx="44">
                  <c:v>0.10392334657896</c:v>
                </c:pt>
                <c:pt idx="45">
                  <c:v>0.10392334657896</c:v>
                </c:pt>
                <c:pt idx="46">
                  <c:v>0.10392334657896</c:v>
                </c:pt>
                <c:pt idx="47">
                  <c:v>0.10392334657896</c:v>
                </c:pt>
                <c:pt idx="48">
                  <c:v>0.10392334657896</c:v>
                </c:pt>
                <c:pt idx="49">
                  <c:v>0.10392334657896</c:v>
                </c:pt>
                <c:pt idx="50">
                  <c:v>0.10392334657896</c:v>
                </c:pt>
                <c:pt idx="51">
                  <c:v>0.10392334657896</c:v>
                </c:pt>
                <c:pt idx="52">
                  <c:v>0.10392334657896</c:v>
                </c:pt>
                <c:pt idx="53">
                  <c:v>0.10392334657896</c:v>
                </c:pt>
                <c:pt idx="54">
                  <c:v>0.10392334657896</c:v>
                </c:pt>
                <c:pt idx="55">
                  <c:v>0.10392334657896</c:v>
                </c:pt>
                <c:pt idx="56">
                  <c:v>0.10392334657896</c:v>
                </c:pt>
                <c:pt idx="57">
                  <c:v>0.10392334657896</c:v>
                </c:pt>
                <c:pt idx="58">
                  <c:v>0.10392334657896</c:v>
                </c:pt>
                <c:pt idx="59">
                  <c:v>0.10392334657896</c:v>
                </c:pt>
                <c:pt idx="60">
                  <c:v>0.10392334657896</c:v>
                </c:pt>
                <c:pt idx="61">
                  <c:v>0.10392334657896</c:v>
                </c:pt>
                <c:pt idx="62">
                  <c:v>0.10392334657896</c:v>
                </c:pt>
                <c:pt idx="63">
                  <c:v>0.10392334657896</c:v>
                </c:pt>
                <c:pt idx="64">
                  <c:v>0.10392334657896</c:v>
                </c:pt>
                <c:pt idx="65">
                  <c:v>0.10392334657896</c:v>
                </c:pt>
                <c:pt idx="66">
                  <c:v>0.10392334657896</c:v>
                </c:pt>
                <c:pt idx="67">
                  <c:v>0.10392334657896</c:v>
                </c:pt>
                <c:pt idx="68">
                  <c:v>0.10392334657896</c:v>
                </c:pt>
                <c:pt idx="69">
                  <c:v>0.10392334657896</c:v>
                </c:pt>
                <c:pt idx="70">
                  <c:v>0.10392334657896</c:v>
                </c:pt>
                <c:pt idx="71">
                  <c:v>0.10392334657896</c:v>
                </c:pt>
                <c:pt idx="72">
                  <c:v>0.10392334657896</c:v>
                </c:pt>
                <c:pt idx="73">
                  <c:v>0.10392334657896</c:v>
                </c:pt>
                <c:pt idx="74">
                  <c:v>0.10392334657896</c:v>
                </c:pt>
                <c:pt idx="75">
                  <c:v>0.10392334657896</c:v>
                </c:pt>
                <c:pt idx="76">
                  <c:v>0.10392334657896</c:v>
                </c:pt>
                <c:pt idx="77">
                  <c:v>0.10392334657896</c:v>
                </c:pt>
                <c:pt idx="78">
                  <c:v>0.10392334657896</c:v>
                </c:pt>
                <c:pt idx="79">
                  <c:v>0.10392334657896</c:v>
                </c:pt>
                <c:pt idx="80">
                  <c:v>0.10392334657896</c:v>
                </c:pt>
                <c:pt idx="81">
                  <c:v>0.10392334657896</c:v>
                </c:pt>
                <c:pt idx="82">
                  <c:v>0.10392334657896</c:v>
                </c:pt>
                <c:pt idx="83">
                  <c:v>0.10392334657896</c:v>
                </c:pt>
                <c:pt idx="84">
                  <c:v>0.10392334657896</c:v>
                </c:pt>
                <c:pt idx="85">
                  <c:v>0.10392334657896</c:v>
                </c:pt>
                <c:pt idx="86">
                  <c:v>0.10392334657896</c:v>
                </c:pt>
                <c:pt idx="87">
                  <c:v>0.10392334657896</c:v>
                </c:pt>
                <c:pt idx="88">
                  <c:v>0.10392334657896</c:v>
                </c:pt>
                <c:pt idx="89">
                  <c:v>0.10392334657896</c:v>
                </c:pt>
                <c:pt idx="90">
                  <c:v>0.10392334657896</c:v>
                </c:pt>
                <c:pt idx="91">
                  <c:v>0.10392334657896</c:v>
                </c:pt>
                <c:pt idx="92">
                  <c:v>0.10392334657896</c:v>
                </c:pt>
                <c:pt idx="93">
                  <c:v>0.10392334657896</c:v>
                </c:pt>
                <c:pt idx="94">
                  <c:v>0.10392334657896</c:v>
                </c:pt>
                <c:pt idx="95">
                  <c:v>0.10392334657896</c:v>
                </c:pt>
                <c:pt idx="96">
                  <c:v>0.10392334657896</c:v>
                </c:pt>
                <c:pt idx="97">
                  <c:v>0.10392334657896</c:v>
                </c:pt>
                <c:pt idx="98">
                  <c:v>0.10392334657896</c:v>
                </c:pt>
                <c:pt idx="99">
                  <c:v>0.10392334657896</c:v>
                </c:pt>
                <c:pt idx="100">
                  <c:v>0.10392334657896</c:v>
                </c:pt>
                <c:pt idx="101">
                  <c:v>0.10392334657896</c:v>
                </c:pt>
                <c:pt idx="102">
                  <c:v>0.10392334657896</c:v>
                </c:pt>
                <c:pt idx="103">
                  <c:v>0.10392334657896</c:v>
                </c:pt>
                <c:pt idx="104">
                  <c:v>0.10392334657896</c:v>
                </c:pt>
                <c:pt idx="105">
                  <c:v>0.10392334657896</c:v>
                </c:pt>
                <c:pt idx="106">
                  <c:v>0.10392334657896</c:v>
                </c:pt>
                <c:pt idx="107">
                  <c:v>0.10392334657896</c:v>
                </c:pt>
                <c:pt idx="108">
                  <c:v>0.10392334657896</c:v>
                </c:pt>
                <c:pt idx="109">
                  <c:v>0.10392334657896</c:v>
                </c:pt>
                <c:pt idx="110">
                  <c:v>0.10392334657896</c:v>
                </c:pt>
                <c:pt idx="111">
                  <c:v>0.10392334657896</c:v>
                </c:pt>
                <c:pt idx="112">
                  <c:v>0.10392334657896</c:v>
                </c:pt>
                <c:pt idx="113">
                  <c:v>0.10392334657896</c:v>
                </c:pt>
                <c:pt idx="114">
                  <c:v>0.10392334657896</c:v>
                </c:pt>
                <c:pt idx="115">
                  <c:v>0.10392334657896</c:v>
                </c:pt>
                <c:pt idx="116">
                  <c:v>0.10392334657896</c:v>
                </c:pt>
                <c:pt idx="117">
                  <c:v>0.10392334657896</c:v>
                </c:pt>
                <c:pt idx="118">
                  <c:v>0.10392334657896</c:v>
                </c:pt>
                <c:pt idx="119">
                  <c:v>0.10392334657896</c:v>
                </c:pt>
                <c:pt idx="120">
                  <c:v>0.10392334657896</c:v>
                </c:pt>
                <c:pt idx="121">
                  <c:v>0.10392334657896</c:v>
                </c:pt>
                <c:pt idx="122">
                  <c:v>0.10392334657896</c:v>
                </c:pt>
                <c:pt idx="123">
                  <c:v>0.10392334657896</c:v>
                </c:pt>
                <c:pt idx="124">
                  <c:v>0.10392334657896</c:v>
                </c:pt>
                <c:pt idx="125">
                  <c:v>0.10392334657896</c:v>
                </c:pt>
                <c:pt idx="126">
                  <c:v>0.10392334657896</c:v>
                </c:pt>
                <c:pt idx="127">
                  <c:v>0.10392334657896</c:v>
                </c:pt>
                <c:pt idx="128">
                  <c:v>0.10392334657896</c:v>
                </c:pt>
                <c:pt idx="129">
                  <c:v>0.10392334657896</c:v>
                </c:pt>
                <c:pt idx="130">
                  <c:v>0.10392334657896</c:v>
                </c:pt>
                <c:pt idx="131">
                  <c:v>0.10392334657896</c:v>
                </c:pt>
                <c:pt idx="132">
                  <c:v>0.10392334657896</c:v>
                </c:pt>
                <c:pt idx="133">
                  <c:v>0.10392334657896</c:v>
                </c:pt>
                <c:pt idx="134">
                  <c:v>0.10392334657896</c:v>
                </c:pt>
                <c:pt idx="135">
                  <c:v>0.10392334657896</c:v>
                </c:pt>
                <c:pt idx="136">
                  <c:v>0.10392334657896</c:v>
                </c:pt>
                <c:pt idx="137">
                  <c:v>0.10392334657896</c:v>
                </c:pt>
                <c:pt idx="138">
                  <c:v>0.10392334657896</c:v>
                </c:pt>
                <c:pt idx="139">
                  <c:v>0.10392334657896</c:v>
                </c:pt>
                <c:pt idx="140">
                  <c:v>0.10392334657896</c:v>
                </c:pt>
                <c:pt idx="141">
                  <c:v>0.10392334657896</c:v>
                </c:pt>
                <c:pt idx="142">
                  <c:v>0.10392334657896</c:v>
                </c:pt>
                <c:pt idx="143">
                  <c:v>0.10392334657896</c:v>
                </c:pt>
                <c:pt idx="144">
                  <c:v>0.10392334657896</c:v>
                </c:pt>
                <c:pt idx="145">
                  <c:v>0.10392334657896</c:v>
                </c:pt>
                <c:pt idx="146">
                  <c:v>0.10392334657896</c:v>
                </c:pt>
                <c:pt idx="147">
                  <c:v>0.10392334657896</c:v>
                </c:pt>
                <c:pt idx="148">
                  <c:v>0.10392334657896</c:v>
                </c:pt>
                <c:pt idx="149">
                  <c:v>0.10392334657896</c:v>
                </c:pt>
                <c:pt idx="150">
                  <c:v>0.10392334657896</c:v>
                </c:pt>
                <c:pt idx="151">
                  <c:v>0.10392334657896</c:v>
                </c:pt>
                <c:pt idx="152">
                  <c:v>0.10392334657896</c:v>
                </c:pt>
                <c:pt idx="153">
                  <c:v>0.10392334657896</c:v>
                </c:pt>
                <c:pt idx="154">
                  <c:v>0.10392334657896</c:v>
                </c:pt>
                <c:pt idx="155">
                  <c:v>0.10392334657896</c:v>
                </c:pt>
                <c:pt idx="156">
                  <c:v>0.10392334657896</c:v>
                </c:pt>
                <c:pt idx="157">
                  <c:v>0.10392334657896</c:v>
                </c:pt>
                <c:pt idx="158">
                  <c:v>0.10392334657896</c:v>
                </c:pt>
                <c:pt idx="159">
                  <c:v>0.10392334657896</c:v>
                </c:pt>
                <c:pt idx="160">
                  <c:v>0.10392334657896</c:v>
                </c:pt>
                <c:pt idx="161">
                  <c:v>0.10392334657896</c:v>
                </c:pt>
                <c:pt idx="162">
                  <c:v>0.10392334657896</c:v>
                </c:pt>
                <c:pt idx="163">
                  <c:v>0.10392334657896</c:v>
                </c:pt>
                <c:pt idx="164">
                  <c:v>0.10392334657896</c:v>
                </c:pt>
                <c:pt idx="165">
                  <c:v>0.10392334657896</c:v>
                </c:pt>
                <c:pt idx="166">
                  <c:v>0.10392334657896</c:v>
                </c:pt>
                <c:pt idx="167">
                  <c:v>0.10392334657896</c:v>
                </c:pt>
                <c:pt idx="168">
                  <c:v>0.10392334657896</c:v>
                </c:pt>
                <c:pt idx="169">
                  <c:v>0.10392334657896</c:v>
                </c:pt>
                <c:pt idx="170">
                  <c:v>0.10392334657896</c:v>
                </c:pt>
                <c:pt idx="171">
                  <c:v>0.10392334657896</c:v>
                </c:pt>
                <c:pt idx="172">
                  <c:v>0.10392334657896</c:v>
                </c:pt>
                <c:pt idx="173">
                  <c:v>0.10392334657896</c:v>
                </c:pt>
                <c:pt idx="174">
                  <c:v>0.10392334657896</c:v>
                </c:pt>
                <c:pt idx="175">
                  <c:v>0.10392334657896</c:v>
                </c:pt>
                <c:pt idx="176">
                  <c:v>0.10392334657896</c:v>
                </c:pt>
                <c:pt idx="177">
                  <c:v>0.10392334657896</c:v>
                </c:pt>
                <c:pt idx="178">
                  <c:v>0.10392334657896</c:v>
                </c:pt>
                <c:pt idx="179">
                  <c:v>0.10392334657896</c:v>
                </c:pt>
                <c:pt idx="180">
                  <c:v>0.10392334657896</c:v>
                </c:pt>
                <c:pt idx="181">
                  <c:v>0.10392334657896</c:v>
                </c:pt>
                <c:pt idx="182">
                  <c:v>0.10392334657896</c:v>
                </c:pt>
                <c:pt idx="183">
                  <c:v>0.10392334657896</c:v>
                </c:pt>
                <c:pt idx="184">
                  <c:v>0.10392334657896</c:v>
                </c:pt>
                <c:pt idx="185">
                  <c:v>0.10392334657896</c:v>
                </c:pt>
                <c:pt idx="186">
                  <c:v>0.10392334657896</c:v>
                </c:pt>
                <c:pt idx="187">
                  <c:v>0.10392334657896</c:v>
                </c:pt>
                <c:pt idx="188">
                  <c:v>0.10392334657896</c:v>
                </c:pt>
                <c:pt idx="189">
                  <c:v>0.10392334657896</c:v>
                </c:pt>
                <c:pt idx="190">
                  <c:v>0.10392334657896</c:v>
                </c:pt>
                <c:pt idx="191">
                  <c:v>0.10392334657896</c:v>
                </c:pt>
                <c:pt idx="192">
                  <c:v>0.10392334657896</c:v>
                </c:pt>
                <c:pt idx="193">
                  <c:v>0.10392334657896</c:v>
                </c:pt>
                <c:pt idx="194">
                  <c:v>0.10392334657896</c:v>
                </c:pt>
                <c:pt idx="195">
                  <c:v>0.10392334657896</c:v>
                </c:pt>
                <c:pt idx="196">
                  <c:v>0.10392334657896</c:v>
                </c:pt>
                <c:pt idx="197">
                  <c:v>0.10392334657896</c:v>
                </c:pt>
                <c:pt idx="198">
                  <c:v>0.10392334657896</c:v>
                </c:pt>
                <c:pt idx="199">
                  <c:v>0.10392334657896</c:v>
                </c:pt>
                <c:pt idx="200">
                  <c:v>0.10392334657896</c:v>
                </c:pt>
                <c:pt idx="201">
                  <c:v>0.10392334657896</c:v>
                </c:pt>
                <c:pt idx="202">
                  <c:v>0.10392334657896</c:v>
                </c:pt>
              </c:numCache>
            </c:numRef>
          </c:yVal>
          <c:smooth val="1"/>
          <c:extLst xmlns:c16r2="http://schemas.microsoft.com/office/drawing/2015/06/chart">
            <c:ext xmlns:c16="http://schemas.microsoft.com/office/drawing/2014/chart" uri="{C3380CC4-5D6E-409C-BE32-E72D297353CC}">
              <c16:uniqueId val="{00000001-513D-4F3E-885E-D7AAF15539F8}"/>
            </c:ext>
          </c:extLst>
        </c:ser>
        <c:dLbls>
          <c:showLegendKey val="0"/>
          <c:showVal val="0"/>
          <c:showCatName val="0"/>
          <c:showSerName val="0"/>
          <c:showPercent val="0"/>
          <c:showBubbleSize val="0"/>
        </c:dLbls>
        <c:axId val="1916315472"/>
        <c:axId val="1916318016"/>
      </c:scatterChart>
      <c:valAx>
        <c:axId val="1916315472"/>
        <c:scaling>
          <c:orientation val="minMax"/>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Distance</a:t>
                </a:r>
                <a:r>
                  <a:rPr lang="en-US" sz="1200" b="0" baseline="0">
                    <a:latin typeface="Times New Roman" panose="02020603050405020304"/>
                    <a:cs typeface="Times New Roman" panose="02020603050405020304"/>
                  </a:rPr>
                  <a:t> to the left wall</a:t>
                </a:r>
                <a:r>
                  <a:rPr lang="en-US" sz="1200" b="0">
                    <a:latin typeface="Times New Roman" panose="02020603050405020304"/>
                    <a:cs typeface="Times New Roman" panose="02020603050405020304"/>
                  </a:rPr>
                  <a:t>, nm</a:t>
                </a:r>
              </a:p>
            </c:rich>
          </c:tx>
          <c:layout>
            <c:manualLayout>
              <c:xMode val="edge"/>
              <c:yMode val="edge"/>
              <c:x val="0.327297569763475"/>
              <c:y val="0.930952380952381"/>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crossAx val="1916318016"/>
        <c:crosses val="autoZero"/>
        <c:crossBetween val="midCat"/>
      </c:valAx>
      <c:valAx>
        <c:axId val="1916318016"/>
        <c:scaling>
          <c:orientation val="minMax"/>
          <c:min val="0.0"/>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Density,</a:t>
                </a:r>
                <a:r>
                  <a:rPr lang="en-US" sz="1200" b="0" baseline="0">
                    <a:latin typeface="Times New Roman" panose="02020603050405020304"/>
                    <a:cs typeface="Times New Roman" panose="02020603050405020304"/>
                  </a:rPr>
                  <a:t> g/cm</a:t>
                </a:r>
                <a:r>
                  <a:rPr lang="en-US" sz="1200" b="0" baseline="30000">
                    <a:latin typeface="Times New Roman" panose="02020603050405020304"/>
                    <a:cs typeface="Times New Roman" panose="02020603050405020304"/>
                  </a:rPr>
                  <a:t>3</a:t>
                </a:r>
              </a:p>
            </c:rich>
          </c:tx>
          <c:layout>
            <c:manualLayout>
              <c:xMode val="edge"/>
              <c:yMode val="edge"/>
              <c:x val="0.00569490778175474"/>
              <c:y val="0.383089613798275"/>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crossAx val="1916315472"/>
        <c:crosses val="autoZero"/>
        <c:crossBetween val="midCat"/>
      </c:valAx>
      <c:spPr>
        <a:ln>
          <a:solidFill>
            <a:schemeClr val="tx1"/>
          </a:solidFill>
        </a:ln>
      </c:spPr>
    </c:plotArea>
    <c:legend>
      <c:legendPos val="r"/>
      <c:layout>
        <c:manualLayout>
          <c:xMode val="edge"/>
          <c:yMode val="edge"/>
          <c:x val="0.363030037911928"/>
          <c:y val="0.0613577668424071"/>
          <c:w val="0.307644469578652"/>
          <c:h val="0.164151409446074"/>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0856513305362379"/>
          <c:y val="0.041489365177531"/>
          <c:w val="0.875137938962009"/>
          <c:h val="0.839319303008821"/>
        </c:manualLayout>
      </c:layout>
      <c:scatterChart>
        <c:scatterStyle val="smoothMarker"/>
        <c:varyColors val="0"/>
        <c:ser>
          <c:idx val="0"/>
          <c:order val="0"/>
          <c:tx>
            <c:strRef>
              <c:f>Methane Density Profile</c:f>
              <c:strCache>
                <c:ptCount val="1"/>
                <c:pt idx="0">
                  <c:v>Methane Density Profile</c:v>
                </c:pt>
              </c:strCache>
            </c:strRef>
          </c:tx>
          <c:spPr>
            <a:ln w="28575" cap="rnd" cmpd="sng" algn="ctr">
              <a:solidFill>
                <a:schemeClr val="tx1"/>
              </a:solidFill>
              <a:prstDash val="solid"/>
              <a:round/>
            </a:ln>
          </c:spPr>
          <c:marker>
            <c:symbol val="none"/>
          </c:marker>
          <c:xVal>
            <c:numRef>
              <c:f>Sheet1!$B$1:$B$93</c:f>
              <c:numCache>
                <c:formatCode>General</c:formatCode>
                <c:ptCount val="93"/>
                <c:pt idx="0">
                  <c:v>0.1879</c:v>
                </c:pt>
                <c:pt idx="1">
                  <c:v>0.2379</c:v>
                </c:pt>
                <c:pt idx="2">
                  <c:v>0.2879</c:v>
                </c:pt>
                <c:pt idx="3">
                  <c:v>0.3379</c:v>
                </c:pt>
                <c:pt idx="4">
                  <c:v>0.3879</c:v>
                </c:pt>
                <c:pt idx="5">
                  <c:v>0.4379</c:v>
                </c:pt>
                <c:pt idx="6">
                  <c:v>0.4879</c:v>
                </c:pt>
                <c:pt idx="7">
                  <c:v>0.5379</c:v>
                </c:pt>
                <c:pt idx="8">
                  <c:v>0.5879</c:v>
                </c:pt>
                <c:pt idx="9">
                  <c:v>0.6379</c:v>
                </c:pt>
                <c:pt idx="10">
                  <c:v>0.6879</c:v>
                </c:pt>
                <c:pt idx="11">
                  <c:v>0.7379</c:v>
                </c:pt>
                <c:pt idx="12">
                  <c:v>0.7879</c:v>
                </c:pt>
                <c:pt idx="13">
                  <c:v>0.8379</c:v>
                </c:pt>
                <c:pt idx="14">
                  <c:v>0.8879</c:v>
                </c:pt>
                <c:pt idx="15">
                  <c:v>0.9379</c:v>
                </c:pt>
                <c:pt idx="16">
                  <c:v>0.9879</c:v>
                </c:pt>
                <c:pt idx="17">
                  <c:v>1.037899999999998</c:v>
                </c:pt>
                <c:pt idx="18">
                  <c:v>1.087899999999999</c:v>
                </c:pt>
                <c:pt idx="19">
                  <c:v>1.137899999999999</c:v>
                </c:pt>
                <c:pt idx="20">
                  <c:v>1.1879</c:v>
                </c:pt>
                <c:pt idx="21">
                  <c:v>1.237899999999998</c:v>
                </c:pt>
                <c:pt idx="22">
                  <c:v>1.287899999999998</c:v>
                </c:pt>
                <c:pt idx="23">
                  <c:v>1.337899999999999</c:v>
                </c:pt>
                <c:pt idx="24">
                  <c:v>1.387899999999999</c:v>
                </c:pt>
                <c:pt idx="25">
                  <c:v>1.437899999999999</c:v>
                </c:pt>
                <c:pt idx="26">
                  <c:v>1.487899999999998</c:v>
                </c:pt>
                <c:pt idx="27">
                  <c:v>1.537899999999998</c:v>
                </c:pt>
                <c:pt idx="28">
                  <c:v>1.587899999999999</c:v>
                </c:pt>
                <c:pt idx="29">
                  <c:v>1.637899999999999</c:v>
                </c:pt>
                <c:pt idx="30">
                  <c:v>1.6879</c:v>
                </c:pt>
                <c:pt idx="31">
                  <c:v>1.737899999999999</c:v>
                </c:pt>
                <c:pt idx="32">
                  <c:v>1.7879</c:v>
                </c:pt>
                <c:pt idx="33">
                  <c:v>1.837899999999999</c:v>
                </c:pt>
                <c:pt idx="34">
                  <c:v>1.887899999999999</c:v>
                </c:pt>
                <c:pt idx="35">
                  <c:v>1.9379</c:v>
                </c:pt>
                <c:pt idx="36">
                  <c:v>1.9879</c:v>
                </c:pt>
                <c:pt idx="37">
                  <c:v>2.0379</c:v>
                </c:pt>
                <c:pt idx="38">
                  <c:v>2.0879</c:v>
                </c:pt>
                <c:pt idx="39">
                  <c:v>2.1379</c:v>
                </c:pt>
                <c:pt idx="40">
                  <c:v>2.187900000000001</c:v>
                </c:pt>
                <c:pt idx="41">
                  <c:v>2.2379</c:v>
                </c:pt>
                <c:pt idx="42">
                  <c:v>2.287900000000001</c:v>
                </c:pt>
                <c:pt idx="43">
                  <c:v>2.337899999999998</c:v>
                </c:pt>
                <c:pt idx="44">
                  <c:v>2.3879</c:v>
                </c:pt>
                <c:pt idx="45">
                  <c:v>2.4379</c:v>
                </c:pt>
                <c:pt idx="46">
                  <c:v>2.4879</c:v>
                </c:pt>
                <c:pt idx="47">
                  <c:v>2.5379</c:v>
                </c:pt>
                <c:pt idx="48">
                  <c:v>2.5879</c:v>
                </c:pt>
                <c:pt idx="49">
                  <c:v>2.6379</c:v>
                </c:pt>
                <c:pt idx="50">
                  <c:v>2.687900000000001</c:v>
                </c:pt>
                <c:pt idx="51">
                  <c:v>2.7379</c:v>
                </c:pt>
                <c:pt idx="52">
                  <c:v>2.787900000000001</c:v>
                </c:pt>
                <c:pt idx="53">
                  <c:v>2.837899999999998</c:v>
                </c:pt>
                <c:pt idx="54">
                  <c:v>2.8879</c:v>
                </c:pt>
                <c:pt idx="55">
                  <c:v>2.9379</c:v>
                </c:pt>
                <c:pt idx="56">
                  <c:v>2.9879</c:v>
                </c:pt>
                <c:pt idx="57">
                  <c:v>3.0379</c:v>
                </c:pt>
                <c:pt idx="58">
                  <c:v>3.0879</c:v>
                </c:pt>
                <c:pt idx="59">
                  <c:v>3.1379</c:v>
                </c:pt>
                <c:pt idx="60">
                  <c:v>3.187900000000001</c:v>
                </c:pt>
                <c:pt idx="61">
                  <c:v>3.2379</c:v>
                </c:pt>
                <c:pt idx="62">
                  <c:v>3.287900000000001</c:v>
                </c:pt>
                <c:pt idx="63">
                  <c:v>3.337899999999998</c:v>
                </c:pt>
                <c:pt idx="64">
                  <c:v>3.3879</c:v>
                </c:pt>
                <c:pt idx="65">
                  <c:v>3.4379</c:v>
                </c:pt>
                <c:pt idx="66">
                  <c:v>3.4879</c:v>
                </c:pt>
                <c:pt idx="67">
                  <c:v>3.5379</c:v>
                </c:pt>
                <c:pt idx="68">
                  <c:v>3.5879</c:v>
                </c:pt>
                <c:pt idx="69">
                  <c:v>3.6379</c:v>
                </c:pt>
                <c:pt idx="70">
                  <c:v>3.687900000000001</c:v>
                </c:pt>
                <c:pt idx="71">
                  <c:v>3.7379</c:v>
                </c:pt>
                <c:pt idx="72">
                  <c:v>3.787900000000001</c:v>
                </c:pt>
                <c:pt idx="73">
                  <c:v>3.837899999999998</c:v>
                </c:pt>
                <c:pt idx="74">
                  <c:v>3.8879</c:v>
                </c:pt>
                <c:pt idx="75">
                  <c:v>3.9379</c:v>
                </c:pt>
                <c:pt idx="76">
                  <c:v>3.9879</c:v>
                </c:pt>
                <c:pt idx="77">
                  <c:v>4.0379</c:v>
                </c:pt>
                <c:pt idx="78">
                  <c:v>4.087899999999999</c:v>
                </c:pt>
                <c:pt idx="79">
                  <c:v>4.137899999999997</c:v>
                </c:pt>
                <c:pt idx="80">
                  <c:v>4.187899999999987</c:v>
                </c:pt>
                <c:pt idx="81">
                  <c:v>4.2379</c:v>
                </c:pt>
                <c:pt idx="82">
                  <c:v>4.2879</c:v>
                </c:pt>
                <c:pt idx="83">
                  <c:v>4.337899999999998</c:v>
                </c:pt>
                <c:pt idx="84">
                  <c:v>4.387899999999997</c:v>
                </c:pt>
                <c:pt idx="85">
                  <c:v>4.4379</c:v>
                </c:pt>
                <c:pt idx="86">
                  <c:v>4.4879</c:v>
                </c:pt>
                <c:pt idx="87">
                  <c:v>4.5379</c:v>
                </c:pt>
                <c:pt idx="88">
                  <c:v>4.587899999999999</c:v>
                </c:pt>
                <c:pt idx="89">
                  <c:v>4.637899999999996</c:v>
                </c:pt>
                <c:pt idx="90">
                  <c:v>4.687899999999987</c:v>
                </c:pt>
                <c:pt idx="91">
                  <c:v>4.7379</c:v>
                </c:pt>
                <c:pt idx="92">
                  <c:v>4.7879</c:v>
                </c:pt>
              </c:numCache>
            </c:numRef>
          </c:xVal>
          <c:yVal>
            <c:numRef>
              <c:f>Sheet1!$C$1:$C$93</c:f>
              <c:numCache>
                <c:formatCode>General</c:formatCode>
                <c:ptCount val="93"/>
                <c:pt idx="0">
                  <c:v>0.400725084</c:v>
                </c:pt>
                <c:pt idx="1">
                  <c:v>0.363098446</c:v>
                </c:pt>
                <c:pt idx="2">
                  <c:v>0.306028351</c:v>
                </c:pt>
                <c:pt idx="3">
                  <c:v>0.256099845</c:v>
                </c:pt>
                <c:pt idx="4">
                  <c:v>0.219329973</c:v>
                </c:pt>
                <c:pt idx="5">
                  <c:v>0.193819623</c:v>
                </c:pt>
                <c:pt idx="6">
                  <c:v>0.176248717</c:v>
                </c:pt>
                <c:pt idx="7">
                  <c:v>0.163967979</c:v>
                </c:pt>
                <c:pt idx="8">
                  <c:v>0.15520969</c:v>
                </c:pt>
                <c:pt idx="9">
                  <c:v>0.148897688</c:v>
                </c:pt>
                <c:pt idx="10">
                  <c:v>0.144247926</c:v>
                </c:pt>
                <c:pt idx="11">
                  <c:v>0.140748906</c:v>
                </c:pt>
                <c:pt idx="12">
                  <c:v>0.138066998</c:v>
                </c:pt>
                <c:pt idx="13">
                  <c:v>0.135978188</c:v>
                </c:pt>
                <c:pt idx="14">
                  <c:v>0.13432824</c:v>
                </c:pt>
                <c:pt idx="15">
                  <c:v>0.133008594</c:v>
                </c:pt>
                <c:pt idx="16">
                  <c:v>0.131941336</c:v>
                </c:pt>
                <c:pt idx="17">
                  <c:v>0.131069565</c:v>
                </c:pt>
                <c:pt idx="18">
                  <c:v>0.130351072</c:v>
                </c:pt>
                <c:pt idx="19">
                  <c:v>0.129754104</c:v>
                </c:pt>
                <c:pt idx="20">
                  <c:v>0.129254465</c:v>
                </c:pt>
                <c:pt idx="21">
                  <c:v>0.128833506</c:v>
                </c:pt>
                <c:pt idx="22">
                  <c:v>0.128476698</c:v>
                </c:pt>
                <c:pt idx="23">
                  <c:v>0.128172612</c:v>
                </c:pt>
                <c:pt idx="24">
                  <c:v>0.127912179</c:v>
                </c:pt>
                <c:pt idx="25">
                  <c:v>0.127688141</c:v>
                </c:pt>
                <c:pt idx="26">
                  <c:v>0.127494648</c:v>
                </c:pt>
                <c:pt idx="27">
                  <c:v>0.127326951</c:v>
                </c:pt>
                <c:pt idx="28">
                  <c:v>0.12718117</c:v>
                </c:pt>
                <c:pt idx="29">
                  <c:v>0.127054119</c:v>
                </c:pt>
                <c:pt idx="30">
                  <c:v>0.126943163</c:v>
                </c:pt>
                <c:pt idx="31">
                  <c:v>0.126846118</c:v>
                </c:pt>
                <c:pt idx="32">
                  <c:v>0.126761163</c:v>
                </c:pt>
                <c:pt idx="33">
                  <c:v>0.126686777</c:v>
                </c:pt>
                <c:pt idx="34">
                  <c:v>0.126621681</c:v>
                </c:pt>
                <c:pt idx="35">
                  <c:v>0.126564803</c:v>
                </c:pt>
                <c:pt idx="36">
                  <c:v>0.12651524</c:v>
                </c:pt>
                <c:pt idx="37">
                  <c:v>0.126472232</c:v>
                </c:pt>
                <c:pt idx="38">
                  <c:v>0.126435141</c:v>
                </c:pt>
                <c:pt idx="39">
                  <c:v>0.126403432</c:v>
                </c:pt>
                <c:pt idx="40">
                  <c:v>0.126376659</c:v>
                </c:pt>
                <c:pt idx="41">
                  <c:v>0.126354457</c:v>
                </c:pt>
                <c:pt idx="42">
                  <c:v>0.126336525</c:v>
                </c:pt>
                <c:pt idx="43">
                  <c:v>0.126322627</c:v>
                </c:pt>
                <c:pt idx="44">
                  <c:v>0.126312583</c:v>
                </c:pt>
                <c:pt idx="45">
                  <c:v>0.126306262</c:v>
                </c:pt>
                <c:pt idx="46">
                  <c:v>0.126303584</c:v>
                </c:pt>
                <c:pt idx="47">
                  <c:v>0.126304514</c:v>
                </c:pt>
                <c:pt idx="48">
                  <c:v>0.126309065</c:v>
                </c:pt>
                <c:pt idx="49">
                  <c:v>0.126317294</c:v>
                </c:pt>
                <c:pt idx="50">
                  <c:v>0.126329307</c:v>
                </c:pt>
                <c:pt idx="51">
                  <c:v>0.12634526</c:v>
                </c:pt>
                <c:pt idx="52">
                  <c:v>0.126365363</c:v>
                </c:pt>
                <c:pt idx="53">
                  <c:v>0.126389882</c:v>
                </c:pt>
                <c:pt idx="54">
                  <c:v>0.126419151</c:v>
                </c:pt>
                <c:pt idx="55">
                  <c:v>0.126453576</c:v>
                </c:pt>
                <c:pt idx="56">
                  <c:v>0.126493648</c:v>
                </c:pt>
                <c:pt idx="57">
                  <c:v>0.126539951</c:v>
                </c:pt>
                <c:pt idx="58">
                  <c:v>0.126593185</c:v>
                </c:pt>
                <c:pt idx="59">
                  <c:v>0.126654181</c:v>
                </c:pt>
                <c:pt idx="60">
                  <c:v>0.126723925</c:v>
                </c:pt>
                <c:pt idx="61">
                  <c:v>0.12680359</c:v>
                </c:pt>
                <c:pt idx="62">
                  <c:v>0.126894576</c:v>
                </c:pt>
                <c:pt idx="63">
                  <c:v>0.12699855</c:v>
                </c:pt>
                <c:pt idx="64">
                  <c:v>0.127117513</c:v>
                </c:pt>
                <c:pt idx="65">
                  <c:v>0.127253868</c:v>
                </c:pt>
                <c:pt idx="66">
                  <c:v>0.127410519</c:v>
                </c:pt>
                <c:pt idx="67">
                  <c:v>0.127590992</c:v>
                </c:pt>
                <c:pt idx="68">
                  <c:v>0.12779959</c:v>
                </c:pt>
                <c:pt idx="69">
                  <c:v>0.128041597</c:v>
                </c:pt>
                <c:pt idx="70">
                  <c:v>0.128323545</c:v>
                </c:pt>
                <c:pt idx="71">
                  <c:v>0.128653569</c:v>
                </c:pt>
                <c:pt idx="72">
                  <c:v>0.129041876</c:v>
                </c:pt>
                <c:pt idx="73">
                  <c:v>0.129501388</c:v>
                </c:pt>
                <c:pt idx="74">
                  <c:v>0.130048609</c:v>
                </c:pt>
                <c:pt idx="75">
                  <c:v>0.130704842</c:v>
                </c:pt>
                <c:pt idx="76">
                  <c:v>0.131497882</c:v>
                </c:pt>
                <c:pt idx="77">
                  <c:v>0.132464446</c:v>
                </c:pt>
                <c:pt idx="78">
                  <c:v>0.133653684</c:v>
                </c:pt>
                <c:pt idx="79">
                  <c:v>0.135132379</c:v>
                </c:pt>
                <c:pt idx="80">
                  <c:v>0.136992777</c:v>
                </c:pt>
                <c:pt idx="81">
                  <c:v>0.139364669</c:v>
                </c:pt>
                <c:pt idx="82">
                  <c:v>0.142434501</c:v>
                </c:pt>
                <c:pt idx="83">
                  <c:v>0.146476482</c:v>
                </c:pt>
                <c:pt idx="84">
                  <c:v>0.15190492</c:v>
                </c:pt>
                <c:pt idx="85">
                  <c:v>0.159365758</c:v>
                </c:pt>
                <c:pt idx="86">
                  <c:v>0.169772465</c:v>
                </c:pt>
                <c:pt idx="87">
                  <c:v>0.184509551</c:v>
                </c:pt>
                <c:pt idx="88">
                  <c:v>0.205788205</c:v>
                </c:pt>
                <c:pt idx="89">
                  <c:v>0.236694766</c:v>
                </c:pt>
                <c:pt idx="90">
                  <c:v>0.280299808</c:v>
                </c:pt>
                <c:pt idx="91">
                  <c:v>0.335565622</c:v>
                </c:pt>
                <c:pt idx="92">
                  <c:v>0.388192226</c:v>
                </c:pt>
              </c:numCache>
            </c:numRef>
          </c:yVal>
          <c:smooth val="1"/>
          <c:extLst xmlns:c16r2="http://schemas.microsoft.com/office/drawing/2015/06/chart">
            <c:ext xmlns:c16="http://schemas.microsoft.com/office/drawing/2014/chart" uri="{C3380CC4-5D6E-409C-BE32-E72D297353CC}">
              <c16:uniqueId val="{00000000-6F0E-4BCB-A388-D0D0A2FB89D9}"/>
            </c:ext>
          </c:extLst>
        </c:ser>
        <c:ser>
          <c:idx val="1"/>
          <c:order val="1"/>
          <c:tx>
            <c:strRef>
              <c:f>Ethane Density Profile</c:f>
              <c:strCache>
                <c:ptCount val="1"/>
                <c:pt idx="0">
                  <c:v>Ethane Density Profile</c:v>
                </c:pt>
              </c:strCache>
            </c:strRef>
          </c:tx>
          <c:spPr>
            <a:ln w="28575" cap="rnd" cmpd="sng" algn="ctr">
              <a:solidFill>
                <a:schemeClr val="tx1"/>
              </a:solidFill>
              <a:prstDash val="lgDashDotDot"/>
              <a:round/>
              <a:headEnd type="none"/>
              <a:tailEnd type="none"/>
            </a:ln>
          </c:spPr>
          <c:marker>
            <c:symbol val="none"/>
          </c:marker>
          <c:xVal>
            <c:numRef>
              <c:f>Sheet1!$E$1:$E$92</c:f>
              <c:numCache>
                <c:formatCode>General</c:formatCode>
                <c:ptCount val="92"/>
                <c:pt idx="0">
                  <c:v>0.22215</c:v>
                </c:pt>
                <c:pt idx="1">
                  <c:v>0.27215</c:v>
                </c:pt>
                <c:pt idx="2">
                  <c:v>0.32215</c:v>
                </c:pt>
                <c:pt idx="3">
                  <c:v>0.37215</c:v>
                </c:pt>
                <c:pt idx="4">
                  <c:v>0.42215</c:v>
                </c:pt>
                <c:pt idx="5">
                  <c:v>0.47215</c:v>
                </c:pt>
                <c:pt idx="6">
                  <c:v>0.52215</c:v>
                </c:pt>
                <c:pt idx="7">
                  <c:v>0.57215</c:v>
                </c:pt>
                <c:pt idx="8">
                  <c:v>0.62215</c:v>
                </c:pt>
                <c:pt idx="9">
                  <c:v>0.67215</c:v>
                </c:pt>
                <c:pt idx="10">
                  <c:v>0.72215</c:v>
                </c:pt>
                <c:pt idx="11">
                  <c:v>0.77215</c:v>
                </c:pt>
                <c:pt idx="12">
                  <c:v>0.82215</c:v>
                </c:pt>
                <c:pt idx="13">
                  <c:v>0.87215</c:v>
                </c:pt>
                <c:pt idx="14">
                  <c:v>0.92215</c:v>
                </c:pt>
                <c:pt idx="15">
                  <c:v>0.97215</c:v>
                </c:pt>
                <c:pt idx="16">
                  <c:v>1.02215</c:v>
                </c:pt>
                <c:pt idx="17">
                  <c:v>1.07215</c:v>
                </c:pt>
                <c:pt idx="18">
                  <c:v>1.122150000000001</c:v>
                </c:pt>
                <c:pt idx="19">
                  <c:v>1.172150000000001</c:v>
                </c:pt>
                <c:pt idx="20">
                  <c:v>1.22215</c:v>
                </c:pt>
                <c:pt idx="21">
                  <c:v>1.27215</c:v>
                </c:pt>
                <c:pt idx="22">
                  <c:v>1.32215</c:v>
                </c:pt>
                <c:pt idx="23">
                  <c:v>1.372150000000001</c:v>
                </c:pt>
                <c:pt idx="24">
                  <c:v>1.42215</c:v>
                </c:pt>
                <c:pt idx="25">
                  <c:v>1.47215</c:v>
                </c:pt>
                <c:pt idx="26">
                  <c:v>1.52215</c:v>
                </c:pt>
                <c:pt idx="27">
                  <c:v>1.57215</c:v>
                </c:pt>
                <c:pt idx="28">
                  <c:v>1.622150000000001</c:v>
                </c:pt>
                <c:pt idx="29">
                  <c:v>1.672150000000001</c:v>
                </c:pt>
                <c:pt idx="30">
                  <c:v>1.72215</c:v>
                </c:pt>
                <c:pt idx="31">
                  <c:v>1.77215</c:v>
                </c:pt>
                <c:pt idx="32">
                  <c:v>1.82215</c:v>
                </c:pt>
                <c:pt idx="33">
                  <c:v>1.872150000000001</c:v>
                </c:pt>
                <c:pt idx="34">
                  <c:v>1.92215</c:v>
                </c:pt>
                <c:pt idx="35">
                  <c:v>1.97215</c:v>
                </c:pt>
                <c:pt idx="36">
                  <c:v>2.022149999999998</c:v>
                </c:pt>
                <c:pt idx="37">
                  <c:v>2.072149999999997</c:v>
                </c:pt>
                <c:pt idx="38">
                  <c:v>2.12215</c:v>
                </c:pt>
                <c:pt idx="39">
                  <c:v>2.172149999999998</c:v>
                </c:pt>
                <c:pt idx="40">
                  <c:v>2.22215</c:v>
                </c:pt>
                <c:pt idx="41">
                  <c:v>2.272149999999998</c:v>
                </c:pt>
                <c:pt idx="42">
                  <c:v>2.322149999999997</c:v>
                </c:pt>
                <c:pt idx="43">
                  <c:v>2.372149999999956</c:v>
                </c:pt>
                <c:pt idx="44">
                  <c:v>2.422149999999998</c:v>
                </c:pt>
                <c:pt idx="45">
                  <c:v>2.472149999999996</c:v>
                </c:pt>
                <c:pt idx="46">
                  <c:v>2.522149999999998</c:v>
                </c:pt>
                <c:pt idx="47">
                  <c:v>2.572149999999997</c:v>
                </c:pt>
                <c:pt idx="48">
                  <c:v>2.62215</c:v>
                </c:pt>
                <c:pt idx="49">
                  <c:v>2.672149999999997</c:v>
                </c:pt>
                <c:pt idx="50">
                  <c:v>2.72215</c:v>
                </c:pt>
                <c:pt idx="51">
                  <c:v>2.772149999999998</c:v>
                </c:pt>
                <c:pt idx="52">
                  <c:v>2.822149999999997</c:v>
                </c:pt>
                <c:pt idx="53">
                  <c:v>2.872149999999956</c:v>
                </c:pt>
                <c:pt idx="54">
                  <c:v>2.922149999999998</c:v>
                </c:pt>
                <c:pt idx="55">
                  <c:v>2.972149999999996</c:v>
                </c:pt>
                <c:pt idx="56">
                  <c:v>3.022149999999998</c:v>
                </c:pt>
                <c:pt idx="57">
                  <c:v>3.072149999999997</c:v>
                </c:pt>
                <c:pt idx="58">
                  <c:v>3.12215</c:v>
                </c:pt>
                <c:pt idx="59">
                  <c:v>3.172149999999998</c:v>
                </c:pt>
                <c:pt idx="60">
                  <c:v>3.22215</c:v>
                </c:pt>
                <c:pt idx="61">
                  <c:v>3.272149999999998</c:v>
                </c:pt>
                <c:pt idx="62">
                  <c:v>3.322149999999997</c:v>
                </c:pt>
                <c:pt idx="63">
                  <c:v>3.372149999999956</c:v>
                </c:pt>
                <c:pt idx="64">
                  <c:v>3.422149999999998</c:v>
                </c:pt>
                <c:pt idx="65">
                  <c:v>3.472149999999996</c:v>
                </c:pt>
                <c:pt idx="66">
                  <c:v>3.522149999999998</c:v>
                </c:pt>
                <c:pt idx="67">
                  <c:v>3.572149999999997</c:v>
                </c:pt>
                <c:pt idx="68">
                  <c:v>3.62215</c:v>
                </c:pt>
                <c:pt idx="69">
                  <c:v>3.672149999999997</c:v>
                </c:pt>
                <c:pt idx="70">
                  <c:v>3.72215</c:v>
                </c:pt>
                <c:pt idx="71">
                  <c:v>3.772149999999998</c:v>
                </c:pt>
                <c:pt idx="72">
                  <c:v>3.822149999999997</c:v>
                </c:pt>
                <c:pt idx="73">
                  <c:v>3.872149999999956</c:v>
                </c:pt>
                <c:pt idx="74">
                  <c:v>3.922149999999998</c:v>
                </c:pt>
                <c:pt idx="75">
                  <c:v>3.972149999999996</c:v>
                </c:pt>
                <c:pt idx="76">
                  <c:v>4.022149999999987</c:v>
                </c:pt>
                <c:pt idx="77">
                  <c:v>4.07215</c:v>
                </c:pt>
                <c:pt idx="78">
                  <c:v>4.122149999999976</c:v>
                </c:pt>
                <c:pt idx="79">
                  <c:v>4.172149999999998</c:v>
                </c:pt>
                <c:pt idx="80">
                  <c:v>4.222149999999997</c:v>
                </c:pt>
                <c:pt idx="81">
                  <c:v>4.27215</c:v>
                </c:pt>
                <c:pt idx="82">
                  <c:v>4.322149999999977</c:v>
                </c:pt>
                <c:pt idx="83">
                  <c:v>4.372149999999999</c:v>
                </c:pt>
                <c:pt idx="84">
                  <c:v>4.422149999999998</c:v>
                </c:pt>
                <c:pt idx="85">
                  <c:v>4.47215</c:v>
                </c:pt>
                <c:pt idx="86">
                  <c:v>4.522149999999987</c:v>
                </c:pt>
                <c:pt idx="87">
                  <c:v>4.57215</c:v>
                </c:pt>
                <c:pt idx="88">
                  <c:v>4.622149999999967</c:v>
                </c:pt>
                <c:pt idx="89">
                  <c:v>4.672149999999997</c:v>
                </c:pt>
                <c:pt idx="90">
                  <c:v>4.722149999999996</c:v>
                </c:pt>
                <c:pt idx="91">
                  <c:v>4.77215</c:v>
                </c:pt>
              </c:numCache>
            </c:numRef>
          </c:xVal>
          <c:yVal>
            <c:numRef>
              <c:f>Sheet1!$F$1:$F$92</c:f>
              <c:numCache>
                <c:formatCode>General</c:formatCode>
                <c:ptCount val="92"/>
                <c:pt idx="0">
                  <c:v>0.617305901</c:v>
                </c:pt>
                <c:pt idx="1">
                  <c:v>0.59698477</c:v>
                </c:pt>
                <c:pt idx="2">
                  <c:v>0.562817677</c:v>
                </c:pt>
                <c:pt idx="3">
                  <c:v>0.526597196</c:v>
                </c:pt>
                <c:pt idx="4">
                  <c:v>0.493509071</c:v>
                </c:pt>
                <c:pt idx="5">
                  <c:v>0.46557642</c:v>
                </c:pt>
                <c:pt idx="6">
                  <c:v>0.442945197</c:v>
                </c:pt>
                <c:pt idx="7">
                  <c:v>0.424925752</c:v>
                </c:pt>
                <c:pt idx="8">
                  <c:v>0.410620659</c:v>
                </c:pt>
                <c:pt idx="9">
                  <c:v>0.399205047</c:v>
                </c:pt>
                <c:pt idx="10">
                  <c:v>0.390288145</c:v>
                </c:pt>
                <c:pt idx="11">
                  <c:v>0.383383963</c:v>
                </c:pt>
                <c:pt idx="12">
                  <c:v>0.3779667</c:v>
                </c:pt>
                <c:pt idx="13">
                  <c:v>0.373664593</c:v>
                </c:pt>
                <c:pt idx="14">
                  <c:v>0.370210437</c:v>
                </c:pt>
                <c:pt idx="15">
                  <c:v>0.367409273</c:v>
                </c:pt>
                <c:pt idx="16">
                  <c:v>0.36511687</c:v>
                </c:pt>
                <c:pt idx="17">
                  <c:v>0.363225147</c:v>
                </c:pt>
                <c:pt idx="18">
                  <c:v>0.361652146</c:v>
                </c:pt>
                <c:pt idx="19">
                  <c:v>0.360335028</c:v>
                </c:pt>
                <c:pt idx="20">
                  <c:v>0.359225118</c:v>
                </c:pt>
                <c:pt idx="21">
                  <c:v>0.358284355</c:v>
                </c:pt>
                <c:pt idx="22">
                  <c:v>0.357482707</c:v>
                </c:pt>
                <c:pt idx="23">
                  <c:v>0.35679629</c:v>
                </c:pt>
                <c:pt idx="24">
                  <c:v>0.35620596</c:v>
                </c:pt>
                <c:pt idx="25">
                  <c:v>0.355696262</c:v>
                </c:pt>
                <c:pt idx="26">
                  <c:v>0.355254641</c:v>
                </c:pt>
                <c:pt idx="27">
                  <c:v>0.35487083</c:v>
                </c:pt>
                <c:pt idx="28">
                  <c:v>0.354536394</c:v>
                </c:pt>
                <c:pt idx="29">
                  <c:v>0.35424436</c:v>
                </c:pt>
                <c:pt idx="30">
                  <c:v>0.35398894</c:v>
                </c:pt>
                <c:pt idx="31">
                  <c:v>0.353765312</c:v>
                </c:pt>
                <c:pt idx="32">
                  <c:v>0.353569442</c:v>
                </c:pt>
                <c:pt idx="33">
                  <c:v>0.353397944</c:v>
                </c:pt>
                <c:pt idx="34">
                  <c:v>0.353247974</c:v>
                </c:pt>
                <c:pt idx="35">
                  <c:v>0.353117135</c:v>
                </c:pt>
                <c:pt idx="36">
                  <c:v>0.353003411</c:v>
                </c:pt>
                <c:pt idx="37">
                  <c:v>0.352905105</c:v>
                </c:pt>
                <c:pt idx="38">
                  <c:v>0.352820793</c:v>
                </c:pt>
                <c:pt idx="39">
                  <c:v>0.352749285</c:v>
                </c:pt>
                <c:pt idx="40">
                  <c:v>0.352689597</c:v>
                </c:pt>
                <c:pt idx="41">
                  <c:v>0.352640926</c:v>
                </c:pt>
                <c:pt idx="42">
                  <c:v>0.352602626</c:v>
                </c:pt>
                <c:pt idx="43">
                  <c:v>0.352574197</c:v>
                </c:pt>
                <c:pt idx="44">
                  <c:v>0.352555274</c:v>
                </c:pt>
                <c:pt idx="45">
                  <c:v>0.352545614</c:v>
                </c:pt>
                <c:pt idx="46">
                  <c:v>0.352545094</c:v>
                </c:pt>
                <c:pt idx="47">
                  <c:v>0.352553708</c:v>
                </c:pt>
                <c:pt idx="48">
                  <c:v>0.352571565</c:v>
                </c:pt>
                <c:pt idx="49">
                  <c:v>0.352598894</c:v>
                </c:pt>
                <c:pt idx="50">
                  <c:v>0.352636046</c:v>
                </c:pt>
                <c:pt idx="51">
                  <c:v>0.352683506</c:v>
                </c:pt>
                <c:pt idx="52">
                  <c:v>0.3527419</c:v>
                </c:pt>
                <c:pt idx="53">
                  <c:v>0.352812014</c:v>
                </c:pt>
                <c:pt idx="54">
                  <c:v>0.352894811</c:v>
                </c:pt>
                <c:pt idx="55">
                  <c:v>0.352991455</c:v>
                </c:pt>
                <c:pt idx="56">
                  <c:v>0.353103341</c:v>
                </c:pt>
                <c:pt idx="57">
                  <c:v>0.353232133</c:v>
                </c:pt>
                <c:pt idx="58">
                  <c:v>0.353379809</c:v>
                </c:pt>
                <c:pt idx="59">
                  <c:v>0.353548718</c:v>
                </c:pt>
                <c:pt idx="60">
                  <c:v>0.35374165</c:v>
                </c:pt>
                <c:pt idx="61">
                  <c:v>0.353961923</c:v>
                </c:pt>
                <c:pt idx="62">
                  <c:v>0.354213491</c:v>
                </c:pt>
                <c:pt idx="63">
                  <c:v>0.354501079</c:v>
                </c:pt>
                <c:pt idx="64">
                  <c:v>0.354830354</c:v>
                </c:pt>
                <c:pt idx="65">
                  <c:v>0.355208139</c:v>
                </c:pt>
                <c:pt idx="66">
                  <c:v>0.35564269</c:v>
                </c:pt>
                <c:pt idx="67">
                  <c:v>0.356144041</c:v>
                </c:pt>
                <c:pt idx="68">
                  <c:v>0.356724459</c:v>
                </c:pt>
                <c:pt idx="69">
                  <c:v>0.357399033</c:v>
                </c:pt>
                <c:pt idx="70">
                  <c:v>0.358186437</c:v>
                </c:pt>
                <c:pt idx="71">
                  <c:v>0.359109955</c:v>
                </c:pt>
                <c:pt idx="72">
                  <c:v>0.36019883</c:v>
                </c:pt>
                <c:pt idx="73">
                  <c:v>0.361490095</c:v>
                </c:pt>
                <c:pt idx="74">
                  <c:v>0.363031055</c:v>
                </c:pt>
                <c:pt idx="75">
                  <c:v>0.364882716</c:v>
                </c:pt>
                <c:pt idx="76">
                  <c:v>0.367124548</c:v>
                </c:pt>
                <c:pt idx="77">
                  <c:v>0.369861215</c:v>
                </c:pt>
                <c:pt idx="78">
                  <c:v>0.373232195</c:v>
                </c:pt>
                <c:pt idx="79">
                  <c:v>0.377425733</c:v>
                </c:pt>
                <c:pt idx="80">
                  <c:v>0.382699412</c:v>
                </c:pt>
                <c:pt idx="81">
                  <c:v>0.389410975</c:v>
                </c:pt>
                <c:pt idx="82">
                  <c:v>0.398065402</c:v>
                </c:pt>
                <c:pt idx="83">
                  <c:v>0.409187242</c:v>
                </c:pt>
                <c:pt idx="84">
                  <c:v>0.423124079</c:v>
                </c:pt>
                <c:pt idx="85">
                  <c:v>0.440674603</c:v>
                </c:pt>
                <c:pt idx="86">
                  <c:v>0.462737405</c:v>
                </c:pt>
                <c:pt idx="87">
                  <c:v>0.490049585</c:v>
                </c:pt>
                <c:pt idx="88">
                  <c:v>0.522606112</c:v>
                </c:pt>
                <c:pt idx="89">
                  <c:v>0.558659653000001</c:v>
                </c:pt>
                <c:pt idx="90">
                  <c:v>0.593462638</c:v>
                </c:pt>
                <c:pt idx="91">
                  <c:v>0.616514568</c:v>
                </c:pt>
              </c:numCache>
            </c:numRef>
          </c:yVal>
          <c:smooth val="1"/>
          <c:extLst xmlns:c16r2="http://schemas.microsoft.com/office/drawing/2015/06/chart">
            <c:ext xmlns:c16="http://schemas.microsoft.com/office/drawing/2014/chart" uri="{C3380CC4-5D6E-409C-BE32-E72D297353CC}">
              <c16:uniqueId val="{00000001-6F0E-4BCB-A388-D0D0A2FB89D9}"/>
            </c:ext>
          </c:extLst>
        </c:ser>
        <c:ser>
          <c:idx val="2"/>
          <c:order val="2"/>
          <c:tx>
            <c:strRef>
              <c:f>Propane Density Profile</c:f>
              <c:strCache>
                <c:ptCount val="1"/>
                <c:pt idx="0">
                  <c:v>Propane Density Profile</c:v>
                </c:pt>
              </c:strCache>
            </c:strRef>
          </c:tx>
          <c:spPr>
            <a:ln w="28575" cap="rnd" cmpd="sng" algn="ctr">
              <a:solidFill>
                <a:schemeClr val="tx1"/>
              </a:solidFill>
              <a:prstDash val="sysDot"/>
              <a:round/>
            </a:ln>
          </c:spPr>
          <c:marker>
            <c:symbol val="none"/>
          </c:marker>
          <c:xVal>
            <c:numRef>
              <c:f>Sheet1!$H$1:$H$90</c:f>
              <c:numCache>
                <c:formatCode>General</c:formatCode>
                <c:ptCount val="90"/>
                <c:pt idx="0">
                  <c:v>0.2559</c:v>
                </c:pt>
                <c:pt idx="1">
                  <c:v>0.3059</c:v>
                </c:pt>
                <c:pt idx="2">
                  <c:v>0.3559</c:v>
                </c:pt>
                <c:pt idx="3">
                  <c:v>0.4059</c:v>
                </c:pt>
                <c:pt idx="4">
                  <c:v>0.4559</c:v>
                </c:pt>
                <c:pt idx="5">
                  <c:v>0.5059</c:v>
                </c:pt>
                <c:pt idx="6">
                  <c:v>0.5559</c:v>
                </c:pt>
                <c:pt idx="7">
                  <c:v>0.6059</c:v>
                </c:pt>
                <c:pt idx="8">
                  <c:v>0.6559</c:v>
                </c:pt>
                <c:pt idx="9">
                  <c:v>0.7059</c:v>
                </c:pt>
                <c:pt idx="10">
                  <c:v>0.7559</c:v>
                </c:pt>
                <c:pt idx="11">
                  <c:v>0.8059</c:v>
                </c:pt>
                <c:pt idx="12">
                  <c:v>0.8559</c:v>
                </c:pt>
                <c:pt idx="13">
                  <c:v>0.9059</c:v>
                </c:pt>
                <c:pt idx="14">
                  <c:v>0.9559</c:v>
                </c:pt>
                <c:pt idx="15">
                  <c:v>1.005899999999998</c:v>
                </c:pt>
                <c:pt idx="16">
                  <c:v>1.055899999999999</c:v>
                </c:pt>
                <c:pt idx="17">
                  <c:v>1.105899999999999</c:v>
                </c:pt>
                <c:pt idx="18">
                  <c:v>1.155899999999999</c:v>
                </c:pt>
                <c:pt idx="19">
                  <c:v>1.205899999999999</c:v>
                </c:pt>
                <c:pt idx="20">
                  <c:v>1.255899999999998</c:v>
                </c:pt>
                <c:pt idx="21">
                  <c:v>1.305899999999999</c:v>
                </c:pt>
                <c:pt idx="22">
                  <c:v>1.355899999999999</c:v>
                </c:pt>
                <c:pt idx="23">
                  <c:v>1.405899999999997</c:v>
                </c:pt>
                <c:pt idx="24">
                  <c:v>1.455899999999999</c:v>
                </c:pt>
                <c:pt idx="25">
                  <c:v>1.505899999999998</c:v>
                </c:pt>
                <c:pt idx="26">
                  <c:v>1.555899999999999</c:v>
                </c:pt>
                <c:pt idx="27">
                  <c:v>1.605899999999999</c:v>
                </c:pt>
                <c:pt idx="28">
                  <c:v>1.655899999999999</c:v>
                </c:pt>
                <c:pt idx="29">
                  <c:v>1.705899999999999</c:v>
                </c:pt>
                <c:pt idx="30">
                  <c:v>1.755899999999999</c:v>
                </c:pt>
                <c:pt idx="31">
                  <c:v>1.805899999999999</c:v>
                </c:pt>
                <c:pt idx="32">
                  <c:v>1.855899999999999</c:v>
                </c:pt>
                <c:pt idx="33">
                  <c:v>1.905899999999997</c:v>
                </c:pt>
                <c:pt idx="34">
                  <c:v>1.9559</c:v>
                </c:pt>
                <c:pt idx="35">
                  <c:v>2.0059</c:v>
                </c:pt>
                <c:pt idx="36">
                  <c:v>2.055899999999998</c:v>
                </c:pt>
                <c:pt idx="37">
                  <c:v>2.1059</c:v>
                </c:pt>
                <c:pt idx="38">
                  <c:v>2.155899999999998</c:v>
                </c:pt>
                <c:pt idx="39">
                  <c:v>2.2059</c:v>
                </c:pt>
                <c:pt idx="40">
                  <c:v>2.2559</c:v>
                </c:pt>
                <c:pt idx="41">
                  <c:v>2.305899999999998</c:v>
                </c:pt>
                <c:pt idx="42">
                  <c:v>2.355899999999996</c:v>
                </c:pt>
                <c:pt idx="43">
                  <c:v>2.405899999999998</c:v>
                </c:pt>
                <c:pt idx="44">
                  <c:v>2.455899999999997</c:v>
                </c:pt>
                <c:pt idx="45">
                  <c:v>2.5059</c:v>
                </c:pt>
                <c:pt idx="46">
                  <c:v>2.555899999999998</c:v>
                </c:pt>
                <c:pt idx="47">
                  <c:v>2.6059</c:v>
                </c:pt>
                <c:pt idx="48">
                  <c:v>2.655899999999998</c:v>
                </c:pt>
                <c:pt idx="49">
                  <c:v>2.7059</c:v>
                </c:pt>
                <c:pt idx="50">
                  <c:v>2.7559</c:v>
                </c:pt>
                <c:pt idx="51">
                  <c:v>2.805899999999998</c:v>
                </c:pt>
                <c:pt idx="52">
                  <c:v>2.855899999999996</c:v>
                </c:pt>
                <c:pt idx="53">
                  <c:v>2.905899999999998</c:v>
                </c:pt>
                <c:pt idx="54">
                  <c:v>2.955899999999997</c:v>
                </c:pt>
                <c:pt idx="55">
                  <c:v>3.0059</c:v>
                </c:pt>
                <c:pt idx="56">
                  <c:v>3.055899999999998</c:v>
                </c:pt>
                <c:pt idx="57">
                  <c:v>3.1059</c:v>
                </c:pt>
                <c:pt idx="58">
                  <c:v>3.155899999999998</c:v>
                </c:pt>
                <c:pt idx="59">
                  <c:v>3.2059</c:v>
                </c:pt>
                <c:pt idx="60">
                  <c:v>3.2559</c:v>
                </c:pt>
                <c:pt idx="61">
                  <c:v>3.305899999999998</c:v>
                </c:pt>
                <c:pt idx="62">
                  <c:v>3.355899999999996</c:v>
                </c:pt>
                <c:pt idx="63">
                  <c:v>3.405899999999998</c:v>
                </c:pt>
                <c:pt idx="64">
                  <c:v>3.455899999999997</c:v>
                </c:pt>
                <c:pt idx="65">
                  <c:v>3.5059</c:v>
                </c:pt>
                <c:pt idx="66">
                  <c:v>3.555899999999998</c:v>
                </c:pt>
                <c:pt idx="67">
                  <c:v>3.6059</c:v>
                </c:pt>
                <c:pt idx="68">
                  <c:v>3.655899999999998</c:v>
                </c:pt>
                <c:pt idx="69">
                  <c:v>3.7059</c:v>
                </c:pt>
                <c:pt idx="70">
                  <c:v>3.7559</c:v>
                </c:pt>
                <c:pt idx="71">
                  <c:v>3.805899999999998</c:v>
                </c:pt>
                <c:pt idx="72">
                  <c:v>3.855899999999996</c:v>
                </c:pt>
                <c:pt idx="73">
                  <c:v>3.905899999999998</c:v>
                </c:pt>
                <c:pt idx="74">
                  <c:v>3.955899999999997</c:v>
                </c:pt>
                <c:pt idx="75">
                  <c:v>4.0059</c:v>
                </c:pt>
                <c:pt idx="76">
                  <c:v>4.055899999999998</c:v>
                </c:pt>
                <c:pt idx="77">
                  <c:v>4.105899999999997</c:v>
                </c:pt>
                <c:pt idx="78">
                  <c:v>4.155899999999987</c:v>
                </c:pt>
                <c:pt idx="79">
                  <c:v>4.2059</c:v>
                </c:pt>
                <c:pt idx="80">
                  <c:v>4.2559</c:v>
                </c:pt>
                <c:pt idx="81">
                  <c:v>4.305899999999998</c:v>
                </c:pt>
                <c:pt idx="82">
                  <c:v>4.355899999999996</c:v>
                </c:pt>
                <c:pt idx="83">
                  <c:v>4.4059</c:v>
                </c:pt>
                <c:pt idx="84">
                  <c:v>4.4559</c:v>
                </c:pt>
                <c:pt idx="85">
                  <c:v>4.5059</c:v>
                </c:pt>
                <c:pt idx="86">
                  <c:v>4.555899999999998</c:v>
                </c:pt>
                <c:pt idx="87">
                  <c:v>4.605899999999996</c:v>
                </c:pt>
                <c:pt idx="88">
                  <c:v>4.655899999999987</c:v>
                </c:pt>
                <c:pt idx="89">
                  <c:v>4.7059</c:v>
                </c:pt>
              </c:numCache>
            </c:numRef>
          </c:xVal>
          <c:yVal>
            <c:numRef>
              <c:f>Sheet1!$I$1:$I$90</c:f>
              <c:numCache>
                <c:formatCode>General</c:formatCode>
                <c:ptCount val="90"/>
                <c:pt idx="0">
                  <c:v>0.693371408</c:v>
                </c:pt>
                <c:pt idx="1">
                  <c:v>0.681471431</c:v>
                </c:pt>
                <c:pt idx="2">
                  <c:v>0.661542607</c:v>
                </c:pt>
                <c:pt idx="3">
                  <c:v>0.639843768</c:v>
                </c:pt>
                <c:pt idx="4">
                  <c:v>0.61906831</c:v>
                </c:pt>
                <c:pt idx="5">
                  <c:v>0.600475561</c:v>
                </c:pt>
                <c:pt idx="6">
                  <c:v>0.584465254</c:v>
                </c:pt>
                <c:pt idx="7">
                  <c:v>0.570957909</c:v>
                </c:pt>
                <c:pt idx="8">
                  <c:v>0.559658583</c:v>
                </c:pt>
                <c:pt idx="9">
                  <c:v>0.550211748</c:v>
                </c:pt>
                <c:pt idx="10">
                  <c:v>0.542277389</c:v>
                </c:pt>
                <c:pt idx="11">
                  <c:v>0.535683038</c:v>
                </c:pt>
                <c:pt idx="12">
                  <c:v>0.530398106</c:v>
                </c:pt>
                <c:pt idx="13">
                  <c:v>0.526132496</c:v>
                </c:pt>
                <c:pt idx="14">
                  <c:v>0.522659996</c:v>
                </c:pt>
                <c:pt idx="15">
                  <c:v>0.519810347</c:v>
                </c:pt>
                <c:pt idx="16">
                  <c:v>0.517454216</c:v>
                </c:pt>
                <c:pt idx="17">
                  <c:v>0.515492464</c:v>
                </c:pt>
                <c:pt idx="18">
                  <c:v>0.513848435</c:v>
                </c:pt>
                <c:pt idx="19">
                  <c:v>0.512462347999999</c:v>
                </c:pt>
                <c:pt idx="20">
                  <c:v>0.511287213</c:v>
                </c:pt>
                <c:pt idx="21">
                  <c:v>0.5102858</c:v>
                </c:pt>
                <c:pt idx="22">
                  <c:v>0.509428404</c:v>
                </c:pt>
                <c:pt idx="23">
                  <c:v>0.508691152</c:v>
                </c:pt>
                <c:pt idx="24">
                  <c:v>0.508054741</c:v>
                </c:pt>
                <c:pt idx="25">
                  <c:v>0.50750346</c:v>
                </c:pt>
                <c:pt idx="26">
                  <c:v>0.507024454</c:v>
                </c:pt>
                <c:pt idx="27">
                  <c:v>0.506607146</c:v>
                </c:pt>
                <c:pt idx="28">
                  <c:v>0.506242789999999</c:v>
                </c:pt>
                <c:pt idx="29">
                  <c:v>0.505924124</c:v>
                </c:pt>
                <c:pt idx="30">
                  <c:v>0.505645094</c:v>
                </c:pt>
                <c:pt idx="31">
                  <c:v>0.505400633</c:v>
                </c:pt>
                <c:pt idx="32">
                  <c:v>0.505186488</c:v>
                </c:pt>
                <c:pt idx="33">
                  <c:v>0.504999085</c:v>
                </c:pt>
                <c:pt idx="34">
                  <c:v>0.50483541</c:v>
                </c:pt>
                <c:pt idx="35">
                  <c:v>0.504692925</c:v>
                </c:pt>
                <c:pt idx="36">
                  <c:v>0.504569491</c:v>
                </c:pt>
                <c:pt idx="37">
                  <c:v>0.504463311</c:v>
                </c:pt>
                <c:pt idx="38">
                  <c:v>0.504372881</c:v>
                </c:pt>
                <c:pt idx="39">
                  <c:v>0.504296951</c:v>
                </c:pt>
                <c:pt idx="40">
                  <c:v>0.504234493</c:v>
                </c:pt>
                <c:pt idx="41">
                  <c:v>0.50418468</c:v>
                </c:pt>
                <c:pt idx="42">
                  <c:v>0.504146859</c:v>
                </c:pt>
                <c:pt idx="43">
                  <c:v>0.504120543</c:v>
                </c:pt>
                <c:pt idx="44">
                  <c:v>0.504105396</c:v>
                </c:pt>
                <c:pt idx="45">
                  <c:v>0.504101225</c:v>
                </c:pt>
                <c:pt idx="46">
                  <c:v>0.504107977</c:v>
                </c:pt>
                <c:pt idx="47">
                  <c:v>0.504125737</c:v>
                </c:pt>
                <c:pt idx="48">
                  <c:v>0.504154732</c:v>
                </c:pt>
                <c:pt idx="49">
                  <c:v>0.504195333</c:v>
                </c:pt>
                <c:pt idx="50">
                  <c:v>0.504248065</c:v>
                </c:pt>
                <c:pt idx="51">
                  <c:v>0.504313621</c:v>
                </c:pt>
                <c:pt idx="52">
                  <c:v>0.504392873</c:v>
                </c:pt>
                <c:pt idx="53">
                  <c:v>0.504486898</c:v>
                </c:pt>
                <c:pt idx="54">
                  <c:v>0.504597004</c:v>
                </c:pt>
                <c:pt idx="55">
                  <c:v>0.50472476</c:v>
                </c:pt>
                <c:pt idx="56">
                  <c:v>0.50487204</c:v>
                </c:pt>
                <c:pt idx="57">
                  <c:v>0.505041069</c:v>
                </c:pt>
                <c:pt idx="58">
                  <c:v>0.505234493</c:v>
                </c:pt>
                <c:pt idx="59">
                  <c:v>0.505455446</c:v>
                </c:pt>
                <c:pt idx="60">
                  <c:v>0.505707655</c:v>
                </c:pt>
                <c:pt idx="61">
                  <c:v>0.505995549</c:v>
                </c:pt>
                <c:pt idx="62">
                  <c:v>0.506324411</c:v>
                </c:pt>
                <c:pt idx="63">
                  <c:v>0.506700559</c:v>
                </c:pt>
                <c:pt idx="64">
                  <c:v>0.507131578</c:v>
                </c:pt>
                <c:pt idx="65">
                  <c:v>0.507626611</c:v>
                </c:pt>
                <c:pt idx="66">
                  <c:v>0.508196727</c:v>
                </c:pt>
                <c:pt idx="67">
                  <c:v>0.508855401</c:v>
                </c:pt>
                <c:pt idx="68">
                  <c:v>0.509619114</c:v>
                </c:pt>
                <c:pt idx="69">
                  <c:v>0.510508153</c:v>
                </c:pt>
                <c:pt idx="70">
                  <c:v>0.511547638</c:v>
                </c:pt>
                <c:pt idx="71">
                  <c:v>0.512768881</c:v>
                </c:pt>
                <c:pt idx="72">
                  <c:v>0.514211187</c:v>
                </c:pt>
                <c:pt idx="73">
                  <c:v>0.515924259</c:v>
                </c:pt>
                <c:pt idx="74">
                  <c:v>0.517971443</c:v>
                </c:pt>
                <c:pt idx="75">
                  <c:v>0.520434129999999</c:v>
                </c:pt>
                <c:pt idx="76">
                  <c:v>0.523417794</c:v>
                </c:pt>
                <c:pt idx="77">
                  <c:v>0.527060325</c:v>
                </c:pt>
                <c:pt idx="78">
                  <c:v>0.531543638</c:v>
                </c:pt>
                <c:pt idx="79">
                  <c:v>0.537109963</c:v>
                </c:pt>
                <c:pt idx="80">
                  <c:v>0.544030018</c:v>
                </c:pt>
                <c:pt idx="81">
                  <c:v>0.552292849</c:v>
                </c:pt>
                <c:pt idx="82">
                  <c:v>0.562144911</c:v>
                </c:pt>
                <c:pt idx="83">
                  <c:v>0.573933825</c:v>
                </c:pt>
                <c:pt idx="84">
                  <c:v>0.588010027</c:v>
                </c:pt>
                <c:pt idx="85">
                  <c:v>0.604635231000001</c:v>
                </c:pt>
                <c:pt idx="86">
                  <c:v>0.623804006</c:v>
                </c:pt>
                <c:pt idx="87">
                  <c:v>0.644952305</c:v>
                </c:pt>
                <c:pt idx="88">
                  <c:v>0.666548082</c:v>
                </c:pt>
                <c:pt idx="89">
                  <c:v>0.685395773</c:v>
                </c:pt>
              </c:numCache>
            </c:numRef>
          </c:yVal>
          <c:smooth val="1"/>
          <c:extLst xmlns:c16r2="http://schemas.microsoft.com/office/drawing/2015/06/chart">
            <c:ext xmlns:c16="http://schemas.microsoft.com/office/drawing/2014/chart" uri="{C3380CC4-5D6E-409C-BE32-E72D297353CC}">
              <c16:uniqueId val="{00000002-6F0E-4BCB-A388-D0D0A2FB89D9}"/>
            </c:ext>
          </c:extLst>
        </c:ser>
        <c:ser>
          <c:idx val="3"/>
          <c:order val="3"/>
          <c:tx>
            <c:strRef>
              <c:f>n-Butane Density Profile</c:f>
              <c:strCache>
                <c:ptCount val="1"/>
                <c:pt idx="0">
                  <c:v>n-Butane Density Profile</c:v>
                </c:pt>
              </c:strCache>
            </c:strRef>
          </c:tx>
          <c:spPr>
            <a:ln w="28575" cap="rnd" cmpd="sng" algn="ctr">
              <a:solidFill>
                <a:schemeClr val="tx1"/>
              </a:solidFill>
              <a:prstDash val="sysDash"/>
              <a:round/>
            </a:ln>
          </c:spPr>
          <c:marker>
            <c:symbol val="none"/>
          </c:marker>
          <c:xVal>
            <c:numRef>
              <c:f>Sheet1!$K$1:$K$91</c:f>
              <c:numCache>
                <c:formatCode>General</c:formatCode>
                <c:ptCount val="91"/>
                <c:pt idx="0">
                  <c:v>0.23435</c:v>
                </c:pt>
                <c:pt idx="1">
                  <c:v>0.28435</c:v>
                </c:pt>
                <c:pt idx="2">
                  <c:v>0.33435</c:v>
                </c:pt>
                <c:pt idx="3">
                  <c:v>0.38435</c:v>
                </c:pt>
                <c:pt idx="4">
                  <c:v>0.43435</c:v>
                </c:pt>
                <c:pt idx="5">
                  <c:v>0.48435</c:v>
                </c:pt>
                <c:pt idx="6">
                  <c:v>0.53435</c:v>
                </c:pt>
                <c:pt idx="7">
                  <c:v>0.58435</c:v>
                </c:pt>
                <c:pt idx="8">
                  <c:v>0.63435</c:v>
                </c:pt>
                <c:pt idx="9">
                  <c:v>0.68435</c:v>
                </c:pt>
                <c:pt idx="10">
                  <c:v>0.73435</c:v>
                </c:pt>
                <c:pt idx="11">
                  <c:v>0.78435</c:v>
                </c:pt>
                <c:pt idx="12">
                  <c:v>0.83435</c:v>
                </c:pt>
                <c:pt idx="13">
                  <c:v>0.88435</c:v>
                </c:pt>
                <c:pt idx="14">
                  <c:v>0.93435</c:v>
                </c:pt>
                <c:pt idx="15">
                  <c:v>0.98435</c:v>
                </c:pt>
                <c:pt idx="16">
                  <c:v>1.03435</c:v>
                </c:pt>
                <c:pt idx="17">
                  <c:v>1.08435</c:v>
                </c:pt>
                <c:pt idx="18">
                  <c:v>1.134350000000001</c:v>
                </c:pt>
                <c:pt idx="19">
                  <c:v>1.184350000000001</c:v>
                </c:pt>
                <c:pt idx="20">
                  <c:v>1.23435</c:v>
                </c:pt>
                <c:pt idx="21">
                  <c:v>1.28435</c:v>
                </c:pt>
                <c:pt idx="22">
                  <c:v>1.33435</c:v>
                </c:pt>
                <c:pt idx="23">
                  <c:v>1.384350000000001</c:v>
                </c:pt>
                <c:pt idx="24">
                  <c:v>1.43435</c:v>
                </c:pt>
                <c:pt idx="25">
                  <c:v>1.48435</c:v>
                </c:pt>
                <c:pt idx="26">
                  <c:v>1.53435</c:v>
                </c:pt>
                <c:pt idx="27">
                  <c:v>1.58435</c:v>
                </c:pt>
                <c:pt idx="28">
                  <c:v>1.634350000000001</c:v>
                </c:pt>
                <c:pt idx="29">
                  <c:v>1.684350000000001</c:v>
                </c:pt>
                <c:pt idx="30">
                  <c:v>1.73435</c:v>
                </c:pt>
                <c:pt idx="31">
                  <c:v>1.78435</c:v>
                </c:pt>
                <c:pt idx="32">
                  <c:v>1.83435</c:v>
                </c:pt>
                <c:pt idx="33">
                  <c:v>1.884350000000001</c:v>
                </c:pt>
                <c:pt idx="34">
                  <c:v>1.93435</c:v>
                </c:pt>
                <c:pt idx="35">
                  <c:v>1.98435</c:v>
                </c:pt>
                <c:pt idx="36">
                  <c:v>2.034349999999998</c:v>
                </c:pt>
                <c:pt idx="37">
                  <c:v>2.08435</c:v>
                </c:pt>
                <c:pt idx="38">
                  <c:v>2.13435</c:v>
                </c:pt>
                <c:pt idx="39">
                  <c:v>2.18435</c:v>
                </c:pt>
                <c:pt idx="40">
                  <c:v>2.23435</c:v>
                </c:pt>
                <c:pt idx="41">
                  <c:v>2.28435</c:v>
                </c:pt>
                <c:pt idx="42">
                  <c:v>2.334349999999997</c:v>
                </c:pt>
                <c:pt idx="43">
                  <c:v>2.38435</c:v>
                </c:pt>
                <c:pt idx="44">
                  <c:v>2.434349999999998</c:v>
                </c:pt>
                <c:pt idx="45">
                  <c:v>2.48435</c:v>
                </c:pt>
                <c:pt idx="46">
                  <c:v>2.534349999999998</c:v>
                </c:pt>
                <c:pt idx="47">
                  <c:v>2.58435</c:v>
                </c:pt>
                <c:pt idx="48">
                  <c:v>2.63435</c:v>
                </c:pt>
                <c:pt idx="49">
                  <c:v>2.68435</c:v>
                </c:pt>
                <c:pt idx="50">
                  <c:v>2.73435</c:v>
                </c:pt>
                <c:pt idx="51">
                  <c:v>2.78435</c:v>
                </c:pt>
                <c:pt idx="52">
                  <c:v>2.834349999999997</c:v>
                </c:pt>
                <c:pt idx="53">
                  <c:v>2.88435</c:v>
                </c:pt>
                <c:pt idx="54">
                  <c:v>2.934349999999998</c:v>
                </c:pt>
                <c:pt idx="55">
                  <c:v>2.98435</c:v>
                </c:pt>
                <c:pt idx="56">
                  <c:v>3.034349999999998</c:v>
                </c:pt>
                <c:pt idx="57">
                  <c:v>3.08435</c:v>
                </c:pt>
                <c:pt idx="58">
                  <c:v>3.13435</c:v>
                </c:pt>
                <c:pt idx="59">
                  <c:v>3.18435</c:v>
                </c:pt>
                <c:pt idx="60">
                  <c:v>3.23435</c:v>
                </c:pt>
                <c:pt idx="61">
                  <c:v>3.28435</c:v>
                </c:pt>
                <c:pt idx="62">
                  <c:v>3.334349999999997</c:v>
                </c:pt>
                <c:pt idx="63">
                  <c:v>3.38435</c:v>
                </c:pt>
                <c:pt idx="64">
                  <c:v>3.434349999999998</c:v>
                </c:pt>
                <c:pt idx="65">
                  <c:v>3.48435</c:v>
                </c:pt>
                <c:pt idx="66">
                  <c:v>3.534349999999998</c:v>
                </c:pt>
                <c:pt idx="67">
                  <c:v>3.58435</c:v>
                </c:pt>
                <c:pt idx="68">
                  <c:v>3.63435</c:v>
                </c:pt>
                <c:pt idx="69">
                  <c:v>3.68435</c:v>
                </c:pt>
                <c:pt idx="70">
                  <c:v>3.73435</c:v>
                </c:pt>
                <c:pt idx="71">
                  <c:v>3.78435</c:v>
                </c:pt>
                <c:pt idx="72">
                  <c:v>3.834349999999997</c:v>
                </c:pt>
                <c:pt idx="73">
                  <c:v>3.88435</c:v>
                </c:pt>
                <c:pt idx="74">
                  <c:v>3.934349999999998</c:v>
                </c:pt>
                <c:pt idx="75">
                  <c:v>3.98435</c:v>
                </c:pt>
                <c:pt idx="76">
                  <c:v>4.03435</c:v>
                </c:pt>
                <c:pt idx="77">
                  <c:v>4.08435</c:v>
                </c:pt>
                <c:pt idx="78">
                  <c:v>4.13435</c:v>
                </c:pt>
                <c:pt idx="79">
                  <c:v>4.184349999999998</c:v>
                </c:pt>
                <c:pt idx="80">
                  <c:v>4.23435</c:v>
                </c:pt>
                <c:pt idx="81">
                  <c:v>4.28435</c:v>
                </c:pt>
                <c:pt idx="82">
                  <c:v>4.33435</c:v>
                </c:pt>
                <c:pt idx="83">
                  <c:v>4.384349999999999</c:v>
                </c:pt>
                <c:pt idx="84">
                  <c:v>4.43435</c:v>
                </c:pt>
                <c:pt idx="85">
                  <c:v>4.48435</c:v>
                </c:pt>
                <c:pt idx="86">
                  <c:v>4.53435</c:v>
                </c:pt>
                <c:pt idx="87">
                  <c:v>4.58435</c:v>
                </c:pt>
                <c:pt idx="88">
                  <c:v>4.634349999999999</c:v>
                </c:pt>
                <c:pt idx="89">
                  <c:v>4.684349999999997</c:v>
                </c:pt>
                <c:pt idx="90">
                  <c:v>4.73435</c:v>
                </c:pt>
              </c:numCache>
            </c:numRef>
          </c:xVal>
          <c:yVal>
            <c:numRef>
              <c:f>Sheet1!$L$1:$L$91</c:f>
              <c:numCache>
                <c:formatCode>General</c:formatCode>
                <c:ptCount val="91"/>
                <c:pt idx="0">
                  <c:v>0.736372018</c:v>
                </c:pt>
                <c:pt idx="1">
                  <c:v>0.727128661</c:v>
                </c:pt>
                <c:pt idx="2">
                  <c:v>0.711563929</c:v>
                </c:pt>
                <c:pt idx="3">
                  <c:v>0.694609306</c:v>
                </c:pt>
                <c:pt idx="4">
                  <c:v>0.678335087</c:v>
                </c:pt>
                <c:pt idx="5">
                  <c:v>0.663707465</c:v>
                </c:pt>
                <c:pt idx="6">
                  <c:v>0.651038991</c:v>
                </c:pt>
                <c:pt idx="7">
                  <c:v>0.640277236</c:v>
                </c:pt>
                <c:pt idx="8">
                  <c:v>0.631203343</c:v>
                </c:pt>
                <c:pt idx="9">
                  <c:v>0.62354935</c:v>
                </c:pt>
                <c:pt idx="10">
                  <c:v>0.617141496000001</c:v>
                </c:pt>
                <c:pt idx="11">
                  <c:v>0.612010588</c:v>
                </c:pt>
                <c:pt idx="12">
                  <c:v>0.607892254</c:v>
                </c:pt>
                <c:pt idx="13">
                  <c:v>0.604560928</c:v>
                </c:pt>
                <c:pt idx="14">
                  <c:v>0.601845625000001</c:v>
                </c:pt>
                <c:pt idx="15">
                  <c:v>0.599616097</c:v>
                </c:pt>
                <c:pt idx="16">
                  <c:v>0.597772535</c:v>
                </c:pt>
                <c:pt idx="17">
                  <c:v>0.596237943</c:v>
                </c:pt>
                <c:pt idx="18">
                  <c:v>0.594952514</c:v>
                </c:pt>
                <c:pt idx="19">
                  <c:v>0.593869455</c:v>
                </c:pt>
                <c:pt idx="20">
                  <c:v>0.592951901</c:v>
                </c:pt>
                <c:pt idx="21">
                  <c:v>0.592170603</c:v>
                </c:pt>
                <c:pt idx="22">
                  <c:v>0.591502198</c:v>
                </c:pt>
                <c:pt idx="23">
                  <c:v>0.590927905</c:v>
                </c:pt>
                <c:pt idx="24">
                  <c:v>0.590432531</c:v>
                </c:pt>
                <c:pt idx="25">
                  <c:v>0.590003714</c:v>
                </c:pt>
                <c:pt idx="26">
                  <c:v>0.58963134</c:v>
                </c:pt>
                <c:pt idx="27">
                  <c:v>0.58930709</c:v>
                </c:pt>
                <c:pt idx="28">
                  <c:v>0.589024089</c:v>
                </c:pt>
                <c:pt idx="29">
                  <c:v>0.58877663</c:v>
                </c:pt>
                <c:pt idx="30">
                  <c:v>0.588559956</c:v>
                </c:pt>
                <c:pt idx="31">
                  <c:v>0.588370089</c:v>
                </c:pt>
                <c:pt idx="32">
                  <c:v>0.588203689999999</c:v>
                </c:pt>
                <c:pt idx="33">
                  <c:v>0.588057951</c:v>
                </c:pt>
                <c:pt idx="34">
                  <c:v>0.587930508</c:v>
                </c:pt>
                <c:pt idx="35">
                  <c:v>0.587819364</c:v>
                </c:pt>
                <c:pt idx="36">
                  <c:v>0.587722837</c:v>
                </c:pt>
                <c:pt idx="37">
                  <c:v>0.587639511</c:v>
                </c:pt>
                <c:pt idx="38">
                  <c:v>0.587568199</c:v>
                </c:pt>
                <c:pt idx="39">
                  <c:v>0.587507908</c:v>
                </c:pt>
                <c:pt idx="40">
                  <c:v>0.587457819</c:v>
                </c:pt>
                <c:pt idx="41">
                  <c:v>0.587417265</c:v>
                </c:pt>
                <c:pt idx="42">
                  <c:v>0.587385716</c:v>
                </c:pt>
                <c:pt idx="43">
                  <c:v>0.587362761999998</c:v>
                </c:pt>
                <c:pt idx="44">
                  <c:v>0.587348112</c:v>
                </c:pt>
                <c:pt idx="45">
                  <c:v>0.587341578</c:v>
                </c:pt>
                <c:pt idx="46">
                  <c:v>0.587343079</c:v>
                </c:pt>
                <c:pt idx="47">
                  <c:v>0.587352633</c:v>
                </c:pt>
                <c:pt idx="48">
                  <c:v>0.587370360999999</c:v>
                </c:pt>
                <c:pt idx="49">
                  <c:v>0.58739649</c:v>
                </c:pt>
                <c:pt idx="50">
                  <c:v>0.587431353</c:v>
                </c:pt>
                <c:pt idx="51">
                  <c:v>0.587475403</c:v>
                </c:pt>
                <c:pt idx="52">
                  <c:v>0.587529222</c:v>
                </c:pt>
                <c:pt idx="53">
                  <c:v>0.58759353</c:v>
                </c:pt>
                <c:pt idx="54">
                  <c:v>0.58766921</c:v>
                </c:pt>
                <c:pt idx="55">
                  <c:v>0.587757322</c:v>
                </c:pt>
                <c:pt idx="56">
                  <c:v>0.587859136</c:v>
                </c:pt>
                <c:pt idx="57">
                  <c:v>0.587976164</c:v>
                </c:pt>
                <c:pt idx="58">
                  <c:v>0.588110198</c:v>
                </c:pt>
                <c:pt idx="59">
                  <c:v>0.588263364999999</c:v>
                </c:pt>
                <c:pt idx="60">
                  <c:v>0.588438185999999</c:v>
                </c:pt>
                <c:pt idx="61">
                  <c:v>0.588637656</c:v>
                </c:pt>
                <c:pt idx="62">
                  <c:v>0.588865339</c:v>
                </c:pt>
                <c:pt idx="63">
                  <c:v>0.589125487</c:v>
                </c:pt>
                <c:pt idx="64">
                  <c:v>0.589423189999999</c:v>
                </c:pt>
                <c:pt idx="65">
                  <c:v>0.589764563</c:v>
                </c:pt>
                <c:pt idx="66">
                  <c:v>0.590156985</c:v>
                </c:pt>
                <c:pt idx="67">
                  <c:v>0.590609401</c:v>
                </c:pt>
                <c:pt idx="68">
                  <c:v>0.591132706</c:v>
                </c:pt>
                <c:pt idx="69">
                  <c:v>0.591740245</c:v>
                </c:pt>
                <c:pt idx="70">
                  <c:v>0.592448452</c:v>
                </c:pt>
                <c:pt idx="71">
                  <c:v>0.593277692</c:v>
                </c:pt>
                <c:pt idx="72">
                  <c:v>0.594253355</c:v>
                </c:pt>
                <c:pt idx="73">
                  <c:v>0.59540731</c:v>
                </c:pt>
                <c:pt idx="74">
                  <c:v>0.596779828</c:v>
                </c:pt>
                <c:pt idx="75">
                  <c:v>0.598422154999999</c:v>
                </c:pt>
                <c:pt idx="76">
                  <c:v>0.600399973</c:v>
                </c:pt>
                <c:pt idx="77">
                  <c:v>0.602798055000001</c:v>
                </c:pt>
                <c:pt idx="78">
                  <c:v>0.605726577</c:v>
                </c:pt>
                <c:pt idx="79">
                  <c:v>0.609329646</c:v>
                </c:pt>
                <c:pt idx="80">
                  <c:v>0.613796817000001</c:v>
                </c:pt>
                <c:pt idx="81">
                  <c:v>0.619378532</c:v>
                </c:pt>
                <c:pt idx="82">
                  <c:v>0.626262715</c:v>
                </c:pt>
                <c:pt idx="83">
                  <c:v>0.634416201</c:v>
                </c:pt>
                <c:pt idx="84">
                  <c:v>0.644090853000001</c:v>
                </c:pt>
                <c:pt idx="85">
                  <c:v>0.655545708</c:v>
                </c:pt>
                <c:pt idx="86">
                  <c:v>0.668955078000001</c:v>
                </c:pt>
                <c:pt idx="87">
                  <c:v>0.684262925999999</c:v>
                </c:pt>
                <c:pt idx="88">
                  <c:v>0.700951041</c:v>
                </c:pt>
                <c:pt idx="89">
                  <c:v>0.717711185</c:v>
                </c:pt>
                <c:pt idx="90">
                  <c:v>0.731804567</c:v>
                </c:pt>
              </c:numCache>
            </c:numRef>
          </c:yVal>
          <c:smooth val="1"/>
          <c:extLst xmlns:c16r2="http://schemas.microsoft.com/office/drawing/2015/06/chart">
            <c:ext xmlns:c16="http://schemas.microsoft.com/office/drawing/2014/chart" uri="{C3380CC4-5D6E-409C-BE32-E72D297353CC}">
              <c16:uniqueId val="{00000003-6F0E-4BCB-A388-D0D0A2FB89D9}"/>
            </c:ext>
          </c:extLst>
        </c:ser>
        <c:dLbls>
          <c:showLegendKey val="0"/>
          <c:showVal val="0"/>
          <c:showCatName val="0"/>
          <c:showSerName val="0"/>
          <c:showPercent val="0"/>
          <c:showBubbleSize val="0"/>
        </c:dLbls>
        <c:axId val="1916143840"/>
        <c:axId val="1954919888"/>
      </c:scatterChart>
      <c:valAx>
        <c:axId val="1916143840"/>
        <c:scaling>
          <c:orientation val="minMax"/>
          <c:max val="5.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Distance to the left wall</a:t>
                </a:r>
                <a:r>
                  <a:rPr lang="en-US" sz="1200" b="0" baseline="0">
                    <a:latin typeface="Times New Roman" panose="02020603050405020304"/>
                    <a:cs typeface="Times New Roman" panose="02020603050405020304"/>
                  </a:rPr>
                  <a:t>, nm</a:t>
                </a:r>
                <a:endParaRPr lang="en-US" sz="1200" b="0">
                  <a:latin typeface="Times New Roman" panose="02020603050405020304"/>
                  <a:cs typeface="Times New Roman" panose="02020603050405020304"/>
                </a:endParaRPr>
              </a:p>
            </c:rich>
          </c:tx>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54919888"/>
        <c:crosses val="autoZero"/>
        <c:crossBetween val="midCat"/>
      </c:valAx>
      <c:valAx>
        <c:axId val="1954919888"/>
        <c:scaling>
          <c:orientation val="minMax"/>
          <c:max val="0.9"/>
          <c:min val="0.1"/>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Fluid Density,</a:t>
                </a:r>
                <a:r>
                  <a:rPr lang="en-US" sz="1200" b="0" baseline="0">
                    <a:latin typeface="Times New Roman" panose="02020603050405020304"/>
                    <a:cs typeface="Times New Roman" panose="02020603050405020304"/>
                  </a:rPr>
                  <a:t> g/cm</a:t>
                </a:r>
                <a:r>
                  <a:rPr lang="en-US" sz="1200" b="0" baseline="30000">
                    <a:latin typeface="Times New Roman" panose="02020603050405020304"/>
                    <a:cs typeface="Times New Roman" panose="02020603050405020304"/>
                  </a:rPr>
                  <a:t>3</a:t>
                </a:r>
              </a:p>
            </c:rich>
          </c:tx>
          <c:overlay val="0"/>
        </c:title>
        <c:numFmt formatCode="General" sourceLinked="1"/>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6143840"/>
        <c:crosses val="autoZero"/>
        <c:crossBetween val="midCat"/>
      </c:valAx>
      <c:spPr>
        <a:ln>
          <a:solidFill>
            <a:schemeClr val="tx1"/>
          </a:solidFill>
        </a:ln>
      </c:spPr>
    </c:plotArea>
    <c:legend>
      <c:legendPos val="r"/>
      <c:layout>
        <c:manualLayout>
          <c:xMode val="edge"/>
          <c:yMode val="edge"/>
          <c:x val="0.339437264635399"/>
          <c:y val="0.0597042826419638"/>
          <c:w val="0.341419692330125"/>
          <c:h val="0.216722025513503"/>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440804009668"/>
          <c:y val="0.043369217519685"/>
          <c:w val="0.825447269303202"/>
          <c:h val="0.826721825787402"/>
        </c:manualLayout>
      </c:layout>
      <c:scatterChart>
        <c:scatterStyle val="smoothMarker"/>
        <c:varyColors val="0"/>
        <c:ser>
          <c:idx val="0"/>
          <c:order val="0"/>
          <c:tx>
            <c:strRef>
              <c:f>Local Density Profile</c:f>
              <c:strCache>
                <c:ptCount val="1"/>
                <c:pt idx="0">
                  <c:v>Local Density Profile</c:v>
                </c:pt>
              </c:strCache>
            </c:strRef>
          </c:tx>
          <c:spPr>
            <a:ln w="28575" cap="rnd" cmpd="sng" algn="ctr">
              <a:solidFill>
                <a:schemeClr val="tx1"/>
              </a:solidFill>
              <a:prstDash val="solid"/>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Sheet1!$B$4:$B$198</c:f>
              <c:numCache>
                <c:formatCode>General</c:formatCode>
                <c:ptCount val="195"/>
                <c:pt idx="0">
                  <c:v>0.013844784056757</c:v>
                </c:pt>
                <c:pt idx="1">
                  <c:v>0.014010973827029</c:v>
                </c:pt>
                <c:pt idx="2">
                  <c:v>0.014551048957922</c:v>
                </c:pt>
                <c:pt idx="3">
                  <c:v>0.01486729000355</c:v>
                </c:pt>
                <c:pt idx="4">
                  <c:v>0.014806532893469</c:v>
                </c:pt>
                <c:pt idx="5">
                  <c:v>0.014521198070703</c:v>
                </c:pt>
                <c:pt idx="6">
                  <c:v>0.014258041673671</c:v>
                </c:pt>
                <c:pt idx="7">
                  <c:v>0.013996092436872</c:v>
                </c:pt>
                <c:pt idx="8">
                  <c:v>0.013729597142989</c:v>
                </c:pt>
                <c:pt idx="9">
                  <c:v>0.013465459802219</c:v>
                </c:pt>
                <c:pt idx="10">
                  <c:v>0.013211594574325</c:v>
                </c:pt>
                <c:pt idx="11">
                  <c:v>0.012973757638115</c:v>
                </c:pt>
                <c:pt idx="12">
                  <c:v>0.012755105346597</c:v>
                </c:pt>
                <c:pt idx="13">
                  <c:v>0.012556675295401</c:v>
                </c:pt>
                <c:pt idx="14">
                  <c:v>0.012378071587582</c:v>
                </c:pt>
                <c:pt idx="15">
                  <c:v>0.012218065024476</c:v>
                </c:pt>
                <c:pt idx="16">
                  <c:v>0.01207502669108</c:v>
                </c:pt>
                <c:pt idx="17">
                  <c:v>0.011947205379975</c:v>
                </c:pt>
                <c:pt idx="18">
                  <c:v>0.011832888067573</c:v>
                </c:pt>
                <c:pt idx="19">
                  <c:v>0.011730482672534</c:v>
                </c:pt>
                <c:pt idx="20">
                  <c:v>0.011638553196571</c:v>
                </c:pt>
                <c:pt idx="21">
                  <c:v>0.011555827623375</c:v>
                </c:pt>
                <c:pt idx="22">
                  <c:v>0.011481191375388</c:v>
                </c:pt>
                <c:pt idx="23">
                  <c:v>0.011413673950305</c:v>
                </c:pt>
                <c:pt idx="24">
                  <c:v>0.01135243306747</c:v>
                </c:pt>
                <c:pt idx="25">
                  <c:v>0.011296738657202</c:v>
                </c:pt>
                <c:pt idx="26">
                  <c:v>0.011245957856375</c:v>
                </c:pt>
                <c:pt idx="27">
                  <c:v>0.01119954151068</c:v>
                </c:pt>
                <c:pt idx="28">
                  <c:v>0.011157012322297</c:v>
                </c:pt>
                <c:pt idx="29">
                  <c:v>0.011117954595035</c:v>
                </c:pt>
                <c:pt idx="30">
                  <c:v>0.011082005441557</c:v>
                </c:pt>
                <c:pt idx="31">
                  <c:v>0.011048847284588</c:v>
                </c:pt>
                <c:pt idx="32">
                  <c:v>0.011018201480307</c:v>
                </c:pt>
                <c:pt idx="33">
                  <c:v>0.010989822902682</c:v>
                </c:pt>
                <c:pt idx="34">
                  <c:v>0.010963495344249</c:v>
                </c:pt>
                <c:pt idx="35">
                  <c:v>0.010939027607311</c:v>
                </c:pt>
                <c:pt idx="36">
                  <c:v>0.010916250177495</c:v>
                </c:pt>
                <c:pt idx="37">
                  <c:v>0.01089501238795</c:v>
                </c:pt>
                <c:pt idx="38">
                  <c:v>0.010875179996941</c:v>
                </c:pt>
                <c:pt idx="39">
                  <c:v>0.010856633113969</c:v>
                </c:pt>
                <c:pt idx="40">
                  <c:v>0.01083926442011</c:v>
                </c:pt>
                <c:pt idx="41">
                  <c:v>0.01082297763712</c:v>
                </c:pt>
                <c:pt idx="42">
                  <c:v>0.010807686207306</c:v>
                </c:pt>
                <c:pt idx="43">
                  <c:v>0.010793312152297</c:v>
                </c:pt>
                <c:pt idx="44">
                  <c:v>0.010779785084069</c:v>
                </c:pt>
                <c:pt idx="45">
                  <c:v>0.010767041345779</c:v>
                </c:pt>
                <c:pt idx="46">
                  <c:v>0.010755023263607</c:v>
                </c:pt>
                <c:pt idx="47">
                  <c:v>0.010743678493685</c:v>
                </c:pt>
                <c:pt idx="48">
                  <c:v>0.010732959450744</c:v>
                </c:pt>
                <c:pt idx="49">
                  <c:v>0.010722822807094</c:v>
                </c:pt>
                <c:pt idx="50">
                  <c:v>0.01071322905232</c:v>
                </c:pt>
                <c:pt idx="51">
                  <c:v>0.010704142105518</c:v>
                </c:pt>
                <c:pt idx="52">
                  <c:v>0.010695528973064</c:v>
                </c:pt>
                <c:pt idx="53">
                  <c:v>0.010687359445974</c:v>
                </c:pt>
                <c:pt idx="54">
                  <c:v>0.010679605831748</c:v>
                </c:pt>
                <c:pt idx="55">
                  <c:v>0.010672242716301</c:v>
                </c:pt>
                <c:pt idx="56">
                  <c:v>0.010665246752222</c:v>
                </c:pt>
                <c:pt idx="57">
                  <c:v>0.01065859647011</c:v>
                </c:pt>
                <c:pt idx="58">
                  <c:v>0.010652272110161</c:v>
                </c:pt>
                <c:pt idx="59">
                  <c:v>0.010646255493164</c:v>
                </c:pt>
                <c:pt idx="60">
                  <c:v>0.010640529797397</c:v>
                </c:pt>
                <c:pt idx="61">
                  <c:v>0.010635079572978</c:v>
                </c:pt>
                <c:pt idx="62">
                  <c:v>0.010629890541003</c:v>
                </c:pt>
                <c:pt idx="63">
                  <c:v>0.010624949518992</c:v>
                </c:pt>
                <c:pt idx="64">
                  <c:v>0.010620244332584</c:v>
                </c:pt>
                <c:pt idx="65">
                  <c:v>0.01061576373648</c:v>
                </c:pt>
                <c:pt idx="66">
                  <c:v>0.010611497341593</c:v>
                </c:pt>
                <c:pt idx="67">
                  <c:v>0.010607435550362</c:v>
                </c:pt>
                <c:pt idx="68">
                  <c:v>0.010603569497162</c:v>
                </c:pt>
                <c:pt idx="69">
                  <c:v>0.010599890994487</c:v>
                </c:pt>
                <c:pt idx="70">
                  <c:v>0.010596392483822</c:v>
                </c:pt>
                <c:pt idx="71">
                  <c:v>0.010593066990725</c:v>
                </c:pt>
                <c:pt idx="72">
                  <c:v>0.010589908083955</c:v>
                </c:pt>
                <c:pt idx="73">
                  <c:v>0.010586909837822</c:v>
                </c:pt>
                <c:pt idx="74">
                  <c:v>0.010584066797438</c:v>
                </c:pt>
                <c:pt idx="75">
                  <c:v>0.010581373947117</c:v>
                </c:pt>
                <c:pt idx="76">
                  <c:v>0.010578826680615</c:v>
                </c:pt>
                <c:pt idx="77">
                  <c:v>0.010576420774236</c:v>
                </c:pt>
                <c:pt idx="78">
                  <c:v>0.010574152361166</c:v>
                </c:pt>
                <c:pt idx="79">
                  <c:v>0.010572017908186</c:v>
                </c:pt>
                <c:pt idx="80">
                  <c:v>0.010570014193492</c:v>
                </c:pt>
                <c:pt idx="81">
                  <c:v>0.010568138286268</c:v>
                </c:pt>
                <c:pt idx="82">
                  <c:v>0.010566387527422</c:v>
                </c:pt>
                <c:pt idx="83">
                  <c:v>0.010564759511534</c:v>
                </c:pt>
                <c:pt idx="84">
                  <c:v>0.010563252069968</c:v>
                </c:pt>
                <c:pt idx="85">
                  <c:v>0.010561863255022</c:v>
                </c:pt>
                <c:pt idx="86">
                  <c:v>0.010560591325124</c:v>
                </c:pt>
                <c:pt idx="87">
                  <c:v>0.010559434731045</c:v>
                </c:pt>
                <c:pt idx="88">
                  <c:v>0.01055839210298</c:v>
                </c:pt>
                <c:pt idx="89">
                  <c:v>0.010557462238755</c:v>
                </c:pt>
                <c:pt idx="90">
                  <c:v>0.010556644092916</c:v>
                </c:pt>
                <c:pt idx="91">
                  <c:v>0.01055593676692</c:v>
                </c:pt>
                <c:pt idx="92">
                  <c:v>0.010555339500299</c:v>
                </c:pt>
                <c:pt idx="93">
                  <c:v>0.010554851662939</c:v>
                </c:pt>
                <c:pt idx="94">
                  <c:v>0.010554472748466</c:v>
                </c:pt>
                <c:pt idx="95">
                  <c:v>0.010554202368778</c:v>
                </c:pt>
                <c:pt idx="96">
                  <c:v>0.010554040257157</c:v>
                </c:pt>
                <c:pt idx="97">
                  <c:v>0.010553986228526</c:v>
                </c:pt>
                <c:pt idx="98">
                  <c:v>0.010554040257157</c:v>
                </c:pt>
                <c:pt idx="99">
                  <c:v>0.010554202368778</c:v>
                </c:pt>
                <c:pt idx="100">
                  <c:v>0.010554472748466</c:v>
                </c:pt>
                <c:pt idx="101">
                  <c:v>0.010554851662939</c:v>
                </c:pt>
                <c:pt idx="102">
                  <c:v>0.010555339500299</c:v>
                </c:pt>
                <c:pt idx="103">
                  <c:v>0.01055593676692</c:v>
                </c:pt>
                <c:pt idx="104">
                  <c:v>0.010556644092916</c:v>
                </c:pt>
                <c:pt idx="105">
                  <c:v>0.010557462238755</c:v>
                </c:pt>
                <c:pt idx="106">
                  <c:v>0.01055839210298</c:v>
                </c:pt>
                <c:pt idx="107">
                  <c:v>0.010559434731045</c:v>
                </c:pt>
                <c:pt idx="108">
                  <c:v>0.010560591325124</c:v>
                </c:pt>
                <c:pt idx="109">
                  <c:v>0.010561863255022</c:v>
                </c:pt>
                <c:pt idx="110">
                  <c:v>0.010563252069968</c:v>
                </c:pt>
                <c:pt idx="111">
                  <c:v>0.010564759511534</c:v>
                </c:pt>
                <c:pt idx="112">
                  <c:v>0.010566387527422</c:v>
                </c:pt>
                <c:pt idx="113">
                  <c:v>0.010568138286268</c:v>
                </c:pt>
                <c:pt idx="114">
                  <c:v>0.010570014193492</c:v>
                </c:pt>
                <c:pt idx="115">
                  <c:v>0.010572017908186</c:v>
                </c:pt>
                <c:pt idx="116">
                  <c:v>0.010574152361166</c:v>
                </c:pt>
                <c:pt idx="117">
                  <c:v>0.010576420774236</c:v>
                </c:pt>
                <c:pt idx="118">
                  <c:v>0.010578826680615</c:v>
                </c:pt>
                <c:pt idx="119">
                  <c:v>0.010581373947117</c:v>
                </c:pt>
                <c:pt idx="120">
                  <c:v>0.010584066797438</c:v>
                </c:pt>
                <c:pt idx="121">
                  <c:v>0.010586909837822</c:v>
                </c:pt>
                <c:pt idx="122">
                  <c:v>0.010589908083955</c:v>
                </c:pt>
                <c:pt idx="123">
                  <c:v>0.010593066990725</c:v>
                </c:pt>
                <c:pt idx="124">
                  <c:v>0.010596392483822</c:v>
                </c:pt>
                <c:pt idx="125">
                  <c:v>0.010599890994487</c:v>
                </c:pt>
                <c:pt idx="126">
                  <c:v>0.010603569497162</c:v>
                </c:pt>
                <c:pt idx="127">
                  <c:v>0.010607435550362</c:v>
                </c:pt>
                <c:pt idx="128">
                  <c:v>0.010611497341593</c:v>
                </c:pt>
                <c:pt idx="129">
                  <c:v>0.01061576373648</c:v>
                </c:pt>
                <c:pt idx="130">
                  <c:v>0.010620244332584</c:v>
                </c:pt>
                <c:pt idx="131">
                  <c:v>0.010624949518992</c:v>
                </c:pt>
                <c:pt idx="132">
                  <c:v>0.010629890541003</c:v>
                </c:pt>
                <c:pt idx="133">
                  <c:v>0.010635079572978</c:v>
                </c:pt>
                <c:pt idx="134">
                  <c:v>0.010640529797397</c:v>
                </c:pt>
                <c:pt idx="135">
                  <c:v>0.010646255493164</c:v>
                </c:pt>
                <c:pt idx="136">
                  <c:v>0.010652272110161</c:v>
                </c:pt>
                <c:pt idx="137">
                  <c:v>0.01065859647011</c:v>
                </c:pt>
                <c:pt idx="138">
                  <c:v>0.010665246752222</c:v>
                </c:pt>
                <c:pt idx="139">
                  <c:v>0.010672242716301</c:v>
                </c:pt>
                <c:pt idx="140">
                  <c:v>0.010679605831748</c:v>
                </c:pt>
                <c:pt idx="141">
                  <c:v>0.010687359445974</c:v>
                </c:pt>
                <c:pt idx="142">
                  <c:v>0.010695528973064</c:v>
                </c:pt>
                <c:pt idx="143">
                  <c:v>0.010704142105518</c:v>
                </c:pt>
                <c:pt idx="144">
                  <c:v>0.01071322905232</c:v>
                </c:pt>
                <c:pt idx="145">
                  <c:v>0.010722822807094</c:v>
                </c:pt>
                <c:pt idx="146">
                  <c:v>0.010732959450744</c:v>
                </c:pt>
                <c:pt idx="147">
                  <c:v>0.010743678493685</c:v>
                </c:pt>
                <c:pt idx="148">
                  <c:v>0.010755023263607</c:v>
                </c:pt>
                <c:pt idx="149">
                  <c:v>0.010767041345779</c:v>
                </c:pt>
                <c:pt idx="150">
                  <c:v>0.010779785084069</c:v>
                </c:pt>
                <c:pt idx="151">
                  <c:v>0.010793312152297</c:v>
                </c:pt>
                <c:pt idx="152">
                  <c:v>0.010807686207306</c:v>
                </c:pt>
                <c:pt idx="153">
                  <c:v>0.01082297763712</c:v>
                </c:pt>
                <c:pt idx="154">
                  <c:v>0.01083926442011</c:v>
                </c:pt>
                <c:pt idx="155">
                  <c:v>0.010856633113969</c:v>
                </c:pt>
                <c:pt idx="156">
                  <c:v>0.010875179996941</c:v>
                </c:pt>
                <c:pt idx="157">
                  <c:v>0.01089501238795</c:v>
                </c:pt>
                <c:pt idx="158">
                  <c:v>0.010916250177495</c:v>
                </c:pt>
                <c:pt idx="159">
                  <c:v>0.010939027607311</c:v>
                </c:pt>
                <c:pt idx="160">
                  <c:v>0.010963495344249</c:v>
                </c:pt>
                <c:pt idx="161">
                  <c:v>0.010989822902682</c:v>
                </c:pt>
                <c:pt idx="162">
                  <c:v>0.011018201480307</c:v>
                </c:pt>
                <c:pt idx="163">
                  <c:v>0.011048847284588</c:v>
                </c:pt>
                <c:pt idx="164">
                  <c:v>0.011082005441557</c:v>
                </c:pt>
                <c:pt idx="165">
                  <c:v>0.011117954595035</c:v>
                </c:pt>
                <c:pt idx="166">
                  <c:v>0.011157012322297</c:v>
                </c:pt>
                <c:pt idx="167">
                  <c:v>0.01119954151068</c:v>
                </c:pt>
                <c:pt idx="168">
                  <c:v>0.011245957856375</c:v>
                </c:pt>
                <c:pt idx="169">
                  <c:v>0.011296738657202</c:v>
                </c:pt>
                <c:pt idx="170">
                  <c:v>0.01135243306747</c:v>
                </c:pt>
                <c:pt idx="171">
                  <c:v>0.011413673950305</c:v>
                </c:pt>
                <c:pt idx="172">
                  <c:v>0.011481191375388</c:v>
                </c:pt>
                <c:pt idx="173">
                  <c:v>0.011555827623375</c:v>
                </c:pt>
                <c:pt idx="174">
                  <c:v>0.011638553196571</c:v>
                </c:pt>
                <c:pt idx="175">
                  <c:v>0.011730482672534</c:v>
                </c:pt>
                <c:pt idx="176">
                  <c:v>0.011832888067573</c:v>
                </c:pt>
                <c:pt idx="177">
                  <c:v>0.011947205379975</c:v>
                </c:pt>
                <c:pt idx="178">
                  <c:v>0.01207502669108</c:v>
                </c:pt>
                <c:pt idx="179">
                  <c:v>0.012218065024476</c:v>
                </c:pt>
                <c:pt idx="180">
                  <c:v>0.012378071587582</c:v>
                </c:pt>
                <c:pt idx="181">
                  <c:v>0.012556675295401</c:v>
                </c:pt>
                <c:pt idx="182">
                  <c:v>0.012755105346597</c:v>
                </c:pt>
                <c:pt idx="183">
                  <c:v>0.012973757638115</c:v>
                </c:pt>
                <c:pt idx="184">
                  <c:v>0.013211594574325</c:v>
                </c:pt>
                <c:pt idx="185">
                  <c:v>0.013465459802219</c:v>
                </c:pt>
                <c:pt idx="186">
                  <c:v>0.013729597142989</c:v>
                </c:pt>
                <c:pt idx="187">
                  <c:v>0.013996092436872</c:v>
                </c:pt>
                <c:pt idx="188">
                  <c:v>0.014258041673671</c:v>
                </c:pt>
                <c:pt idx="189">
                  <c:v>0.014521198070703</c:v>
                </c:pt>
                <c:pt idx="190">
                  <c:v>0.014806532893469</c:v>
                </c:pt>
                <c:pt idx="191">
                  <c:v>0.01486729000355</c:v>
                </c:pt>
                <c:pt idx="192">
                  <c:v>0.014551048957922</c:v>
                </c:pt>
                <c:pt idx="193">
                  <c:v>0.014010973827029</c:v>
                </c:pt>
                <c:pt idx="194">
                  <c:v>0.013844784056757</c:v>
                </c:pt>
              </c:numCache>
            </c:numRef>
          </c:yVal>
          <c:smooth val="1"/>
          <c:extLst xmlns:c16r2="http://schemas.microsoft.com/office/drawing/2015/06/chart">
            <c:ext xmlns:c16="http://schemas.microsoft.com/office/drawing/2014/chart" uri="{C3380CC4-5D6E-409C-BE32-E72D297353CC}">
              <c16:uniqueId val="{00000000-20EB-44C8-BFDC-85958B023E34}"/>
            </c:ext>
          </c:extLst>
        </c:ser>
        <c:dLbls>
          <c:showLegendKey val="0"/>
          <c:showVal val="0"/>
          <c:showCatName val="0"/>
          <c:showSerName val="0"/>
          <c:showPercent val="0"/>
          <c:showBubbleSize val="0"/>
        </c:dLbls>
        <c:axId val="1916356576"/>
        <c:axId val="1954829280"/>
      </c:scatterChart>
      <c:scatterChart>
        <c:scatterStyle val="lineMarker"/>
        <c:varyColors val="0"/>
        <c:ser>
          <c:idx val="1"/>
          <c:order val="1"/>
          <c:tx>
            <c:strRef>
              <c:f>Bulk Density Profile</c:f>
              <c:strCache>
                <c:ptCount val="1"/>
                <c:pt idx="0">
                  <c:v>Bulk Density Profile</c:v>
                </c:pt>
              </c:strCache>
            </c:strRef>
          </c:tx>
          <c:spPr>
            <a:ln w="19050" cap="rnd" cmpd="sng" algn="ctr">
              <a:solidFill>
                <a:schemeClr val="tx1"/>
              </a:solidFill>
              <a:prstDash val="sysDash"/>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Sheet1!$I$4:$I$198</c:f>
              <c:numCache>
                <c:formatCode>General</c:formatCode>
                <c:ptCount val="195"/>
                <c:pt idx="0">
                  <c:v>0.010553986228526</c:v>
                </c:pt>
                <c:pt idx="2">
                  <c:v>0.010553986228526</c:v>
                </c:pt>
                <c:pt idx="4">
                  <c:v>0.010553986228526</c:v>
                </c:pt>
                <c:pt idx="6">
                  <c:v>0.010553986228526</c:v>
                </c:pt>
                <c:pt idx="8">
                  <c:v>0.010553986228526</c:v>
                </c:pt>
                <c:pt idx="9">
                  <c:v>0.010553986228526</c:v>
                </c:pt>
                <c:pt idx="10">
                  <c:v>0.010553986228526</c:v>
                </c:pt>
                <c:pt idx="11">
                  <c:v>0.010553986228526</c:v>
                </c:pt>
                <c:pt idx="12">
                  <c:v>0.010553986228526</c:v>
                </c:pt>
                <c:pt idx="13">
                  <c:v>0.010553986228526</c:v>
                </c:pt>
                <c:pt idx="14">
                  <c:v>0.010553986228526</c:v>
                </c:pt>
                <c:pt idx="15">
                  <c:v>0.010553986228526</c:v>
                </c:pt>
                <c:pt idx="16">
                  <c:v>0.010553986228526</c:v>
                </c:pt>
                <c:pt idx="17">
                  <c:v>0.010553986228526</c:v>
                </c:pt>
                <c:pt idx="18">
                  <c:v>0.010553986228526</c:v>
                </c:pt>
                <c:pt idx="19">
                  <c:v>0.010553986228526</c:v>
                </c:pt>
                <c:pt idx="20">
                  <c:v>0.010553986228526</c:v>
                </c:pt>
                <c:pt idx="21">
                  <c:v>0.010553986228526</c:v>
                </c:pt>
                <c:pt idx="22">
                  <c:v>0.010553986228526</c:v>
                </c:pt>
                <c:pt idx="23">
                  <c:v>0.010553986228526</c:v>
                </c:pt>
                <c:pt idx="24">
                  <c:v>0.010553986228526</c:v>
                </c:pt>
                <c:pt idx="25">
                  <c:v>0.010553986228526</c:v>
                </c:pt>
                <c:pt idx="26">
                  <c:v>0.010553986228526</c:v>
                </c:pt>
                <c:pt idx="27">
                  <c:v>0.010553986228526</c:v>
                </c:pt>
                <c:pt idx="28">
                  <c:v>0.010553986228526</c:v>
                </c:pt>
                <c:pt idx="29">
                  <c:v>0.010553986228526</c:v>
                </c:pt>
                <c:pt idx="30">
                  <c:v>0.010553986228526</c:v>
                </c:pt>
                <c:pt idx="31">
                  <c:v>0.010553986228526</c:v>
                </c:pt>
                <c:pt idx="32">
                  <c:v>0.010553986228526</c:v>
                </c:pt>
                <c:pt idx="33">
                  <c:v>0.010553986228526</c:v>
                </c:pt>
                <c:pt idx="34">
                  <c:v>0.010553986228526</c:v>
                </c:pt>
                <c:pt idx="35">
                  <c:v>0.010553986228526</c:v>
                </c:pt>
                <c:pt idx="36">
                  <c:v>0.010553986228526</c:v>
                </c:pt>
                <c:pt idx="37">
                  <c:v>0.010553986228526</c:v>
                </c:pt>
                <c:pt idx="38">
                  <c:v>0.010553986228526</c:v>
                </c:pt>
                <c:pt idx="39">
                  <c:v>0.010553986228526</c:v>
                </c:pt>
                <c:pt idx="40">
                  <c:v>0.010553986228526</c:v>
                </c:pt>
                <c:pt idx="41">
                  <c:v>0.010553986228526</c:v>
                </c:pt>
                <c:pt idx="42">
                  <c:v>0.010553986228526</c:v>
                </c:pt>
                <c:pt idx="43">
                  <c:v>0.010553986228526</c:v>
                </c:pt>
                <c:pt idx="44">
                  <c:v>0.010553986228526</c:v>
                </c:pt>
                <c:pt idx="45">
                  <c:v>0.010553986228526</c:v>
                </c:pt>
                <c:pt idx="46">
                  <c:v>0.010553986228526</c:v>
                </c:pt>
                <c:pt idx="47">
                  <c:v>0.010553986228526</c:v>
                </c:pt>
                <c:pt idx="48">
                  <c:v>0.010553986228526</c:v>
                </c:pt>
                <c:pt idx="49">
                  <c:v>0.010553986228526</c:v>
                </c:pt>
                <c:pt idx="50">
                  <c:v>0.010553986228526</c:v>
                </c:pt>
                <c:pt idx="51">
                  <c:v>0.010553986228526</c:v>
                </c:pt>
                <c:pt idx="52">
                  <c:v>0.010553986228526</c:v>
                </c:pt>
                <c:pt idx="53">
                  <c:v>0.010553986228526</c:v>
                </c:pt>
                <c:pt idx="54">
                  <c:v>0.010553986228526</c:v>
                </c:pt>
                <c:pt idx="55">
                  <c:v>0.010553986228526</c:v>
                </c:pt>
                <c:pt idx="56">
                  <c:v>0.010553986228526</c:v>
                </c:pt>
                <c:pt idx="57">
                  <c:v>0.010553986228526</c:v>
                </c:pt>
                <c:pt idx="58">
                  <c:v>0.010553986228526</c:v>
                </c:pt>
                <c:pt idx="59">
                  <c:v>0.010553986228526</c:v>
                </c:pt>
                <c:pt idx="60">
                  <c:v>0.010553986228526</c:v>
                </c:pt>
                <c:pt idx="61">
                  <c:v>0.010553986228526</c:v>
                </c:pt>
                <c:pt idx="62">
                  <c:v>0.010553986228526</c:v>
                </c:pt>
                <c:pt idx="63">
                  <c:v>0.010553986228526</c:v>
                </c:pt>
                <c:pt idx="64">
                  <c:v>0.010553986228526</c:v>
                </c:pt>
                <c:pt idx="65">
                  <c:v>0.010553986228526</c:v>
                </c:pt>
                <c:pt idx="66">
                  <c:v>0.010553986228526</c:v>
                </c:pt>
                <c:pt idx="67">
                  <c:v>0.010553986228526</c:v>
                </c:pt>
                <c:pt idx="68">
                  <c:v>0.010553986228526</c:v>
                </c:pt>
                <c:pt idx="69">
                  <c:v>0.010553986228526</c:v>
                </c:pt>
                <c:pt idx="70">
                  <c:v>0.010553986228526</c:v>
                </c:pt>
                <c:pt idx="71">
                  <c:v>0.010553986228526</c:v>
                </c:pt>
                <c:pt idx="72">
                  <c:v>0.010553986228526</c:v>
                </c:pt>
                <c:pt idx="73">
                  <c:v>0.010553986228526</c:v>
                </c:pt>
                <c:pt idx="74">
                  <c:v>0.010553986228526</c:v>
                </c:pt>
                <c:pt idx="75">
                  <c:v>0.010553986228526</c:v>
                </c:pt>
                <c:pt idx="76">
                  <c:v>0.010553986228526</c:v>
                </c:pt>
                <c:pt idx="77">
                  <c:v>0.010553986228526</c:v>
                </c:pt>
                <c:pt idx="78">
                  <c:v>0.010553986228526</c:v>
                </c:pt>
                <c:pt idx="79">
                  <c:v>0.010553986228526</c:v>
                </c:pt>
                <c:pt idx="80">
                  <c:v>0.010553986228526</c:v>
                </c:pt>
                <c:pt idx="81">
                  <c:v>0.010553986228526</c:v>
                </c:pt>
                <c:pt idx="82">
                  <c:v>0.010553986228526</c:v>
                </c:pt>
                <c:pt idx="83">
                  <c:v>0.010553986228526</c:v>
                </c:pt>
                <c:pt idx="84">
                  <c:v>0.010553986228526</c:v>
                </c:pt>
                <c:pt idx="85">
                  <c:v>0.010553986228526</c:v>
                </c:pt>
                <c:pt idx="86">
                  <c:v>0.010553986228526</c:v>
                </c:pt>
                <c:pt idx="87">
                  <c:v>0.010553986228526</c:v>
                </c:pt>
                <c:pt idx="88">
                  <c:v>0.010553986228526</c:v>
                </c:pt>
                <c:pt idx="89">
                  <c:v>0.010553986228526</c:v>
                </c:pt>
                <c:pt idx="90">
                  <c:v>0.010553986228526</c:v>
                </c:pt>
                <c:pt idx="91">
                  <c:v>0.010553986228526</c:v>
                </c:pt>
                <c:pt idx="92">
                  <c:v>0.010553986228526</c:v>
                </c:pt>
                <c:pt idx="93">
                  <c:v>0.010553986228526</c:v>
                </c:pt>
                <c:pt idx="94">
                  <c:v>0.010553986228526</c:v>
                </c:pt>
                <c:pt idx="95">
                  <c:v>0.010553986228526</c:v>
                </c:pt>
                <c:pt idx="96">
                  <c:v>0.010553986228526</c:v>
                </c:pt>
                <c:pt idx="97">
                  <c:v>0.010553986228526</c:v>
                </c:pt>
                <c:pt idx="98">
                  <c:v>0.010553986228526</c:v>
                </c:pt>
                <c:pt idx="99">
                  <c:v>0.010553986228526</c:v>
                </c:pt>
                <c:pt idx="100">
                  <c:v>0.010553986228526</c:v>
                </c:pt>
                <c:pt idx="101">
                  <c:v>0.010553986228526</c:v>
                </c:pt>
                <c:pt idx="102">
                  <c:v>0.010553986228526</c:v>
                </c:pt>
                <c:pt idx="103">
                  <c:v>0.010553986228526</c:v>
                </c:pt>
                <c:pt idx="104">
                  <c:v>0.010553986228526</c:v>
                </c:pt>
                <c:pt idx="105">
                  <c:v>0.010553986228526</c:v>
                </c:pt>
                <c:pt idx="106">
                  <c:v>0.010553986228526</c:v>
                </c:pt>
                <c:pt idx="107">
                  <c:v>0.010553986228526</c:v>
                </c:pt>
                <c:pt idx="108">
                  <c:v>0.010553986228526</c:v>
                </c:pt>
                <c:pt idx="109">
                  <c:v>0.010553986228526</c:v>
                </c:pt>
                <c:pt idx="110">
                  <c:v>0.010553986228526</c:v>
                </c:pt>
                <c:pt idx="111">
                  <c:v>0.010553986228526</c:v>
                </c:pt>
                <c:pt idx="112">
                  <c:v>0.010553986228526</c:v>
                </c:pt>
                <c:pt idx="113">
                  <c:v>0.010553986228526</c:v>
                </c:pt>
                <c:pt idx="114">
                  <c:v>0.010553986228526</c:v>
                </c:pt>
                <c:pt idx="115">
                  <c:v>0.010553986228526</c:v>
                </c:pt>
                <c:pt idx="116">
                  <c:v>0.010553986228526</c:v>
                </c:pt>
                <c:pt idx="117">
                  <c:v>0.010553986228526</c:v>
                </c:pt>
                <c:pt idx="118">
                  <c:v>0.010553986228526</c:v>
                </c:pt>
                <c:pt idx="119">
                  <c:v>0.010553986228526</c:v>
                </c:pt>
                <c:pt idx="120">
                  <c:v>0.010553986228526</c:v>
                </c:pt>
                <c:pt idx="121">
                  <c:v>0.010553986228526</c:v>
                </c:pt>
                <c:pt idx="122">
                  <c:v>0.010553986228526</c:v>
                </c:pt>
                <c:pt idx="123">
                  <c:v>0.010553986228526</c:v>
                </c:pt>
                <c:pt idx="124">
                  <c:v>0.010553986228526</c:v>
                </c:pt>
                <c:pt idx="125">
                  <c:v>0.010553986228526</c:v>
                </c:pt>
                <c:pt idx="126">
                  <c:v>0.010553986228526</c:v>
                </c:pt>
                <c:pt idx="127">
                  <c:v>0.010553986228526</c:v>
                </c:pt>
                <c:pt idx="128">
                  <c:v>0.010553986228526</c:v>
                </c:pt>
                <c:pt idx="129">
                  <c:v>0.010553986228526</c:v>
                </c:pt>
                <c:pt idx="130">
                  <c:v>0.010553986228526</c:v>
                </c:pt>
                <c:pt idx="131">
                  <c:v>0.010553986228526</c:v>
                </c:pt>
                <c:pt idx="132">
                  <c:v>0.010553986228526</c:v>
                </c:pt>
                <c:pt idx="133">
                  <c:v>0.010553986228526</c:v>
                </c:pt>
                <c:pt idx="134">
                  <c:v>0.010553986228526</c:v>
                </c:pt>
                <c:pt idx="135">
                  <c:v>0.010553986228526</c:v>
                </c:pt>
                <c:pt idx="136">
                  <c:v>0.010553986228526</c:v>
                </c:pt>
                <c:pt idx="137">
                  <c:v>0.010553986228526</c:v>
                </c:pt>
                <c:pt idx="138">
                  <c:v>0.010553986228526</c:v>
                </c:pt>
                <c:pt idx="139">
                  <c:v>0.010553986228526</c:v>
                </c:pt>
                <c:pt idx="140">
                  <c:v>0.010553986228526</c:v>
                </c:pt>
                <c:pt idx="141">
                  <c:v>0.010553986228526</c:v>
                </c:pt>
                <c:pt idx="142">
                  <c:v>0.010553986228526</c:v>
                </c:pt>
                <c:pt idx="143">
                  <c:v>0.010553986228526</c:v>
                </c:pt>
                <c:pt idx="144">
                  <c:v>0.010553986228526</c:v>
                </c:pt>
                <c:pt idx="145">
                  <c:v>0.010553986228526</c:v>
                </c:pt>
                <c:pt idx="146">
                  <c:v>0.010553986228526</c:v>
                </c:pt>
                <c:pt idx="147">
                  <c:v>0.010553986228526</c:v>
                </c:pt>
                <c:pt idx="148">
                  <c:v>0.010553986228526</c:v>
                </c:pt>
                <c:pt idx="149">
                  <c:v>0.010553986228526</c:v>
                </c:pt>
                <c:pt idx="150">
                  <c:v>0.010553986228526</c:v>
                </c:pt>
                <c:pt idx="151">
                  <c:v>0.010553986228526</c:v>
                </c:pt>
                <c:pt idx="152">
                  <c:v>0.010553986228526</c:v>
                </c:pt>
                <c:pt idx="153">
                  <c:v>0.010553986228526</c:v>
                </c:pt>
                <c:pt idx="154">
                  <c:v>0.010553986228526</c:v>
                </c:pt>
                <c:pt idx="155">
                  <c:v>0.010553986228526</c:v>
                </c:pt>
                <c:pt idx="156">
                  <c:v>0.010553986228526</c:v>
                </c:pt>
                <c:pt idx="157">
                  <c:v>0.010553986228526</c:v>
                </c:pt>
                <c:pt idx="158">
                  <c:v>0.010553986228526</c:v>
                </c:pt>
                <c:pt idx="159">
                  <c:v>0.010553986228526</c:v>
                </c:pt>
                <c:pt idx="160">
                  <c:v>0.010553986228526</c:v>
                </c:pt>
                <c:pt idx="161">
                  <c:v>0.010553986228526</c:v>
                </c:pt>
                <c:pt idx="162">
                  <c:v>0.010553986228526</c:v>
                </c:pt>
                <c:pt idx="163">
                  <c:v>0.010553986228526</c:v>
                </c:pt>
                <c:pt idx="164">
                  <c:v>0.010553986228526</c:v>
                </c:pt>
                <c:pt idx="165">
                  <c:v>0.010553986228526</c:v>
                </c:pt>
                <c:pt idx="166">
                  <c:v>0.010553986228526</c:v>
                </c:pt>
                <c:pt idx="167">
                  <c:v>0.010553986228526</c:v>
                </c:pt>
                <c:pt idx="168">
                  <c:v>0.010553986228526</c:v>
                </c:pt>
                <c:pt idx="169">
                  <c:v>0.010553986228526</c:v>
                </c:pt>
                <c:pt idx="170">
                  <c:v>0.010553986228526</c:v>
                </c:pt>
                <c:pt idx="171">
                  <c:v>0.010553986228526</c:v>
                </c:pt>
                <c:pt idx="172">
                  <c:v>0.010553986228526</c:v>
                </c:pt>
                <c:pt idx="173">
                  <c:v>0.010553986228526</c:v>
                </c:pt>
                <c:pt idx="174">
                  <c:v>0.010553986228526</c:v>
                </c:pt>
                <c:pt idx="175">
                  <c:v>0.010553986228526</c:v>
                </c:pt>
                <c:pt idx="176">
                  <c:v>0.010553986228526</c:v>
                </c:pt>
                <c:pt idx="177">
                  <c:v>0.010553986228526</c:v>
                </c:pt>
                <c:pt idx="178">
                  <c:v>0.010553986228526</c:v>
                </c:pt>
                <c:pt idx="179">
                  <c:v>0.010553986228526</c:v>
                </c:pt>
                <c:pt idx="180">
                  <c:v>0.010553986228526</c:v>
                </c:pt>
                <c:pt idx="181">
                  <c:v>0.010553986228526</c:v>
                </c:pt>
                <c:pt idx="182">
                  <c:v>0.010553986228526</c:v>
                </c:pt>
                <c:pt idx="183">
                  <c:v>0.010553986228526</c:v>
                </c:pt>
                <c:pt idx="184">
                  <c:v>0.010553986228526</c:v>
                </c:pt>
                <c:pt idx="185">
                  <c:v>0.010553986228526</c:v>
                </c:pt>
                <c:pt idx="186">
                  <c:v>0.010553986228526</c:v>
                </c:pt>
                <c:pt idx="187">
                  <c:v>0.010553986228526</c:v>
                </c:pt>
                <c:pt idx="188">
                  <c:v>0.010553986228526</c:v>
                </c:pt>
                <c:pt idx="189">
                  <c:v>0.010553986228526</c:v>
                </c:pt>
                <c:pt idx="190">
                  <c:v>0.010553986228526</c:v>
                </c:pt>
                <c:pt idx="191">
                  <c:v>0.010553986228526</c:v>
                </c:pt>
                <c:pt idx="192">
                  <c:v>0.010553986228526</c:v>
                </c:pt>
                <c:pt idx="193">
                  <c:v>0.010553986228526</c:v>
                </c:pt>
                <c:pt idx="194">
                  <c:v>0.010553986228526</c:v>
                </c:pt>
              </c:numCache>
            </c:numRef>
          </c:yVal>
          <c:smooth val="1"/>
          <c:extLst xmlns:c16r2="http://schemas.microsoft.com/office/drawing/2015/06/chart">
            <c:ext xmlns:c16="http://schemas.microsoft.com/office/drawing/2014/chart" uri="{C3380CC4-5D6E-409C-BE32-E72D297353CC}">
              <c16:uniqueId val="{00000001-20EB-44C8-BFDC-85958B023E34}"/>
            </c:ext>
          </c:extLst>
        </c:ser>
        <c:dLbls>
          <c:showLegendKey val="0"/>
          <c:showVal val="0"/>
          <c:showCatName val="0"/>
          <c:showSerName val="0"/>
          <c:showPercent val="0"/>
          <c:showBubbleSize val="0"/>
        </c:dLbls>
        <c:axId val="1916356576"/>
        <c:axId val="1954829280"/>
      </c:scatterChart>
      <c:valAx>
        <c:axId val="1916356576"/>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r>
                  <a:rPr lang="en-US" sz="1200" b="0"/>
                  <a:t>Distance to the left wall, nm</a:t>
                </a:r>
              </a:p>
            </c:rich>
          </c:tx>
          <c:layout>
            <c:manualLayout>
              <c:xMode val="edge"/>
              <c:yMode val="edge"/>
              <c:x val="0.345740158442784"/>
              <c:y val="0.94060531496063"/>
            </c:manualLayout>
          </c:layout>
          <c:overlay val="0"/>
        </c:title>
        <c:numFmt formatCode="General" sourceLinked="1"/>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54829280"/>
        <c:crosses val="autoZero"/>
        <c:crossBetween val="midCat"/>
      </c:valAx>
      <c:valAx>
        <c:axId val="1954829280"/>
        <c:scaling>
          <c:orientation val="minMax"/>
          <c:min val="0.01"/>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r>
                  <a:rPr lang="en-US" sz="1200" b="0"/>
                  <a:t>Density, mol/</a:t>
                </a:r>
                <a:r>
                  <a:rPr lang="en-US" sz="1200" b="0" i="0" baseline="0">
                    <a:effectLst/>
                    <a:latin typeface="+mn-lt"/>
                  </a:rPr>
                  <a:t>cm</a:t>
                </a:r>
                <a:r>
                  <a:rPr lang="en-US" sz="1200" b="0" i="0" baseline="30000">
                    <a:effectLst/>
                    <a:latin typeface="+mn-lt"/>
                  </a:rPr>
                  <a:t>3</a:t>
                </a:r>
                <a:endParaRPr lang="en-US" sz="1200" b="0">
                  <a:effectLst/>
                  <a:latin typeface="+mn-lt"/>
                </a:endParaRPr>
              </a:p>
            </c:rich>
          </c:tx>
          <c:layout>
            <c:manualLayout>
              <c:xMode val="edge"/>
              <c:yMode val="edge"/>
              <c:x val="0.00286943981078869"/>
              <c:y val="0.335987942913386"/>
            </c:manualLayout>
          </c:layout>
          <c:overlay val="0"/>
        </c:title>
        <c:numFmt formatCode="General" sourceLinked="1"/>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6356576"/>
        <c:crosses val="autoZero"/>
        <c:crossBetween val="midCat"/>
      </c:valAx>
      <c:spPr>
        <a:ln>
          <a:solidFill>
            <a:schemeClr val="tx1"/>
          </a:solidFill>
        </a:ln>
      </c:spPr>
    </c:plotArea>
    <c:legend>
      <c:legendPos val="r"/>
      <c:layout>
        <c:manualLayout>
          <c:xMode val="edge"/>
          <c:yMode val="edge"/>
          <c:x val="0.376830824274973"/>
          <c:y val="0.0731007785057371"/>
          <c:w val="0.297526552326952"/>
          <c:h val="0.170554241843894"/>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858610392496"/>
          <c:y val="0.043369217519685"/>
          <c:w val="0.8330294437729"/>
          <c:h val="0.826721825787402"/>
        </c:manualLayout>
      </c:layout>
      <c:scatterChart>
        <c:scatterStyle val="smoothMarker"/>
        <c:varyColors val="0"/>
        <c:ser>
          <c:idx val="0"/>
          <c:order val="0"/>
          <c:tx>
            <c:strRef>
              <c:f>C1 Composition</c:f>
              <c:strCache>
                <c:ptCount val="1"/>
                <c:pt idx="0">
                  <c:v>C1 Composition</c:v>
                </c:pt>
              </c:strCache>
            </c:strRef>
          </c:tx>
          <c:spPr>
            <a:ln w="28575" cap="rnd" cmpd="sng" algn="ctr">
              <a:solidFill>
                <a:schemeClr val="tx1"/>
              </a:solidFill>
              <a:prstDash val="solid"/>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4.563452577319513</c:v>
                </c:pt>
                <c:pt idx="44">
                  <c:v>4.664129381443279</c:v>
                </c:pt>
                <c:pt idx="45">
                  <c:v>4.764806185566988</c:v>
                </c:pt>
                <c:pt idx="46">
                  <c:v>4.865482989690697</c:v>
                </c:pt>
                <c:pt idx="47">
                  <c:v>4.966159793814412</c:v>
                </c:pt>
                <c:pt idx="48">
                  <c:v>5.066836597938106</c:v>
                </c:pt>
                <c:pt idx="49">
                  <c:v>5.16751340206183</c:v>
                </c:pt>
                <c:pt idx="50">
                  <c:v>5.268190206185477</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Sheet1!$C$4:$C$198</c:f>
              <c:numCache>
                <c:formatCode>General</c:formatCode>
                <c:ptCount val="195"/>
                <c:pt idx="0">
                  <c:v>0.00491220919533101</c:v>
                </c:pt>
                <c:pt idx="1">
                  <c:v>0.031725674602202</c:v>
                </c:pt>
                <c:pt idx="2">
                  <c:v>0.160975450964975</c:v>
                </c:pt>
                <c:pt idx="3">
                  <c:v>0.322010027331635</c:v>
                </c:pt>
                <c:pt idx="4">
                  <c:v>0.418097518658892</c:v>
                </c:pt>
                <c:pt idx="5">
                  <c:v>0.44355329363927</c:v>
                </c:pt>
                <c:pt idx="6">
                  <c:v>0.473364069451892</c:v>
                </c:pt>
                <c:pt idx="7">
                  <c:v>0.509967997760095</c:v>
                </c:pt>
                <c:pt idx="8">
                  <c:v>0.545612613063339</c:v>
                </c:pt>
                <c:pt idx="9">
                  <c:v>0.577727058511286</c:v>
                </c:pt>
                <c:pt idx="10">
                  <c:v>0.605660682155102</c:v>
                </c:pt>
                <c:pt idx="11">
                  <c:v>0.629539790651799</c:v>
                </c:pt>
                <c:pt idx="12">
                  <c:v>0.649792664226497</c:v>
                </c:pt>
                <c:pt idx="13">
                  <c:v>0.666932434858813</c:v>
                </c:pt>
                <c:pt idx="14">
                  <c:v>0.681457505469845</c:v>
                </c:pt>
                <c:pt idx="15">
                  <c:v>0.693810665756537</c:v>
                </c:pt>
                <c:pt idx="16">
                  <c:v>0.70436764484701</c:v>
                </c:pt>
                <c:pt idx="17">
                  <c:v>0.713439449625898</c:v>
                </c:pt>
                <c:pt idx="18">
                  <c:v>0.721280206262214</c:v>
                </c:pt>
                <c:pt idx="19">
                  <c:v>0.728096378545479</c:v>
                </c:pt>
                <c:pt idx="20">
                  <c:v>0.734055503650385</c:v>
                </c:pt>
                <c:pt idx="21">
                  <c:v>0.739293752968294</c:v>
                </c:pt>
                <c:pt idx="22">
                  <c:v>0.743922181967893</c:v>
                </c:pt>
                <c:pt idx="23">
                  <c:v>0.748031770101613</c:v>
                </c:pt>
                <c:pt idx="24">
                  <c:v>0.751697431975022</c:v>
                </c:pt>
                <c:pt idx="25">
                  <c:v>0.754981189885278</c:v>
                </c:pt>
                <c:pt idx="26">
                  <c:v>0.75793467813007</c:v>
                </c:pt>
                <c:pt idx="27">
                  <c:v>0.760601121331463</c:v>
                </c:pt>
                <c:pt idx="28">
                  <c:v>0.763016901179969</c:v>
                </c:pt>
                <c:pt idx="29">
                  <c:v>0.765212801749026</c:v>
                </c:pt>
                <c:pt idx="30">
                  <c:v>0.767215003635425</c:v>
                </c:pt>
                <c:pt idx="31">
                  <c:v>0.769045881384723</c:v>
                </c:pt>
                <c:pt idx="32">
                  <c:v>0.77072464633605</c:v>
                </c:pt>
                <c:pt idx="33">
                  <c:v>0.772267867505727</c:v>
                </c:pt>
                <c:pt idx="34">
                  <c:v>0.773689895812708</c:v>
                </c:pt>
                <c:pt idx="35">
                  <c:v>0.77500321133582</c:v>
                </c:pt>
                <c:pt idx="36">
                  <c:v>0.776218708982416</c:v>
                </c:pt>
                <c:pt idx="37">
                  <c:v>0.777345934632009</c:v>
                </c:pt>
                <c:pt idx="38">
                  <c:v>0.778393281260491</c:v>
                </c:pt>
                <c:pt idx="39">
                  <c:v>0.779368152569021</c:v>
                </c:pt>
                <c:pt idx="40">
                  <c:v>0.780277100102049</c:v>
                </c:pt>
                <c:pt idx="41">
                  <c:v>0.781125938636419</c:v>
                </c:pt>
                <c:pt idx="42">
                  <c:v>0.781919843680665</c:v>
                </c:pt>
                <c:pt idx="43">
                  <c:v>0.782663434180784</c:v>
                </c:pt>
                <c:pt idx="44">
                  <c:v>0.783360842941191</c:v>
                </c:pt>
                <c:pt idx="45">
                  <c:v>0.784015776802321</c:v>
                </c:pt>
                <c:pt idx="46">
                  <c:v>0.784631568243112</c:v>
                </c:pt>
                <c:pt idx="47">
                  <c:v>0.785211219777858</c:v>
                </c:pt>
                <c:pt idx="48">
                  <c:v>0.785757442275502</c:v>
                </c:pt>
                <c:pt idx="49">
                  <c:v>0.786272688134957</c:v>
                </c:pt>
                <c:pt idx="50">
                  <c:v>0.78675918009155</c:v>
                </c:pt>
                <c:pt idx="51">
                  <c:v>0.787218936300635</c:v>
                </c:pt>
                <c:pt idx="52">
                  <c:v>0.787653792238849</c:v>
                </c:pt>
                <c:pt idx="53">
                  <c:v>0.788065419876879</c:v>
                </c:pt>
                <c:pt idx="54">
                  <c:v>0.788455344505455</c:v>
                </c:pt>
                <c:pt idx="55">
                  <c:v>0.788824959537788</c:v>
                </c:pt>
                <c:pt idx="56">
                  <c:v>0.789175539561898</c:v>
                </c:pt>
                <c:pt idx="57">
                  <c:v>0.789508251875706</c:v>
                </c:pt>
                <c:pt idx="58">
                  <c:v>0.789824166703284</c:v>
                </c:pt>
                <c:pt idx="59">
                  <c:v>0.790124265221131</c:v>
                </c:pt>
                <c:pt idx="60">
                  <c:v>0.790409451878707</c:v>
                </c:pt>
                <c:pt idx="61">
                  <c:v>0.790680555054356</c:v>
                </c:pt>
                <c:pt idx="62">
                  <c:v>0.790938337914709</c:v>
                </c:pt>
                <c:pt idx="63">
                  <c:v>0.79118350302877</c:v>
                </c:pt>
                <c:pt idx="64">
                  <c:v>0.791416697514487</c:v>
                </c:pt>
                <c:pt idx="65">
                  <c:v>0.791638517625341</c:v>
                </c:pt>
                <c:pt idx="66">
                  <c:v>0.791849512941967</c:v>
                </c:pt>
                <c:pt idx="67">
                  <c:v>0.792050190085096</c:v>
                </c:pt>
                <c:pt idx="68">
                  <c:v>0.792241016110477</c:v>
                </c:pt>
                <c:pt idx="69">
                  <c:v>0.79242242156217</c:v>
                </c:pt>
                <c:pt idx="70">
                  <c:v>0.792594803245096</c:v>
                </c:pt>
                <c:pt idx="71">
                  <c:v>0.792758526746673</c:v>
                </c:pt>
                <c:pt idx="72">
                  <c:v>0.792913928721597</c:v>
                </c:pt>
                <c:pt idx="73">
                  <c:v>0.7930613189847</c:v>
                </c:pt>
                <c:pt idx="74">
                  <c:v>0.793200982432331</c:v>
                </c:pt>
                <c:pt idx="75">
                  <c:v>0.79333318078305</c:v>
                </c:pt>
                <c:pt idx="76">
                  <c:v>0.793458154205584</c:v>
                </c:pt>
                <c:pt idx="77">
                  <c:v>0.793576122786341</c:v>
                </c:pt>
                <c:pt idx="78">
                  <c:v>0.793687287918409</c:v>
                </c:pt>
                <c:pt idx="79">
                  <c:v>0.793791833559</c:v>
                </c:pt>
                <c:pt idx="80">
                  <c:v>0.793889927417855</c:v>
                </c:pt>
                <c:pt idx="81">
                  <c:v>0.793981722048311</c:v>
                </c:pt>
                <c:pt idx="82">
                  <c:v>0.7940673558697</c:v>
                </c:pt>
                <c:pt idx="83">
                  <c:v>0.794146954120677</c:v>
                </c:pt>
                <c:pt idx="84">
                  <c:v>0.794220629747142</c:v>
                </c:pt>
                <c:pt idx="85">
                  <c:v>0.794288484231075</c:v>
                </c:pt>
                <c:pt idx="86">
                  <c:v>0.794350608361435</c:v>
                </c:pt>
                <c:pt idx="87">
                  <c:v>0.794407082949036</c:v>
                </c:pt>
                <c:pt idx="88">
                  <c:v>0.794457979493448</c:v>
                </c:pt>
                <c:pt idx="89">
                  <c:v>0.794503360789613</c:v>
                </c:pt>
                <c:pt idx="90">
                  <c:v>0.794543281486927</c:v>
                </c:pt>
                <c:pt idx="91">
                  <c:v>0.794577788590851</c:v>
                </c:pt>
                <c:pt idx="92">
                  <c:v>0.794606921912877</c:v>
                </c:pt>
                <c:pt idx="93">
                  <c:v>0.794630714463</c:v>
                </c:pt>
                <c:pt idx="94">
                  <c:v>0.79464919278533</c:v>
                </c:pt>
                <c:pt idx="95">
                  <c:v>0.794662377234924</c:v>
                </c:pt>
                <c:pt idx="96">
                  <c:v>0.794670281852201</c:v>
                </c:pt>
                <c:pt idx="97">
                  <c:v>0.79467291621464</c:v>
                </c:pt>
                <c:pt idx="98">
                  <c:v>0.794670281852201</c:v>
                </c:pt>
                <c:pt idx="99">
                  <c:v>0.794662377234924</c:v>
                </c:pt>
                <c:pt idx="100">
                  <c:v>0.79464919278533</c:v>
                </c:pt>
                <c:pt idx="101">
                  <c:v>0.794630714463</c:v>
                </c:pt>
                <c:pt idx="102">
                  <c:v>0.794606921912877</c:v>
                </c:pt>
                <c:pt idx="103">
                  <c:v>0.794577788590851</c:v>
                </c:pt>
                <c:pt idx="104">
                  <c:v>0.794543281486927</c:v>
                </c:pt>
                <c:pt idx="105">
                  <c:v>0.794503360789613</c:v>
                </c:pt>
                <c:pt idx="106">
                  <c:v>0.794457979493448</c:v>
                </c:pt>
                <c:pt idx="107">
                  <c:v>0.794407082949036</c:v>
                </c:pt>
                <c:pt idx="108">
                  <c:v>0.794350608361435</c:v>
                </c:pt>
                <c:pt idx="109">
                  <c:v>0.794288484231075</c:v>
                </c:pt>
                <c:pt idx="110">
                  <c:v>0.794220629747142</c:v>
                </c:pt>
                <c:pt idx="111">
                  <c:v>0.794146954120677</c:v>
                </c:pt>
                <c:pt idx="112">
                  <c:v>0.7940673558697</c:v>
                </c:pt>
                <c:pt idx="113">
                  <c:v>0.793981722048311</c:v>
                </c:pt>
                <c:pt idx="114">
                  <c:v>0.793889927417855</c:v>
                </c:pt>
                <c:pt idx="115">
                  <c:v>0.793791833559</c:v>
                </c:pt>
                <c:pt idx="116">
                  <c:v>0.793687287918409</c:v>
                </c:pt>
                <c:pt idx="117">
                  <c:v>0.793576122786341</c:v>
                </c:pt>
                <c:pt idx="118">
                  <c:v>0.793458154205584</c:v>
                </c:pt>
                <c:pt idx="119">
                  <c:v>0.79333318078305</c:v>
                </c:pt>
                <c:pt idx="120">
                  <c:v>0.793200982432331</c:v>
                </c:pt>
                <c:pt idx="121">
                  <c:v>0.7930613189847</c:v>
                </c:pt>
                <c:pt idx="122">
                  <c:v>0.792913928721597</c:v>
                </c:pt>
                <c:pt idx="123">
                  <c:v>0.792758526746673</c:v>
                </c:pt>
                <c:pt idx="124">
                  <c:v>0.792594803245096</c:v>
                </c:pt>
                <c:pt idx="125">
                  <c:v>0.79242242156217</c:v>
                </c:pt>
                <c:pt idx="126">
                  <c:v>0.792241016110477</c:v>
                </c:pt>
                <c:pt idx="127">
                  <c:v>0.792050190085096</c:v>
                </c:pt>
                <c:pt idx="128">
                  <c:v>0.791849512941967</c:v>
                </c:pt>
                <c:pt idx="129">
                  <c:v>0.791638517625341</c:v>
                </c:pt>
                <c:pt idx="130">
                  <c:v>0.791416697514487</c:v>
                </c:pt>
                <c:pt idx="131">
                  <c:v>0.79118350302877</c:v>
                </c:pt>
                <c:pt idx="132">
                  <c:v>0.790938337914709</c:v>
                </c:pt>
                <c:pt idx="133">
                  <c:v>0.790680555054356</c:v>
                </c:pt>
                <c:pt idx="134">
                  <c:v>0.790409451878707</c:v>
                </c:pt>
                <c:pt idx="135">
                  <c:v>0.790124265221131</c:v>
                </c:pt>
                <c:pt idx="136">
                  <c:v>0.789824166703284</c:v>
                </c:pt>
                <c:pt idx="137">
                  <c:v>0.789508251875706</c:v>
                </c:pt>
                <c:pt idx="138">
                  <c:v>0.789175539561898</c:v>
                </c:pt>
                <c:pt idx="139">
                  <c:v>0.788824959537788</c:v>
                </c:pt>
                <c:pt idx="140">
                  <c:v>0.788455344505455</c:v>
                </c:pt>
                <c:pt idx="141">
                  <c:v>0.788065419876879</c:v>
                </c:pt>
                <c:pt idx="142">
                  <c:v>0.787653792238849</c:v>
                </c:pt>
                <c:pt idx="143">
                  <c:v>0.787218936300635</c:v>
                </c:pt>
                <c:pt idx="144">
                  <c:v>0.78675918009155</c:v>
                </c:pt>
                <c:pt idx="145">
                  <c:v>0.786272688134957</c:v>
                </c:pt>
                <c:pt idx="146">
                  <c:v>0.785757442275502</c:v>
                </c:pt>
                <c:pt idx="147">
                  <c:v>0.785211219777858</c:v>
                </c:pt>
                <c:pt idx="148">
                  <c:v>0.784631568243112</c:v>
                </c:pt>
                <c:pt idx="149">
                  <c:v>0.784015776802321</c:v>
                </c:pt>
                <c:pt idx="150">
                  <c:v>0.783360842941191</c:v>
                </c:pt>
                <c:pt idx="151">
                  <c:v>0.782663434180784</c:v>
                </c:pt>
                <c:pt idx="152">
                  <c:v>0.781919843680665</c:v>
                </c:pt>
                <c:pt idx="153">
                  <c:v>0.781125938636419</c:v>
                </c:pt>
                <c:pt idx="154">
                  <c:v>0.780277100102049</c:v>
                </c:pt>
                <c:pt idx="155">
                  <c:v>0.779368152569021</c:v>
                </c:pt>
                <c:pt idx="156">
                  <c:v>0.778393281260491</c:v>
                </c:pt>
                <c:pt idx="157">
                  <c:v>0.777345934632009</c:v>
                </c:pt>
                <c:pt idx="158">
                  <c:v>0.776218708982416</c:v>
                </c:pt>
                <c:pt idx="159">
                  <c:v>0.77500321133582</c:v>
                </c:pt>
                <c:pt idx="160">
                  <c:v>0.773689895812708</c:v>
                </c:pt>
                <c:pt idx="161">
                  <c:v>0.772267867505727</c:v>
                </c:pt>
                <c:pt idx="162">
                  <c:v>0.77072464633605</c:v>
                </c:pt>
                <c:pt idx="163">
                  <c:v>0.769045881384723</c:v>
                </c:pt>
                <c:pt idx="164">
                  <c:v>0.767215003635425</c:v>
                </c:pt>
                <c:pt idx="165">
                  <c:v>0.765212801749026</c:v>
                </c:pt>
                <c:pt idx="166">
                  <c:v>0.763016901179969</c:v>
                </c:pt>
                <c:pt idx="167">
                  <c:v>0.760601121331463</c:v>
                </c:pt>
                <c:pt idx="168">
                  <c:v>0.75793467813007</c:v>
                </c:pt>
                <c:pt idx="169">
                  <c:v>0.754981189885278</c:v>
                </c:pt>
                <c:pt idx="170">
                  <c:v>0.751697431975022</c:v>
                </c:pt>
                <c:pt idx="171">
                  <c:v>0.748031770101613</c:v>
                </c:pt>
                <c:pt idx="172">
                  <c:v>0.743922181967893</c:v>
                </c:pt>
                <c:pt idx="173">
                  <c:v>0.739293752968294</c:v>
                </c:pt>
                <c:pt idx="174">
                  <c:v>0.734055503650385</c:v>
                </c:pt>
                <c:pt idx="175">
                  <c:v>0.728096378545479</c:v>
                </c:pt>
                <c:pt idx="176">
                  <c:v>0.721280206262214</c:v>
                </c:pt>
                <c:pt idx="177">
                  <c:v>0.713439449625898</c:v>
                </c:pt>
                <c:pt idx="178">
                  <c:v>0.70436764484701</c:v>
                </c:pt>
                <c:pt idx="179">
                  <c:v>0.693810665756537</c:v>
                </c:pt>
                <c:pt idx="180">
                  <c:v>0.681457505469845</c:v>
                </c:pt>
                <c:pt idx="181">
                  <c:v>0.666932434858813</c:v>
                </c:pt>
                <c:pt idx="182">
                  <c:v>0.649792664226497</c:v>
                </c:pt>
                <c:pt idx="183">
                  <c:v>0.629539790651799</c:v>
                </c:pt>
                <c:pt idx="184">
                  <c:v>0.605660682155102</c:v>
                </c:pt>
                <c:pt idx="185">
                  <c:v>0.577727058511286</c:v>
                </c:pt>
                <c:pt idx="186">
                  <c:v>0.545612613063339</c:v>
                </c:pt>
                <c:pt idx="187">
                  <c:v>0.509967997760095</c:v>
                </c:pt>
                <c:pt idx="188">
                  <c:v>0.473364069451892</c:v>
                </c:pt>
                <c:pt idx="189">
                  <c:v>0.44355329363927</c:v>
                </c:pt>
                <c:pt idx="190">
                  <c:v>0.418097518658892</c:v>
                </c:pt>
                <c:pt idx="191">
                  <c:v>0.322010027331635</c:v>
                </c:pt>
                <c:pt idx="192">
                  <c:v>0.160975450964975</c:v>
                </c:pt>
                <c:pt idx="193">
                  <c:v>0.031725674602202</c:v>
                </c:pt>
                <c:pt idx="194">
                  <c:v>0.00491220919533101</c:v>
                </c:pt>
              </c:numCache>
            </c:numRef>
          </c:yVal>
          <c:smooth val="1"/>
          <c:extLst xmlns:c16r2="http://schemas.microsoft.com/office/drawing/2015/06/chart">
            <c:ext xmlns:c16="http://schemas.microsoft.com/office/drawing/2014/chart" uri="{C3380CC4-5D6E-409C-BE32-E72D297353CC}">
              <c16:uniqueId val="{00000000-6E96-4A85-B81A-51B57E83D9C1}"/>
            </c:ext>
          </c:extLst>
        </c:ser>
        <c:ser>
          <c:idx val="1"/>
          <c:order val="1"/>
          <c:tx>
            <c:strRef>
              <c:f>C4 Composition</c:f>
              <c:strCache>
                <c:ptCount val="1"/>
                <c:pt idx="0">
                  <c:v>C4 Composition</c:v>
                </c:pt>
              </c:strCache>
            </c:strRef>
          </c:tx>
          <c:spPr>
            <a:ln w="28575" cap="rnd" cmpd="sng" algn="ctr">
              <a:solidFill>
                <a:schemeClr val="tx1"/>
              </a:solidFill>
              <a:prstDash val="dash"/>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4.563452577319513</c:v>
                </c:pt>
                <c:pt idx="44">
                  <c:v>4.664129381443279</c:v>
                </c:pt>
                <c:pt idx="45">
                  <c:v>4.764806185566988</c:v>
                </c:pt>
                <c:pt idx="46">
                  <c:v>4.865482989690697</c:v>
                </c:pt>
                <c:pt idx="47">
                  <c:v>4.966159793814412</c:v>
                </c:pt>
                <c:pt idx="48">
                  <c:v>5.066836597938106</c:v>
                </c:pt>
                <c:pt idx="49">
                  <c:v>5.16751340206183</c:v>
                </c:pt>
                <c:pt idx="50">
                  <c:v>5.268190206185477</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Sheet1!$D$4:$D$198</c:f>
              <c:numCache>
                <c:formatCode>General</c:formatCode>
                <c:ptCount val="195"/>
                <c:pt idx="0">
                  <c:v>0.995087790804668</c:v>
                </c:pt>
                <c:pt idx="1">
                  <c:v>0.968274325397798</c:v>
                </c:pt>
                <c:pt idx="2">
                  <c:v>0.839024549035025</c:v>
                </c:pt>
                <c:pt idx="3">
                  <c:v>0.677989972668366</c:v>
                </c:pt>
                <c:pt idx="4">
                  <c:v>0.581902481341108</c:v>
                </c:pt>
                <c:pt idx="5">
                  <c:v>0.55644670636073</c:v>
                </c:pt>
                <c:pt idx="6">
                  <c:v>0.526635930548109</c:v>
                </c:pt>
                <c:pt idx="7">
                  <c:v>0.490032002239905</c:v>
                </c:pt>
                <c:pt idx="8">
                  <c:v>0.454387386936661</c:v>
                </c:pt>
                <c:pt idx="9">
                  <c:v>0.422272941488714</c:v>
                </c:pt>
                <c:pt idx="10">
                  <c:v>0.394339317844899</c:v>
                </c:pt>
                <c:pt idx="11">
                  <c:v>0.370460209348202</c:v>
                </c:pt>
                <c:pt idx="12">
                  <c:v>0.350207335773503</c:v>
                </c:pt>
                <c:pt idx="13">
                  <c:v>0.333067565141187</c:v>
                </c:pt>
                <c:pt idx="14">
                  <c:v>0.318542494530155</c:v>
                </c:pt>
                <c:pt idx="15">
                  <c:v>0.306189334243463</c:v>
                </c:pt>
                <c:pt idx="16">
                  <c:v>0.295632355152989</c:v>
                </c:pt>
                <c:pt idx="17">
                  <c:v>0.286560550374102</c:v>
                </c:pt>
                <c:pt idx="18">
                  <c:v>0.278719793737786</c:v>
                </c:pt>
                <c:pt idx="19">
                  <c:v>0.271903621454521</c:v>
                </c:pt>
                <c:pt idx="20">
                  <c:v>0.265944496349616</c:v>
                </c:pt>
                <c:pt idx="21">
                  <c:v>0.260706247031706</c:v>
                </c:pt>
                <c:pt idx="22">
                  <c:v>0.256077818032107</c:v>
                </c:pt>
                <c:pt idx="23">
                  <c:v>0.251968229898387</c:v>
                </c:pt>
                <c:pt idx="24">
                  <c:v>0.248302568024978</c:v>
                </c:pt>
                <c:pt idx="25">
                  <c:v>0.245018810114722</c:v>
                </c:pt>
                <c:pt idx="26">
                  <c:v>0.24206532186993</c:v>
                </c:pt>
                <c:pt idx="27">
                  <c:v>0.239398878668537</c:v>
                </c:pt>
                <c:pt idx="28">
                  <c:v>0.236983098820031</c:v>
                </c:pt>
                <c:pt idx="29">
                  <c:v>0.234787198250974</c:v>
                </c:pt>
                <c:pt idx="30">
                  <c:v>0.232784996364577</c:v>
                </c:pt>
                <c:pt idx="31">
                  <c:v>0.230954118615278</c:v>
                </c:pt>
                <c:pt idx="32">
                  <c:v>0.22927535366395</c:v>
                </c:pt>
                <c:pt idx="33">
                  <c:v>0.227732132494273</c:v>
                </c:pt>
                <c:pt idx="34">
                  <c:v>0.226310104187293</c:v>
                </c:pt>
                <c:pt idx="35">
                  <c:v>0.22499678866418</c:v>
                </c:pt>
                <c:pt idx="36">
                  <c:v>0.223781291017584</c:v>
                </c:pt>
                <c:pt idx="37">
                  <c:v>0.222654065367991</c:v>
                </c:pt>
                <c:pt idx="38">
                  <c:v>0.221606718739509</c:v>
                </c:pt>
                <c:pt idx="39">
                  <c:v>0.220631847430979</c:v>
                </c:pt>
                <c:pt idx="40">
                  <c:v>0.219722899897951</c:v>
                </c:pt>
                <c:pt idx="41">
                  <c:v>0.218874061363581</c:v>
                </c:pt>
                <c:pt idx="42">
                  <c:v>0.218080156319335</c:v>
                </c:pt>
                <c:pt idx="43">
                  <c:v>0.217336565819216</c:v>
                </c:pt>
                <c:pt idx="44">
                  <c:v>0.216639157058809</c:v>
                </c:pt>
                <c:pt idx="45">
                  <c:v>0.215984223197679</c:v>
                </c:pt>
                <c:pt idx="46">
                  <c:v>0.215368431756889</c:v>
                </c:pt>
                <c:pt idx="47">
                  <c:v>0.214788780222142</c:v>
                </c:pt>
                <c:pt idx="48">
                  <c:v>0.214242557724498</c:v>
                </c:pt>
                <c:pt idx="49">
                  <c:v>0.213727311865043</c:v>
                </c:pt>
                <c:pt idx="50">
                  <c:v>0.213240819908449</c:v>
                </c:pt>
                <c:pt idx="51">
                  <c:v>0.212781063699365</c:v>
                </c:pt>
                <c:pt idx="52">
                  <c:v>0.212346207761151</c:v>
                </c:pt>
                <c:pt idx="53">
                  <c:v>0.211934580123121</c:v>
                </c:pt>
                <c:pt idx="54">
                  <c:v>0.211544655494545</c:v>
                </c:pt>
                <c:pt idx="55">
                  <c:v>0.211175040462212</c:v>
                </c:pt>
                <c:pt idx="56">
                  <c:v>0.210824460438102</c:v>
                </c:pt>
                <c:pt idx="57">
                  <c:v>0.210491748124294</c:v>
                </c:pt>
                <c:pt idx="58">
                  <c:v>0.210175833296716</c:v>
                </c:pt>
                <c:pt idx="59">
                  <c:v>0.209875734778869</c:v>
                </c:pt>
                <c:pt idx="60">
                  <c:v>0.209590548121293</c:v>
                </c:pt>
                <c:pt idx="61">
                  <c:v>0.209319444945644</c:v>
                </c:pt>
                <c:pt idx="62">
                  <c:v>0.209061662085291</c:v>
                </c:pt>
                <c:pt idx="63">
                  <c:v>0.20881649697123</c:v>
                </c:pt>
                <c:pt idx="64">
                  <c:v>0.208583302485513</c:v>
                </c:pt>
                <c:pt idx="65">
                  <c:v>0.208361482374659</c:v>
                </c:pt>
                <c:pt idx="66">
                  <c:v>0.208150487058033</c:v>
                </c:pt>
                <c:pt idx="67">
                  <c:v>0.207949809914904</c:v>
                </c:pt>
                <c:pt idx="68">
                  <c:v>0.207758983889525</c:v>
                </c:pt>
                <c:pt idx="69">
                  <c:v>0.20757757843783</c:v>
                </c:pt>
                <c:pt idx="70">
                  <c:v>0.207405196754904</c:v>
                </c:pt>
                <c:pt idx="71">
                  <c:v>0.207241473253327</c:v>
                </c:pt>
                <c:pt idx="72">
                  <c:v>0.207086071278403</c:v>
                </c:pt>
                <c:pt idx="73">
                  <c:v>0.2069386810153</c:v>
                </c:pt>
                <c:pt idx="74">
                  <c:v>0.206799017567669</c:v>
                </c:pt>
                <c:pt idx="75">
                  <c:v>0.206666819216949</c:v>
                </c:pt>
                <c:pt idx="76">
                  <c:v>0.206541845794416</c:v>
                </c:pt>
                <c:pt idx="77">
                  <c:v>0.206423877213658</c:v>
                </c:pt>
                <c:pt idx="78">
                  <c:v>0.206312712081591</c:v>
                </c:pt>
                <c:pt idx="79">
                  <c:v>0.206208166441002</c:v>
                </c:pt>
                <c:pt idx="80">
                  <c:v>0.206110072582145</c:v>
                </c:pt>
                <c:pt idx="81">
                  <c:v>0.206018277951689</c:v>
                </c:pt>
                <c:pt idx="82">
                  <c:v>0.2059326441303</c:v>
                </c:pt>
                <c:pt idx="83">
                  <c:v>0.205853045879323</c:v>
                </c:pt>
                <c:pt idx="84">
                  <c:v>0.205779370252858</c:v>
                </c:pt>
                <c:pt idx="85">
                  <c:v>0.205711515768925</c:v>
                </c:pt>
                <c:pt idx="86">
                  <c:v>0.205649391638565</c:v>
                </c:pt>
                <c:pt idx="87">
                  <c:v>0.205592917050963</c:v>
                </c:pt>
                <c:pt idx="88">
                  <c:v>0.205542020506552</c:v>
                </c:pt>
                <c:pt idx="89">
                  <c:v>0.205496639210386</c:v>
                </c:pt>
                <c:pt idx="90">
                  <c:v>0.205456718513073</c:v>
                </c:pt>
                <c:pt idx="91">
                  <c:v>0.205422211409149</c:v>
                </c:pt>
                <c:pt idx="92">
                  <c:v>0.205393078087123</c:v>
                </c:pt>
                <c:pt idx="93">
                  <c:v>0.205369285537</c:v>
                </c:pt>
                <c:pt idx="94">
                  <c:v>0.20535080721467</c:v>
                </c:pt>
                <c:pt idx="95">
                  <c:v>0.205337622765076</c:v>
                </c:pt>
                <c:pt idx="96">
                  <c:v>0.205329718147799</c:v>
                </c:pt>
                <c:pt idx="97">
                  <c:v>0.205327083785361</c:v>
                </c:pt>
                <c:pt idx="98">
                  <c:v>0.205329718147799</c:v>
                </c:pt>
                <c:pt idx="99">
                  <c:v>0.205337622765076</c:v>
                </c:pt>
                <c:pt idx="100">
                  <c:v>0.20535080721467</c:v>
                </c:pt>
                <c:pt idx="101">
                  <c:v>0.205369285537</c:v>
                </c:pt>
                <c:pt idx="102">
                  <c:v>0.205393078087123</c:v>
                </c:pt>
                <c:pt idx="103">
                  <c:v>0.205422211409149</c:v>
                </c:pt>
                <c:pt idx="104">
                  <c:v>0.205456718513073</c:v>
                </c:pt>
                <c:pt idx="105">
                  <c:v>0.205496639210386</c:v>
                </c:pt>
                <c:pt idx="106">
                  <c:v>0.205542020506552</c:v>
                </c:pt>
                <c:pt idx="107">
                  <c:v>0.205592917050963</c:v>
                </c:pt>
                <c:pt idx="108">
                  <c:v>0.205649391638565</c:v>
                </c:pt>
                <c:pt idx="109">
                  <c:v>0.205711515768925</c:v>
                </c:pt>
                <c:pt idx="110">
                  <c:v>0.205779370252858</c:v>
                </c:pt>
                <c:pt idx="111">
                  <c:v>0.205853045879323</c:v>
                </c:pt>
                <c:pt idx="112">
                  <c:v>0.2059326441303</c:v>
                </c:pt>
                <c:pt idx="113">
                  <c:v>0.206018277951689</c:v>
                </c:pt>
                <c:pt idx="114">
                  <c:v>0.206110072582145</c:v>
                </c:pt>
                <c:pt idx="115">
                  <c:v>0.206208166441002</c:v>
                </c:pt>
                <c:pt idx="116">
                  <c:v>0.206312712081591</c:v>
                </c:pt>
                <c:pt idx="117">
                  <c:v>0.206423877213658</c:v>
                </c:pt>
                <c:pt idx="118">
                  <c:v>0.206541845794416</c:v>
                </c:pt>
                <c:pt idx="119">
                  <c:v>0.206666819216949</c:v>
                </c:pt>
                <c:pt idx="120">
                  <c:v>0.206799017567669</c:v>
                </c:pt>
                <c:pt idx="121">
                  <c:v>0.2069386810153</c:v>
                </c:pt>
                <c:pt idx="122">
                  <c:v>0.207086071278403</c:v>
                </c:pt>
                <c:pt idx="123">
                  <c:v>0.207241473253327</c:v>
                </c:pt>
                <c:pt idx="124">
                  <c:v>0.207405196754904</c:v>
                </c:pt>
                <c:pt idx="125">
                  <c:v>0.20757757843783</c:v>
                </c:pt>
                <c:pt idx="126">
                  <c:v>0.207758983889525</c:v>
                </c:pt>
                <c:pt idx="127">
                  <c:v>0.207949809914904</c:v>
                </c:pt>
                <c:pt idx="128">
                  <c:v>0.208150487058033</c:v>
                </c:pt>
                <c:pt idx="129">
                  <c:v>0.208361482374659</c:v>
                </c:pt>
                <c:pt idx="130">
                  <c:v>0.208583302485513</c:v>
                </c:pt>
                <c:pt idx="131">
                  <c:v>0.20881649697123</c:v>
                </c:pt>
                <c:pt idx="132">
                  <c:v>0.209061662085291</c:v>
                </c:pt>
                <c:pt idx="133">
                  <c:v>0.209319444945644</c:v>
                </c:pt>
                <c:pt idx="134">
                  <c:v>0.209590548121293</c:v>
                </c:pt>
                <c:pt idx="135">
                  <c:v>0.209875734778869</c:v>
                </c:pt>
                <c:pt idx="136">
                  <c:v>0.210175833296716</c:v>
                </c:pt>
                <c:pt idx="137">
                  <c:v>0.210491748124294</c:v>
                </c:pt>
                <c:pt idx="138">
                  <c:v>0.210824460438102</c:v>
                </c:pt>
                <c:pt idx="139">
                  <c:v>0.211175040462212</c:v>
                </c:pt>
                <c:pt idx="140">
                  <c:v>0.211544655494545</c:v>
                </c:pt>
                <c:pt idx="141">
                  <c:v>0.211934580123121</c:v>
                </c:pt>
                <c:pt idx="142">
                  <c:v>0.212346207761151</c:v>
                </c:pt>
                <c:pt idx="143">
                  <c:v>0.212781063699365</c:v>
                </c:pt>
                <c:pt idx="144">
                  <c:v>0.213240819908449</c:v>
                </c:pt>
                <c:pt idx="145">
                  <c:v>0.213727311865043</c:v>
                </c:pt>
                <c:pt idx="146">
                  <c:v>0.214242557724498</c:v>
                </c:pt>
                <c:pt idx="147">
                  <c:v>0.214788780222142</c:v>
                </c:pt>
                <c:pt idx="148">
                  <c:v>0.215368431756889</c:v>
                </c:pt>
                <c:pt idx="149">
                  <c:v>0.215984223197679</c:v>
                </c:pt>
                <c:pt idx="150">
                  <c:v>0.216639157058809</c:v>
                </c:pt>
                <c:pt idx="151">
                  <c:v>0.217336565819216</c:v>
                </c:pt>
                <c:pt idx="152">
                  <c:v>0.218080156319335</c:v>
                </c:pt>
                <c:pt idx="153">
                  <c:v>0.218874061363581</c:v>
                </c:pt>
                <c:pt idx="154">
                  <c:v>0.219722899897951</c:v>
                </c:pt>
                <c:pt idx="155">
                  <c:v>0.220631847430979</c:v>
                </c:pt>
                <c:pt idx="156">
                  <c:v>0.221606718739509</c:v>
                </c:pt>
                <c:pt idx="157">
                  <c:v>0.222654065367991</c:v>
                </c:pt>
                <c:pt idx="158">
                  <c:v>0.223781291017584</c:v>
                </c:pt>
                <c:pt idx="159">
                  <c:v>0.22499678866418</c:v>
                </c:pt>
                <c:pt idx="160">
                  <c:v>0.226310104187293</c:v>
                </c:pt>
                <c:pt idx="161">
                  <c:v>0.227732132494273</c:v>
                </c:pt>
                <c:pt idx="162">
                  <c:v>0.22927535366395</c:v>
                </c:pt>
                <c:pt idx="163">
                  <c:v>0.230954118615278</c:v>
                </c:pt>
                <c:pt idx="164">
                  <c:v>0.232784996364577</c:v>
                </c:pt>
                <c:pt idx="165">
                  <c:v>0.234787198250974</c:v>
                </c:pt>
                <c:pt idx="166">
                  <c:v>0.236983098820031</c:v>
                </c:pt>
                <c:pt idx="167">
                  <c:v>0.239398878668537</c:v>
                </c:pt>
                <c:pt idx="168">
                  <c:v>0.24206532186993</c:v>
                </c:pt>
                <c:pt idx="169">
                  <c:v>0.245018810114722</c:v>
                </c:pt>
                <c:pt idx="170">
                  <c:v>0.248302568024978</c:v>
                </c:pt>
                <c:pt idx="171">
                  <c:v>0.251968229898387</c:v>
                </c:pt>
                <c:pt idx="172">
                  <c:v>0.256077818032107</c:v>
                </c:pt>
                <c:pt idx="173">
                  <c:v>0.260706247031706</c:v>
                </c:pt>
                <c:pt idx="174">
                  <c:v>0.265944496349616</c:v>
                </c:pt>
                <c:pt idx="175">
                  <c:v>0.271903621454521</c:v>
                </c:pt>
                <c:pt idx="176">
                  <c:v>0.278719793737786</c:v>
                </c:pt>
                <c:pt idx="177">
                  <c:v>0.286560550374102</c:v>
                </c:pt>
                <c:pt idx="178">
                  <c:v>0.295632355152989</c:v>
                </c:pt>
                <c:pt idx="179">
                  <c:v>0.306189334243463</c:v>
                </c:pt>
                <c:pt idx="180">
                  <c:v>0.318542494530155</c:v>
                </c:pt>
                <c:pt idx="181">
                  <c:v>0.333067565141187</c:v>
                </c:pt>
                <c:pt idx="182">
                  <c:v>0.350207335773503</c:v>
                </c:pt>
                <c:pt idx="183">
                  <c:v>0.370460209348202</c:v>
                </c:pt>
                <c:pt idx="184">
                  <c:v>0.394339317844899</c:v>
                </c:pt>
                <c:pt idx="185">
                  <c:v>0.422272941488714</c:v>
                </c:pt>
                <c:pt idx="186">
                  <c:v>0.454387386936661</c:v>
                </c:pt>
                <c:pt idx="187">
                  <c:v>0.490032002239905</c:v>
                </c:pt>
                <c:pt idx="188">
                  <c:v>0.526635930548109</c:v>
                </c:pt>
                <c:pt idx="189">
                  <c:v>0.55644670636073</c:v>
                </c:pt>
                <c:pt idx="190">
                  <c:v>0.581902481341108</c:v>
                </c:pt>
                <c:pt idx="191">
                  <c:v>0.677989972668366</c:v>
                </c:pt>
                <c:pt idx="192">
                  <c:v>0.839024549035025</c:v>
                </c:pt>
                <c:pt idx="193">
                  <c:v>0.968274325397798</c:v>
                </c:pt>
                <c:pt idx="194">
                  <c:v>0.995087790804668</c:v>
                </c:pt>
              </c:numCache>
            </c:numRef>
          </c:yVal>
          <c:smooth val="1"/>
          <c:extLst xmlns:c16r2="http://schemas.microsoft.com/office/drawing/2015/06/chart">
            <c:ext xmlns:c16="http://schemas.microsoft.com/office/drawing/2014/chart" uri="{C3380CC4-5D6E-409C-BE32-E72D297353CC}">
              <c16:uniqueId val="{00000001-6E96-4A85-B81A-51B57E83D9C1}"/>
            </c:ext>
          </c:extLst>
        </c:ser>
        <c:dLbls>
          <c:showLegendKey val="0"/>
          <c:showVal val="0"/>
          <c:showCatName val="0"/>
          <c:showSerName val="0"/>
          <c:showPercent val="0"/>
          <c:showBubbleSize val="0"/>
        </c:dLbls>
        <c:axId val="-2023937472"/>
        <c:axId val="-2024001360"/>
      </c:scatterChart>
      <c:valAx>
        <c:axId val="-2023937472"/>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t>Distance to the left wall, nm</a:t>
                </a:r>
              </a:p>
            </c:rich>
          </c:tx>
          <c:layout>
            <c:manualLayout>
              <c:xMode val="edge"/>
              <c:yMode val="edge"/>
              <c:x val="0.345740158442784"/>
              <c:y val="0.9406053149606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24001360"/>
        <c:crosses val="autoZero"/>
        <c:crossBetween val="midCat"/>
      </c:valAx>
      <c:valAx>
        <c:axId val="-2024001360"/>
        <c:scaling>
          <c:orientation val="minMax"/>
          <c:max val="1.0"/>
          <c:min val="0.0"/>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t>Composition, fraction</a:t>
                </a:r>
              </a:p>
            </c:rich>
          </c:tx>
          <c:layout>
            <c:manualLayout>
              <c:xMode val="edge"/>
              <c:yMode val="edge"/>
              <c:x val="0.0104122655399782"/>
              <c:y val="0.308584215399172"/>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23937472"/>
        <c:crosses val="autoZero"/>
        <c:crossBetween val="midCat"/>
      </c:valAx>
      <c:spPr>
        <a:ln>
          <a:solidFill>
            <a:schemeClr val="tx1"/>
          </a:solidFill>
        </a:ln>
      </c:spPr>
    </c:plotArea>
    <c:legend>
      <c:legendPos val="r"/>
      <c:layout>
        <c:manualLayout>
          <c:xMode val="edge"/>
          <c:yMode val="edge"/>
          <c:x val="0.425140291161402"/>
          <c:y val="0.335426105279044"/>
          <c:w val="0.297164450569934"/>
          <c:h val="0.150157161058885"/>
        </c:manualLayout>
      </c:layout>
      <c:overlay val="0"/>
      <c:spPr>
        <a:ln>
          <a:solidFill>
            <a:schemeClr val="tx1"/>
          </a:solidFill>
        </a:ln>
      </c:spPr>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ln w="9525" cap="flat" cmpd="sng" algn="ctr">
      <a:noFill/>
      <a:prstDash val="solid"/>
      <a:round/>
    </a:ln>
  </c:spPr>
  <c:txPr>
    <a:bodyPr/>
    <a:lstStyle/>
    <a:p>
      <a:pPr>
        <a:defRPr lang="zh-CN">
          <a:latin typeface="Times New Roman" panose="02020603050405020304" charset="0"/>
          <a:cs typeface="Times New Roman" panose="0202060305040502030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238293575666"/>
          <c:y val="0.043369217519685"/>
          <c:w val="0.80964996755186"/>
          <c:h val="0.826721825787402"/>
        </c:manualLayout>
      </c:layout>
      <c:scatterChart>
        <c:scatterStyle val="smoothMarker"/>
        <c:varyColors val="0"/>
        <c:ser>
          <c:idx val="0"/>
          <c:order val="0"/>
          <c:tx>
            <c:strRef>
              <c:f>Mixture Density Profile</c:f>
              <c:strCache>
                <c:ptCount val="1"/>
                <c:pt idx="0">
                  <c:v>Mixture Density Profile</c:v>
                </c:pt>
              </c:strCache>
            </c:strRef>
          </c:tx>
          <c:spPr>
            <a:ln w="38100" cap="rnd" cmpd="sng" algn="ctr">
              <a:solidFill>
                <a:schemeClr val="tx1"/>
              </a:solidFill>
              <a:prstDash val="solid"/>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4.563452577319513</c:v>
                </c:pt>
                <c:pt idx="44">
                  <c:v>4.664129381443279</c:v>
                </c:pt>
                <c:pt idx="45">
                  <c:v>4.764806185566988</c:v>
                </c:pt>
                <c:pt idx="46">
                  <c:v>4.865482989690697</c:v>
                </c:pt>
                <c:pt idx="47">
                  <c:v>4.966159793814412</c:v>
                </c:pt>
                <c:pt idx="48">
                  <c:v>5.066836597938106</c:v>
                </c:pt>
                <c:pt idx="49">
                  <c:v>5.16751340206183</c:v>
                </c:pt>
                <c:pt idx="50">
                  <c:v>5.268190206185477</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Sheet1!$B$4:$B$198</c:f>
              <c:numCache>
                <c:formatCode>General</c:formatCode>
                <c:ptCount val="195"/>
                <c:pt idx="0">
                  <c:v>0.013844784056757</c:v>
                </c:pt>
                <c:pt idx="1">
                  <c:v>0.014010973827029</c:v>
                </c:pt>
                <c:pt idx="2">
                  <c:v>0.014551048957922</c:v>
                </c:pt>
                <c:pt idx="3">
                  <c:v>0.01486729000355</c:v>
                </c:pt>
                <c:pt idx="4">
                  <c:v>0.014806532893469</c:v>
                </c:pt>
                <c:pt idx="5">
                  <c:v>0.014521198070703</c:v>
                </c:pt>
                <c:pt idx="6">
                  <c:v>0.014258041673671</c:v>
                </c:pt>
                <c:pt idx="7">
                  <c:v>0.013996092436872</c:v>
                </c:pt>
                <c:pt idx="8">
                  <c:v>0.013729597142989</c:v>
                </c:pt>
                <c:pt idx="9">
                  <c:v>0.013465459802219</c:v>
                </c:pt>
                <c:pt idx="10">
                  <c:v>0.013211594574325</c:v>
                </c:pt>
                <c:pt idx="11">
                  <c:v>0.012973757638115</c:v>
                </c:pt>
                <c:pt idx="12">
                  <c:v>0.012755105346597</c:v>
                </c:pt>
                <c:pt idx="13">
                  <c:v>0.012556675295401</c:v>
                </c:pt>
                <c:pt idx="14">
                  <c:v>0.012378071587582</c:v>
                </c:pt>
                <c:pt idx="15">
                  <c:v>0.012218065024476</c:v>
                </c:pt>
                <c:pt idx="16">
                  <c:v>0.01207502669108</c:v>
                </c:pt>
                <c:pt idx="17">
                  <c:v>0.011947205379975</c:v>
                </c:pt>
                <c:pt idx="18">
                  <c:v>0.011832888067573</c:v>
                </c:pt>
                <c:pt idx="19">
                  <c:v>0.011730482672534</c:v>
                </c:pt>
                <c:pt idx="20">
                  <c:v>0.011638553196571</c:v>
                </c:pt>
                <c:pt idx="21">
                  <c:v>0.011555827623375</c:v>
                </c:pt>
                <c:pt idx="22">
                  <c:v>0.011481191375388</c:v>
                </c:pt>
                <c:pt idx="23">
                  <c:v>0.011413673950305</c:v>
                </c:pt>
                <c:pt idx="24">
                  <c:v>0.01135243306747</c:v>
                </c:pt>
                <c:pt idx="25">
                  <c:v>0.011296738657202</c:v>
                </c:pt>
                <c:pt idx="26">
                  <c:v>0.011245957856375</c:v>
                </c:pt>
                <c:pt idx="27">
                  <c:v>0.01119954151068</c:v>
                </c:pt>
                <c:pt idx="28">
                  <c:v>0.011157012322297</c:v>
                </c:pt>
                <c:pt idx="29">
                  <c:v>0.011117954595035</c:v>
                </c:pt>
                <c:pt idx="30">
                  <c:v>0.011082005441557</c:v>
                </c:pt>
                <c:pt idx="31">
                  <c:v>0.011048847284588</c:v>
                </c:pt>
                <c:pt idx="32">
                  <c:v>0.011018201480307</c:v>
                </c:pt>
                <c:pt idx="33">
                  <c:v>0.010989822902682</c:v>
                </c:pt>
                <c:pt idx="34">
                  <c:v>0.010963495344249</c:v>
                </c:pt>
                <c:pt idx="35">
                  <c:v>0.010939027607311</c:v>
                </c:pt>
                <c:pt idx="36">
                  <c:v>0.010916250177495</c:v>
                </c:pt>
                <c:pt idx="37">
                  <c:v>0.01089501238795</c:v>
                </c:pt>
                <c:pt idx="38">
                  <c:v>0.010875179996941</c:v>
                </c:pt>
                <c:pt idx="39">
                  <c:v>0.010856633113969</c:v>
                </c:pt>
                <c:pt idx="40">
                  <c:v>0.01083926442011</c:v>
                </c:pt>
                <c:pt idx="41">
                  <c:v>0.01082297763712</c:v>
                </c:pt>
                <c:pt idx="42">
                  <c:v>0.010807686207306</c:v>
                </c:pt>
                <c:pt idx="43">
                  <c:v>0.010793312152297</c:v>
                </c:pt>
                <c:pt idx="44">
                  <c:v>0.010779785084069</c:v>
                </c:pt>
                <c:pt idx="45">
                  <c:v>0.010767041345779</c:v>
                </c:pt>
                <c:pt idx="46">
                  <c:v>0.010755023263607</c:v>
                </c:pt>
                <c:pt idx="47">
                  <c:v>0.010743678493685</c:v>
                </c:pt>
                <c:pt idx="48">
                  <c:v>0.010732959450744</c:v>
                </c:pt>
                <c:pt idx="49">
                  <c:v>0.010722822807094</c:v>
                </c:pt>
                <c:pt idx="50">
                  <c:v>0.01071322905232</c:v>
                </c:pt>
                <c:pt idx="51">
                  <c:v>0.010704142105518</c:v>
                </c:pt>
                <c:pt idx="52">
                  <c:v>0.010695528973064</c:v>
                </c:pt>
                <c:pt idx="53">
                  <c:v>0.010687359445974</c:v>
                </c:pt>
                <c:pt idx="54">
                  <c:v>0.010679605831748</c:v>
                </c:pt>
                <c:pt idx="55">
                  <c:v>0.010672242716301</c:v>
                </c:pt>
                <c:pt idx="56">
                  <c:v>0.010665246752222</c:v>
                </c:pt>
                <c:pt idx="57">
                  <c:v>0.01065859647011</c:v>
                </c:pt>
                <c:pt idx="58">
                  <c:v>0.010652272110161</c:v>
                </c:pt>
                <c:pt idx="59">
                  <c:v>0.010646255493164</c:v>
                </c:pt>
                <c:pt idx="60">
                  <c:v>0.010640529797397</c:v>
                </c:pt>
                <c:pt idx="61">
                  <c:v>0.010635079572978</c:v>
                </c:pt>
                <c:pt idx="62">
                  <c:v>0.010629890541003</c:v>
                </c:pt>
                <c:pt idx="63">
                  <c:v>0.010624949518992</c:v>
                </c:pt>
                <c:pt idx="64">
                  <c:v>0.010620244332584</c:v>
                </c:pt>
                <c:pt idx="65">
                  <c:v>0.01061576373648</c:v>
                </c:pt>
                <c:pt idx="66">
                  <c:v>0.010611497341593</c:v>
                </c:pt>
                <c:pt idx="67">
                  <c:v>0.010607435550362</c:v>
                </c:pt>
                <c:pt idx="68">
                  <c:v>0.010603569497162</c:v>
                </c:pt>
                <c:pt idx="69">
                  <c:v>0.010599890994487</c:v>
                </c:pt>
                <c:pt idx="70">
                  <c:v>0.010596392483822</c:v>
                </c:pt>
                <c:pt idx="71">
                  <c:v>0.010593066990725</c:v>
                </c:pt>
                <c:pt idx="72">
                  <c:v>0.010589908083955</c:v>
                </c:pt>
                <c:pt idx="73">
                  <c:v>0.010586909837822</c:v>
                </c:pt>
                <c:pt idx="74">
                  <c:v>0.010584066797438</c:v>
                </c:pt>
                <c:pt idx="75">
                  <c:v>0.010581373947117</c:v>
                </c:pt>
                <c:pt idx="76">
                  <c:v>0.010578826680615</c:v>
                </c:pt>
                <c:pt idx="77">
                  <c:v>0.010576420774236</c:v>
                </c:pt>
                <c:pt idx="78">
                  <c:v>0.010574152361166</c:v>
                </c:pt>
                <c:pt idx="79">
                  <c:v>0.010572017908186</c:v>
                </c:pt>
                <c:pt idx="80">
                  <c:v>0.010570014193492</c:v>
                </c:pt>
                <c:pt idx="81">
                  <c:v>0.010568138286268</c:v>
                </c:pt>
                <c:pt idx="82">
                  <c:v>0.010566387527422</c:v>
                </c:pt>
                <c:pt idx="83">
                  <c:v>0.010564759511534</c:v>
                </c:pt>
                <c:pt idx="84">
                  <c:v>0.010563252069968</c:v>
                </c:pt>
                <c:pt idx="85">
                  <c:v>0.010561863255022</c:v>
                </c:pt>
                <c:pt idx="86">
                  <c:v>0.010560591325124</c:v>
                </c:pt>
                <c:pt idx="87">
                  <c:v>0.010559434731045</c:v>
                </c:pt>
                <c:pt idx="88">
                  <c:v>0.01055839210298</c:v>
                </c:pt>
                <c:pt idx="89">
                  <c:v>0.010557462238755</c:v>
                </c:pt>
                <c:pt idx="90">
                  <c:v>0.010556644092916</c:v>
                </c:pt>
                <c:pt idx="91">
                  <c:v>0.01055593676692</c:v>
                </c:pt>
                <c:pt idx="92">
                  <c:v>0.010555339500299</c:v>
                </c:pt>
                <c:pt idx="93">
                  <c:v>0.010554851662939</c:v>
                </c:pt>
                <c:pt idx="94">
                  <c:v>0.010554472748466</c:v>
                </c:pt>
                <c:pt idx="95">
                  <c:v>0.010554202368778</c:v>
                </c:pt>
                <c:pt idx="96">
                  <c:v>0.010554040257157</c:v>
                </c:pt>
                <c:pt idx="97">
                  <c:v>0.010553986228526</c:v>
                </c:pt>
                <c:pt idx="98">
                  <c:v>0.010554040257157</c:v>
                </c:pt>
                <c:pt idx="99">
                  <c:v>0.010554202368778</c:v>
                </c:pt>
                <c:pt idx="100">
                  <c:v>0.010554472748466</c:v>
                </c:pt>
                <c:pt idx="101">
                  <c:v>0.010554851662939</c:v>
                </c:pt>
                <c:pt idx="102">
                  <c:v>0.010555339500299</c:v>
                </c:pt>
                <c:pt idx="103">
                  <c:v>0.01055593676692</c:v>
                </c:pt>
                <c:pt idx="104">
                  <c:v>0.010556644092916</c:v>
                </c:pt>
                <c:pt idx="105">
                  <c:v>0.010557462238755</c:v>
                </c:pt>
                <c:pt idx="106">
                  <c:v>0.01055839210298</c:v>
                </c:pt>
                <c:pt idx="107">
                  <c:v>0.010559434731045</c:v>
                </c:pt>
                <c:pt idx="108">
                  <c:v>0.010560591325124</c:v>
                </c:pt>
                <c:pt idx="109">
                  <c:v>0.010561863255022</c:v>
                </c:pt>
                <c:pt idx="110">
                  <c:v>0.010563252069968</c:v>
                </c:pt>
                <c:pt idx="111">
                  <c:v>0.010564759511534</c:v>
                </c:pt>
                <c:pt idx="112">
                  <c:v>0.010566387527422</c:v>
                </c:pt>
                <c:pt idx="113">
                  <c:v>0.010568138286268</c:v>
                </c:pt>
                <c:pt idx="114">
                  <c:v>0.010570014193492</c:v>
                </c:pt>
                <c:pt idx="115">
                  <c:v>0.010572017908186</c:v>
                </c:pt>
                <c:pt idx="116">
                  <c:v>0.010574152361166</c:v>
                </c:pt>
                <c:pt idx="117">
                  <c:v>0.010576420774236</c:v>
                </c:pt>
                <c:pt idx="118">
                  <c:v>0.010578826680615</c:v>
                </c:pt>
                <c:pt idx="119">
                  <c:v>0.010581373947117</c:v>
                </c:pt>
                <c:pt idx="120">
                  <c:v>0.010584066797438</c:v>
                </c:pt>
                <c:pt idx="121">
                  <c:v>0.010586909837822</c:v>
                </c:pt>
                <c:pt idx="122">
                  <c:v>0.010589908083955</c:v>
                </c:pt>
                <c:pt idx="123">
                  <c:v>0.010593066990725</c:v>
                </c:pt>
                <c:pt idx="124">
                  <c:v>0.010596392483822</c:v>
                </c:pt>
                <c:pt idx="125">
                  <c:v>0.010599890994487</c:v>
                </c:pt>
                <c:pt idx="126">
                  <c:v>0.010603569497162</c:v>
                </c:pt>
                <c:pt idx="127">
                  <c:v>0.010607435550362</c:v>
                </c:pt>
                <c:pt idx="128">
                  <c:v>0.010611497341593</c:v>
                </c:pt>
                <c:pt idx="129">
                  <c:v>0.01061576373648</c:v>
                </c:pt>
                <c:pt idx="130">
                  <c:v>0.010620244332584</c:v>
                </c:pt>
                <c:pt idx="131">
                  <c:v>0.010624949518992</c:v>
                </c:pt>
                <c:pt idx="132">
                  <c:v>0.010629890541003</c:v>
                </c:pt>
                <c:pt idx="133">
                  <c:v>0.010635079572978</c:v>
                </c:pt>
                <c:pt idx="134">
                  <c:v>0.010640529797397</c:v>
                </c:pt>
                <c:pt idx="135">
                  <c:v>0.010646255493164</c:v>
                </c:pt>
                <c:pt idx="136">
                  <c:v>0.010652272110161</c:v>
                </c:pt>
                <c:pt idx="137">
                  <c:v>0.01065859647011</c:v>
                </c:pt>
                <c:pt idx="138">
                  <c:v>0.010665246752222</c:v>
                </c:pt>
                <c:pt idx="139">
                  <c:v>0.010672242716301</c:v>
                </c:pt>
                <c:pt idx="140">
                  <c:v>0.010679605831748</c:v>
                </c:pt>
                <c:pt idx="141">
                  <c:v>0.010687359445974</c:v>
                </c:pt>
                <c:pt idx="142">
                  <c:v>0.010695528973064</c:v>
                </c:pt>
                <c:pt idx="143">
                  <c:v>0.010704142105518</c:v>
                </c:pt>
                <c:pt idx="144">
                  <c:v>0.01071322905232</c:v>
                </c:pt>
                <c:pt idx="145">
                  <c:v>0.010722822807094</c:v>
                </c:pt>
                <c:pt idx="146">
                  <c:v>0.010732959450744</c:v>
                </c:pt>
                <c:pt idx="147">
                  <c:v>0.010743678493685</c:v>
                </c:pt>
                <c:pt idx="148">
                  <c:v>0.010755023263607</c:v>
                </c:pt>
                <c:pt idx="149">
                  <c:v>0.010767041345779</c:v>
                </c:pt>
                <c:pt idx="150">
                  <c:v>0.010779785084069</c:v>
                </c:pt>
                <c:pt idx="151">
                  <c:v>0.010793312152297</c:v>
                </c:pt>
                <c:pt idx="152">
                  <c:v>0.010807686207306</c:v>
                </c:pt>
                <c:pt idx="153">
                  <c:v>0.01082297763712</c:v>
                </c:pt>
                <c:pt idx="154">
                  <c:v>0.01083926442011</c:v>
                </c:pt>
                <c:pt idx="155">
                  <c:v>0.010856633113969</c:v>
                </c:pt>
                <c:pt idx="156">
                  <c:v>0.010875179996941</c:v>
                </c:pt>
                <c:pt idx="157">
                  <c:v>0.01089501238795</c:v>
                </c:pt>
                <c:pt idx="158">
                  <c:v>0.010916250177495</c:v>
                </c:pt>
                <c:pt idx="159">
                  <c:v>0.010939027607311</c:v>
                </c:pt>
                <c:pt idx="160">
                  <c:v>0.010963495344249</c:v>
                </c:pt>
                <c:pt idx="161">
                  <c:v>0.010989822902682</c:v>
                </c:pt>
                <c:pt idx="162">
                  <c:v>0.011018201480307</c:v>
                </c:pt>
                <c:pt idx="163">
                  <c:v>0.011048847284588</c:v>
                </c:pt>
                <c:pt idx="164">
                  <c:v>0.011082005441557</c:v>
                </c:pt>
                <c:pt idx="165">
                  <c:v>0.011117954595035</c:v>
                </c:pt>
                <c:pt idx="166">
                  <c:v>0.011157012322297</c:v>
                </c:pt>
                <c:pt idx="167">
                  <c:v>0.01119954151068</c:v>
                </c:pt>
                <c:pt idx="168">
                  <c:v>0.011245957856375</c:v>
                </c:pt>
                <c:pt idx="169">
                  <c:v>0.011296738657202</c:v>
                </c:pt>
                <c:pt idx="170">
                  <c:v>0.01135243306747</c:v>
                </c:pt>
                <c:pt idx="171">
                  <c:v>0.011413673950305</c:v>
                </c:pt>
                <c:pt idx="172">
                  <c:v>0.011481191375388</c:v>
                </c:pt>
                <c:pt idx="173">
                  <c:v>0.011555827623375</c:v>
                </c:pt>
                <c:pt idx="174">
                  <c:v>0.011638553196571</c:v>
                </c:pt>
                <c:pt idx="175">
                  <c:v>0.011730482672534</c:v>
                </c:pt>
                <c:pt idx="176">
                  <c:v>0.011832888067573</c:v>
                </c:pt>
                <c:pt idx="177">
                  <c:v>0.011947205379975</c:v>
                </c:pt>
                <c:pt idx="178">
                  <c:v>0.01207502669108</c:v>
                </c:pt>
                <c:pt idx="179">
                  <c:v>0.012218065024476</c:v>
                </c:pt>
                <c:pt idx="180">
                  <c:v>0.012378071587582</c:v>
                </c:pt>
                <c:pt idx="181">
                  <c:v>0.012556675295401</c:v>
                </c:pt>
                <c:pt idx="182">
                  <c:v>0.012755105346597</c:v>
                </c:pt>
                <c:pt idx="183">
                  <c:v>0.012973757638115</c:v>
                </c:pt>
                <c:pt idx="184">
                  <c:v>0.013211594574325</c:v>
                </c:pt>
                <c:pt idx="185">
                  <c:v>0.013465459802219</c:v>
                </c:pt>
                <c:pt idx="186">
                  <c:v>0.013729597142989</c:v>
                </c:pt>
                <c:pt idx="187">
                  <c:v>0.013996092436872</c:v>
                </c:pt>
                <c:pt idx="188">
                  <c:v>0.014258041673671</c:v>
                </c:pt>
                <c:pt idx="189">
                  <c:v>0.014521198070703</c:v>
                </c:pt>
                <c:pt idx="190">
                  <c:v>0.014806532893469</c:v>
                </c:pt>
                <c:pt idx="191">
                  <c:v>0.01486729000355</c:v>
                </c:pt>
                <c:pt idx="192">
                  <c:v>0.014551048957922</c:v>
                </c:pt>
                <c:pt idx="193">
                  <c:v>0.014010973827029</c:v>
                </c:pt>
                <c:pt idx="194">
                  <c:v>0.013844784056757</c:v>
                </c:pt>
              </c:numCache>
            </c:numRef>
          </c:yVal>
          <c:smooth val="1"/>
          <c:extLst xmlns:c16r2="http://schemas.microsoft.com/office/drawing/2015/06/chart">
            <c:ext xmlns:c16="http://schemas.microsoft.com/office/drawing/2014/chart" uri="{C3380CC4-5D6E-409C-BE32-E72D297353CC}">
              <c16:uniqueId val="{00000000-7B00-46D8-A03C-B3E88E66F7C3}"/>
            </c:ext>
          </c:extLst>
        </c:ser>
        <c:ser>
          <c:idx val="1"/>
          <c:order val="1"/>
          <c:tx>
            <c:strRef>
              <c:f>C1 Density Profile</c:f>
              <c:strCache>
                <c:ptCount val="1"/>
                <c:pt idx="0">
                  <c:v>C1 Density Profile</c:v>
                </c:pt>
              </c:strCache>
            </c:strRef>
          </c:tx>
          <c:spPr>
            <a:ln w="28575" cap="rnd" cmpd="sng" algn="ctr">
              <a:solidFill>
                <a:schemeClr val="tx1"/>
              </a:solidFill>
              <a:prstDash val="sysDash"/>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4.563452577319513</c:v>
                </c:pt>
                <c:pt idx="44">
                  <c:v>4.664129381443279</c:v>
                </c:pt>
                <c:pt idx="45">
                  <c:v>4.764806185566988</c:v>
                </c:pt>
                <c:pt idx="46">
                  <c:v>4.865482989690697</c:v>
                </c:pt>
                <c:pt idx="47">
                  <c:v>4.966159793814412</c:v>
                </c:pt>
                <c:pt idx="48">
                  <c:v>5.066836597938106</c:v>
                </c:pt>
                <c:pt idx="49">
                  <c:v>5.16751340206183</c:v>
                </c:pt>
                <c:pt idx="50">
                  <c:v>5.268190206185477</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Sheet1!$F$4:$F$198</c:f>
              <c:numCache>
                <c:formatCode>General</c:formatCode>
                <c:ptCount val="195"/>
                <c:pt idx="0">
                  <c:v>0.036410578743636</c:v>
                </c:pt>
                <c:pt idx="1">
                  <c:v>0.033191917264959</c:v>
                </c:pt>
                <c:pt idx="2">
                  <c:v>0.026638942670532</c:v>
                </c:pt>
                <c:pt idx="3">
                  <c:v>0.021531572577123</c:v>
                </c:pt>
                <c:pt idx="4">
                  <c:v>0.018714959658575</c:v>
                </c:pt>
                <c:pt idx="5">
                  <c:v>0.016732478678428</c:v>
                </c:pt>
                <c:pt idx="6">
                  <c:v>0.015216039781581</c:v>
                </c:pt>
                <c:pt idx="7">
                  <c:v>0.014088521682254</c:v>
                </c:pt>
                <c:pt idx="8">
                  <c:v>0.013242942655555</c:v>
                </c:pt>
                <c:pt idx="9">
                  <c:v>0.012596971426911</c:v>
                </c:pt>
                <c:pt idx="10">
                  <c:v>0.012093478374341</c:v>
                </c:pt>
                <c:pt idx="11">
                  <c:v>0.01169351747865</c:v>
                </c:pt>
                <c:pt idx="12">
                  <c:v>0.011370316367746</c:v>
                </c:pt>
                <c:pt idx="13">
                  <c:v>0.011105154471081</c:v>
                </c:pt>
                <c:pt idx="14">
                  <c:v>0.010884683790564</c:v>
                </c:pt>
                <c:pt idx="15">
                  <c:v>0.010699200234627</c:v>
                </c:pt>
                <c:pt idx="16">
                  <c:v>0.010541517837629</c:v>
                </c:pt>
                <c:pt idx="17">
                  <c:v>0.010406223980696</c:v>
                </c:pt>
                <c:pt idx="18">
                  <c:v>0.01028917775987</c:v>
                </c:pt>
                <c:pt idx="19">
                  <c:v>0.010187165904449</c:v>
                </c:pt>
                <c:pt idx="20">
                  <c:v>0.010097662551633</c:v>
                </c:pt>
                <c:pt idx="21">
                  <c:v>0.010018658694952</c:v>
                </c:pt>
                <c:pt idx="22">
                  <c:v>0.009948539183024</c:v>
                </c:pt>
                <c:pt idx="23">
                  <c:v>0.009885992705972</c:v>
                </c:pt>
                <c:pt idx="24">
                  <c:v>0.009829945023422</c:v>
                </c:pt>
                <c:pt idx="25">
                  <c:v>0.009779508806675</c:v>
                </c:pt>
                <c:pt idx="26">
                  <c:v>0.009733945519546</c:v>
                </c:pt>
                <c:pt idx="27">
                  <c:v>0.00969263613354501</c:v>
                </c:pt>
                <c:pt idx="28">
                  <c:v>0.009655058402912</c:v>
                </c:pt>
                <c:pt idx="29">
                  <c:v>0.009620769064606</c:v>
                </c:pt>
                <c:pt idx="30">
                  <c:v>0.009589389773994</c:v>
                </c:pt>
                <c:pt idx="31">
                  <c:v>0.00956059590161201</c:v>
                </c:pt>
                <c:pt idx="32">
                  <c:v>0.009534107540915</c:v>
                </c:pt>
                <c:pt idx="33">
                  <c:v>0.00950968223917202</c:v>
                </c:pt>
                <c:pt idx="34">
                  <c:v>0.009487109081954</c:v>
                </c:pt>
                <c:pt idx="35">
                  <c:v>0.00946620384890202</c:v>
                </c:pt>
                <c:pt idx="36">
                  <c:v>0.009446805023282</c:v>
                </c:pt>
                <c:pt idx="37">
                  <c:v>0.009428770486535</c:v>
                </c:pt>
                <c:pt idx="38">
                  <c:v>0.00941197476582</c:v>
                </c:pt>
                <c:pt idx="39">
                  <c:v>0.00939630686598602</c:v>
                </c:pt>
                <c:pt idx="40">
                  <c:v>0.009381667775653</c:v>
                </c:pt>
                <c:pt idx="41">
                  <c:v>0.00936796969359901</c:v>
                </c:pt>
                <c:pt idx="42">
                  <c:v>0.00935513404794301</c:v>
                </c:pt>
                <c:pt idx="43">
                  <c:v>0.009343090468787</c:v>
                </c:pt>
                <c:pt idx="44">
                  <c:v>0.009331775778598</c:v>
                </c:pt>
                <c:pt idx="45">
                  <c:v>0.009321133126107</c:v>
                </c:pt>
                <c:pt idx="46">
                  <c:v>0.009311111240717</c:v>
                </c:pt>
                <c:pt idx="47">
                  <c:v>0.009301663788548</c:v>
                </c:pt>
                <c:pt idx="48">
                  <c:v>0.00929274881450301</c:v>
                </c:pt>
                <c:pt idx="49">
                  <c:v>0.009284328257416</c:v>
                </c:pt>
                <c:pt idx="50">
                  <c:v>0.009276367527486</c:v>
                </c:pt>
                <c:pt idx="51">
                  <c:v>0.009268835136981</c:v>
                </c:pt>
                <c:pt idx="52">
                  <c:v>0.00926170237666001</c:v>
                </c:pt>
                <c:pt idx="53">
                  <c:v>0.009254943031507</c:v>
                </c:pt>
                <c:pt idx="54">
                  <c:v>0.009248533130422</c:v>
                </c:pt>
                <c:pt idx="55">
                  <c:v>0.009242450725294</c:v>
                </c:pt>
                <c:pt idx="56">
                  <c:v>0.009236675695541</c:v>
                </c:pt>
                <c:pt idx="57">
                  <c:v>0.009231189574861</c:v>
                </c:pt>
                <c:pt idx="58">
                  <c:v>0.0092259753973</c:v>
                </c:pt>
                <c:pt idx="59">
                  <c:v>0.009221017560233</c:v>
                </c:pt>
                <c:pt idx="60">
                  <c:v>0.009216301702168</c:v>
                </c:pt>
                <c:pt idx="61">
                  <c:v>0.009211814593535</c:v>
                </c:pt>
                <c:pt idx="62">
                  <c:v>0.00920754403893501</c:v>
                </c:pt>
                <c:pt idx="63">
                  <c:v>0.009203478789457</c:v>
                </c:pt>
                <c:pt idx="64">
                  <c:v>0.009199608463908</c:v>
                </c:pt>
                <c:pt idx="65">
                  <c:v>0.009195923477913</c:v>
                </c:pt>
                <c:pt idx="66">
                  <c:v>0.00919241497998902</c:v>
                </c:pt>
                <c:pt idx="67">
                  <c:v>0.009189074793803</c:v>
                </c:pt>
                <c:pt idx="68">
                  <c:v>0.009185895365935</c:v>
                </c:pt>
                <c:pt idx="69">
                  <c:v>0.009182869718513</c:v>
                </c:pt>
                <c:pt idx="70">
                  <c:v>0.009179991406208</c:v>
                </c:pt>
                <c:pt idx="71">
                  <c:v>0.009177254477097</c:v>
                </c:pt>
                <c:pt idx="72">
                  <c:v>0.00917465343698201</c:v>
                </c:pt>
                <c:pt idx="73">
                  <c:v>0.00917218321679902</c:v>
                </c:pt>
                <c:pt idx="74">
                  <c:v>0.00916983914276802</c:v>
                </c:pt>
                <c:pt idx="75">
                  <c:v>0.00916761690901801</c:v>
                </c:pt>
                <c:pt idx="76">
                  <c:v>0.00916551255240301</c:v>
                </c:pt>
                <c:pt idx="77">
                  <c:v>0.009163522429304</c:v>
                </c:pt>
                <c:pt idx="78">
                  <c:v>0.009161643194187</c:v>
                </c:pt>
                <c:pt idx="79">
                  <c:v>0.009159871779763</c:v>
                </c:pt>
                <c:pt idx="80">
                  <c:v>0.009158205378582</c:v>
                </c:pt>
                <c:pt idx="81">
                  <c:v>0.009156641425922</c:v>
                </c:pt>
                <c:pt idx="82">
                  <c:v>0.009155177583872</c:v>
                </c:pt>
                <c:pt idx="83">
                  <c:v>0.009153811726488</c:v>
                </c:pt>
                <c:pt idx="84">
                  <c:v>0.00915254192595601</c:v>
                </c:pt>
                <c:pt idx="85">
                  <c:v>0.00915136643968701</c:v>
                </c:pt>
                <c:pt idx="86">
                  <c:v>0.009150283698291</c:v>
                </c:pt>
                <c:pt idx="87">
                  <c:v>0.00914929229439</c:v>
                </c:pt>
                <c:pt idx="88">
                  <c:v>0.00914839097224</c:v>
                </c:pt>
                <c:pt idx="89">
                  <c:v>0.009147578618143</c:v>
                </c:pt>
                <c:pt idx="90">
                  <c:v>0.009146854251646</c:v>
                </c:pt>
                <c:pt idx="91">
                  <c:v>0.009146218589698</c:v>
                </c:pt>
                <c:pt idx="92">
                  <c:v>0.009145667300233</c:v>
                </c:pt>
                <c:pt idx="93">
                  <c:v>0.009145201855358</c:v>
                </c:pt>
                <c:pt idx="94">
                  <c:v>0.009144821735822</c:v>
                </c:pt>
                <c:pt idx="95">
                  <c:v>0.009144526523405</c:v>
                </c:pt>
                <c:pt idx="96">
                  <c:v>0.009144315897024</c:v>
                </c:pt>
                <c:pt idx="97">
                  <c:v>0.009144189629571</c:v>
                </c:pt>
                <c:pt idx="98">
                  <c:v>0.009144315897024</c:v>
                </c:pt>
                <c:pt idx="99">
                  <c:v>0.009144526523405</c:v>
                </c:pt>
                <c:pt idx="100">
                  <c:v>0.009144821735822</c:v>
                </c:pt>
                <c:pt idx="101">
                  <c:v>0.009145201855358</c:v>
                </c:pt>
                <c:pt idx="102">
                  <c:v>0.009145667300233</c:v>
                </c:pt>
                <c:pt idx="103">
                  <c:v>0.009146218589698</c:v>
                </c:pt>
                <c:pt idx="104">
                  <c:v>0.009146854251646</c:v>
                </c:pt>
                <c:pt idx="105">
                  <c:v>0.009147578618143</c:v>
                </c:pt>
                <c:pt idx="106">
                  <c:v>0.00914839097224</c:v>
                </c:pt>
                <c:pt idx="107">
                  <c:v>0.00914929229439</c:v>
                </c:pt>
                <c:pt idx="108">
                  <c:v>0.009150283698291</c:v>
                </c:pt>
                <c:pt idx="109">
                  <c:v>0.00915136643968701</c:v>
                </c:pt>
                <c:pt idx="110">
                  <c:v>0.00915254192595601</c:v>
                </c:pt>
                <c:pt idx="111">
                  <c:v>0.009153811726488</c:v>
                </c:pt>
                <c:pt idx="112">
                  <c:v>0.009155177583872</c:v>
                </c:pt>
                <c:pt idx="113">
                  <c:v>0.009156641425922</c:v>
                </c:pt>
                <c:pt idx="114">
                  <c:v>0.009158205378582</c:v>
                </c:pt>
                <c:pt idx="115">
                  <c:v>0.009159871779763</c:v>
                </c:pt>
                <c:pt idx="116">
                  <c:v>0.009161643194187</c:v>
                </c:pt>
                <c:pt idx="117">
                  <c:v>0.009163522429304</c:v>
                </c:pt>
                <c:pt idx="118">
                  <c:v>0.00916551255240301</c:v>
                </c:pt>
                <c:pt idx="119">
                  <c:v>0.00916761690901801</c:v>
                </c:pt>
                <c:pt idx="120">
                  <c:v>0.00916983914276802</c:v>
                </c:pt>
                <c:pt idx="121">
                  <c:v>0.00917218321679902</c:v>
                </c:pt>
                <c:pt idx="122">
                  <c:v>0.00917465343698201</c:v>
                </c:pt>
                <c:pt idx="123">
                  <c:v>0.009177254477097</c:v>
                </c:pt>
                <c:pt idx="124">
                  <c:v>0.009179991406208</c:v>
                </c:pt>
                <c:pt idx="125">
                  <c:v>0.009182869718513</c:v>
                </c:pt>
                <c:pt idx="126">
                  <c:v>0.009185895365935</c:v>
                </c:pt>
                <c:pt idx="127">
                  <c:v>0.009189074793803</c:v>
                </c:pt>
                <c:pt idx="128">
                  <c:v>0.00919241497998902</c:v>
                </c:pt>
                <c:pt idx="129">
                  <c:v>0.009195923477913</c:v>
                </c:pt>
                <c:pt idx="130">
                  <c:v>0.009199608463908</c:v>
                </c:pt>
                <c:pt idx="131">
                  <c:v>0.009203478789457</c:v>
                </c:pt>
                <c:pt idx="132">
                  <c:v>0.00920754403893501</c:v>
                </c:pt>
                <c:pt idx="133">
                  <c:v>0.009211814593535</c:v>
                </c:pt>
                <c:pt idx="134">
                  <c:v>0.009216301702168</c:v>
                </c:pt>
                <c:pt idx="135">
                  <c:v>0.009221017560233</c:v>
                </c:pt>
                <c:pt idx="136">
                  <c:v>0.0092259753973</c:v>
                </c:pt>
                <c:pt idx="137">
                  <c:v>0.009231189574861</c:v>
                </c:pt>
                <c:pt idx="138">
                  <c:v>0.009236675695541</c:v>
                </c:pt>
                <c:pt idx="139">
                  <c:v>0.009242450725294</c:v>
                </c:pt>
                <c:pt idx="140">
                  <c:v>0.009248533130422</c:v>
                </c:pt>
                <c:pt idx="141">
                  <c:v>0.009254943031507</c:v>
                </c:pt>
                <c:pt idx="142">
                  <c:v>0.00926170237666001</c:v>
                </c:pt>
                <c:pt idx="143">
                  <c:v>0.009268835136981</c:v>
                </c:pt>
                <c:pt idx="144">
                  <c:v>0.009276367527486</c:v>
                </c:pt>
                <c:pt idx="145">
                  <c:v>0.009284328257416</c:v>
                </c:pt>
                <c:pt idx="146">
                  <c:v>0.00929274881450301</c:v>
                </c:pt>
                <c:pt idx="147">
                  <c:v>0.009301663788548</c:v>
                </c:pt>
                <c:pt idx="148">
                  <c:v>0.009311111240717</c:v>
                </c:pt>
                <c:pt idx="149">
                  <c:v>0.009321133126107</c:v>
                </c:pt>
                <c:pt idx="150">
                  <c:v>0.009331775778598</c:v>
                </c:pt>
                <c:pt idx="151">
                  <c:v>0.009343090468787</c:v>
                </c:pt>
                <c:pt idx="152">
                  <c:v>0.00935513404794301</c:v>
                </c:pt>
                <c:pt idx="153">
                  <c:v>0.00936796969359901</c:v>
                </c:pt>
                <c:pt idx="154">
                  <c:v>0.009381667775653</c:v>
                </c:pt>
                <c:pt idx="155">
                  <c:v>0.00939630686598602</c:v>
                </c:pt>
                <c:pt idx="156">
                  <c:v>0.00941197476582</c:v>
                </c:pt>
                <c:pt idx="157">
                  <c:v>0.009428770486535</c:v>
                </c:pt>
                <c:pt idx="158">
                  <c:v>0.009446805023282</c:v>
                </c:pt>
                <c:pt idx="159">
                  <c:v>0.00946620384890202</c:v>
                </c:pt>
                <c:pt idx="160">
                  <c:v>0.009487109081954</c:v>
                </c:pt>
                <c:pt idx="161">
                  <c:v>0.00950968223917202</c:v>
                </c:pt>
                <c:pt idx="162">
                  <c:v>0.009534107540915</c:v>
                </c:pt>
                <c:pt idx="163">
                  <c:v>0.00956059590161201</c:v>
                </c:pt>
                <c:pt idx="164">
                  <c:v>0.009589389773994</c:v>
                </c:pt>
                <c:pt idx="165">
                  <c:v>0.009620769064606</c:v>
                </c:pt>
                <c:pt idx="166">
                  <c:v>0.009655058402912</c:v>
                </c:pt>
                <c:pt idx="167">
                  <c:v>0.00969263613354501</c:v>
                </c:pt>
                <c:pt idx="168">
                  <c:v>0.009733945519546</c:v>
                </c:pt>
                <c:pt idx="169">
                  <c:v>0.009779508806675</c:v>
                </c:pt>
                <c:pt idx="170">
                  <c:v>0.009829945023422</c:v>
                </c:pt>
                <c:pt idx="171">
                  <c:v>0.009885992705972</c:v>
                </c:pt>
                <c:pt idx="172">
                  <c:v>0.009948539183024</c:v>
                </c:pt>
                <c:pt idx="173">
                  <c:v>0.010018658694952</c:v>
                </c:pt>
                <c:pt idx="174">
                  <c:v>0.010097662551633</c:v>
                </c:pt>
                <c:pt idx="175">
                  <c:v>0.010187165904449</c:v>
                </c:pt>
                <c:pt idx="176">
                  <c:v>0.01028917775987</c:v>
                </c:pt>
                <c:pt idx="177">
                  <c:v>0.010406223980696</c:v>
                </c:pt>
                <c:pt idx="178">
                  <c:v>0.010541517837629</c:v>
                </c:pt>
                <c:pt idx="179">
                  <c:v>0.010699200234627</c:v>
                </c:pt>
                <c:pt idx="180">
                  <c:v>0.010884683790564</c:v>
                </c:pt>
                <c:pt idx="181">
                  <c:v>0.011105154471081</c:v>
                </c:pt>
                <c:pt idx="182">
                  <c:v>0.011370316367746</c:v>
                </c:pt>
                <c:pt idx="183">
                  <c:v>0.01169351747865</c:v>
                </c:pt>
                <c:pt idx="184">
                  <c:v>0.012093478374341</c:v>
                </c:pt>
                <c:pt idx="185">
                  <c:v>0.012596971426911</c:v>
                </c:pt>
                <c:pt idx="186">
                  <c:v>0.013242942655555</c:v>
                </c:pt>
                <c:pt idx="187">
                  <c:v>0.014088521682254</c:v>
                </c:pt>
                <c:pt idx="188">
                  <c:v>0.015216039781581</c:v>
                </c:pt>
                <c:pt idx="189">
                  <c:v>0.016732478678428</c:v>
                </c:pt>
                <c:pt idx="190">
                  <c:v>0.018714959658575</c:v>
                </c:pt>
                <c:pt idx="191">
                  <c:v>0.021531572577123</c:v>
                </c:pt>
                <c:pt idx="192">
                  <c:v>0.026638942670532</c:v>
                </c:pt>
                <c:pt idx="193">
                  <c:v>0.033191917264959</c:v>
                </c:pt>
                <c:pt idx="194">
                  <c:v>0.036410578743636</c:v>
                </c:pt>
              </c:numCache>
            </c:numRef>
          </c:yVal>
          <c:smooth val="1"/>
          <c:extLst xmlns:c16r2="http://schemas.microsoft.com/office/drawing/2015/06/chart">
            <c:ext xmlns:c16="http://schemas.microsoft.com/office/drawing/2014/chart" uri="{C3380CC4-5D6E-409C-BE32-E72D297353CC}">
              <c16:uniqueId val="{00000001-7B00-46D8-A03C-B3E88E66F7C3}"/>
            </c:ext>
          </c:extLst>
        </c:ser>
        <c:ser>
          <c:idx val="2"/>
          <c:order val="2"/>
          <c:tx>
            <c:strRef>
              <c:f>C4 Density Profile</c:f>
              <c:strCache>
                <c:ptCount val="1"/>
                <c:pt idx="0">
                  <c:v>C4 Density Profile</c:v>
                </c:pt>
              </c:strCache>
            </c:strRef>
          </c:tx>
          <c:spPr>
            <a:ln w="28575" cap="rnd" cmpd="sng" algn="ctr">
              <a:solidFill>
                <a:schemeClr val="tx1"/>
              </a:solidFill>
              <a:prstDash val="dashDot"/>
              <a:round/>
            </a:ln>
          </c:spPr>
          <c:marker>
            <c:symbol val="none"/>
          </c:marker>
          <c:xVal>
            <c:numRef>
              <c:f>Sheet1!$A$4:$A$198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4.563452577319513</c:v>
                </c:pt>
                <c:pt idx="44">
                  <c:v>4.664129381443279</c:v>
                </c:pt>
                <c:pt idx="45">
                  <c:v>4.764806185566988</c:v>
                </c:pt>
                <c:pt idx="46">
                  <c:v>4.865482989690697</c:v>
                </c:pt>
                <c:pt idx="47">
                  <c:v>4.966159793814412</c:v>
                </c:pt>
                <c:pt idx="48">
                  <c:v>5.066836597938106</c:v>
                </c:pt>
                <c:pt idx="49">
                  <c:v>5.16751340206183</c:v>
                </c:pt>
                <c:pt idx="50">
                  <c:v>5.268190206185477</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8.791878350515313</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16.94669948453562</c:v>
                </c:pt>
                <c:pt idx="167">
                  <c:v>17.0473762886598</c:v>
                </c:pt>
                <c:pt idx="168">
                  <c:v>17.1480530927835</c:v>
                </c:pt>
                <c:pt idx="169">
                  <c:v>17.24872989690682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19.06091237113362</c:v>
                </c:pt>
                <c:pt idx="188">
                  <c:v>19.1615891752577</c:v>
                </c:pt>
                <c:pt idx="189">
                  <c:v>19.26226597938138</c:v>
                </c:pt>
                <c:pt idx="190">
                  <c:v>19.36294278350508</c:v>
                </c:pt>
                <c:pt idx="191">
                  <c:v>19.46361958762848</c:v>
                </c:pt>
                <c:pt idx="192">
                  <c:v>19.5642963917525</c:v>
                </c:pt>
                <c:pt idx="193">
                  <c:v>19.66497319587621</c:v>
                </c:pt>
                <c:pt idx="194">
                  <c:v>19.76564999999983</c:v>
                </c:pt>
              </c:numCache>
            </c:numRef>
          </c:xVal>
          <c:yVal>
            <c:numRef>
              <c:f>Sheet1!$E$4:$E$198</c:f>
              <c:numCache>
                <c:formatCode>General</c:formatCode>
                <c:ptCount val="195"/>
                <c:pt idx="0">
                  <c:v>0.013803595149166</c:v>
                </c:pt>
                <c:pt idx="1">
                  <c:v>0.013776742322993</c:v>
                </c:pt>
                <c:pt idx="2">
                  <c:v>0.013504898244953</c:v>
                </c:pt>
                <c:pt idx="3">
                  <c:v>0.012918530431691</c:v>
                </c:pt>
                <c:pt idx="4">
                  <c:v>0.012430921723232</c:v>
                </c:pt>
                <c:pt idx="5">
                  <c:v>0.012327260527377</c:v>
                </c:pt>
                <c:pt idx="6">
                  <c:v>0.0122116480288</c:v>
                </c:pt>
                <c:pt idx="7">
                  <c:v>0.012053776922826</c:v>
                </c:pt>
                <c:pt idx="8">
                  <c:v>0.011893490419989</c:v>
                </c:pt>
                <c:pt idx="9">
                  <c:v>0.011743555993915</c:v>
                </c:pt>
                <c:pt idx="10">
                  <c:v>0.011607796059623</c:v>
                </c:pt>
                <c:pt idx="11">
                  <c:v>0.01148661984108</c:v>
                </c:pt>
                <c:pt idx="12">
                  <c:v>0.011379111410241</c:v>
                </c:pt>
                <c:pt idx="13">
                  <c:v>0.011283900817921</c:v>
                </c:pt>
                <c:pt idx="14">
                  <c:v>0.011199539753901</c:v>
                </c:pt>
                <c:pt idx="15">
                  <c:v>0.011124659470638</c:v>
                </c:pt>
                <c:pt idx="16">
                  <c:v>0.01105802958761</c:v>
                </c:pt>
                <c:pt idx="17">
                  <c:v>0.010998571627084</c:v>
                </c:pt>
                <c:pt idx="18">
                  <c:v>0.010945352589813</c:v>
                </c:pt>
                <c:pt idx="19">
                  <c:v>0.010897570632471</c:v>
                </c:pt>
                <c:pt idx="20">
                  <c:v>0.0108545385557</c:v>
                </c:pt>
                <c:pt idx="21">
                  <c:v>0.010815667708075</c:v>
                </c:pt>
                <c:pt idx="22">
                  <c:v>0.010780453387305</c:v>
                </c:pt>
                <c:pt idx="23">
                  <c:v>0.010748462079732</c:v>
                </c:pt>
                <c:pt idx="24">
                  <c:v>0.010719320532042</c:v>
                </c:pt>
                <c:pt idx="25">
                  <c:v>0.010692706499298</c:v>
                </c:pt>
                <c:pt idx="26">
                  <c:v>0.010668340961433</c:v>
                </c:pt>
                <c:pt idx="27">
                  <c:v>0.01064598159534</c:v>
                </c:pt>
                <c:pt idx="28">
                  <c:v>0.01062541730559</c:v>
                </c:pt>
                <c:pt idx="29">
                  <c:v>0.01060646364052</c:v>
                </c:pt>
                <c:pt idx="30">
                  <c:v>0.010588958945546</c:v>
                </c:pt>
                <c:pt idx="31">
                  <c:v>0.010572761468646</c:v>
                </c:pt>
                <c:pt idx="32">
                  <c:v>0.010557745228469</c:v>
                </c:pt>
                <c:pt idx="33">
                  <c:v>0.010543799902851</c:v>
                </c:pt>
                <c:pt idx="34">
                  <c:v>0.010530827357253</c:v>
                </c:pt>
                <c:pt idx="35">
                  <c:v>0.010518740386003</c:v>
                </c:pt>
                <c:pt idx="36">
                  <c:v>0.010507461300827</c:v>
                </c:pt>
                <c:pt idx="37">
                  <c:v>0.010496920724916</c:v>
                </c:pt>
                <c:pt idx="38">
                  <c:v>0.010487056559686</c:v>
                </c:pt>
                <c:pt idx="39">
                  <c:v>0.010477813096958</c:v>
                </c:pt>
                <c:pt idx="40">
                  <c:v>0.010469140253993</c:v>
                </c:pt>
                <c:pt idx="41">
                  <c:v>0.010460992912568</c:v>
                </c:pt>
                <c:pt idx="42">
                  <c:v>0.010453330346433</c:v>
                </c:pt>
                <c:pt idx="43">
                  <c:v>0.010446115724044</c:v>
                </c:pt>
                <c:pt idx="44">
                  <c:v>0.010439315675568</c:v>
                </c:pt>
                <c:pt idx="45">
                  <c:v>0.010432899914968</c:v>
                </c:pt>
                <c:pt idx="46">
                  <c:v>0.010426840909333</c:v>
                </c:pt>
                <c:pt idx="47">
                  <c:v>0.010421113588907</c:v>
                </c:pt>
                <c:pt idx="48">
                  <c:v>0.010415695092251</c:v>
                </c:pt>
                <c:pt idx="49">
                  <c:v>0.010410564541769</c:v>
                </c:pt>
                <c:pt idx="50">
                  <c:v>0.010405702845604</c:v>
                </c:pt>
                <c:pt idx="51">
                  <c:v>0.010401092522412</c:v>
                </c:pt>
                <c:pt idx="52">
                  <c:v>0.010396717546134</c:v>
                </c:pt>
                <c:pt idx="53">
                  <c:v>0.010392563208154</c:v>
                </c:pt>
                <c:pt idx="54">
                  <c:v>0.010388615994739</c:v>
                </c:pt>
                <c:pt idx="55">
                  <c:v>0.010384863477832</c:v>
                </c:pt>
                <c:pt idx="56">
                  <c:v>0.010381294217607</c:v>
                </c:pt>
                <c:pt idx="57">
                  <c:v>0.010377897675367</c:v>
                </c:pt>
                <c:pt idx="58">
                  <c:v>0.010374664135559</c:v>
                </c:pt>
                <c:pt idx="59">
                  <c:v>0.010371584635866</c:v>
                </c:pt>
                <c:pt idx="60">
                  <c:v>0.010368650904414</c:v>
                </c:pt>
                <c:pt idx="61">
                  <c:v>0.010365855303321</c:v>
                </c:pt>
                <c:pt idx="62">
                  <c:v>0.010363190777846</c:v>
                </c:pt>
                <c:pt idx="63">
                  <c:v>0.010360650810533</c:v>
                </c:pt>
                <c:pt idx="64">
                  <c:v>0.010358229379788</c:v>
                </c:pt>
                <c:pt idx="65">
                  <c:v>0.010355920922406</c:v>
                </c:pt>
                <c:pt idx="66">
                  <c:v>0.010353720299625</c:v>
                </c:pt>
                <c:pt idx="67">
                  <c:v>0.010351622766306</c:v>
                </c:pt>
                <c:pt idx="68">
                  <c:v>0.010349623942913</c:v>
                </c:pt>
                <c:pt idx="69">
                  <c:v>0.010347719789986</c:v>
                </c:pt>
                <c:pt idx="70">
                  <c:v>0.010345906584821</c:v>
                </c:pt>
                <c:pt idx="71">
                  <c:v>0.010344180900131</c:v>
                </c:pt>
                <c:pt idx="72">
                  <c:v>0.010342539584446</c:v>
                </c:pt>
                <c:pt idx="73">
                  <c:v>0.010340979744068</c:v>
                </c:pt>
                <c:pt idx="74">
                  <c:v>0.010339498726395</c:v>
                </c:pt>
                <c:pt idx="75">
                  <c:v>0.010338094104441</c:v>
                </c:pt>
                <c:pt idx="76">
                  <c:v>0.010336763662423</c:v>
                </c:pt>
                <c:pt idx="77">
                  <c:v>0.010335505382273</c:v>
                </c:pt>
                <c:pt idx="78">
                  <c:v>0.010334317430896</c:v>
                </c:pt>
                <c:pt idx="79">
                  <c:v>0.010333207381592</c:v>
                </c:pt>
                <c:pt idx="80">
                  <c:v>0.010332154286024</c:v>
                </c:pt>
                <c:pt idx="81">
                  <c:v>0.010331167065227</c:v>
                </c:pt>
                <c:pt idx="82">
                  <c:v>0.010330244512013</c:v>
                </c:pt>
                <c:pt idx="83">
                  <c:v>0.010329385550152</c:v>
                </c:pt>
                <c:pt idx="84">
                  <c:v>0.010328589224675</c:v>
                </c:pt>
                <c:pt idx="85">
                  <c:v>0.010327854692819</c:v>
                </c:pt>
                <c:pt idx="86">
                  <c:v>0.010327181214965</c:v>
                </c:pt>
                <c:pt idx="87">
                  <c:v>0.010326568146323</c:v>
                </c:pt>
                <c:pt idx="88">
                  <c:v>0.010326014928676</c:v>
                </c:pt>
                <c:pt idx="89">
                  <c:v>0.010325521082782</c:v>
                </c:pt>
                <c:pt idx="90">
                  <c:v>0.010325086201138</c:v>
                </c:pt>
                <c:pt idx="91">
                  <c:v>0.010324709941212</c:v>
                </c:pt>
                <c:pt idx="92">
                  <c:v>0.010324392019381</c:v>
                </c:pt>
                <c:pt idx="93">
                  <c:v>0.010324132205419</c:v>
                </c:pt>
                <c:pt idx="94">
                  <c:v>0.010323930317722</c:v>
                </c:pt>
                <c:pt idx="95">
                  <c:v>0.010323786219306</c:v>
                </c:pt>
                <c:pt idx="96">
                  <c:v>0.010323699814622</c:v>
                </c:pt>
                <c:pt idx="97">
                  <c:v>0.010323671034583</c:v>
                </c:pt>
                <c:pt idx="98">
                  <c:v>0.010323699814622</c:v>
                </c:pt>
                <c:pt idx="99">
                  <c:v>0.010323786219306</c:v>
                </c:pt>
                <c:pt idx="100">
                  <c:v>0.010323930317722</c:v>
                </c:pt>
                <c:pt idx="101">
                  <c:v>0.010324132205419</c:v>
                </c:pt>
                <c:pt idx="102">
                  <c:v>0.010324392019381</c:v>
                </c:pt>
                <c:pt idx="103">
                  <c:v>0.010324709941212</c:v>
                </c:pt>
                <c:pt idx="104">
                  <c:v>0.010325086201138</c:v>
                </c:pt>
                <c:pt idx="105">
                  <c:v>0.010325521082782</c:v>
                </c:pt>
                <c:pt idx="106">
                  <c:v>0.010326014928676</c:v>
                </c:pt>
                <c:pt idx="107">
                  <c:v>0.010326568146323</c:v>
                </c:pt>
                <c:pt idx="108">
                  <c:v>0.010327181214965</c:v>
                </c:pt>
                <c:pt idx="109">
                  <c:v>0.010327854692819</c:v>
                </c:pt>
                <c:pt idx="110">
                  <c:v>0.010328589224675</c:v>
                </c:pt>
                <c:pt idx="111">
                  <c:v>0.010329385550152</c:v>
                </c:pt>
                <c:pt idx="112">
                  <c:v>0.010330244512013</c:v>
                </c:pt>
                <c:pt idx="113">
                  <c:v>0.010331167065227</c:v>
                </c:pt>
                <c:pt idx="114">
                  <c:v>0.010332154286024</c:v>
                </c:pt>
                <c:pt idx="115">
                  <c:v>0.010333207381592</c:v>
                </c:pt>
                <c:pt idx="116">
                  <c:v>0.010334317430896</c:v>
                </c:pt>
                <c:pt idx="117">
                  <c:v>0.010335505382273</c:v>
                </c:pt>
                <c:pt idx="118">
                  <c:v>0.010336763662423</c:v>
                </c:pt>
                <c:pt idx="119">
                  <c:v>0.010338094104441</c:v>
                </c:pt>
                <c:pt idx="120">
                  <c:v>0.010339498726395</c:v>
                </c:pt>
                <c:pt idx="121">
                  <c:v>0.010340979744068</c:v>
                </c:pt>
                <c:pt idx="122">
                  <c:v>0.010342539584446</c:v>
                </c:pt>
                <c:pt idx="123">
                  <c:v>0.010344180900131</c:v>
                </c:pt>
                <c:pt idx="124">
                  <c:v>0.010345906584821</c:v>
                </c:pt>
                <c:pt idx="125">
                  <c:v>0.010347719789986</c:v>
                </c:pt>
                <c:pt idx="126">
                  <c:v>0.010349623942913</c:v>
                </c:pt>
                <c:pt idx="127">
                  <c:v>0.010351622766306</c:v>
                </c:pt>
                <c:pt idx="128">
                  <c:v>0.010353720299625</c:v>
                </c:pt>
                <c:pt idx="129">
                  <c:v>0.010355920922406</c:v>
                </c:pt>
                <c:pt idx="130">
                  <c:v>0.010358229379788</c:v>
                </c:pt>
                <c:pt idx="131">
                  <c:v>0.010360650810533</c:v>
                </c:pt>
                <c:pt idx="132">
                  <c:v>0.010363190777846</c:v>
                </c:pt>
                <c:pt idx="133">
                  <c:v>0.010365855303321</c:v>
                </c:pt>
                <c:pt idx="134">
                  <c:v>0.010368650904414</c:v>
                </c:pt>
                <c:pt idx="135">
                  <c:v>0.010371584635866</c:v>
                </c:pt>
                <c:pt idx="136">
                  <c:v>0.010374664135559</c:v>
                </c:pt>
                <c:pt idx="137">
                  <c:v>0.010377897675367</c:v>
                </c:pt>
                <c:pt idx="138">
                  <c:v>0.010381294217607</c:v>
                </c:pt>
                <c:pt idx="139">
                  <c:v>0.010384863477832</c:v>
                </c:pt>
                <c:pt idx="140">
                  <c:v>0.010388615994739</c:v>
                </c:pt>
                <c:pt idx="141">
                  <c:v>0.010392563208154</c:v>
                </c:pt>
                <c:pt idx="142">
                  <c:v>0.010396717546134</c:v>
                </c:pt>
                <c:pt idx="143">
                  <c:v>0.010401092522412</c:v>
                </c:pt>
                <c:pt idx="144">
                  <c:v>0.010405702845604</c:v>
                </c:pt>
                <c:pt idx="145">
                  <c:v>0.010410564541769</c:v>
                </c:pt>
                <c:pt idx="146">
                  <c:v>0.010415695092251</c:v>
                </c:pt>
                <c:pt idx="147">
                  <c:v>0.010421113588907</c:v>
                </c:pt>
                <c:pt idx="148">
                  <c:v>0.010426840909333</c:v>
                </c:pt>
                <c:pt idx="149">
                  <c:v>0.010432899914968</c:v>
                </c:pt>
                <c:pt idx="150">
                  <c:v>0.010439315675568</c:v>
                </c:pt>
                <c:pt idx="151">
                  <c:v>0.010446115724044</c:v>
                </c:pt>
                <c:pt idx="152">
                  <c:v>0.010453330346433</c:v>
                </c:pt>
                <c:pt idx="153">
                  <c:v>0.010460992912568</c:v>
                </c:pt>
                <c:pt idx="154">
                  <c:v>0.010469140253993</c:v>
                </c:pt>
                <c:pt idx="155">
                  <c:v>0.010477813096958</c:v>
                </c:pt>
                <c:pt idx="156">
                  <c:v>0.010487056559686</c:v>
                </c:pt>
                <c:pt idx="157">
                  <c:v>0.010496920724916</c:v>
                </c:pt>
                <c:pt idx="158">
                  <c:v>0.010507461300827</c:v>
                </c:pt>
                <c:pt idx="159">
                  <c:v>0.010518740386003</c:v>
                </c:pt>
                <c:pt idx="160">
                  <c:v>0.010530827357253</c:v>
                </c:pt>
                <c:pt idx="161">
                  <c:v>0.010543799902851</c:v>
                </c:pt>
                <c:pt idx="162">
                  <c:v>0.010557745228469</c:v>
                </c:pt>
                <c:pt idx="163">
                  <c:v>0.010572761468646</c:v>
                </c:pt>
                <c:pt idx="164">
                  <c:v>0.010588958945546</c:v>
                </c:pt>
                <c:pt idx="165">
                  <c:v>0.01060646364052</c:v>
                </c:pt>
                <c:pt idx="166">
                  <c:v>0.01062541730559</c:v>
                </c:pt>
                <c:pt idx="167">
                  <c:v>0.01064598159534</c:v>
                </c:pt>
                <c:pt idx="168">
                  <c:v>0.010668340961433</c:v>
                </c:pt>
                <c:pt idx="169">
                  <c:v>0.010692706499298</c:v>
                </c:pt>
                <c:pt idx="170">
                  <c:v>0.010719320532042</c:v>
                </c:pt>
                <c:pt idx="171">
                  <c:v>0.010748462079732</c:v>
                </c:pt>
                <c:pt idx="172">
                  <c:v>0.010780453387305</c:v>
                </c:pt>
                <c:pt idx="173">
                  <c:v>0.010815667708075</c:v>
                </c:pt>
                <c:pt idx="174">
                  <c:v>0.0108545385557</c:v>
                </c:pt>
                <c:pt idx="175">
                  <c:v>0.010897570632471</c:v>
                </c:pt>
                <c:pt idx="176">
                  <c:v>0.010945352589813</c:v>
                </c:pt>
                <c:pt idx="177">
                  <c:v>0.010998571627084</c:v>
                </c:pt>
                <c:pt idx="178">
                  <c:v>0.01105802958761</c:v>
                </c:pt>
                <c:pt idx="179">
                  <c:v>0.011124659470638</c:v>
                </c:pt>
                <c:pt idx="180">
                  <c:v>0.011199539753901</c:v>
                </c:pt>
                <c:pt idx="181">
                  <c:v>0.011283900817921</c:v>
                </c:pt>
                <c:pt idx="182">
                  <c:v>0.011379111410241</c:v>
                </c:pt>
                <c:pt idx="183">
                  <c:v>0.01148661984108</c:v>
                </c:pt>
                <c:pt idx="184">
                  <c:v>0.011607796059623</c:v>
                </c:pt>
                <c:pt idx="185">
                  <c:v>0.011743555993915</c:v>
                </c:pt>
                <c:pt idx="186">
                  <c:v>0.011893490419989</c:v>
                </c:pt>
                <c:pt idx="187">
                  <c:v>0.012053776922826</c:v>
                </c:pt>
                <c:pt idx="188">
                  <c:v>0.0122116480288</c:v>
                </c:pt>
                <c:pt idx="189">
                  <c:v>0.012327260527377</c:v>
                </c:pt>
                <c:pt idx="190">
                  <c:v>0.012430921723232</c:v>
                </c:pt>
                <c:pt idx="191">
                  <c:v>0.012918530431691</c:v>
                </c:pt>
                <c:pt idx="192">
                  <c:v>0.013504898244953</c:v>
                </c:pt>
                <c:pt idx="193">
                  <c:v>0.013776742322993</c:v>
                </c:pt>
                <c:pt idx="194">
                  <c:v>0.013803595149166</c:v>
                </c:pt>
              </c:numCache>
            </c:numRef>
          </c:yVal>
          <c:smooth val="1"/>
          <c:extLst xmlns:c16r2="http://schemas.microsoft.com/office/drawing/2015/06/chart">
            <c:ext xmlns:c16="http://schemas.microsoft.com/office/drawing/2014/chart" uri="{C3380CC4-5D6E-409C-BE32-E72D297353CC}">
              <c16:uniqueId val="{00000002-7B00-46D8-A03C-B3E88E66F7C3}"/>
            </c:ext>
          </c:extLst>
        </c:ser>
        <c:dLbls>
          <c:showLegendKey val="0"/>
          <c:showVal val="0"/>
          <c:showCatName val="0"/>
          <c:showSerName val="0"/>
          <c:showPercent val="0"/>
          <c:showBubbleSize val="0"/>
        </c:dLbls>
        <c:axId val="-2024711488"/>
        <c:axId val="-2023919456"/>
      </c:scatterChart>
      <c:valAx>
        <c:axId val="-2024711488"/>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latin typeface="Times New Roman" panose="02020603050405020304" charset="0"/>
                    <a:cs typeface="Times New Roman" panose="02020603050405020304" charset="0"/>
                  </a:rPr>
                  <a:t>Distance to the left wall, nm</a:t>
                </a:r>
              </a:p>
            </c:rich>
          </c:tx>
          <c:layout>
            <c:manualLayout>
              <c:xMode val="edge"/>
              <c:yMode val="edge"/>
              <c:x val="0.345740158442784"/>
              <c:y val="0.9406053149606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23919456"/>
        <c:crosses val="autoZero"/>
        <c:crossBetween val="midCat"/>
      </c:valAx>
      <c:valAx>
        <c:axId val="-2023919456"/>
        <c:scaling>
          <c:orientation val="minMax"/>
          <c:min val="0.005"/>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i="0" baseline="0">
                    <a:effectLst/>
                  </a:rPr>
                  <a:t>Density, mol/cm</a:t>
                </a:r>
                <a:r>
                  <a:rPr lang="en-US" sz="1200" b="0" i="0" baseline="30000">
                    <a:effectLst/>
                  </a:rPr>
                  <a:t>3</a:t>
                </a:r>
                <a:endParaRPr lang="en-US" sz="1200" b="0">
                  <a:effectLst/>
                </a:endParaRPr>
              </a:p>
            </c:rich>
          </c:tx>
          <c:layout>
            <c:manualLayout>
              <c:xMode val="edge"/>
              <c:yMode val="edge"/>
              <c:x val="0.0135336074281892"/>
              <c:y val="0.340142697680031"/>
            </c:manualLayout>
          </c:layout>
          <c:overlay val="0"/>
        </c:title>
        <c:numFmt formatCode="#,##0.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24711488"/>
        <c:crosses val="autoZero"/>
        <c:crossBetween val="midCat"/>
      </c:valAx>
      <c:spPr>
        <a:ln>
          <a:solidFill>
            <a:schemeClr val="tx1"/>
          </a:solidFill>
        </a:ln>
      </c:spPr>
    </c:plotArea>
    <c:legend>
      <c:legendPos val="r"/>
      <c:layout>
        <c:manualLayout>
          <c:xMode val="edge"/>
          <c:yMode val="edge"/>
          <c:x val="0.362903376809719"/>
          <c:y val="0.0823296225902799"/>
          <c:w val="0.358483587922007"/>
          <c:h val="0.199632958724196"/>
        </c:manualLayout>
      </c:layout>
      <c:overlay val="0"/>
      <c:spPr>
        <a:ln>
          <a:solidFill>
            <a:schemeClr val="tx1"/>
          </a:solidFill>
        </a:ln>
      </c:spPr>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9862800937106"/>
          <c:y val="0.042863124700786"/>
          <c:w val="0.845166468597126"/>
          <c:h val="0.82127279993344"/>
        </c:manualLayout>
      </c:layout>
      <c:scatterChart>
        <c:scatterStyle val="smoothMarker"/>
        <c:varyColors val="0"/>
        <c:ser>
          <c:idx val="0"/>
          <c:order val="0"/>
          <c:tx>
            <c:strRef>
              <c:f>10 nm</c:f>
              <c:strCache>
                <c:ptCount val="1"/>
                <c:pt idx="0">
                  <c:v>10 nm</c:v>
                </c:pt>
              </c:strCache>
            </c:strRef>
          </c:tx>
          <c:spPr>
            <a:ln w="28575" cap="rnd" cmpd="sng" algn="ctr">
              <a:solidFill>
                <a:schemeClr val="accent1">
                  <a:shade val="76667"/>
                  <a:shade val="95000"/>
                  <a:satMod val="105000"/>
                </a:schemeClr>
              </a:solidFill>
              <a:prstDash val="solid"/>
              <a:round/>
            </a:ln>
          </c:spPr>
          <c:marker>
            <c:symbol val="none"/>
          </c:marker>
          <c:xVal>
            <c:numRef>
              <c:f>Sheet1!$L$3:$L$83</c:f>
              <c:numCache>
                <c:formatCode>General</c:formatCode>
                <c:ptCount val="81"/>
                <c:pt idx="0">
                  <c:v>-0.48121</c:v>
                </c:pt>
                <c:pt idx="1">
                  <c:v>-0.46917975</c:v>
                </c:pt>
                <c:pt idx="2">
                  <c:v>-0.4571495</c:v>
                </c:pt>
                <c:pt idx="3">
                  <c:v>-0.44511925</c:v>
                </c:pt>
                <c:pt idx="4">
                  <c:v>-0.433089</c:v>
                </c:pt>
                <c:pt idx="5">
                  <c:v>-0.42105875</c:v>
                </c:pt>
                <c:pt idx="6">
                  <c:v>-0.4090285</c:v>
                </c:pt>
                <c:pt idx="7">
                  <c:v>-0.396998250000001</c:v>
                </c:pt>
                <c:pt idx="8">
                  <c:v>-0.384968000000001</c:v>
                </c:pt>
                <c:pt idx="9">
                  <c:v>-0.372937750000001</c:v>
                </c:pt>
                <c:pt idx="10">
                  <c:v>-0.360907500000001</c:v>
                </c:pt>
                <c:pt idx="11">
                  <c:v>-0.348877250000001</c:v>
                </c:pt>
                <c:pt idx="12">
                  <c:v>-0.336847000000001</c:v>
                </c:pt>
                <c:pt idx="13">
                  <c:v>-0.324816750000001</c:v>
                </c:pt>
                <c:pt idx="14">
                  <c:v>-0.312786500000001</c:v>
                </c:pt>
                <c:pt idx="15">
                  <c:v>-0.300756250000001</c:v>
                </c:pt>
                <c:pt idx="16">
                  <c:v>-0.288726000000001</c:v>
                </c:pt>
                <c:pt idx="17">
                  <c:v>-0.276695750000001</c:v>
                </c:pt>
                <c:pt idx="18">
                  <c:v>-0.264665500000001</c:v>
                </c:pt>
                <c:pt idx="19">
                  <c:v>-0.252635250000001</c:v>
                </c:pt>
                <c:pt idx="20">
                  <c:v>-0.240605000000001</c:v>
                </c:pt>
                <c:pt idx="21">
                  <c:v>-0.228574750000001</c:v>
                </c:pt>
                <c:pt idx="22">
                  <c:v>-0.216544500000001</c:v>
                </c:pt>
                <c:pt idx="23">
                  <c:v>-0.204514250000001</c:v>
                </c:pt>
                <c:pt idx="24">
                  <c:v>-0.192484000000001</c:v>
                </c:pt>
                <c:pt idx="25">
                  <c:v>-0.180453750000001</c:v>
                </c:pt>
                <c:pt idx="26">
                  <c:v>-0.168423500000001</c:v>
                </c:pt>
                <c:pt idx="27">
                  <c:v>-0.156393250000001</c:v>
                </c:pt>
                <c:pt idx="28">
                  <c:v>-0.144363000000001</c:v>
                </c:pt>
                <c:pt idx="29">
                  <c:v>-0.132332750000001</c:v>
                </c:pt>
                <c:pt idx="30">
                  <c:v>-0.120302500000001</c:v>
                </c:pt>
                <c:pt idx="31">
                  <c:v>-0.108272250000001</c:v>
                </c:pt>
                <c:pt idx="32">
                  <c:v>-0.096242000000001</c:v>
                </c:pt>
                <c:pt idx="33">
                  <c:v>-0.084211750000001</c:v>
                </c:pt>
                <c:pt idx="34">
                  <c:v>-0.072181500000001</c:v>
                </c:pt>
                <c:pt idx="35">
                  <c:v>-0.060151250000001</c:v>
                </c:pt>
                <c:pt idx="36">
                  <c:v>-0.048121000000001</c:v>
                </c:pt>
                <c:pt idx="37">
                  <c:v>-0.036090750000001</c:v>
                </c:pt>
                <c:pt idx="38">
                  <c:v>-0.024060500000001</c:v>
                </c:pt>
                <c:pt idx="39">
                  <c:v>-0.012030250000001</c:v>
                </c:pt>
                <c:pt idx="40">
                  <c:v>-9.94759830064177E-16</c:v>
                </c:pt>
                <c:pt idx="41">
                  <c:v>0.01203025</c:v>
                </c:pt>
                <c:pt idx="42">
                  <c:v>0.0240605</c:v>
                </c:pt>
                <c:pt idx="43">
                  <c:v>0.03609075</c:v>
                </c:pt>
                <c:pt idx="44">
                  <c:v>0.048121</c:v>
                </c:pt>
                <c:pt idx="45">
                  <c:v>0.06015125</c:v>
                </c:pt>
                <c:pt idx="46">
                  <c:v>0.0721815</c:v>
                </c:pt>
                <c:pt idx="47">
                  <c:v>0.08421175</c:v>
                </c:pt>
                <c:pt idx="48">
                  <c:v>0.096242</c:v>
                </c:pt>
                <c:pt idx="49">
                  <c:v>0.108272249999999</c:v>
                </c:pt>
                <c:pt idx="50">
                  <c:v>0.1203025</c:v>
                </c:pt>
                <c:pt idx="51">
                  <c:v>0.132332749999999</c:v>
                </c:pt>
                <c:pt idx="52">
                  <c:v>0.144363</c:v>
                </c:pt>
                <c:pt idx="53">
                  <c:v>0.156393249999999</c:v>
                </c:pt>
                <c:pt idx="54">
                  <c:v>0.168423499999999</c:v>
                </c:pt>
                <c:pt idx="55">
                  <c:v>0.18045375</c:v>
                </c:pt>
                <c:pt idx="56">
                  <c:v>0.192484</c:v>
                </c:pt>
                <c:pt idx="57">
                  <c:v>0.20451425</c:v>
                </c:pt>
                <c:pt idx="58">
                  <c:v>0.216544499999999</c:v>
                </c:pt>
                <c:pt idx="59">
                  <c:v>0.228574749999999</c:v>
                </c:pt>
                <c:pt idx="60">
                  <c:v>0.240604999999999</c:v>
                </c:pt>
                <c:pt idx="61">
                  <c:v>0.25263525</c:v>
                </c:pt>
                <c:pt idx="62">
                  <c:v>0.264665499999999</c:v>
                </c:pt>
                <c:pt idx="63">
                  <c:v>0.276695749999999</c:v>
                </c:pt>
                <c:pt idx="64">
                  <c:v>0.288726</c:v>
                </c:pt>
                <c:pt idx="65">
                  <c:v>0.30075625</c:v>
                </c:pt>
                <c:pt idx="66">
                  <c:v>0.312786499999999</c:v>
                </c:pt>
                <c:pt idx="67">
                  <c:v>0.324816749999999</c:v>
                </c:pt>
                <c:pt idx="68">
                  <c:v>0.336846999999999</c:v>
                </c:pt>
                <c:pt idx="69">
                  <c:v>0.34887725</c:v>
                </c:pt>
                <c:pt idx="70">
                  <c:v>0.3609075</c:v>
                </c:pt>
                <c:pt idx="71">
                  <c:v>0.372937749999999</c:v>
                </c:pt>
                <c:pt idx="72">
                  <c:v>0.384967999999999</c:v>
                </c:pt>
                <c:pt idx="73">
                  <c:v>0.39699825</c:v>
                </c:pt>
                <c:pt idx="74">
                  <c:v>0.4090285</c:v>
                </c:pt>
                <c:pt idx="75">
                  <c:v>0.421058749999999</c:v>
                </c:pt>
                <c:pt idx="76">
                  <c:v>0.433088999999999</c:v>
                </c:pt>
                <c:pt idx="77">
                  <c:v>0.445119249999999</c:v>
                </c:pt>
                <c:pt idx="78">
                  <c:v>0.4571495</c:v>
                </c:pt>
                <c:pt idx="79">
                  <c:v>0.469179749999999</c:v>
                </c:pt>
                <c:pt idx="80">
                  <c:v>0.481209999999999</c:v>
                </c:pt>
              </c:numCache>
            </c:numRef>
          </c:xVal>
          <c:yVal>
            <c:numRef>
              <c:f>Sheet1!$B$3:$B$83</c:f>
              <c:numCache>
                <c:formatCode>General</c:formatCode>
                <c:ptCount val="81"/>
                <c:pt idx="0">
                  <c:v>0.385463532200135</c:v>
                </c:pt>
                <c:pt idx="1">
                  <c:v>0.260568177839835</c:v>
                </c:pt>
                <c:pt idx="2">
                  <c:v>0.173613297538805</c:v>
                </c:pt>
                <c:pt idx="3">
                  <c:v>0.139178885732996</c:v>
                </c:pt>
                <c:pt idx="4">
                  <c:v>0.124345482167235</c:v>
                </c:pt>
                <c:pt idx="5">
                  <c:v>0.117126795456255</c:v>
                </c:pt>
                <c:pt idx="6">
                  <c:v>0.113205538976831</c:v>
                </c:pt>
                <c:pt idx="7">
                  <c:v>0.1108994012514</c:v>
                </c:pt>
                <c:pt idx="8">
                  <c:v>0.10945920091363</c:v>
                </c:pt>
                <c:pt idx="9">
                  <c:v>0.108516410580404</c:v>
                </c:pt>
                <c:pt idx="10">
                  <c:v>0.107875329119027</c:v>
                </c:pt>
                <c:pt idx="11">
                  <c:v>0.107425516307029</c:v>
                </c:pt>
                <c:pt idx="12">
                  <c:v>0.107101480280475</c:v>
                </c:pt>
                <c:pt idx="13">
                  <c:v>0.106862748795358</c:v>
                </c:pt>
                <c:pt idx="14">
                  <c:v>0.106683423004561</c:v>
                </c:pt>
                <c:pt idx="15">
                  <c:v>0.106546426221497</c:v>
                </c:pt>
                <c:pt idx="16">
                  <c:v>0.106440202379439</c:v>
                </c:pt>
                <c:pt idx="17">
                  <c:v>0.106356751172606</c:v>
                </c:pt>
                <c:pt idx="18">
                  <c:v>0.106290421342963</c:v>
                </c:pt>
                <c:pt idx="19">
                  <c:v>0.106237148772851</c:v>
                </c:pt>
                <c:pt idx="20">
                  <c:v>0.106193963453459</c:v>
                </c:pt>
                <c:pt idx="21">
                  <c:v>0.106158663355808</c:v>
                </c:pt>
                <c:pt idx="22">
                  <c:v>0.10612959439842</c:v>
                </c:pt>
                <c:pt idx="23">
                  <c:v>0.106105499319803</c:v>
                </c:pt>
                <c:pt idx="24">
                  <c:v>0.10608541217953</c:v>
                </c:pt>
                <c:pt idx="25">
                  <c:v>0.106068583614319</c:v>
                </c:pt>
                <c:pt idx="26">
                  <c:v>0.106054427162919</c:v>
                </c:pt>
                <c:pt idx="27">
                  <c:v>0.106042480241485</c:v>
                </c:pt>
                <c:pt idx="28">
                  <c:v>0.106032375448273</c:v>
                </c:pt>
                <c:pt idx="29">
                  <c:v>0.106023819245508</c:v>
                </c:pt>
                <c:pt idx="30">
                  <c:v>0.106016575974257</c:v>
                </c:pt>
                <c:pt idx="31">
                  <c:v>0.106010455769258</c:v>
                </c:pt>
                <c:pt idx="32">
                  <c:v>0.106005305357656</c:v>
                </c:pt>
                <c:pt idx="33">
                  <c:v>0.106001001013919</c:v>
                </c:pt>
                <c:pt idx="34">
                  <c:v>0.105997443145075</c:v>
                </c:pt>
                <c:pt idx="35">
                  <c:v>0.105994552123473</c:v>
                </c:pt>
                <c:pt idx="36">
                  <c:v>0.105992265086988</c:v>
                </c:pt>
                <c:pt idx="37">
                  <c:v>0.105990533501325</c:v>
                </c:pt>
                <c:pt idx="38">
                  <c:v>0.105989321334348</c:v>
                </c:pt>
                <c:pt idx="39">
                  <c:v>0.105988603733997</c:v>
                </c:pt>
                <c:pt idx="40">
                  <c:v>0.105988366133572</c:v>
                </c:pt>
                <c:pt idx="41">
                  <c:v>0.105988603733997</c:v>
                </c:pt>
                <c:pt idx="42">
                  <c:v>0.105989321334348</c:v>
                </c:pt>
                <c:pt idx="43">
                  <c:v>0.105990533501325</c:v>
                </c:pt>
                <c:pt idx="44">
                  <c:v>0.105992265086988</c:v>
                </c:pt>
                <c:pt idx="45">
                  <c:v>0.105994552123473</c:v>
                </c:pt>
                <c:pt idx="46">
                  <c:v>0.105997443145075</c:v>
                </c:pt>
                <c:pt idx="47">
                  <c:v>0.106001001013919</c:v>
                </c:pt>
                <c:pt idx="48">
                  <c:v>0.106005305357656</c:v>
                </c:pt>
                <c:pt idx="49">
                  <c:v>0.106010455769258</c:v>
                </c:pt>
                <c:pt idx="50">
                  <c:v>0.106016575974257</c:v>
                </c:pt>
                <c:pt idx="51">
                  <c:v>0.106023819245508</c:v>
                </c:pt>
                <c:pt idx="52">
                  <c:v>0.106032375448273</c:v>
                </c:pt>
                <c:pt idx="53">
                  <c:v>0.106042480241485</c:v>
                </c:pt>
                <c:pt idx="54">
                  <c:v>0.106054427162919</c:v>
                </c:pt>
                <c:pt idx="55">
                  <c:v>0.106068583614319</c:v>
                </c:pt>
                <c:pt idx="56">
                  <c:v>0.10608541217953</c:v>
                </c:pt>
                <c:pt idx="57">
                  <c:v>0.106105499319803</c:v>
                </c:pt>
                <c:pt idx="58">
                  <c:v>0.10612959439842</c:v>
                </c:pt>
                <c:pt idx="59">
                  <c:v>0.106158663355808</c:v>
                </c:pt>
                <c:pt idx="60">
                  <c:v>0.106193963453459</c:v>
                </c:pt>
                <c:pt idx="61">
                  <c:v>0.106237148772851</c:v>
                </c:pt>
                <c:pt idx="62">
                  <c:v>0.106290421342963</c:v>
                </c:pt>
                <c:pt idx="63">
                  <c:v>0.106356751172606</c:v>
                </c:pt>
                <c:pt idx="64">
                  <c:v>0.106440202379439</c:v>
                </c:pt>
                <c:pt idx="65">
                  <c:v>0.106546426221497</c:v>
                </c:pt>
                <c:pt idx="66">
                  <c:v>0.106683423004561</c:v>
                </c:pt>
                <c:pt idx="67">
                  <c:v>0.106862748795358</c:v>
                </c:pt>
                <c:pt idx="68">
                  <c:v>0.107101480280475</c:v>
                </c:pt>
                <c:pt idx="69">
                  <c:v>0.107425516307029</c:v>
                </c:pt>
                <c:pt idx="70">
                  <c:v>0.107875329119027</c:v>
                </c:pt>
                <c:pt idx="71">
                  <c:v>0.108516410580404</c:v>
                </c:pt>
                <c:pt idx="72">
                  <c:v>0.10945920091363</c:v>
                </c:pt>
                <c:pt idx="73">
                  <c:v>0.1108994012514</c:v>
                </c:pt>
                <c:pt idx="74">
                  <c:v>0.11320553897683</c:v>
                </c:pt>
                <c:pt idx="75">
                  <c:v>0.117126795456255</c:v>
                </c:pt>
                <c:pt idx="76">
                  <c:v>0.124345482167235</c:v>
                </c:pt>
                <c:pt idx="77">
                  <c:v>0.139178885732996</c:v>
                </c:pt>
                <c:pt idx="78">
                  <c:v>0.173613297538804</c:v>
                </c:pt>
                <c:pt idx="79">
                  <c:v>0.260568177839833</c:v>
                </c:pt>
                <c:pt idx="80">
                  <c:v>0.385463532200135</c:v>
                </c:pt>
              </c:numCache>
            </c:numRef>
          </c:yVal>
          <c:smooth val="1"/>
          <c:extLst xmlns:c16r2="http://schemas.microsoft.com/office/drawing/2015/06/chart">
            <c:ext xmlns:c16="http://schemas.microsoft.com/office/drawing/2014/chart" uri="{C3380CC4-5D6E-409C-BE32-E72D297353CC}">
              <c16:uniqueId val="{00000000-633F-4774-9A5E-A076F5AAE71A}"/>
            </c:ext>
          </c:extLst>
        </c:ser>
        <c:ser>
          <c:idx val="2"/>
          <c:order val="1"/>
          <c:tx>
            <c:strRef>
              <c:f>8 nm</c:f>
              <c:strCache>
                <c:ptCount val="1"/>
                <c:pt idx="0">
                  <c:v>8 nm</c:v>
                </c:pt>
              </c:strCache>
            </c:strRef>
          </c:tx>
          <c:spPr>
            <a:ln w="28575" cap="rnd" cmpd="sng" algn="ctr">
              <a:solidFill>
                <a:schemeClr val="accent3">
                  <a:shade val="76667"/>
                  <a:shade val="95000"/>
                  <a:satMod val="105000"/>
                </a:schemeClr>
              </a:solidFill>
              <a:prstDash val="solid"/>
              <a:round/>
            </a:ln>
          </c:spPr>
          <c:marker>
            <c:symbol val="none"/>
          </c:marker>
          <c:xVal>
            <c:numRef>
              <c:f>Sheet1!$L$3:$L$83</c:f>
              <c:numCache>
                <c:formatCode>General</c:formatCode>
                <c:ptCount val="81"/>
                <c:pt idx="0">
                  <c:v>-0.48121</c:v>
                </c:pt>
                <c:pt idx="1">
                  <c:v>-0.46917975</c:v>
                </c:pt>
                <c:pt idx="2">
                  <c:v>-0.4571495</c:v>
                </c:pt>
                <c:pt idx="3">
                  <c:v>-0.44511925</c:v>
                </c:pt>
                <c:pt idx="4">
                  <c:v>-0.433089</c:v>
                </c:pt>
                <c:pt idx="5">
                  <c:v>-0.42105875</c:v>
                </c:pt>
                <c:pt idx="6">
                  <c:v>-0.4090285</c:v>
                </c:pt>
                <c:pt idx="7">
                  <c:v>-0.396998250000001</c:v>
                </c:pt>
                <c:pt idx="8">
                  <c:v>-0.384968000000001</c:v>
                </c:pt>
                <c:pt idx="9">
                  <c:v>-0.372937750000001</c:v>
                </c:pt>
                <c:pt idx="10">
                  <c:v>-0.360907500000001</c:v>
                </c:pt>
                <c:pt idx="11">
                  <c:v>-0.348877250000001</c:v>
                </c:pt>
                <c:pt idx="12">
                  <c:v>-0.336847000000001</c:v>
                </c:pt>
                <c:pt idx="13">
                  <c:v>-0.324816750000001</c:v>
                </c:pt>
                <c:pt idx="14">
                  <c:v>-0.312786500000001</c:v>
                </c:pt>
                <c:pt idx="15">
                  <c:v>-0.300756250000001</c:v>
                </c:pt>
                <c:pt idx="16">
                  <c:v>-0.288726000000001</c:v>
                </c:pt>
                <c:pt idx="17">
                  <c:v>-0.276695750000001</c:v>
                </c:pt>
                <c:pt idx="18">
                  <c:v>-0.264665500000001</c:v>
                </c:pt>
                <c:pt idx="19">
                  <c:v>-0.252635250000001</c:v>
                </c:pt>
                <c:pt idx="20">
                  <c:v>-0.240605000000001</c:v>
                </c:pt>
                <c:pt idx="21">
                  <c:v>-0.228574750000001</c:v>
                </c:pt>
                <c:pt idx="22">
                  <c:v>-0.216544500000001</c:v>
                </c:pt>
                <c:pt idx="23">
                  <c:v>-0.204514250000001</c:v>
                </c:pt>
                <c:pt idx="24">
                  <c:v>-0.192484000000001</c:v>
                </c:pt>
                <c:pt idx="25">
                  <c:v>-0.180453750000001</c:v>
                </c:pt>
                <c:pt idx="26">
                  <c:v>-0.168423500000001</c:v>
                </c:pt>
                <c:pt idx="27">
                  <c:v>-0.156393250000001</c:v>
                </c:pt>
                <c:pt idx="28">
                  <c:v>-0.144363000000001</c:v>
                </c:pt>
                <c:pt idx="29">
                  <c:v>-0.132332750000001</c:v>
                </c:pt>
                <c:pt idx="30">
                  <c:v>-0.120302500000001</c:v>
                </c:pt>
                <c:pt idx="31">
                  <c:v>-0.108272250000001</c:v>
                </c:pt>
                <c:pt idx="32">
                  <c:v>-0.096242000000001</c:v>
                </c:pt>
                <c:pt idx="33">
                  <c:v>-0.084211750000001</c:v>
                </c:pt>
                <c:pt idx="34">
                  <c:v>-0.072181500000001</c:v>
                </c:pt>
                <c:pt idx="35">
                  <c:v>-0.060151250000001</c:v>
                </c:pt>
                <c:pt idx="36">
                  <c:v>-0.048121000000001</c:v>
                </c:pt>
                <c:pt idx="37">
                  <c:v>-0.036090750000001</c:v>
                </c:pt>
                <c:pt idx="38">
                  <c:v>-0.024060500000001</c:v>
                </c:pt>
                <c:pt idx="39">
                  <c:v>-0.012030250000001</c:v>
                </c:pt>
                <c:pt idx="40">
                  <c:v>-9.94759830064177E-16</c:v>
                </c:pt>
                <c:pt idx="41">
                  <c:v>0.01203025</c:v>
                </c:pt>
                <c:pt idx="42">
                  <c:v>0.0240605</c:v>
                </c:pt>
                <c:pt idx="43">
                  <c:v>0.03609075</c:v>
                </c:pt>
                <c:pt idx="44">
                  <c:v>0.048121</c:v>
                </c:pt>
                <c:pt idx="45">
                  <c:v>0.06015125</c:v>
                </c:pt>
                <c:pt idx="46">
                  <c:v>0.0721815</c:v>
                </c:pt>
                <c:pt idx="47">
                  <c:v>0.08421175</c:v>
                </c:pt>
                <c:pt idx="48">
                  <c:v>0.096242</c:v>
                </c:pt>
                <c:pt idx="49">
                  <c:v>0.108272249999999</c:v>
                </c:pt>
                <c:pt idx="50">
                  <c:v>0.1203025</c:v>
                </c:pt>
                <c:pt idx="51">
                  <c:v>0.132332749999999</c:v>
                </c:pt>
                <c:pt idx="52">
                  <c:v>0.144363</c:v>
                </c:pt>
                <c:pt idx="53">
                  <c:v>0.156393249999999</c:v>
                </c:pt>
                <c:pt idx="54">
                  <c:v>0.168423499999999</c:v>
                </c:pt>
                <c:pt idx="55">
                  <c:v>0.18045375</c:v>
                </c:pt>
                <c:pt idx="56">
                  <c:v>0.192484</c:v>
                </c:pt>
                <c:pt idx="57">
                  <c:v>0.20451425</c:v>
                </c:pt>
                <c:pt idx="58">
                  <c:v>0.216544499999999</c:v>
                </c:pt>
                <c:pt idx="59">
                  <c:v>0.228574749999999</c:v>
                </c:pt>
                <c:pt idx="60">
                  <c:v>0.240604999999999</c:v>
                </c:pt>
                <c:pt idx="61">
                  <c:v>0.25263525</c:v>
                </c:pt>
                <c:pt idx="62">
                  <c:v>0.264665499999999</c:v>
                </c:pt>
                <c:pt idx="63">
                  <c:v>0.276695749999999</c:v>
                </c:pt>
                <c:pt idx="64">
                  <c:v>0.288726</c:v>
                </c:pt>
                <c:pt idx="65">
                  <c:v>0.30075625</c:v>
                </c:pt>
                <c:pt idx="66">
                  <c:v>0.312786499999999</c:v>
                </c:pt>
                <c:pt idx="67">
                  <c:v>0.324816749999999</c:v>
                </c:pt>
                <c:pt idx="68">
                  <c:v>0.336846999999999</c:v>
                </c:pt>
                <c:pt idx="69">
                  <c:v>0.34887725</c:v>
                </c:pt>
                <c:pt idx="70">
                  <c:v>0.3609075</c:v>
                </c:pt>
                <c:pt idx="71">
                  <c:v>0.372937749999999</c:v>
                </c:pt>
                <c:pt idx="72">
                  <c:v>0.384967999999999</c:v>
                </c:pt>
                <c:pt idx="73">
                  <c:v>0.39699825</c:v>
                </c:pt>
                <c:pt idx="74">
                  <c:v>0.4090285</c:v>
                </c:pt>
                <c:pt idx="75">
                  <c:v>0.421058749999999</c:v>
                </c:pt>
                <c:pt idx="76">
                  <c:v>0.433088999999999</c:v>
                </c:pt>
                <c:pt idx="77">
                  <c:v>0.445119249999999</c:v>
                </c:pt>
                <c:pt idx="78">
                  <c:v>0.4571495</c:v>
                </c:pt>
                <c:pt idx="79">
                  <c:v>0.469179749999999</c:v>
                </c:pt>
                <c:pt idx="80">
                  <c:v>0.481209999999999</c:v>
                </c:pt>
              </c:numCache>
            </c:numRef>
          </c:xVal>
          <c:yVal>
            <c:numRef>
              <c:f>Sheet1!$E$3:$E$83</c:f>
              <c:numCache>
                <c:formatCode>General</c:formatCode>
                <c:ptCount val="81"/>
                <c:pt idx="0">
                  <c:v>0.385465568523793</c:v>
                </c:pt>
                <c:pt idx="1">
                  <c:v>0.288937840270142</c:v>
                </c:pt>
                <c:pt idx="2">
                  <c:v>0.200515125630529</c:v>
                </c:pt>
                <c:pt idx="3">
                  <c:v>0.156921267296379</c:v>
                </c:pt>
                <c:pt idx="4">
                  <c:v>0.135785490642884</c:v>
                </c:pt>
                <c:pt idx="5">
                  <c:v>0.124742167164839</c:v>
                </c:pt>
                <c:pt idx="6">
                  <c:v>0.118506021271619</c:v>
                </c:pt>
                <c:pt idx="7">
                  <c:v>0.11472344174421</c:v>
                </c:pt>
                <c:pt idx="8">
                  <c:v>0.112300051026192</c:v>
                </c:pt>
                <c:pt idx="9">
                  <c:v>0.110678787321062</c:v>
                </c:pt>
                <c:pt idx="10">
                  <c:v>0.109555376438606</c:v>
                </c:pt>
                <c:pt idx="11">
                  <c:v>0.108753945473426</c:v>
                </c:pt>
                <c:pt idx="12">
                  <c:v>0.108168008619163</c:v>
                </c:pt>
                <c:pt idx="13">
                  <c:v>0.1077305415832</c:v>
                </c:pt>
                <c:pt idx="14">
                  <c:v>0.107397945555443</c:v>
                </c:pt>
                <c:pt idx="15">
                  <c:v>0.107141044994827</c:v>
                </c:pt>
                <c:pt idx="16">
                  <c:v>0.106939829134035</c:v>
                </c:pt>
                <c:pt idx="17">
                  <c:v>0.106780272897791</c:v>
                </c:pt>
                <c:pt idx="18">
                  <c:v>0.106652356338004</c:v>
                </c:pt>
                <c:pt idx="19">
                  <c:v>0.106548797612796</c:v>
                </c:pt>
                <c:pt idx="20">
                  <c:v>0.106464223120007</c:v>
                </c:pt>
                <c:pt idx="21">
                  <c:v>0.106394612374209</c:v>
                </c:pt>
                <c:pt idx="22">
                  <c:v>0.10633691955095</c:v>
                </c:pt>
                <c:pt idx="23">
                  <c:v>0.10628881100256</c:v>
                </c:pt>
                <c:pt idx="24">
                  <c:v>0.106248480342483</c:v>
                </c:pt>
                <c:pt idx="25">
                  <c:v>0.106214516306666</c:v>
                </c:pt>
                <c:pt idx="26">
                  <c:v>0.106185807091586</c:v>
                </c:pt>
                <c:pt idx="27">
                  <c:v>0.106161470270058</c:v>
                </c:pt>
                <c:pt idx="28">
                  <c:v>0.106140800884471</c:v>
                </c:pt>
                <c:pt idx="29">
                  <c:v>0.106123232620903</c:v>
                </c:pt>
                <c:pt idx="30">
                  <c:v>0.106108308508133</c:v>
                </c:pt>
                <c:pt idx="31">
                  <c:v>0.10609565863063</c:v>
                </c:pt>
                <c:pt idx="32">
                  <c:v>0.106084983063056</c:v>
                </c:pt>
                <c:pt idx="33">
                  <c:v>0.106076038734186</c:v>
                </c:pt>
                <c:pt idx="34">
                  <c:v>0.106068629280812</c:v>
                </c:pt>
                <c:pt idx="35">
                  <c:v>0.106062597203932</c:v>
                </c:pt>
                <c:pt idx="36">
                  <c:v>0.106057817821335</c:v>
                </c:pt>
                <c:pt idx="37">
                  <c:v>0.106054194643933</c:v>
                </c:pt>
                <c:pt idx="38">
                  <c:v>0.106051655902254</c:v>
                </c:pt>
                <c:pt idx="39">
                  <c:v>0.10605015202469</c:v>
                </c:pt>
                <c:pt idx="40">
                  <c:v>0.106049653927625</c:v>
                </c:pt>
                <c:pt idx="41">
                  <c:v>0.10605015202469</c:v>
                </c:pt>
                <c:pt idx="42">
                  <c:v>0.106051655902254</c:v>
                </c:pt>
                <c:pt idx="43">
                  <c:v>0.106054194643933</c:v>
                </c:pt>
                <c:pt idx="44">
                  <c:v>0.106057817821335</c:v>
                </c:pt>
                <c:pt idx="45">
                  <c:v>0.106062597203932</c:v>
                </c:pt>
                <c:pt idx="46">
                  <c:v>0.106068629280812</c:v>
                </c:pt>
                <c:pt idx="47">
                  <c:v>0.106076038734186</c:v>
                </c:pt>
                <c:pt idx="48">
                  <c:v>0.106084983063056</c:v>
                </c:pt>
                <c:pt idx="49">
                  <c:v>0.10609565863063</c:v>
                </c:pt>
                <c:pt idx="50">
                  <c:v>0.106108308508133</c:v>
                </c:pt>
                <c:pt idx="51">
                  <c:v>0.106123232620903</c:v>
                </c:pt>
                <c:pt idx="52">
                  <c:v>0.106140800884471</c:v>
                </c:pt>
                <c:pt idx="53">
                  <c:v>0.106161470270058</c:v>
                </c:pt>
                <c:pt idx="54">
                  <c:v>0.106185807091586</c:v>
                </c:pt>
                <c:pt idx="55">
                  <c:v>0.106214516306666</c:v>
                </c:pt>
                <c:pt idx="56">
                  <c:v>0.106248480342483</c:v>
                </c:pt>
                <c:pt idx="57">
                  <c:v>0.10628881100256</c:v>
                </c:pt>
                <c:pt idx="58">
                  <c:v>0.10633691955095</c:v>
                </c:pt>
                <c:pt idx="59">
                  <c:v>0.106394612374209</c:v>
                </c:pt>
                <c:pt idx="60">
                  <c:v>0.106464223120007</c:v>
                </c:pt>
                <c:pt idx="61">
                  <c:v>0.106548797612796</c:v>
                </c:pt>
                <c:pt idx="62">
                  <c:v>0.106652356338004</c:v>
                </c:pt>
                <c:pt idx="63">
                  <c:v>0.106780272897791</c:v>
                </c:pt>
                <c:pt idx="64">
                  <c:v>0.106939829134035</c:v>
                </c:pt>
                <c:pt idx="65">
                  <c:v>0.107141044994827</c:v>
                </c:pt>
                <c:pt idx="66">
                  <c:v>0.107397945555443</c:v>
                </c:pt>
                <c:pt idx="67">
                  <c:v>0.1077305415832</c:v>
                </c:pt>
                <c:pt idx="68">
                  <c:v>0.108168008619163</c:v>
                </c:pt>
                <c:pt idx="69">
                  <c:v>0.108753945473426</c:v>
                </c:pt>
                <c:pt idx="70">
                  <c:v>0.109555376438606</c:v>
                </c:pt>
                <c:pt idx="71">
                  <c:v>0.110678787321062</c:v>
                </c:pt>
                <c:pt idx="72">
                  <c:v>0.112300051026192</c:v>
                </c:pt>
                <c:pt idx="73">
                  <c:v>0.11472344174421</c:v>
                </c:pt>
                <c:pt idx="74">
                  <c:v>0.118506021271619</c:v>
                </c:pt>
                <c:pt idx="75">
                  <c:v>0.124742167164839</c:v>
                </c:pt>
                <c:pt idx="76">
                  <c:v>0.135785490642884</c:v>
                </c:pt>
                <c:pt idx="77">
                  <c:v>0.156921267296379</c:v>
                </c:pt>
                <c:pt idx="78">
                  <c:v>0.200515125630529</c:v>
                </c:pt>
                <c:pt idx="79">
                  <c:v>0.288937840270141</c:v>
                </c:pt>
                <c:pt idx="80">
                  <c:v>0.385465568523793</c:v>
                </c:pt>
              </c:numCache>
            </c:numRef>
          </c:yVal>
          <c:smooth val="1"/>
          <c:extLst xmlns:c16r2="http://schemas.microsoft.com/office/drawing/2015/06/chart">
            <c:ext xmlns:c16="http://schemas.microsoft.com/office/drawing/2014/chart" uri="{C3380CC4-5D6E-409C-BE32-E72D297353CC}">
              <c16:uniqueId val="{00000001-633F-4774-9A5E-A076F5AAE71A}"/>
            </c:ext>
          </c:extLst>
        </c:ser>
        <c:ser>
          <c:idx val="1"/>
          <c:order val="2"/>
          <c:tx>
            <c:strRef>
              <c:f>6 nm</c:f>
              <c:strCache>
                <c:ptCount val="1"/>
                <c:pt idx="0">
                  <c:v>6 nm</c:v>
                </c:pt>
              </c:strCache>
            </c:strRef>
          </c:tx>
          <c:spPr>
            <a:ln w="28575" cap="rnd" cmpd="sng" algn="ctr">
              <a:solidFill>
                <a:schemeClr val="accent2">
                  <a:shade val="76667"/>
                  <a:shade val="95000"/>
                  <a:satMod val="105000"/>
                </a:schemeClr>
              </a:solidFill>
              <a:prstDash val="solid"/>
              <a:round/>
            </a:ln>
          </c:spPr>
          <c:marker>
            <c:symbol val="none"/>
          </c:marker>
          <c:xVal>
            <c:numRef>
              <c:f>Sheet1!$L$3:$L$83</c:f>
              <c:numCache>
                <c:formatCode>General</c:formatCode>
                <c:ptCount val="81"/>
                <c:pt idx="0">
                  <c:v>-0.48121</c:v>
                </c:pt>
                <c:pt idx="1">
                  <c:v>-0.46917975</c:v>
                </c:pt>
                <c:pt idx="2">
                  <c:v>-0.4571495</c:v>
                </c:pt>
                <c:pt idx="3">
                  <c:v>-0.44511925</c:v>
                </c:pt>
                <c:pt idx="4">
                  <c:v>-0.433089</c:v>
                </c:pt>
                <c:pt idx="5">
                  <c:v>-0.42105875</c:v>
                </c:pt>
                <c:pt idx="6">
                  <c:v>-0.4090285</c:v>
                </c:pt>
                <c:pt idx="7">
                  <c:v>-0.396998250000001</c:v>
                </c:pt>
                <c:pt idx="8">
                  <c:v>-0.384968000000001</c:v>
                </c:pt>
                <c:pt idx="9">
                  <c:v>-0.372937750000001</c:v>
                </c:pt>
                <c:pt idx="10">
                  <c:v>-0.360907500000001</c:v>
                </c:pt>
                <c:pt idx="11">
                  <c:v>-0.348877250000001</c:v>
                </c:pt>
                <c:pt idx="12">
                  <c:v>-0.336847000000001</c:v>
                </c:pt>
                <c:pt idx="13">
                  <c:v>-0.324816750000001</c:v>
                </c:pt>
                <c:pt idx="14">
                  <c:v>-0.312786500000001</c:v>
                </c:pt>
                <c:pt idx="15">
                  <c:v>-0.300756250000001</c:v>
                </c:pt>
                <c:pt idx="16">
                  <c:v>-0.288726000000001</c:v>
                </c:pt>
                <c:pt idx="17">
                  <c:v>-0.276695750000001</c:v>
                </c:pt>
                <c:pt idx="18">
                  <c:v>-0.264665500000001</c:v>
                </c:pt>
                <c:pt idx="19">
                  <c:v>-0.252635250000001</c:v>
                </c:pt>
                <c:pt idx="20">
                  <c:v>-0.240605000000001</c:v>
                </c:pt>
                <c:pt idx="21">
                  <c:v>-0.228574750000001</c:v>
                </c:pt>
                <c:pt idx="22">
                  <c:v>-0.216544500000001</c:v>
                </c:pt>
                <c:pt idx="23">
                  <c:v>-0.204514250000001</c:v>
                </c:pt>
                <c:pt idx="24">
                  <c:v>-0.192484000000001</c:v>
                </c:pt>
                <c:pt idx="25">
                  <c:v>-0.180453750000001</c:v>
                </c:pt>
                <c:pt idx="26">
                  <c:v>-0.168423500000001</c:v>
                </c:pt>
                <c:pt idx="27">
                  <c:v>-0.156393250000001</c:v>
                </c:pt>
                <c:pt idx="28">
                  <c:v>-0.144363000000001</c:v>
                </c:pt>
                <c:pt idx="29">
                  <c:v>-0.132332750000001</c:v>
                </c:pt>
                <c:pt idx="30">
                  <c:v>-0.120302500000001</c:v>
                </c:pt>
                <c:pt idx="31">
                  <c:v>-0.108272250000001</c:v>
                </c:pt>
                <c:pt idx="32">
                  <c:v>-0.096242000000001</c:v>
                </c:pt>
                <c:pt idx="33">
                  <c:v>-0.084211750000001</c:v>
                </c:pt>
                <c:pt idx="34">
                  <c:v>-0.072181500000001</c:v>
                </c:pt>
                <c:pt idx="35">
                  <c:v>-0.060151250000001</c:v>
                </c:pt>
                <c:pt idx="36">
                  <c:v>-0.048121000000001</c:v>
                </c:pt>
                <c:pt idx="37">
                  <c:v>-0.036090750000001</c:v>
                </c:pt>
                <c:pt idx="38">
                  <c:v>-0.024060500000001</c:v>
                </c:pt>
                <c:pt idx="39">
                  <c:v>-0.012030250000001</c:v>
                </c:pt>
                <c:pt idx="40">
                  <c:v>-9.94759830064177E-16</c:v>
                </c:pt>
                <c:pt idx="41">
                  <c:v>0.01203025</c:v>
                </c:pt>
                <c:pt idx="42">
                  <c:v>0.0240605</c:v>
                </c:pt>
                <c:pt idx="43">
                  <c:v>0.03609075</c:v>
                </c:pt>
                <c:pt idx="44">
                  <c:v>0.048121</c:v>
                </c:pt>
                <c:pt idx="45">
                  <c:v>0.06015125</c:v>
                </c:pt>
                <c:pt idx="46">
                  <c:v>0.0721815</c:v>
                </c:pt>
                <c:pt idx="47">
                  <c:v>0.08421175</c:v>
                </c:pt>
                <c:pt idx="48">
                  <c:v>0.096242</c:v>
                </c:pt>
                <c:pt idx="49">
                  <c:v>0.108272249999999</c:v>
                </c:pt>
                <c:pt idx="50">
                  <c:v>0.1203025</c:v>
                </c:pt>
                <c:pt idx="51">
                  <c:v>0.132332749999999</c:v>
                </c:pt>
                <c:pt idx="52">
                  <c:v>0.144363</c:v>
                </c:pt>
                <c:pt idx="53">
                  <c:v>0.156393249999999</c:v>
                </c:pt>
                <c:pt idx="54">
                  <c:v>0.168423499999999</c:v>
                </c:pt>
                <c:pt idx="55">
                  <c:v>0.18045375</c:v>
                </c:pt>
                <c:pt idx="56">
                  <c:v>0.192484</c:v>
                </c:pt>
                <c:pt idx="57">
                  <c:v>0.20451425</c:v>
                </c:pt>
                <c:pt idx="58">
                  <c:v>0.216544499999999</c:v>
                </c:pt>
                <c:pt idx="59">
                  <c:v>0.228574749999999</c:v>
                </c:pt>
                <c:pt idx="60">
                  <c:v>0.240604999999999</c:v>
                </c:pt>
                <c:pt idx="61">
                  <c:v>0.25263525</c:v>
                </c:pt>
                <c:pt idx="62">
                  <c:v>0.264665499999999</c:v>
                </c:pt>
                <c:pt idx="63">
                  <c:v>0.276695749999999</c:v>
                </c:pt>
                <c:pt idx="64">
                  <c:v>0.288726</c:v>
                </c:pt>
                <c:pt idx="65">
                  <c:v>0.30075625</c:v>
                </c:pt>
                <c:pt idx="66">
                  <c:v>0.312786499999999</c:v>
                </c:pt>
                <c:pt idx="67">
                  <c:v>0.324816749999999</c:v>
                </c:pt>
                <c:pt idx="68">
                  <c:v>0.336846999999999</c:v>
                </c:pt>
                <c:pt idx="69">
                  <c:v>0.34887725</c:v>
                </c:pt>
                <c:pt idx="70">
                  <c:v>0.3609075</c:v>
                </c:pt>
                <c:pt idx="71">
                  <c:v>0.372937749999999</c:v>
                </c:pt>
                <c:pt idx="72">
                  <c:v>0.384967999999999</c:v>
                </c:pt>
                <c:pt idx="73">
                  <c:v>0.39699825</c:v>
                </c:pt>
                <c:pt idx="74">
                  <c:v>0.4090285</c:v>
                </c:pt>
                <c:pt idx="75">
                  <c:v>0.421058749999999</c:v>
                </c:pt>
                <c:pt idx="76">
                  <c:v>0.433088999999999</c:v>
                </c:pt>
                <c:pt idx="77">
                  <c:v>0.445119249999999</c:v>
                </c:pt>
                <c:pt idx="78">
                  <c:v>0.4571495</c:v>
                </c:pt>
                <c:pt idx="79">
                  <c:v>0.469179749999999</c:v>
                </c:pt>
                <c:pt idx="80">
                  <c:v>0.481209999999999</c:v>
                </c:pt>
              </c:numCache>
            </c:numRef>
          </c:xVal>
          <c:yVal>
            <c:numRef>
              <c:f>Sheet1!$G$3:$G$83</c:f>
              <c:numCache>
                <c:formatCode>General</c:formatCode>
                <c:ptCount val="81"/>
                <c:pt idx="0">
                  <c:v>0.385473203426173</c:v>
                </c:pt>
                <c:pt idx="1">
                  <c:v>0.321198254295478</c:v>
                </c:pt>
                <c:pt idx="2">
                  <c:v>0.242539401110562</c:v>
                </c:pt>
                <c:pt idx="3">
                  <c:v>0.190416382820001</c:v>
                </c:pt>
                <c:pt idx="4">
                  <c:v>0.160034656737581</c:v>
                </c:pt>
                <c:pt idx="5">
                  <c:v>0.142157114907501</c:v>
                </c:pt>
                <c:pt idx="6">
                  <c:v>0.13117653253381</c:v>
                </c:pt>
                <c:pt idx="7">
                  <c:v>0.124189272153898</c:v>
                </c:pt>
                <c:pt idx="8">
                  <c:v>0.119542447532221</c:v>
                </c:pt>
                <c:pt idx="9">
                  <c:v>0.116333663399655</c:v>
                </c:pt>
                <c:pt idx="10">
                  <c:v>0.114048384724966</c:v>
                </c:pt>
                <c:pt idx="11">
                  <c:v>0.112378244882313</c:v>
                </c:pt>
                <c:pt idx="12">
                  <c:v>0.111130625561517</c:v>
                </c:pt>
                <c:pt idx="13">
                  <c:v>0.110180927204487</c:v>
                </c:pt>
                <c:pt idx="14">
                  <c:v>0.109446100890087</c:v>
                </c:pt>
                <c:pt idx="15">
                  <c:v>0.10886933995928</c:v>
                </c:pt>
                <c:pt idx="16">
                  <c:v>0.108410898531234</c:v>
                </c:pt>
                <c:pt idx="17">
                  <c:v>0.108042407533135</c:v>
                </c:pt>
                <c:pt idx="18">
                  <c:v>0.107743256578784</c:v>
                </c:pt>
                <c:pt idx="19">
                  <c:v>0.107498233349901</c:v>
                </c:pt>
                <c:pt idx="20">
                  <c:v>0.107295949172191</c:v>
                </c:pt>
                <c:pt idx="21">
                  <c:v>0.107127768013609</c:v>
                </c:pt>
                <c:pt idx="22">
                  <c:v>0.106987064843997</c:v>
                </c:pt>
                <c:pt idx="23">
                  <c:v>0.106868703710036</c:v>
                </c:pt>
                <c:pt idx="24">
                  <c:v>0.106768664997089</c:v>
                </c:pt>
                <c:pt idx="25">
                  <c:v>0.106683775640458</c:v>
                </c:pt>
                <c:pt idx="26">
                  <c:v>0.106611511442382</c:v>
                </c:pt>
                <c:pt idx="27">
                  <c:v>0.106549850589777</c:v>
                </c:pt>
                <c:pt idx="28">
                  <c:v>0.106497163995214</c:v>
                </c:pt>
                <c:pt idx="29">
                  <c:v>0.106452132439008</c:v>
                </c:pt>
                <c:pt idx="30">
                  <c:v>0.106413683439322</c:v>
                </c:pt>
                <c:pt idx="31">
                  <c:v>0.10638094280154</c:v>
                </c:pt>
                <c:pt idx="32">
                  <c:v>0.106353197205779</c:v>
                </c:pt>
                <c:pt idx="33">
                  <c:v>0.106329865182287</c:v>
                </c:pt>
                <c:pt idx="34">
                  <c:v>0.106310474530342</c:v>
                </c:pt>
                <c:pt idx="35">
                  <c:v>0.106294644745072</c:v>
                </c:pt>
                <c:pt idx="36">
                  <c:v>0.106282073387892</c:v>
                </c:pt>
                <c:pt idx="37">
                  <c:v>0.106272525610846</c:v>
                </c:pt>
                <c:pt idx="38">
                  <c:v>0.106265826251384</c:v>
                </c:pt>
                <c:pt idx="39">
                  <c:v>0.10626185407207</c:v>
                </c:pt>
                <c:pt idx="40">
                  <c:v>0.106260537843811</c:v>
                </c:pt>
                <c:pt idx="41">
                  <c:v>0.10626185407207</c:v>
                </c:pt>
                <c:pt idx="42">
                  <c:v>0.106265826251384</c:v>
                </c:pt>
                <c:pt idx="43">
                  <c:v>0.106272525610846</c:v>
                </c:pt>
                <c:pt idx="44">
                  <c:v>0.106282073387892</c:v>
                </c:pt>
                <c:pt idx="45">
                  <c:v>0.106294644745072</c:v>
                </c:pt>
                <c:pt idx="46">
                  <c:v>0.106310474530342</c:v>
                </c:pt>
                <c:pt idx="47">
                  <c:v>0.106329865182287</c:v>
                </c:pt>
                <c:pt idx="48">
                  <c:v>0.106353197205779</c:v>
                </c:pt>
                <c:pt idx="49">
                  <c:v>0.10638094280154</c:v>
                </c:pt>
                <c:pt idx="50">
                  <c:v>0.106413683439322</c:v>
                </c:pt>
                <c:pt idx="51">
                  <c:v>0.106452132439008</c:v>
                </c:pt>
                <c:pt idx="52">
                  <c:v>0.106497163995214</c:v>
                </c:pt>
                <c:pt idx="53">
                  <c:v>0.106549850589777</c:v>
                </c:pt>
                <c:pt idx="54">
                  <c:v>0.106611511442382</c:v>
                </c:pt>
                <c:pt idx="55">
                  <c:v>0.106683775640458</c:v>
                </c:pt>
                <c:pt idx="56">
                  <c:v>0.106768664997089</c:v>
                </c:pt>
                <c:pt idx="57">
                  <c:v>0.106868703710036</c:v>
                </c:pt>
                <c:pt idx="58">
                  <c:v>0.106987064843997</c:v>
                </c:pt>
                <c:pt idx="59">
                  <c:v>0.107127768013609</c:v>
                </c:pt>
                <c:pt idx="60">
                  <c:v>0.107295949172191</c:v>
                </c:pt>
                <c:pt idx="61">
                  <c:v>0.107498233349901</c:v>
                </c:pt>
                <c:pt idx="62">
                  <c:v>0.107743256578784</c:v>
                </c:pt>
                <c:pt idx="63">
                  <c:v>0.108042407533135</c:v>
                </c:pt>
                <c:pt idx="64">
                  <c:v>0.108410898531234</c:v>
                </c:pt>
                <c:pt idx="65">
                  <c:v>0.10886933995928</c:v>
                </c:pt>
                <c:pt idx="66">
                  <c:v>0.109446100890087</c:v>
                </c:pt>
                <c:pt idx="67">
                  <c:v>0.110180927204487</c:v>
                </c:pt>
                <c:pt idx="68">
                  <c:v>0.111130625561517</c:v>
                </c:pt>
                <c:pt idx="69">
                  <c:v>0.112378244882313</c:v>
                </c:pt>
                <c:pt idx="70">
                  <c:v>0.114048384724966</c:v>
                </c:pt>
                <c:pt idx="71">
                  <c:v>0.116333663399655</c:v>
                </c:pt>
                <c:pt idx="72">
                  <c:v>0.119542447532221</c:v>
                </c:pt>
                <c:pt idx="73">
                  <c:v>0.124189272153898</c:v>
                </c:pt>
                <c:pt idx="74">
                  <c:v>0.13117653253381</c:v>
                </c:pt>
                <c:pt idx="75">
                  <c:v>0.142157114907502</c:v>
                </c:pt>
                <c:pt idx="76">
                  <c:v>0.160034656737581</c:v>
                </c:pt>
                <c:pt idx="77">
                  <c:v>0.190416382820001</c:v>
                </c:pt>
                <c:pt idx="78">
                  <c:v>0.242539401110562</c:v>
                </c:pt>
                <c:pt idx="79">
                  <c:v>0.321198254295478</c:v>
                </c:pt>
                <c:pt idx="80">
                  <c:v>0.385473203426173</c:v>
                </c:pt>
              </c:numCache>
            </c:numRef>
          </c:yVal>
          <c:smooth val="1"/>
          <c:extLst xmlns:c16r2="http://schemas.microsoft.com/office/drawing/2015/06/chart">
            <c:ext xmlns:c16="http://schemas.microsoft.com/office/drawing/2014/chart" uri="{C3380CC4-5D6E-409C-BE32-E72D297353CC}">
              <c16:uniqueId val="{00000002-633F-4774-9A5E-A076F5AAE71A}"/>
            </c:ext>
          </c:extLst>
        </c:ser>
        <c:ser>
          <c:idx val="3"/>
          <c:order val="3"/>
          <c:tx>
            <c:strRef>
              <c:f>4 nm</c:f>
              <c:strCache>
                <c:ptCount val="1"/>
                <c:pt idx="0">
                  <c:v>4 nm</c:v>
                </c:pt>
              </c:strCache>
            </c:strRef>
          </c:tx>
          <c:spPr>
            <a:ln w="28575" cap="rnd" cmpd="sng" algn="ctr">
              <a:solidFill>
                <a:schemeClr val="accent4">
                  <a:shade val="76667"/>
                  <a:shade val="95000"/>
                  <a:satMod val="105000"/>
                </a:schemeClr>
              </a:solidFill>
              <a:prstDash val="solid"/>
              <a:round/>
            </a:ln>
          </c:spPr>
          <c:marker>
            <c:symbol val="none"/>
          </c:marker>
          <c:xVal>
            <c:numRef>
              <c:f>Sheet1!$L$3:$L$83</c:f>
              <c:numCache>
                <c:formatCode>General</c:formatCode>
                <c:ptCount val="81"/>
                <c:pt idx="0">
                  <c:v>-0.48121</c:v>
                </c:pt>
                <c:pt idx="1">
                  <c:v>-0.46917975</c:v>
                </c:pt>
                <c:pt idx="2">
                  <c:v>-0.4571495</c:v>
                </c:pt>
                <c:pt idx="3">
                  <c:v>-0.44511925</c:v>
                </c:pt>
                <c:pt idx="4">
                  <c:v>-0.433089</c:v>
                </c:pt>
                <c:pt idx="5">
                  <c:v>-0.42105875</c:v>
                </c:pt>
                <c:pt idx="6">
                  <c:v>-0.4090285</c:v>
                </c:pt>
                <c:pt idx="7">
                  <c:v>-0.396998250000001</c:v>
                </c:pt>
                <c:pt idx="8">
                  <c:v>-0.384968000000001</c:v>
                </c:pt>
                <c:pt idx="9">
                  <c:v>-0.372937750000001</c:v>
                </c:pt>
                <c:pt idx="10">
                  <c:v>-0.360907500000001</c:v>
                </c:pt>
                <c:pt idx="11">
                  <c:v>-0.348877250000001</c:v>
                </c:pt>
                <c:pt idx="12">
                  <c:v>-0.336847000000001</c:v>
                </c:pt>
                <c:pt idx="13">
                  <c:v>-0.324816750000001</c:v>
                </c:pt>
                <c:pt idx="14">
                  <c:v>-0.312786500000001</c:v>
                </c:pt>
                <c:pt idx="15">
                  <c:v>-0.300756250000001</c:v>
                </c:pt>
                <c:pt idx="16">
                  <c:v>-0.288726000000001</c:v>
                </c:pt>
                <c:pt idx="17">
                  <c:v>-0.276695750000001</c:v>
                </c:pt>
                <c:pt idx="18">
                  <c:v>-0.264665500000001</c:v>
                </c:pt>
                <c:pt idx="19">
                  <c:v>-0.252635250000001</c:v>
                </c:pt>
                <c:pt idx="20">
                  <c:v>-0.240605000000001</c:v>
                </c:pt>
                <c:pt idx="21">
                  <c:v>-0.228574750000001</c:v>
                </c:pt>
                <c:pt idx="22">
                  <c:v>-0.216544500000001</c:v>
                </c:pt>
                <c:pt idx="23">
                  <c:v>-0.204514250000001</c:v>
                </c:pt>
                <c:pt idx="24">
                  <c:v>-0.192484000000001</c:v>
                </c:pt>
                <c:pt idx="25">
                  <c:v>-0.180453750000001</c:v>
                </c:pt>
                <c:pt idx="26">
                  <c:v>-0.168423500000001</c:v>
                </c:pt>
                <c:pt idx="27">
                  <c:v>-0.156393250000001</c:v>
                </c:pt>
                <c:pt idx="28">
                  <c:v>-0.144363000000001</c:v>
                </c:pt>
                <c:pt idx="29">
                  <c:v>-0.132332750000001</c:v>
                </c:pt>
                <c:pt idx="30">
                  <c:v>-0.120302500000001</c:v>
                </c:pt>
                <c:pt idx="31">
                  <c:v>-0.108272250000001</c:v>
                </c:pt>
                <c:pt idx="32">
                  <c:v>-0.096242000000001</c:v>
                </c:pt>
                <c:pt idx="33">
                  <c:v>-0.084211750000001</c:v>
                </c:pt>
                <c:pt idx="34">
                  <c:v>-0.072181500000001</c:v>
                </c:pt>
                <c:pt idx="35">
                  <c:v>-0.060151250000001</c:v>
                </c:pt>
                <c:pt idx="36">
                  <c:v>-0.048121000000001</c:v>
                </c:pt>
                <c:pt idx="37">
                  <c:v>-0.036090750000001</c:v>
                </c:pt>
                <c:pt idx="38">
                  <c:v>-0.024060500000001</c:v>
                </c:pt>
                <c:pt idx="39">
                  <c:v>-0.012030250000001</c:v>
                </c:pt>
                <c:pt idx="40">
                  <c:v>-9.94759830064177E-16</c:v>
                </c:pt>
                <c:pt idx="41">
                  <c:v>0.01203025</c:v>
                </c:pt>
                <c:pt idx="42">
                  <c:v>0.0240605</c:v>
                </c:pt>
                <c:pt idx="43">
                  <c:v>0.03609075</c:v>
                </c:pt>
                <c:pt idx="44">
                  <c:v>0.048121</c:v>
                </c:pt>
                <c:pt idx="45">
                  <c:v>0.06015125</c:v>
                </c:pt>
                <c:pt idx="46">
                  <c:v>0.0721815</c:v>
                </c:pt>
                <c:pt idx="47">
                  <c:v>0.08421175</c:v>
                </c:pt>
                <c:pt idx="48">
                  <c:v>0.096242</c:v>
                </c:pt>
                <c:pt idx="49">
                  <c:v>0.108272249999999</c:v>
                </c:pt>
                <c:pt idx="50">
                  <c:v>0.1203025</c:v>
                </c:pt>
                <c:pt idx="51">
                  <c:v>0.132332749999999</c:v>
                </c:pt>
                <c:pt idx="52">
                  <c:v>0.144363</c:v>
                </c:pt>
                <c:pt idx="53">
                  <c:v>0.156393249999999</c:v>
                </c:pt>
                <c:pt idx="54">
                  <c:v>0.168423499999999</c:v>
                </c:pt>
                <c:pt idx="55">
                  <c:v>0.18045375</c:v>
                </c:pt>
                <c:pt idx="56">
                  <c:v>0.192484</c:v>
                </c:pt>
                <c:pt idx="57">
                  <c:v>0.20451425</c:v>
                </c:pt>
                <c:pt idx="58">
                  <c:v>0.216544499999999</c:v>
                </c:pt>
                <c:pt idx="59">
                  <c:v>0.228574749999999</c:v>
                </c:pt>
                <c:pt idx="60">
                  <c:v>0.240604999999999</c:v>
                </c:pt>
                <c:pt idx="61">
                  <c:v>0.25263525</c:v>
                </c:pt>
                <c:pt idx="62">
                  <c:v>0.264665499999999</c:v>
                </c:pt>
                <c:pt idx="63">
                  <c:v>0.276695749999999</c:v>
                </c:pt>
                <c:pt idx="64">
                  <c:v>0.288726</c:v>
                </c:pt>
                <c:pt idx="65">
                  <c:v>0.30075625</c:v>
                </c:pt>
                <c:pt idx="66">
                  <c:v>0.312786499999999</c:v>
                </c:pt>
                <c:pt idx="67">
                  <c:v>0.324816749999999</c:v>
                </c:pt>
                <c:pt idx="68">
                  <c:v>0.336846999999999</c:v>
                </c:pt>
                <c:pt idx="69">
                  <c:v>0.34887725</c:v>
                </c:pt>
                <c:pt idx="70">
                  <c:v>0.3609075</c:v>
                </c:pt>
                <c:pt idx="71">
                  <c:v>0.372937749999999</c:v>
                </c:pt>
                <c:pt idx="72">
                  <c:v>0.384967999999999</c:v>
                </c:pt>
                <c:pt idx="73">
                  <c:v>0.39699825</c:v>
                </c:pt>
                <c:pt idx="74">
                  <c:v>0.4090285</c:v>
                </c:pt>
                <c:pt idx="75">
                  <c:v>0.421058749999999</c:v>
                </c:pt>
                <c:pt idx="76">
                  <c:v>0.433088999999999</c:v>
                </c:pt>
                <c:pt idx="77">
                  <c:v>0.445119249999999</c:v>
                </c:pt>
                <c:pt idx="78">
                  <c:v>0.4571495</c:v>
                </c:pt>
                <c:pt idx="79">
                  <c:v>0.469179749999999</c:v>
                </c:pt>
                <c:pt idx="80">
                  <c:v>0.481209999999999</c:v>
                </c:pt>
              </c:numCache>
            </c:numRef>
          </c:xVal>
          <c:yVal>
            <c:numRef>
              <c:f>Sheet1!$I$3:$I$83</c:f>
              <c:numCache>
                <c:formatCode>General</c:formatCode>
                <c:ptCount val="81"/>
                <c:pt idx="0">
                  <c:v>0.385509337984124</c:v>
                </c:pt>
                <c:pt idx="1">
                  <c:v>0.349998438192523</c:v>
                </c:pt>
                <c:pt idx="2">
                  <c:v>0.29465972291139</c:v>
                </c:pt>
                <c:pt idx="3">
                  <c:v>0.24473203819994</c:v>
                </c:pt>
                <c:pt idx="4">
                  <c:v>0.206961877885403</c:v>
                </c:pt>
                <c:pt idx="5">
                  <c:v>0.180241813171683</c:v>
                </c:pt>
                <c:pt idx="6">
                  <c:v>0.161597123545782</c:v>
                </c:pt>
                <c:pt idx="7">
                  <c:v>0.148455472042484</c:v>
                </c:pt>
                <c:pt idx="8">
                  <c:v>0.139013744244325</c:v>
                </c:pt>
                <c:pt idx="9">
                  <c:v>0.132104638361804</c:v>
                </c:pt>
                <c:pt idx="10">
                  <c:v>0.12698629862843</c:v>
                </c:pt>
                <c:pt idx="11">
                  <c:v>0.123116462692698</c:v>
                </c:pt>
                <c:pt idx="12">
                  <c:v>0.120137022361931</c:v>
                </c:pt>
                <c:pt idx="13">
                  <c:v>0.117806700634419</c:v>
                </c:pt>
                <c:pt idx="14">
                  <c:v>0.115958778909678</c:v>
                </c:pt>
                <c:pt idx="15">
                  <c:v>0.114475488728585</c:v>
                </c:pt>
                <c:pt idx="16">
                  <c:v>0.113272003883846</c:v>
                </c:pt>
                <c:pt idx="17">
                  <c:v>0.112286158296357</c:v>
                </c:pt>
                <c:pt idx="18">
                  <c:v>0.111471681178213</c:v>
                </c:pt>
                <c:pt idx="19">
                  <c:v>0.110793649706427</c:v>
                </c:pt>
                <c:pt idx="20">
                  <c:v>0.110225372616594</c:v>
                </c:pt>
                <c:pt idx="21">
                  <c:v>0.109746216720452</c:v>
                </c:pt>
                <c:pt idx="22">
                  <c:v>0.109340066732819</c:v>
                </c:pt>
                <c:pt idx="23">
                  <c:v>0.108994217922476</c:v>
                </c:pt>
                <c:pt idx="24">
                  <c:v>0.108698569323885</c:v>
                </c:pt>
                <c:pt idx="25">
                  <c:v>0.108445028749483</c:v>
                </c:pt>
                <c:pt idx="26">
                  <c:v>0.108227069092778</c:v>
                </c:pt>
                <c:pt idx="27">
                  <c:v>0.108039394069583</c:v>
                </c:pt>
                <c:pt idx="28">
                  <c:v>0.10787768405984</c:v>
                </c:pt>
                <c:pt idx="29">
                  <c:v>0.107738401230177</c:v>
                </c:pt>
                <c:pt idx="30">
                  <c:v>0.107618638993413</c:v>
                </c:pt>
                <c:pt idx="31">
                  <c:v>0.107516004966901</c:v>
                </c:pt>
                <c:pt idx="32">
                  <c:v>0.107428529494855</c:v>
                </c:pt>
                <c:pt idx="33">
                  <c:v>0.107354593876857</c:v>
                </c:pt>
                <c:pt idx="34">
                  <c:v>0.107292873947363</c:v>
                </c:pt>
                <c:pt idx="35">
                  <c:v>0.107242295750609</c:v>
                </c:pt>
                <c:pt idx="36">
                  <c:v>0.107202000869521</c:v>
                </c:pt>
                <c:pt idx="37">
                  <c:v>0.107171319578138</c:v>
                </c:pt>
                <c:pt idx="38">
                  <c:v>0.107149750452466</c:v>
                </c:pt>
                <c:pt idx="39">
                  <c:v>0.107136945436219</c:v>
                </c:pt>
                <c:pt idx="40">
                  <c:v>0.107132699645839</c:v>
                </c:pt>
                <c:pt idx="41">
                  <c:v>0.107136945436219</c:v>
                </c:pt>
                <c:pt idx="42">
                  <c:v>0.107149750452466</c:v>
                </c:pt>
                <c:pt idx="43">
                  <c:v>0.107171319578138</c:v>
                </c:pt>
                <c:pt idx="44">
                  <c:v>0.107202000869521</c:v>
                </c:pt>
                <c:pt idx="45">
                  <c:v>0.107242295750609</c:v>
                </c:pt>
                <c:pt idx="46">
                  <c:v>0.107292873947363</c:v>
                </c:pt>
                <c:pt idx="47">
                  <c:v>0.107354593876857</c:v>
                </c:pt>
                <c:pt idx="48">
                  <c:v>0.107428529494855</c:v>
                </c:pt>
                <c:pt idx="49">
                  <c:v>0.107516004966901</c:v>
                </c:pt>
                <c:pt idx="50">
                  <c:v>0.107618638993413</c:v>
                </c:pt>
                <c:pt idx="51">
                  <c:v>0.107738401230177</c:v>
                </c:pt>
                <c:pt idx="52">
                  <c:v>0.10787768405984</c:v>
                </c:pt>
                <c:pt idx="53">
                  <c:v>0.108039394069583</c:v>
                </c:pt>
                <c:pt idx="54">
                  <c:v>0.108227069092778</c:v>
                </c:pt>
                <c:pt idx="55">
                  <c:v>0.108445028749483</c:v>
                </c:pt>
                <c:pt idx="56">
                  <c:v>0.108698569323885</c:v>
                </c:pt>
                <c:pt idx="57">
                  <c:v>0.108994217922476</c:v>
                </c:pt>
                <c:pt idx="58">
                  <c:v>0.109340066732819</c:v>
                </c:pt>
                <c:pt idx="59">
                  <c:v>0.109746216720452</c:v>
                </c:pt>
                <c:pt idx="60">
                  <c:v>0.110225372616594</c:v>
                </c:pt>
                <c:pt idx="61">
                  <c:v>0.110793649706427</c:v>
                </c:pt>
                <c:pt idx="62">
                  <c:v>0.111471681178213</c:v>
                </c:pt>
                <c:pt idx="63">
                  <c:v>0.112286158296357</c:v>
                </c:pt>
                <c:pt idx="64">
                  <c:v>0.113272003883846</c:v>
                </c:pt>
                <c:pt idx="65">
                  <c:v>0.114475488728585</c:v>
                </c:pt>
                <c:pt idx="66">
                  <c:v>0.115958778909678</c:v>
                </c:pt>
                <c:pt idx="67">
                  <c:v>0.117806700634419</c:v>
                </c:pt>
                <c:pt idx="68">
                  <c:v>0.120137022361931</c:v>
                </c:pt>
                <c:pt idx="69">
                  <c:v>0.123116462692698</c:v>
                </c:pt>
                <c:pt idx="70">
                  <c:v>0.12698629862843</c:v>
                </c:pt>
                <c:pt idx="71">
                  <c:v>0.132104638361804</c:v>
                </c:pt>
                <c:pt idx="72">
                  <c:v>0.139013744244325</c:v>
                </c:pt>
                <c:pt idx="73">
                  <c:v>0.148455472042484</c:v>
                </c:pt>
                <c:pt idx="74">
                  <c:v>0.161597123545782</c:v>
                </c:pt>
                <c:pt idx="75">
                  <c:v>0.180241813171683</c:v>
                </c:pt>
                <c:pt idx="76">
                  <c:v>0.206961877885404</c:v>
                </c:pt>
                <c:pt idx="77">
                  <c:v>0.244732038199941</c:v>
                </c:pt>
                <c:pt idx="78">
                  <c:v>0.294659722911391</c:v>
                </c:pt>
                <c:pt idx="79">
                  <c:v>0.349998438192524</c:v>
                </c:pt>
                <c:pt idx="80">
                  <c:v>0.385509337984124</c:v>
                </c:pt>
              </c:numCache>
            </c:numRef>
          </c:yVal>
          <c:smooth val="1"/>
          <c:extLst xmlns:c16r2="http://schemas.microsoft.com/office/drawing/2015/06/chart">
            <c:ext xmlns:c16="http://schemas.microsoft.com/office/drawing/2014/chart" uri="{C3380CC4-5D6E-409C-BE32-E72D297353CC}">
              <c16:uniqueId val="{00000003-633F-4774-9A5E-A076F5AAE71A}"/>
            </c:ext>
          </c:extLst>
        </c:ser>
        <c:ser>
          <c:idx val="4"/>
          <c:order val="4"/>
          <c:tx>
            <c:strRef>
              <c:f>2 nm</c:f>
              <c:strCache>
                <c:ptCount val="1"/>
                <c:pt idx="0">
                  <c:v>2 nm</c:v>
                </c:pt>
              </c:strCache>
            </c:strRef>
          </c:tx>
          <c:spPr>
            <a:ln w="28575" cap="rnd" cmpd="sng" algn="ctr">
              <a:solidFill>
                <a:srgbClr val="FF0000"/>
              </a:solidFill>
              <a:prstDash val="solid"/>
              <a:round/>
            </a:ln>
          </c:spPr>
          <c:marker>
            <c:symbol val="none"/>
          </c:marker>
          <c:xVal>
            <c:numRef>
              <c:f>Sheet1!$L$3:$L$83</c:f>
              <c:numCache>
                <c:formatCode>General</c:formatCode>
                <c:ptCount val="81"/>
                <c:pt idx="0">
                  <c:v>-0.48121</c:v>
                </c:pt>
                <c:pt idx="1">
                  <c:v>-0.46917975</c:v>
                </c:pt>
                <c:pt idx="2">
                  <c:v>-0.4571495</c:v>
                </c:pt>
                <c:pt idx="3">
                  <c:v>-0.44511925</c:v>
                </c:pt>
                <c:pt idx="4">
                  <c:v>-0.433089</c:v>
                </c:pt>
                <c:pt idx="5">
                  <c:v>-0.42105875</c:v>
                </c:pt>
                <c:pt idx="6">
                  <c:v>-0.4090285</c:v>
                </c:pt>
                <c:pt idx="7">
                  <c:v>-0.396998250000001</c:v>
                </c:pt>
                <c:pt idx="8">
                  <c:v>-0.384968000000001</c:v>
                </c:pt>
                <c:pt idx="9">
                  <c:v>-0.372937750000001</c:v>
                </c:pt>
                <c:pt idx="10">
                  <c:v>-0.360907500000001</c:v>
                </c:pt>
                <c:pt idx="11">
                  <c:v>-0.348877250000001</c:v>
                </c:pt>
                <c:pt idx="12">
                  <c:v>-0.336847000000001</c:v>
                </c:pt>
                <c:pt idx="13">
                  <c:v>-0.324816750000001</c:v>
                </c:pt>
                <c:pt idx="14">
                  <c:v>-0.312786500000001</c:v>
                </c:pt>
                <c:pt idx="15">
                  <c:v>-0.300756250000001</c:v>
                </c:pt>
                <c:pt idx="16">
                  <c:v>-0.288726000000001</c:v>
                </c:pt>
                <c:pt idx="17">
                  <c:v>-0.276695750000001</c:v>
                </c:pt>
                <c:pt idx="18">
                  <c:v>-0.264665500000001</c:v>
                </c:pt>
                <c:pt idx="19">
                  <c:v>-0.252635250000001</c:v>
                </c:pt>
                <c:pt idx="20">
                  <c:v>-0.240605000000001</c:v>
                </c:pt>
                <c:pt idx="21">
                  <c:v>-0.228574750000001</c:v>
                </c:pt>
                <c:pt idx="22">
                  <c:v>-0.216544500000001</c:v>
                </c:pt>
                <c:pt idx="23">
                  <c:v>-0.204514250000001</c:v>
                </c:pt>
                <c:pt idx="24">
                  <c:v>-0.192484000000001</c:v>
                </c:pt>
                <c:pt idx="25">
                  <c:v>-0.180453750000001</c:v>
                </c:pt>
                <c:pt idx="26">
                  <c:v>-0.168423500000001</c:v>
                </c:pt>
                <c:pt idx="27">
                  <c:v>-0.156393250000001</c:v>
                </c:pt>
                <c:pt idx="28">
                  <c:v>-0.144363000000001</c:v>
                </c:pt>
                <c:pt idx="29">
                  <c:v>-0.132332750000001</c:v>
                </c:pt>
                <c:pt idx="30">
                  <c:v>-0.120302500000001</c:v>
                </c:pt>
                <c:pt idx="31">
                  <c:v>-0.108272250000001</c:v>
                </c:pt>
                <c:pt idx="32">
                  <c:v>-0.096242000000001</c:v>
                </c:pt>
                <c:pt idx="33">
                  <c:v>-0.084211750000001</c:v>
                </c:pt>
                <c:pt idx="34">
                  <c:v>-0.072181500000001</c:v>
                </c:pt>
                <c:pt idx="35">
                  <c:v>-0.060151250000001</c:v>
                </c:pt>
                <c:pt idx="36">
                  <c:v>-0.048121000000001</c:v>
                </c:pt>
                <c:pt idx="37">
                  <c:v>-0.036090750000001</c:v>
                </c:pt>
                <c:pt idx="38">
                  <c:v>-0.024060500000001</c:v>
                </c:pt>
                <c:pt idx="39">
                  <c:v>-0.012030250000001</c:v>
                </c:pt>
                <c:pt idx="40">
                  <c:v>-9.94759830064177E-16</c:v>
                </c:pt>
                <c:pt idx="41">
                  <c:v>0.01203025</c:v>
                </c:pt>
                <c:pt idx="42">
                  <c:v>0.0240605</c:v>
                </c:pt>
                <c:pt idx="43">
                  <c:v>0.03609075</c:v>
                </c:pt>
                <c:pt idx="44">
                  <c:v>0.048121</c:v>
                </c:pt>
                <c:pt idx="45">
                  <c:v>0.06015125</c:v>
                </c:pt>
                <c:pt idx="46">
                  <c:v>0.0721815</c:v>
                </c:pt>
                <c:pt idx="47">
                  <c:v>0.08421175</c:v>
                </c:pt>
                <c:pt idx="48">
                  <c:v>0.096242</c:v>
                </c:pt>
                <c:pt idx="49">
                  <c:v>0.108272249999999</c:v>
                </c:pt>
                <c:pt idx="50">
                  <c:v>0.1203025</c:v>
                </c:pt>
                <c:pt idx="51">
                  <c:v>0.132332749999999</c:v>
                </c:pt>
                <c:pt idx="52">
                  <c:v>0.144363</c:v>
                </c:pt>
                <c:pt idx="53">
                  <c:v>0.156393249999999</c:v>
                </c:pt>
                <c:pt idx="54">
                  <c:v>0.168423499999999</c:v>
                </c:pt>
                <c:pt idx="55">
                  <c:v>0.18045375</c:v>
                </c:pt>
                <c:pt idx="56">
                  <c:v>0.192484</c:v>
                </c:pt>
                <c:pt idx="57">
                  <c:v>0.20451425</c:v>
                </c:pt>
                <c:pt idx="58">
                  <c:v>0.216544499999999</c:v>
                </c:pt>
                <c:pt idx="59">
                  <c:v>0.228574749999999</c:v>
                </c:pt>
                <c:pt idx="60">
                  <c:v>0.240604999999999</c:v>
                </c:pt>
                <c:pt idx="61">
                  <c:v>0.25263525</c:v>
                </c:pt>
                <c:pt idx="62">
                  <c:v>0.264665499999999</c:v>
                </c:pt>
                <c:pt idx="63">
                  <c:v>0.276695749999999</c:v>
                </c:pt>
                <c:pt idx="64">
                  <c:v>0.288726</c:v>
                </c:pt>
                <c:pt idx="65">
                  <c:v>0.30075625</c:v>
                </c:pt>
                <c:pt idx="66">
                  <c:v>0.312786499999999</c:v>
                </c:pt>
                <c:pt idx="67">
                  <c:v>0.324816749999999</c:v>
                </c:pt>
                <c:pt idx="68">
                  <c:v>0.336846999999999</c:v>
                </c:pt>
                <c:pt idx="69">
                  <c:v>0.34887725</c:v>
                </c:pt>
                <c:pt idx="70">
                  <c:v>0.3609075</c:v>
                </c:pt>
                <c:pt idx="71">
                  <c:v>0.372937749999999</c:v>
                </c:pt>
                <c:pt idx="72">
                  <c:v>0.384967999999999</c:v>
                </c:pt>
                <c:pt idx="73">
                  <c:v>0.39699825</c:v>
                </c:pt>
                <c:pt idx="74">
                  <c:v>0.4090285</c:v>
                </c:pt>
                <c:pt idx="75">
                  <c:v>0.421058749999999</c:v>
                </c:pt>
                <c:pt idx="76">
                  <c:v>0.433088999999999</c:v>
                </c:pt>
                <c:pt idx="77">
                  <c:v>0.445119249999999</c:v>
                </c:pt>
                <c:pt idx="78">
                  <c:v>0.4571495</c:v>
                </c:pt>
                <c:pt idx="79">
                  <c:v>0.469179749999999</c:v>
                </c:pt>
                <c:pt idx="80">
                  <c:v>0.481209999999999</c:v>
                </c:pt>
              </c:numCache>
            </c:numRef>
          </c:xVal>
          <c:yVal>
            <c:numRef>
              <c:f>Sheet1!$K$3:$K$83</c:f>
              <c:numCache>
                <c:formatCode>General</c:formatCode>
                <c:ptCount val="81"/>
                <c:pt idx="0">
                  <c:v>0.38604819965993</c:v>
                </c:pt>
                <c:pt idx="1">
                  <c:v>0.375696353963756</c:v>
                </c:pt>
                <c:pt idx="2">
                  <c:v>0.355999650583574</c:v>
                </c:pt>
                <c:pt idx="3">
                  <c:v>0.332143668929356</c:v>
                </c:pt>
                <c:pt idx="4">
                  <c:v>0.307085924835046</c:v>
                </c:pt>
                <c:pt idx="5">
                  <c:v>0.282718577766215</c:v>
                </c:pt>
                <c:pt idx="6">
                  <c:v>0.260180718668825</c:v>
                </c:pt>
                <c:pt idx="7">
                  <c:v>0.240032480904135</c:v>
                </c:pt>
                <c:pt idx="8">
                  <c:v>0.222425084818428</c:v>
                </c:pt>
                <c:pt idx="9">
                  <c:v>0.207258154836085</c:v>
                </c:pt>
                <c:pt idx="10">
                  <c:v>0.194301939332375</c:v>
                </c:pt>
                <c:pt idx="11">
                  <c:v>0.183278608750028</c:v>
                </c:pt>
                <c:pt idx="12">
                  <c:v>0.17390941985617</c:v>
                </c:pt>
                <c:pt idx="13">
                  <c:v>0.165938296089793</c:v>
                </c:pt>
                <c:pt idx="14">
                  <c:v>0.159141081078988</c:v>
                </c:pt>
                <c:pt idx="15">
                  <c:v>0.153326978467215</c:v>
                </c:pt>
                <c:pt idx="16">
                  <c:v>0.148336214572629</c:v>
                </c:pt>
                <c:pt idx="17">
                  <c:v>0.144036208548676</c:v>
                </c:pt>
                <c:pt idx="18">
                  <c:v>0.14031744087601</c:v>
                </c:pt>
                <c:pt idx="19">
                  <c:v>0.137092079434219</c:v>
                </c:pt>
                <c:pt idx="20">
                  <c:v>0.134298519666374</c:v>
                </c:pt>
                <c:pt idx="21">
                  <c:v>0.131872282171491</c:v>
                </c:pt>
                <c:pt idx="22">
                  <c:v>0.129758385235852</c:v>
                </c:pt>
                <c:pt idx="23">
                  <c:v>0.127911787694726</c:v>
                </c:pt>
                <c:pt idx="24">
                  <c:v>0.126295370105813</c:v>
                </c:pt>
                <c:pt idx="25">
                  <c:v>0.124878380263008</c:v>
                </c:pt>
                <c:pt idx="26">
                  <c:v>0.123635224657735</c:v>
                </c:pt>
                <c:pt idx="27">
                  <c:v>0.122544521093115</c:v>
                </c:pt>
                <c:pt idx="28">
                  <c:v>0.121588350682289</c:v>
                </c:pt>
                <c:pt idx="29">
                  <c:v>0.120751663610591</c:v>
                </c:pt>
                <c:pt idx="30">
                  <c:v>0.120021804581479</c:v>
                </c:pt>
                <c:pt idx="31">
                  <c:v>0.119388132243349</c:v>
                </c:pt>
                <c:pt idx="32">
                  <c:v>0.118841713057739</c:v>
                </c:pt>
                <c:pt idx="33">
                  <c:v>0.118375074658481</c:v>
                </c:pt>
                <c:pt idx="34">
                  <c:v>0.117982007206117</c:v>
                </c:pt>
                <c:pt idx="35">
                  <c:v>0.117657403871268</c:v>
                </c:pt>
                <c:pt idx="36">
                  <c:v>0.117397133604411</c:v>
                </c:pt>
                <c:pt idx="37">
                  <c:v>0.117197940926893</c:v>
                </c:pt>
                <c:pt idx="38">
                  <c:v>0.117057368725771</c:v>
                </c:pt>
                <c:pt idx="39">
                  <c:v>0.116973701040423</c:v>
                </c:pt>
                <c:pt idx="40">
                  <c:v>0.116945923658082</c:v>
                </c:pt>
                <c:pt idx="41">
                  <c:v>0.116973701040423</c:v>
                </c:pt>
                <c:pt idx="42">
                  <c:v>0.117057368725771</c:v>
                </c:pt>
                <c:pt idx="43">
                  <c:v>0.117197940926893</c:v>
                </c:pt>
                <c:pt idx="44">
                  <c:v>0.117397133604411</c:v>
                </c:pt>
                <c:pt idx="45">
                  <c:v>0.117657403871268</c:v>
                </c:pt>
                <c:pt idx="46">
                  <c:v>0.117982007206117</c:v>
                </c:pt>
                <c:pt idx="47">
                  <c:v>0.118375074658481</c:v>
                </c:pt>
                <c:pt idx="48">
                  <c:v>0.118841713057739</c:v>
                </c:pt>
                <c:pt idx="49">
                  <c:v>0.119388132243349</c:v>
                </c:pt>
                <c:pt idx="50">
                  <c:v>0.120021804581479</c:v>
                </c:pt>
                <c:pt idx="51">
                  <c:v>0.120751663610591</c:v>
                </c:pt>
                <c:pt idx="52">
                  <c:v>0.121588350682289</c:v>
                </c:pt>
                <c:pt idx="53">
                  <c:v>0.122544521093115</c:v>
                </c:pt>
                <c:pt idx="54">
                  <c:v>0.123635224657735</c:v>
                </c:pt>
                <c:pt idx="55">
                  <c:v>0.124878380263008</c:v>
                </c:pt>
                <c:pt idx="56">
                  <c:v>0.126295370105813</c:v>
                </c:pt>
                <c:pt idx="57">
                  <c:v>0.127911787694726</c:v>
                </c:pt>
                <c:pt idx="58">
                  <c:v>0.129758385235852</c:v>
                </c:pt>
                <c:pt idx="59">
                  <c:v>0.131872282171491</c:v>
                </c:pt>
                <c:pt idx="60">
                  <c:v>0.134298519666374</c:v>
                </c:pt>
                <c:pt idx="61">
                  <c:v>0.137092079434219</c:v>
                </c:pt>
                <c:pt idx="62">
                  <c:v>0.14031744087601</c:v>
                </c:pt>
                <c:pt idx="63">
                  <c:v>0.144036208548676</c:v>
                </c:pt>
                <c:pt idx="64">
                  <c:v>0.148336214572629</c:v>
                </c:pt>
                <c:pt idx="65">
                  <c:v>0.153326978467215</c:v>
                </c:pt>
                <c:pt idx="66">
                  <c:v>0.159141081078988</c:v>
                </c:pt>
                <c:pt idx="67">
                  <c:v>0.165938296089793</c:v>
                </c:pt>
                <c:pt idx="68">
                  <c:v>0.17390941985617</c:v>
                </c:pt>
                <c:pt idx="69">
                  <c:v>0.183278608750028</c:v>
                </c:pt>
                <c:pt idx="70">
                  <c:v>0.194301939332375</c:v>
                </c:pt>
                <c:pt idx="71">
                  <c:v>0.207258154836084</c:v>
                </c:pt>
                <c:pt idx="72">
                  <c:v>0.222425084818428</c:v>
                </c:pt>
                <c:pt idx="73">
                  <c:v>0.240032480904135</c:v>
                </c:pt>
                <c:pt idx="74">
                  <c:v>0.260180718668825</c:v>
                </c:pt>
                <c:pt idx="75">
                  <c:v>0.282718577766214</c:v>
                </c:pt>
                <c:pt idx="76">
                  <c:v>0.307085924835045</c:v>
                </c:pt>
                <c:pt idx="77">
                  <c:v>0.332143668929356</c:v>
                </c:pt>
                <c:pt idx="78">
                  <c:v>0.355999650583574</c:v>
                </c:pt>
                <c:pt idx="79">
                  <c:v>0.375696353963756</c:v>
                </c:pt>
                <c:pt idx="80">
                  <c:v>0.38604819965993</c:v>
                </c:pt>
              </c:numCache>
            </c:numRef>
          </c:yVal>
          <c:smooth val="1"/>
          <c:extLst xmlns:c16r2="http://schemas.microsoft.com/office/drawing/2015/06/chart">
            <c:ext xmlns:c16="http://schemas.microsoft.com/office/drawing/2014/chart" uri="{C3380CC4-5D6E-409C-BE32-E72D297353CC}">
              <c16:uniqueId val="{00000004-633F-4774-9A5E-A076F5AAE71A}"/>
            </c:ext>
          </c:extLst>
        </c:ser>
        <c:ser>
          <c:idx val="5"/>
          <c:order val="5"/>
          <c:tx>
            <c:strRef>
              <c:f>Bulk</c:f>
              <c:strCache>
                <c:ptCount val="1"/>
                <c:pt idx="0">
                  <c:v>Bulk</c:v>
                </c:pt>
              </c:strCache>
            </c:strRef>
          </c:tx>
          <c:spPr>
            <a:ln w="28575" cap="rnd" cmpd="sng" algn="ctr">
              <a:solidFill>
                <a:schemeClr val="tx1"/>
              </a:solidFill>
              <a:prstDash val="solid"/>
              <a:round/>
            </a:ln>
          </c:spPr>
          <c:marker>
            <c:symbol val="none"/>
          </c:marker>
          <c:xVal>
            <c:numRef>
              <c:f>Sheet1!$L$3:$L$83</c:f>
              <c:numCache>
                <c:formatCode>General</c:formatCode>
                <c:ptCount val="81"/>
                <c:pt idx="0">
                  <c:v>-0.48121</c:v>
                </c:pt>
                <c:pt idx="1">
                  <c:v>-0.46917975</c:v>
                </c:pt>
                <c:pt idx="2">
                  <c:v>-0.4571495</c:v>
                </c:pt>
                <c:pt idx="3">
                  <c:v>-0.44511925</c:v>
                </c:pt>
                <c:pt idx="4">
                  <c:v>-0.433089</c:v>
                </c:pt>
                <c:pt idx="5">
                  <c:v>-0.42105875</c:v>
                </c:pt>
                <c:pt idx="6">
                  <c:v>-0.4090285</c:v>
                </c:pt>
                <c:pt idx="7">
                  <c:v>-0.396998250000001</c:v>
                </c:pt>
                <c:pt idx="8">
                  <c:v>-0.384968000000001</c:v>
                </c:pt>
                <c:pt idx="9">
                  <c:v>-0.372937750000001</c:v>
                </c:pt>
                <c:pt idx="10">
                  <c:v>-0.360907500000001</c:v>
                </c:pt>
                <c:pt idx="11">
                  <c:v>-0.348877250000001</c:v>
                </c:pt>
                <c:pt idx="12">
                  <c:v>-0.336847000000001</c:v>
                </c:pt>
                <c:pt idx="13">
                  <c:v>-0.324816750000001</c:v>
                </c:pt>
                <c:pt idx="14">
                  <c:v>-0.312786500000001</c:v>
                </c:pt>
                <c:pt idx="15">
                  <c:v>-0.300756250000001</c:v>
                </c:pt>
                <c:pt idx="16">
                  <c:v>-0.288726000000001</c:v>
                </c:pt>
                <c:pt idx="17">
                  <c:v>-0.276695750000001</c:v>
                </c:pt>
                <c:pt idx="18">
                  <c:v>-0.264665500000001</c:v>
                </c:pt>
                <c:pt idx="19">
                  <c:v>-0.252635250000001</c:v>
                </c:pt>
                <c:pt idx="20">
                  <c:v>-0.240605000000001</c:v>
                </c:pt>
                <c:pt idx="21">
                  <c:v>-0.228574750000001</c:v>
                </c:pt>
                <c:pt idx="22">
                  <c:v>-0.216544500000001</c:v>
                </c:pt>
                <c:pt idx="23">
                  <c:v>-0.204514250000001</c:v>
                </c:pt>
                <c:pt idx="24">
                  <c:v>-0.192484000000001</c:v>
                </c:pt>
                <c:pt idx="25">
                  <c:v>-0.180453750000001</c:v>
                </c:pt>
                <c:pt idx="26">
                  <c:v>-0.168423500000001</c:v>
                </c:pt>
                <c:pt idx="27">
                  <c:v>-0.156393250000001</c:v>
                </c:pt>
                <c:pt idx="28">
                  <c:v>-0.144363000000001</c:v>
                </c:pt>
                <c:pt idx="29">
                  <c:v>-0.132332750000001</c:v>
                </c:pt>
                <c:pt idx="30">
                  <c:v>-0.120302500000001</c:v>
                </c:pt>
                <c:pt idx="31">
                  <c:v>-0.108272250000001</c:v>
                </c:pt>
                <c:pt idx="32">
                  <c:v>-0.096242000000001</c:v>
                </c:pt>
                <c:pt idx="33">
                  <c:v>-0.084211750000001</c:v>
                </c:pt>
                <c:pt idx="34">
                  <c:v>-0.072181500000001</c:v>
                </c:pt>
                <c:pt idx="35">
                  <c:v>-0.060151250000001</c:v>
                </c:pt>
                <c:pt idx="36">
                  <c:v>-0.048121000000001</c:v>
                </c:pt>
                <c:pt idx="37">
                  <c:v>-0.036090750000001</c:v>
                </c:pt>
                <c:pt idx="38">
                  <c:v>-0.024060500000001</c:v>
                </c:pt>
                <c:pt idx="39">
                  <c:v>-0.012030250000001</c:v>
                </c:pt>
                <c:pt idx="40">
                  <c:v>-9.94759830064177E-16</c:v>
                </c:pt>
                <c:pt idx="41">
                  <c:v>0.01203025</c:v>
                </c:pt>
                <c:pt idx="42">
                  <c:v>0.0240605</c:v>
                </c:pt>
                <c:pt idx="43">
                  <c:v>0.03609075</c:v>
                </c:pt>
                <c:pt idx="44">
                  <c:v>0.048121</c:v>
                </c:pt>
                <c:pt idx="45">
                  <c:v>0.06015125</c:v>
                </c:pt>
                <c:pt idx="46">
                  <c:v>0.0721815</c:v>
                </c:pt>
                <c:pt idx="47">
                  <c:v>0.08421175</c:v>
                </c:pt>
                <c:pt idx="48">
                  <c:v>0.096242</c:v>
                </c:pt>
                <c:pt idx="49">
                  <c:v>0.108272249999999</c:v>
                </c:pt>
                <c:pt idx="50">
                  <c:v>0.1203025</c:v>
                </c:pt>
                <c:pt idx="51">
                  <c:v>0.132332749999999</c:v>
                </c:pt>
                <c:pt idx="52">
                  <c:v>0.144363</c:v>
                </c:pt>
                <c:pt idx="53">
                  <c:v>0.156393249999999</c:v>
                </c:pt>
                <c:pt idx="54">
                  <c:v>0.168423499999999</c:v>
                </c:pt>
                <c:pt idx="55">
                  <c:v>0.18045375</c:v>
                </c:pt>
                <c:pt idx="56">
                  <c:v>0.192484</c:v>
                </c:pt>
                <c:pt idx="57">
                  <c:v>0.20451425</c:v>
                </c:pt>
                <c:pt idx="58">
                  <c:v>0.216544499999999</c:v>
                </c:pt>
                <c:pt idx="59">
                  <c:v>0.228574749999999</c:v>
                </c:pt>
                <c:pt idx="60">
                  <c:v>0.240604999999999</c:v>
                </c:pt>
                <c:pt idx="61">
                  <c:v>0.25263525</c:v>
                </c:pt>
                <c:pt idx="62">
                  <c:v>0.264665499999999</c:v>
                </c:pt>
                <c:pt idx="63">
                  <c:v>0.276695749999999</c:v>
                </c:pt>
                <c:pt idx="64">
                  <c:v>0.288726</c:v>
                </c:pt>
                <c:pt idx="65">
                  <c:v>0.30075625</c:v>
                </c:pt>
                <c:pt idx="66">
                  <c:v>0.312786499999999</c:v>
                </c:pt>
                <c:pt idx="67">
                  <c:v>0.324816749999999</c:v>
                </c:pt>
                <c:pt idx="68">
                  <c:v>0.336846999999999</c:v>
                </c:pt>
                <c:pt idx="69">
                  <c:v>0.34887725</c:v>
                </c:pt>
                <c:pt idx="70">
                  <c:v>0.3609075</c:v>
                </c:pt>
                <c:pt idx="71">
                  <c:v>0.372937749999999</c:v>
                </c:pt>
                <c:pt idx="72">
                  <c:v>0.384967999999999</c:v>
                </c:pt>
                <c:pt idx="73">
                  <c:v>0.39699825</c:v>
                </c:pt>
                <c:pt idx="74">
                  <c:v>0.4090285</c:v>
                </c:pt>
                <c:pt idx="75">
                  <c:v>0.421058749999999</c:v>
                </c:pt>
                <c:pt idx="76">
                  <c:v>0.433088999999999</c:v>
                </c:pt>
                <c:pt idx="77">
                  <c:v>0.445119249999999</c:v>
                </c:pt>
                <c:pt idx="78">
                  <c:v>0.4571495</c:v>
                </c:pt>
                <c:pt idx="79">
                  <c:v>0.469179749999999</c:v>
                </c:pt>
                <c:pt idx="80">
                  <c:v>0.481209999999999</c:v>
                </c:pt>
              </c:numCache>
            </c:numRef>
          </c:xVal>
          <c:yVal>
            <c:numRef>
              <c:f>Sheet1!$C$3:$C$83</c:f>
              <c:numCache>
                <c:formatCode>General</c:formatCode>
                <c:ptCount val="81"/>
                <c:pt idx="0">
                  <c:v>0.105937944526461</c:v>
                </c:pt>
                <c:pt idx="1">
                  <c:v>0.105937944526461</c:v>
                </c:pt>
                <c:pt idx="2">
                  <c:v>0.105937944526461</c:v>
                </c:pt>
                <c:pt idx="3">
                  <c:v>0.105937944526461</c:v>
                </c:pt>
                <c:pt idx="4">
                  <c:v>0.105937944526461</c:v>
                </c:pt>
                <c:pt idx="5">
                  <c:v>0.105937944526461</c:v>
                </c:pt>
                <c:pt idx="6">
                  <c:v>0.105937944526461</c:v>
                </c:pt>
                <c:pt idx="7">
                  <c:v>0.105937944526461</c:v>
                </c:pt>
                <c:pt idx="8">
                  <c:v>0.105937944526461</c:v>
                </c:pt>
                <c:pt idx="9">
                  <c:v>0.105937944526461</c:v>
                </c:pt>
                <c:pt idx="10">
                  <c:v>0.105937944526461</c:v>
                </c:pt>
                <c:pt idx="11">
                  <c:v>0.105937944526461</c:v>
                </c:pt>
                <c:pt idx="12">
                  <c:v>0.105937944526461</c:v>
                </c:pt>
                <c:pt idx="13">
                  <c:v>0.105937944526461</c:v>
                </c:pt>
                <c:pt idx="14">
                  <c:v>0.105937944526461</c:v>
                </c:pt>
                <c:pt idx="15">
                  <c:v>0.105937944526461</c:v>
                </c:pt>
                <c:pt idx="16">
                  <c:v>0.105937944526461</c:v>
                </c:pt>
                <c:pt idx="17">
                  <c:v>0.105937944526461</c:v>
                </c:pt>
                <c:pt idx="18">
                  <c:v>0.105937944526461</c:v>
                </c:pt>
                <c:pt idx="19">
                  <c:v>0.105937944526461</c:v>
                </c:pt>
                <c:pt idx="20">
                  <c:v>0.105937944526461</c:v>
                </c:pt>
                <c:pt idx="21">
                  <c:v>0.105937944526461</c:v>
                </c:pt>
                <c:pt idx="22">
                  <c:v>0.105937944526461</c:v>
                </c:pt>
                <c:pt idx="23">
                  <c:v>0.105937944526461</c:v>
                </c:pt>
                <c:pt idx="24">
                  <c:v>0.105937944526461</c:v>
                </c:pt>
                <c:pt idx="25">
                  <c:v>0.105937944526461</c:v>
                </c:pt>
                <c:pt idx="26">
                  <c:v>0.105937944526461</c:v>
                </c:pt>
                <c:pt idx="27">
                  <c:v>0.105937944526461</c:v>
                </c:pt>
                <c:pt idx="28">
                  <c:v>0.105937944526461</c:v>
                </c:pt>
                <c:pt idx="29">
                  <c:v>0.105937944526461</c:v>
                </c:pt>
                <c:pt idx="30">
                  <c:v>0.105937944526461</c:v>
                </c:pt>
                <c:pt idx="31">
                  <c:v>0.105937944526461</c:v>
                </c:pt>
                <c:pt idx="32">
                  <c:v>0.105937944526461</c:v>
                </c:pt>
                <c:pt idx="33">
                  <c:v>0.105937944526461</c:v>
                </c:pt>
                <c:pt idx="34">
                  <c:v>0.105937944526461</c:v>
                </c:pt>
                <c:pt idx="35">
                  <c:v>0.105937944526461</c:v>
                </c:pt>
                <c:pt idx="36">
                  <c:v>0.105937944526461</c:v>
                </c:pt>
                <c:pt idx="37">
                  <c:v>0.105937944526461</c:v>
                </c:pt>
                <c:pt idx="38">
                  <c:v>0.105937944526461</c:v>
                </c:pt>
                <c:pt idx="39">
                  <c:v>0.105937944526461</c:v>
                </c:pt>
                <c:pt idx="40">
                  <c:v>0.105937944526461</c:v>
                </c:pt>
                <c:pt idx="41">
                  <c:v>0.105937944526461</c:v>
                </c:pt>
                <c:pt idx="42">
                  <c:v>0.105937944526461</c:v>
                </c:pt>
                <c:pt idx="43">
                  <c:v>0.105937944526461</c:v>
                </c:pt>
                <c:pt idx="44">
                  <c:v>0.105937944526461</c:v>
                </c:pt>
                <c:pt idx="45">
                  <c:v>0.105937944526461</c:v>
                </c:pt>
                <c:pt idx="46">
                  <c:v>0.105937944526461</c:v>
                </c:pt>
                <c:pt idx="47">
                  <c:v>0.105937944526461</c:v>
                </c:pt>
                <c:pt idx="48">
                  <c:v>0.105937944526461</c:v>
                </c:pt>
                <c:pt idx="49">
                  <c:v>0.105937944526461</c:v>
                </c:pt>
                <c:pt idx="50">
                  <c:v>0.105937944526461</c:v>
                </c:pt>
                <c:pt idx="51">
                  <c:v>0.105937944526461</c:v>
                </c:pt>
                <c:pt idx="52">
                  <c:v>0.105937944526461</c:v>
                </c:pt>
                <c:pt idx="53">
                  <c:v>0.105937944526461</c:v>
                </c:pt>
                <c:pt idx="54">
                  <c:v>0.105937944526461</c:v>
                </c:pt>
                <c:pt idx="55">
                  <c:v>0.105937944526461</c:v>
                </c:pt>
                <c:pt idx="56">
                  <c:v>0.105937944526461</c:v>
                </c:pt>
                <c:pt idx="57">
                  <c:v>0.105937944526461</c:v>
                </c:pt>
                <c:pt idx="58">
                  <c:v>0.105937944526461</c:v>
                </c:pt>
                <c:pt idx="59">
                  <c:v>0.105937944526461</c:v>
                </c:pt>
                <c:pt idx="60">
                  <c:v>0.105937944526461</c:v>
                </c:pt>
                <c:pt idx="61">
                  <c:v>0.105937944526461</c:v>
                </c:pt>
                <c:pt idx="62">
                  <c:v>0.105937944526461</c:v>
                </c:pt>
                <c:pt idx="63">
                  <c:v>0.105937944526461</c:v>
                </c:pt>
                <c:pt idx="64">
                  <c:v>0.105937944526461</c:v>
                </c:pt>
                <c:pt idx="65">
                  <c:v>0.105937944526461</c:v>
                </c:pt>
                <c:pt idx="66">
                  <c:v>0.105937944526461</c:v>
                </c:pt>
                <c:pt idx="67">
                  <c:v>0.105937944526461</c:v>
                </c:pt>
                <c:pt idx="68">
                  <c:v>0.105937944526461</c:v>
                </c:pt>
                <c:pt idx="69">
                  <c:v>0.105937944526461</c:v>
                </c:pt>
                <c:pt idx="70">
                  <c:v>0.105937944526461</c:v>
                </c:pt>
                <c:pt idx="71">
                  <c:v>0.105937944526461</c:v>
                </c:pt>
                <c:pt idx="72">
                  <c:v>0.105937944526461</c:v>
                </c:pt>
                <c:pt idx="73">
                  <c:v>0.105937944526461</c:v>
                </c:pt>
                <c:pt idx="74">
                  <c:v>0.105937944526461</c:v>
                </c:pt>
                <c:pt idx="75">
                  <c:v>0.105937944526461</c:v>
                </c:pt>
                <c:pt idx="76">
                  <c:v>0.105937944526461</c:v>
                </c:pt>
                <c:pt idx="77">
                  <c:v>0.105937944526461</c:v>
                </c:pt>
                <c:pt idx="78">
                  <c:v>0.105937944526461</c:v>
                </c:pt>
                <c:pt idx="79">
                  <c:v>0.105937944526461</c:v>
                </c:pt>
                <c:pt idx="80">
                  <c:v>0.105937944526461</c:v>
                </c:pt>
              </c:numCache>
            </c:numRef>
          </c:yVal>
          <c:smooth val="1"/>
          <c:extLst xmlns:c16r2="http://schemas.microsoft.com/office/drawing/2015/06/chart">
            <c:ext xmlns:c16="http://schemas.microsoft.com/office/drawing/2014/chart" uri="{C3380CC4-5D6E-409C-BE32-E72D297353CC}">
              <c16:uniqueId val="{00000005-633F-4774-9A5E-A076F5AAE71A}"/>
            </c:ext>
          </c:extLst>
        </c:ser>
        <c:dLbls>
          <c:showLegendKey val="0"/>
          <c:showVal val="0"/>
          <c:showCatName val="0"/>
          <c:showSerName val="0"/>
          <c:showPercent val="0"/>
          <c:showBubbleSize val="0"/>
        </c:dLbls>
        <c:axId val="1915676736"/>
        <c:axId val="1892449328"/>
      </c:scatterChart>
      <c:valAx>
        <c:axId val="1915676736"/>
        <c:scaling>
          <c:orientation val="minMax"/>
          <c:max val="0.5"/>
          <c:min val="-0.5"/>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r>
                  <a:rPr lang="en-US" sz="1200" b="0"/>
                  <a:t>Distance to the Center of the Pore</a:t>
                </a:r>
              </a:p>
            </c:rich>
          </c:tx>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892449328"/>
        <c:crosses val="autoZero"/>
        <c:crossBetween val="midCat"/>
      </c:valAx>
      <c:valAx>
        <c:axId val="1892449328"/>
        <c:scaling>
          <c:orientation val="minMax"/>
          <c:max val="0.4"/>
          <c:min val="0.1"/>
        </c:scaling>
        <c:delete val="0"/>
        <c:axPos val="l"/>
        <c:title>
          <c:tx>
            <c:rich>
              <a:bodyPr rot="-54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r>
                  <a:rPr lang="en-US" sz="1200" b="0" i="0" baseline="0">
                    <a:effectLst/>
                    <a:latin typeface="Times New Roman" panose="02020603050405020304"/>
                    <a:cs typeface="Times New Roman" panose="02020603050405020304"/>
                  </a:rPr>
                  <a:t>Density, g/cm</a:t>
                </a:r>
                <a:r>
                  <a:rPr lang="en-US" sz="1200" b="0" i="0" baseline="30000">
                    <a:effectLst/>
                    <a:latin typeface="Times New Roman" panose="02020603050405020304"/>
                    <a:cs typeface="Times New Roman" panose="02020603050405020304"/>
                  </a:rPr>
                  <a:t>3</a:t>
                </a:r>
                <a:endParaRPr lang="en-US" sz="1200" b="0">
                  <a:effectLst/>
                  <a:latin typeface="Times New Roman" panose="02020603050405020304"/>
                  <a:cs typeface="Times New Roman" panose="02020603050405020304"/>
                </a:endParaRPr>
              </a:p>
            </c:rich>
          </c:tx>
          <c:layout>
            <c:manualLayout>
              <c:xMode val="edge"/>
              <c:yMode val="edge"/>
              <c:x val="0.0"/>
              <c:y val="0.29389099291948"/>
            </c:manualLayout>
          </c:layout>
          <c:overlay val="0"/>
        </c:title>
        <c:numFmt formatCode="#,##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5676736"/>
        <c:crossesAt val="-0.5"/>
        <c:crossBetween val="midCat"/>
      </c:valAx>
      <c:spPr>
        <a:ln>
          <a:solidFill>
            <a:schemeClr val="tx1"/>
          </a:solidFill>
        </a:ln>
      </c:spPr>
    </c:plotArea>
    <c:legend>
      <c:legendPos val="r"/>
      <c:layout>
        <c:manualLayout>
          <c:xMode val="edge"/>
          <c:yMode val="edge"/>
          <c:x val="0.342050376299648"/>
          <c:y val="0.0796182062608028"/>
          <c:w val="0.331491712707182"/>
          <c:h val="0.235764163625888"/>
        </c:manualLayout>
      </c:layout>
      <c:overlay val="0"/>
      <c:spPr>
        <a:ln>
          <a:solidFill>
            <a:schemeClr val="tx1"/>
          </a:solidFill>
        </a:ln>
      </c:spPr>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3903543307087"/>
          <c:y val="0.0333138875874681"/>
          <c:w val="0.844779830030541"/>
          <c:h val="0.826192512884066"/>
        </c:manualLayout>
      </c:layout>
      <c:scatterChart>
        <c:scatterStyle val="smoothMarker"/>
        <c:varyColors val="0"/>
        <c:ser>
          <c:idx val="4"/>
          <c:order val="0"/>
          <c:tx>
            <c:strRef>
              <c:f>7000 psi</c:f>
              <c:strCache>
                <c:ptCount val="1"/>
                <c:pt idx="0">
                  <c:v>7000 psi</c:v>
                </c:pt>
              </c:strCache>
            </c:strRef>
          </c:tx>
          <c:spPr>
            <a:ln w="28575" cap="rnd" cmpd="sng" algn="ctr">
              <a:solidFill>
                <a:schemeClr val="accent5">
                  <a:shade val="95000"/>
                  <a:satMod val="105000"/>
                </a:schemeClr>
              </a:solidFill>
              <a:prstDash val="solid"/>
              <a:round/>
            </a:ln>
          </c:spPr>
          <c:marker>
            <c:symbol val="none"/>
          </c:marker>
          <c:xVal>
            <c:numRef>
              <c:f>Sheet2!$G$4:$G$84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Sheet2!$F$4:$F$84</c:f>
              <c:numCache>
                <c:formatCode>General</c:formatCode>
                <c:ptCount val="81"/>
                <c:pt idx="0">
                  <c:v>0.441496493469254</c:v>
                </c:pt>
                <c:pt idx="1">
                  <c:v>0.363392336107899</c:v>
                </c:pt>
                <c:pt idx="2">
                  <c:v>0.298228631146338</c:v>
                </c:pt>
                <c:pt idx="3">
                  <c:v>0.266205877623456</c:v>
                </c:pt>
                <c:pt idx="4">
                  <c:v>0.250598539794195</c:v>
                </c:pt>
                <c:pt idx="5">
                  <c:v>0.242634300664542</c:v>
                </c:pt>
                <c:pt idx="6">
                  <c:v>0.23819544003461</c:v>
                </c:pt>
                <c:pt idx="7">
                  <c:v>0.235545643226142</c:v>
                </c:pt>
                <c:pt idx="8">
                  <c:v>0.233875655679443</c:v>
                </c:pt>
                <c:pt idx="9">
                  <c:v>0.232776048402795</c:v>
                </c:pt>
                <c:pt idx="10">
                  <c:v>0.232025436583628</c:v>
                </c:pt>
                <c:pt idx="11">
                  <c:v>0.231497374652901</c:v>
                </c:pt>
                <c:pt idx="12">
                  <c:v>0.231116258254605</c:v>
                </c:pt>
                <c:pt idx="13">
                  <c:v>0.230835093545753</c:v>
                </c:pt>
                <c:pt idx="14">
                  <c:v>0.230623682163273</c:v>
                </c:pt>
                <c:pt idx="15">
                  <c:v>0.230462051062051</c:v>
                </c:pt>
                <c:pt idx="16">
                  <c:v>0.230336652969445</c:v>
                </c:pt>
                <c:pt idx="17">
                  <c:v>0.230238092606816</c:v>
                </c:pt>
                <c:pt idx="18">
                  <c:v>0.230159724355291</c:v>
                </c:pt>
                <c:pt idx="19">
                  <c:v>0.230096763946162</c:v>
                </c:pt>
                <c:pt idx="20">
                  <c:v>0.230045712167452</c:v>
                </c:pt>
                <c:pt idx="21">
                  <c:v>0.230003972889799</c:v>
                </c:pt>
                <c:pt idx="22">
                  <c:v>0.22996959494109</c:v>
                </c:pt>
                <c:pt idx="23">
                  <c:v>0.229941094584561</c:v>
                </c:pt>
                <c:pt idx="24">
                  <c:v>0.229917331463476</c:v>
                </c:pt>
                <c:pt idx="25">
                  <c:v>0.229897420634166</c:v>
                </c:pt>
                <c:pt idx="26">
                  <c:v>0.229880669349982</c:v>
                </c:pt>
                <c:pt idx="27">
                  <c:v>0.229866531072549</c:v>
                </c:pt>
                <c:pt idx="28">
                  <c:v>0.229854571638806</c:v>
                </c:pt>
                <c:pt idx="29">
                  <c:v>0.229844444115507</c:v>
                </c:pt>
                <c:pt idx="30">
                  <c:v>0.229835869937513</c:v>
                </c:pt>
                <c:pt idx="31">
                  <c:v>0.229828624643541</c:v>
                </c:pt>
                <c:pt idx="32">
                  <c:v>0.229822527013037</c:v>
                </c:pt>
                <c:pt idx="33">
                  <c:v>0.229817430746835</c:v>
                </c:pt>
                <c:pt idx="34">
                  <c:v>0.229813218071821</c:v>
                </c:pt>
                <c:pt idx="35">
                  <c:v>0.229809794818244</c:v>
                </c:pt>
                <c:pt idx="36">
                  <c:v>0.229807086639355</c:v>
                </c:pt>
                <c:pt idx="37">
                  <c:v>0.229805036131087</c:v>
                </c:pt>
                <c:pt idx="38">
                  <c:v>0.229803600674699</c:v>
                </c:pt>
                <c:pt idx="39">
                  <c:v>0.229802750874373</c:v>
                </c:pt>
                <c:pt idx="40">
                  <c:v>0.22980246949982</c:v>
                </c:pt>
                <c:pt idx="41">
                  <c:v>0.229802750874373</c:v>
                </c:pt>
                <c:pt idx="42">
                  <c:v>0.229803600674699</c:v>
                </c:pt>
                <c:pt idx="43">
                  <c:v>0.229805036131087</c:v>
                </c:pt>
                <c:pt idx="44">
                  <c:v>0.229807086639355</c:v>
                </c:pt>
                <c:pt idx="45">
                  <c:v>0.229809794818244</c:v>
                </c:pt>
                <c:pt idx="46">
                  <c:v>0.229813218071821</c:v>
                </c:pt>
                <c:pt idx="47">
                  <c:v>0.229817430746835</c:v>
                </c:pt>
                <c:pt idx="48">
                  <c:v>0.229822527013037</c:v>
                </c:pt>
                <c:pt idx="49">
                  <c:v>0.229828624643541</c:v>
                </c:pt>
                <c:pt idx="50">
                  <c:v>0.229835869937513</c:v>
                </c:pt>
                <c:pt idx="51">
                  <c:v>0.229844444115507</c:v>
                </c:pt>
                <c:pt idx="52">
                  <c:v>0.229854571638806</c:v>
                </c:pt>
                <c:pt idx="53">
                  <c:v>0.229866531072549</c:v>
                </c:pt>
                <c:pt idx="54">
                  <c:v>0.229880669349982</c:v>
                </c:pt>
                <c:pt idx="55">
                  <c:v>0.229897420634166</c:v>
                </c:pt>
                <c:pt idx="56">
                  <c:v>0.229917331463476</c:v>
                </c:pt>
                <c:pt idx="57">
                  <c:v>0.229941094584561</c:v>
                </c:pt>
                <c:pt idx="58">
                  <c:v>0.22996959494109</c:v>
                </c:pt>
                <c:pt idx="59">
                  <c:v>0.230003972889799</c:v>
                </c:pt>
                <c:pt idx="60">
                  <c:v>0.230045712167452</c:v>
                </c:pt>
                <c:pt idx="61">
                  <c:v>0.230096763946162</c:v>
                </c:pt>
                <c:pt idx="62">
                  <c:v>0.230159724355291</c:v>
                </c:pt>
                <c:pt idx="63">
                  <c:v>0.230238092606816</c:v>
                </c:pt>
                <c:pt idx="64">
                  <c:v>0.230336652969445</c:v>
                </c:pt>
                <c:pt idx="65">
                  <c:v>0.230462051062051</c:v>
                </c:pt>
                <c:pt idx="66">
                  <c:v>0.230623682163273</c:v>
                </c:pt>
                <c:pt idx="67">
                  <c:v>0.230835093545753</c:v>
                </c:pt>
                <c:pt idx="68">
                  <c:v>0.231116258254605</c:v>
                </c:pt>
                <c:pt idx="69">
                  <c:v>0.231497374652901</c:v>
                </c:pt>
                <c:pt idx="70">
                  <c:v>0.232025436583628</c:v>
                </c:pt>
                <c:pt idx="71">
                  <c:v>0.232776048402795</c:v>
                </c:pt>
                <c:pt idx="72">
                  <c:v>0.233875655679443</c:v>
                </c:pt>
                <c:pt idx="73">
                  <c:v>0.235545643226142</c:v>
                </c:pt>
                <c:pt idx="74">
                  <c:v>0.23819544003461</c:v>
                </c:pt>
                <c:pt idx="75">
                  <c:v>0.242634300664542</c:v>
                </c:pt>
                <c:pt idx="76">
                  <c:v>0.250598539794195</c:v>
                </c:pt>
                <c:pt idx="77">
                  <c:v>0.266205877623456</c:v>
                </c:pt>
                <c:pt idx="78">
                  <c:v>0.298228631146337</c:v>
                </c:pt>
                <c:pt idx="79">
                  <c:v>0.363392336107898</c:v>
                </c:pt>
                <c:pt idx="80">
                  <c:v>0.441496493469254</c:v>
                </c:pt>
              </c:numCache>
            </c:numRef>
          </c:yVal>
          <c:smooth val="1"/>
          <c:extLst xmlns:c16r2="http://schemas.microsoft.com/office/drawing/2015/06/chart">
            <c:ext xmlns:c16="http://schemas.microsoft.com/office/drawing/2014/chart" uri="{C3380CC4-5D6E-409C-BE32-E72D297353CC}">
              <c16:uniqueId val="{00000000-FB5A-4699-A693-CE159A31F63F}"/>
            </c:ext>
          </c:extLst>
        </c:ser>
        <c:ser>
          <c:idx val="3"/>
          <c:order val="1"/>
          <c:tx>
            <c:strRef>
              <c:f>6000 psi</c:f>
              <c:strCache>
                <c:ptCount val="1"/>
                <c:pt idx="0">
                  <c:v>6000 psi</c:v>
                </c:pt>
              </c:strCache>
            </c:strRef>
          </c:tx>
          <c:spPr>
            <a:ln w="28575" cap="rnd" cmpd="sng" algn="ctr">
              <a:solidFill>
                <a:schemeClr val="accent4">
                  <a:shade val="95000"/>
                  <a:satMod val="105000"/>
                </a:schemeClr>
              </a:solidFill>
              <a:prstDash val="solid"/>
              <a:round/>
            </a:ln>
          </c:spPr>
          <c:marker>
            <c:symbol val="none"/>
          </c:marker>
          <c:xVal>
            <c:numRef>
              <c:f>Sheet2!$G$4:$G$84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Sheet2!$E$4:$E$84</c:f>
              <c:numCache>
                <c:formatCode>General</c:formatCode>
                <c:ptCount val="81"/>
                <c:pt idx="0">
                  <c:v>0.43316758736065</c:v>
                </c:pt>
                <c:pt idx="1">
                  <c:v>0.348121660677897</c:v>
                </c:pt>
                <c:pt idx="2">
                  <c:v>0.278275071349723</c:v>
                </c:pt>
                <c:pt idx="3">
                  <c:v>0.244803116273164</c:v>
                </c:pt>
                <c:pt idx="4">
                  <c:v>0.228756932652944</c:v>
                </c:pt>
                <c:pt idx="5">
                  <c:v>0.220620137217319</c:v>
                </c:pt>
                <c:pt idx="6">
                  <c:v>0.216100497882506</c:v>
                </c:pt>
                <c:pt idx="7">
                  <c:v>0.213407787057601</c:v>
                </c:pt>
                <c:pt idx="8">
                  <c:v>0.21171278695519</c:v>
                </c:pt>
                <c:pt idx="9">
                  <c:v>0.210597560315552</c:v>
                </c:pt>
                <c:pt idx="10">
                  <c:v>0.209836669056416</c:v>
                </c:pt>
                <c:pt idx="11">
                  <c:v>0.209301558783724</c:v>
                </c:pt>
                <c:pt idx="12">
                  <c:v>0.208915448182958</c:v>
                </c:pt>
                <c:pt idx="13">
                  <c:v>0.208630648334606</c:v>
                </c:pt>
                <c:pt idx="14">
                  <c:v>0.208416531001019</c:v>
                </c:pt>
                <c:pt idx="15">
                  <c:v>0.208252846926786</c:v>
                </c:pt>
                <c:pt idx="16">
                  <c:v>0.208125865579817</c:v>
                </c:pt>
                <c:pt idx="17">
                  <c:v>0.208026066729475</c:v>
                </c:pt>
                <c:pt idx="18">
                  <c:v>0.20794671753519</c:v>
                </c:pt>
                <c:pt idx="19">
                  <c:v>0.207882971585915</c:v>
                </c:pt>
                <c:pt idx="20">
                  <c:v>0.207831284592842</c:v>
                </c:pt>
                <c:pt idx="21">
                  <c:v>0.207789027204426</c:v>
                </c:pt>
                <c:pt idx="22">
                  <c:v>0.207754223413811</c:v>
                </c:pt>
                <c:pt idx="23">
                  <c:v>0.207725370682233</c:v>
                </c:pt>
                <c:pt idx="24">
                  <c:v>0.207701314255052</c:v>
                </c:pt>
                <c:pt idx="25">
                  <c:v>0.207681158049673</c:v>
                </c:pt>
                <c:pt idx="26">
                  <c:v>0.207664200622321</c:v>
                </c:pt>
                <c:pt idx="27">
                  <c:v>0.207649888588268</c:v>
                </c:pt>
                <c:pt idx="28">
                  <c:v>0.207637782356197</c:v>
                </c:pt>
                <c:pt idx="29">
                  <c:v>0.207627530662435</c:v>
                </c:pt>
                <c:pt idx="30">
                  <c:v>0.207618851469851</c:v>
                </c:pt>
                <c:pt idx="31">
                  <c:v>0.207611517523099</c:v>
                </c:pt>
                <c:pt idx="32">
                  <c:v>0.207605345348362</c:v>
                </c:pt>
                <c:pt idx="33">
                  <c:v>0.207600186829228</c:v>
                </c:pt>
                <c:pt idx="34">
                  <c:v>0.207595922730945</c:v>
                </c:pt>
                <c:pt idx="35">
                  <c:v>0.207592457715946</c:v>
                </c:pt>
                <c:pt idx="36">
                  <c:v>0.207589716516083</c:v>
                </c:pt>
                <c:pt idx="37">
                  <c:v>0.207587641016255</c:v>
                </c:pt>
                <c:pt idx="38">
                  <c:v>0.207586188070049</c:v>
                </c:pt>
                <c:pt idx="39">
                  <c:v>0.20758532791781</c:v>
                </c:pt>
                <c:pt idx="40">
                  <c:v>0.207585043116031</c:v>
                </c:pt>
                <c:pt idx="41">
                  <c:v>0.20758532791781</c:v>
                </c:pt>
                <c:pt idx="42">
                  <c:v>0.207586188070049</c:v>
                </c:pt>
                <c:pt idx="43">
                  <c:v>0.207587641016255</c:v>
                </c:pt>
                <c:pt idx="44">
                  <c:v>0.207589716516083</c:v>
                </c:pt>
                <c:pt idx="45">
                  <c:v>0.207592457715946</c:v>
                </c:pt>
                <c:pt idx="46">
                  <c:v>0.207595922730945</c:v>
                </c:pt>
                <c:pt idx="47">
                  <c:v>0.207600186829228</c:v>
                </c:pt>
                <c:pt idx="48">
                  <c:v>0.207605345348362</c:v>
                </c:pt>
                <c:pt idx="49">
                  <c:v>0.207611517523099</c:v>
                </c:pt>
                <c:pt idx="50">
                  <c:v>0.207618851469851</c:v>
                </c:pt>
                <c:pt idx="51">
                  <c:v>0.207627530662435</c:v>
                </c:pt>
                <c:pt idx="52">
                  <c:v>0.207637782356197</c:v>
                </c:pt>
                <c:pt idx="53">
                  <c:v>0.207649888588268</c:v>
                </c:pt>
                <c:pt idx="54">
                  <c:v>0.207664200622321</c:v>
                </c:pt>
                <c:pt idx="55">
                  <c:v>0.207681158049673</c:v>
                </c:pt>
                <c:pt idx="56">
                  <c:v>0.207701314255052</c:v>
                </c:pt>
                <c:pt idx="57">
                  <c:v>0.207725370682233</c:v>
                </c:pt>
                <c:pt idx="58">
                  <c:v>0.207754223413811</c:v>
                </c:pt>
                <c:pt idx="59">
                  <c:v>0.207789027204426</c:v>
                </c:pt>
                <c:pt idx="60">
                  <c:v>0.207831284592842</c:v>
                </c:pt>
                <c:pt idx="61">
                  <c:v>0.207882971585915</c:v>
                </c:pt>
                <c:pt idx="62">
                  <c:v>0.20794671753519</c:v>
                </c:pt>
                <c:pt idx="63">
                  <c:v>0.208026066729475</c:v>
                </c:pt>
                <c:pt idx="64">
                  <c:v>0.208125865579817</c:v>
                </c:pt>
                <c:pt idx="65">
                  <c:v>0.208252846926786</c:v>
                </c:pt>
                <c:pt idx="66">
                  <c:v>0.208416531001019</c:v>
                </c:pt>
                <c:pt idx="67">
                  <c:v>0.208630648334606</c:v>
                </c:pt>
                <c:pt idx="68">
                  <c:v>0.208915448182958</c:v>
                </c:pt>
                <c:pt idx="69">
                  <c:v>0.209301558783724</c:v>
                </c:pt>
                <c:pt idx="70">
                  <c:v>0.209836669056416</c:v>
                </c:pt>
                <c:pt idx="71">
                  <c:v>0.210597560315552</c:v>
                </c:pt>
                <c:pt idx="72">
                  <c:v>0.21171278695519</c:v>
                </c:pt>
                <c:pt idx="73">
                  <c:v>0.213407787057601</c:v>
                </c:pt>
                <c:pt idx="74">
                  <c:v>0.216100497882506</c:v>
                </c:pt>
                <c:pt idx="75">
                  <c:v>0.220620137217319</c:v>
                </c:pt>
                <c:pt idx="76">
                  <c:v>0.228756932652944</c:v>
                </c:pt>
                <c:pt idx="77">
                  <c:v>0.244803116273163</c:v>
                </c:pt>
                <c:pt idx="78">
                  <c:v>0.278275071349722</c:v>
                </c:pt>
                <c:pt idx="79">
                  <c:v>0.348121660677896</c:v>
                </c:pt>
                <c:pt idx="80">
                  <c:v>0.43316758736065</c:v>
                </c:pt>
              </c:numCache>
            </c:numRef>
          </c:yVal>
          <c:smooth val="1"/>
          <c:extLst xmlns:c16r2="http://schemas.microsoft.com/office/drawing/2015/06/chart">
            <c:ext xmlns:c16="http://schemas.microsoft.com/office/drawing/2014/chart" uri="{C3380CC4-5D6E-409C-BE32-E72D297353CC}">
              <c16:uniqueId val="{00000001-FB5A-4699-A693-CE159A31F63F}"/>
            </c:ext>
          </c:extLst>
        </c:ser>
        <c:ser>
          <c:idx val="2"/>
          <c:order val="2"/>
          <c:tx>
            <c:strRef>
              <c:f>5000 psi</c:f>
              <c:strCache>
                <c:ptCount val="1"/>
                <c:pt idx="0">
                  <c:v>5000 psi</c:v>
                </c:pt>
              </c:strCache>
            </c:strRef>
          </c:tx>
          <c:spPr>
            <a:ln w="28575" cap="rnd" cmpd="sng" algn="ctr">
              <a:solidFill>
                <a:schemeClr val="accent3">
                  <a:shade val="95000"/>
                  <a:satMod val="105000"/>
                </a:schemeClr>
              </a:solidFill>
              <a:prstDash val="solid"/>
              <a:round/>
            </a:ln>
          </c:spPr>
          <c:marker>
            <c:symbol val="none"/>
          </c:marker>
          <c:xVal>
            <c:numRef>
              <c:f>Sheet2!$G$4:$G$84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Sheet2!$D$4:$D$84</c:f>
              <c:numCache>
                <c:formatCode>General</c:formatCode>
                <c:ptCount val="81"/>
                <c:pt idx="0">
                  <c:v>0.422654396164993</c:v>
                </c:pt>
                <c:pt idx="1">
                  <c:v>0.328969818692603</c:v>
                </c:pt>
                <c:pt idx="2">
                  <c:v>0.253998485374616</c:v>
                </c:pt>
                <c:pt idx="3">
                  <c:v>0.219318518508914</c:v>
                </c:pt>
                <c:pt idx="4">
                  <c:v>0.203051279354577</c:v>
                </c:pt>
                <c:pt idx="5">
                  <c:v>0.194870115427494</c:v>
                </c:pt>
                <c:pt idx="6">
                  <c:v>0.190346001566892</c:v>
                </c:pt>
                <c:pt idx="7">
                  <c:v>0.187657561116454</c:v>
                </c:pt>
                <c:pt idx="8">
                  <c:v>0.185967905498924</c:v>
                </c:pt>
                <c:pt idx="9">
                  <c:v>0.184857306899948</c:v>
                </c:pt>
                <c:pt idx="10">
                  <c:v>0.184100074188483</c:v>
                </c:pt>
                <c:pt idx="11">
                  <c:v>0.183567777279681</c:v>
                </c:pt>
                <c:pt idx="12">
                  <c:v>0.18318381853603</c:v>
                </c:pt>
                <c:pt idx="13">
                  <c:v>0.182900670750243</c:v>
                </c:pt>
                <c:pt idx="14">
                  <c:v>0.182687831485911</c:v>
                </c:pt>
                <c:pt idx="15">
                  <c:v>0.182525145276306</c:v>
                </c:pt>
                <c:pt idx="16">
                  <c:v>0.182398950550016</c:v>
                </c:pt>
                <c:pt idx="17">
                  <c:v>0.182299777707761</c:v>
                </c:pt>
                <c:pt idx="18">
                  <c:v>0.182220931246681</c:v>
                </c:pt>
                <c:pt idx="19">
                  <c:v>0.182157592489993</c:v>
                </c:pt>
                <c:pt idx="20">
                  <c:v>0.182106237926449</c:v>
                </c:pt>
                <c:pt idx="21">
                  <c:v>0.182064253911519</c:v>
                </c:pt>
                <c:pt idx="22">
                  <c:v>0.182029676420328</c:v>
                </c:pt>
                <c:pt idx="23">
                  <c:v>0.182001012135578</c:v>
                </c:pt>
                <c:pt idx="24">
                  <c:v>0.181977113459764</c:v>
                </c:pt>
                <c:pt idx="25">
                  <c:v>0.1819570899096</c:v>
                </c:pt>
                <c:pt idx="26">
                  <c:v>0.181940244454366</c:v>
                </c:pt>
                <c:pt idx="27">
                  <c:v>0.181926027211043</c:v>
                </c:pt>
                <c:pt idx="28">
                  <c:v>0.181914001383707</c:v>
                </c:pt>
                <c:pt idx="29">
                  <c:v>0.181903817951916</c:v>
                </c:pt>
                <c:pt idx="30">
                  <c:v>0.181895196686337</c:v>
                </c:pt>
                <c:pt idx="31">
                  <c:v>0.18188791179298</c:v>
                </c:pt>
                <c:pt idx="32">
                  <c:v>0.181881780981178</c:v>
                </c:pt>
                <c:pt idx="33">
                  <c:v>0.181876657092018</c:v>
                </c:pt>
                <c:pt idx="34">
                  <c:v>0.181872421663194</c:v>
                </c:pt>
                <c:pt idx="35">
                  <c:v>0.181868979975913</c:v>
                </c:pt>
                <c:pt idx="36">
                  <c:v>0.181866257251313</c:v>
                </c:pt>
                <c:pt idx="37">
                  <c:v>0.181864195752563</c:v>
                </c:pt>
                <c:pt idx="38">
                  <c:v>0.181862752614383</c:v>
                </c:pt>
                <c:pt idx="39">
                  <c:v>0.181861898271175</c:v>
                </c:pt>
                <c:pt idx="40">
                  <c:v>0.181861615393239</c:v>
                </c:pt>
                <c:pt idx="41">
                  <c:v>0.181861898271175</c:v>
                </c:pt>
                <c:pt idx="42">
                  <c:v>0.181862752614383</c:v>
                </c:pt>
                <c:pt idx="43">
                  <c:v>0.181864195752563</c:v>
                </c:pt>
                <c:pt idx="44">
                  <c:v>0.181866257251313</c:v>
                </c:pt>
                <c:pt idx="45">
                  <c:v>0.181868979975913</c:v>
                </c:pt>
                <c:pt idx="46">
                  <c:v>0.181872421663194</c:v>
                </c:pt>
                <c:pt idx="47">
                  <c:v>0.181876657092018</c:v>
                </c:pt>
                <c:pt idx="48">
                  <c:v>0.181881780981178</c:v>
                </c:pt>
                <c:pt idx="49">
                  <c:v>0.18188791179298</c:v>
                </c:pt>
                <c:pt idx="50">
                  <c:v>0.181895196686337</c:v>
                </c:pt>
                <c:pt idx="51">
                  <c:v>0.181903817951916</c:v>
                </c:pt>
                <c:pt idx="52">
                  <c:v>0.181914001383707</c:v>
                </c:pt>
                <c:pt idx="53">
                  <c:v>0.181926027211043</c:v>
                </c:pt>
                <c:pt idx="54">
                  <c:v>0.181940244454366</c:v>
                </c:pt>
                <c:pt idx="55">
                  <c:v>0.1819570899096</c:v>
                </c:pt>
                <c:pt idx="56">
                  <c:v>0.181977113459764</c:v>
                </c:pt>
                <c:pt idx="57">
                  <c:v>0.182001012135578</c:v>
                </c:pt>
                <c:pt idx="58">
                  <c:v>0.182029676420328</c:v>
                </c:pt>
                <c:pt idx="59">
                  <c:v>0.182064253911519</c:v>
                </c:pt>
                <c:pt idx="60">
                  <c:v>0.182106237926449</c:v>
                </c:pt>
                <c:pt idx="61">
                  <c:v>0.182157592489993</c:v>
                </c:pt>
                <c:pt idx="62">
                  <c:v>0.182220931246681</c:v>
                </c:pt>
                <c:pt idx="63">
                  <c:v>0.182299777707761</c:v>
                </c:pt>
                <c:pt idx="64">
                  <c:v>0.182398950550016</c:v>
                </c:pt>
                <c:pt idx="65">
                  <c:v>0.182525145276306</c:v>
                </c:pt>
                <c:pt idx="66">
                  <c:v>0.182687831485911</c:v>
                </c:pt>
                <c:pt idx="67">
                  <c:v>0.182900670750243</c:v>
                </c:pt>
                <c:pt idx="68">
                  <c:v>0.18318381853603</c:v>
                </c:pt>
                <c:pt idx="69">
                  <c:v>0.183567777279681</c:v>
                </c:pt>
                <c:pt idx="70">
                  <c:v>0.184100074188483</c:v>
                </c:pt>
                <c:pt idx="71">
                  <c:v>0.184857306899948</c:v>
                </c:pt>
                <c:pt idx="72">
                  <c:v>0.185967905498924</c:v>
                </c:pt>
                <c:pt idx="73">
                  <c:v>0.187657561116454</c:v>
                </c:pt>
                <c:pt idx="74">
                  <c:v>0.190346001566892</c:v>
                </c:pt>
                <c:pt idx="75">
                  <c:v>0.194870115427494</c:v>
                </c:pt>
                <c:pt idx="76">
                  <c:v>0.203051279354577</c:v>
                </c:pt>
                <c:pt idx="77">
                  <c:v>0.219318518508914</c:v>
                </c:pt>
                <c:pt idx="78">
                  <c:v>0.253998485374615</c:v>
                </c:pt>
                <c:pt idx="79">
                  <c:v>0.328969818692602</c:v>
                </c:pt>
                <c:pt idx="80">
                  <c:v>0.422654396164993</c:v>
                </c:pt>
              </c:numCache>
            </c:numRef>
          </c:yVal>
          <c:smooth val="1"/>
          <c:extLst xmlns:c16r2="http://schemas.microsoft.com/office/drawing/2015/06/chart">
            <c:ext xmlns:c16="http://schemas.microsoft.com/office/drawing/2014/chart" uri="{C3380CC4-5D6E-409C-BE32-E72D297353CC}">
              <c16:uniqueId val="{00000002-FB5A-4699-A693-CE159A31F63F}"/>
            </c:ext>
          </c:extLst>
        </c:ser>
        <c:ser>
          <c:idx val="1"/>
          <c:order val="3"/>
          <c:tx>
            <c:strRef>
              <c:f>4000 psi</c:f>
              <c:strCache>
                <c:ptCount val="1"/>
                <c:pt idx="0">
                  <c:v>4000 psi</c:v>
                </c:pt>
              </c:strCache>
            </c:strRef>
          </c:tx>
          <c:spPr>
            <a:ln w="28575" cap="rnd" cmpd="sng" algn="ctr">
              <a:solidFill>
                <a:schemeClr val="accent2">
                  <a:shade val="95000"/>
                  <a:satMod val="105000"/>
                </a:schemeClr>
              </a:solidFill>
              <a:prstDash val="solid"/>
              <a:round/>
            </a:ln>
          </c:spPr>
          <c:marker>
            <c:symbol val="none"/>
          </c:marker>
          <c:xVal>
            <c:numRef>
              <c:f>Sheet2!$G$4:$G$84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Sheet2!$C$4:$C$84</c:f>
              <c:numCache>
                <c:formatCode>General</c:formatCode>
                <c:ptCount val="81"/>
                <c:pt idx="0">
                  <c:v>0.408754707371365</c:v>
                </c:pt>
                <c:pt idx="1">
                  <c:v>0.304058053365722</c:v>
                </c:pt>
                <c:pt idx="2">
                  <c:v>0.223840186699626</c:v>
                </c:pt>
                <c:pt idx="3">
                  <c:v>0.188584488160826</c:v>
                </c:pt>
                <c:pt idx="4">
                  <c:v>0.172524233449064</c:v>
                </c:pt>
                <c:pt idx="5">
                  <c:v>0.16453583655573</c:v>
                </c:pt>
                <c:pt idx="6">
                  <c:v>0.160144586750677</c:v>
                </c:pt>
                <c:pt idx="7">
                  <c:v>0.157544110949293</c:v>
                </c:pt>
                <c:pt idx="8">
                  <c:v>0.155913189872764</c:v>
                </c:pt>
                <c:pt idx="9">
                  <c:v>0.154842641965605</c:v>
                </c:pt>
                <c:pt idx="10">
                  <c:v>0.154113368916218</c:v>
                </c:pt>
                <c:pt idx="11">
                  <c:v>0.153601039821875</c:v>
                </c:pt>
                <c:pt idx="12">
                  <c:v>0.153231643579189</c:v>
                </c:pt>
                <c:pt idx="13">
                  <c:v>0.152959319647723</c:v>
                </c:pt>
                <c:pt idx="14">
                  <c:v>0.152754663751211</c:v>
                </c:pt>
                <c:pt idx="15">
                  <c:v>0.152598259893974</c:v>
                </c:pt>
                <c:pt idx="16">
                  <c:v>0.15247695472733</c:v>
                </c:pt>
                <c:pt idx="17">
                  <c:v>0.152381634614482</c:v>
                </c:pt>
                <c:pt idx="18">
                  <c:v>0.152305857743724</c:v>
                </c:pt>
                <c:pt idx="19">
                  <c:v>0.15224498914455</c:v>
                </c:pt>
                <c:pt idx="20">
                  <c:v>0.15219564028715</c:v>
                </c:pt>
                <c:pt idx="21">
                  <c:v>0.152155298039255</c:v>
                </c:pt>
                <c:pt idx="22">
                  <c:v>0.152122074141044</c:v>
                </c:pt>
                <c:pt idx="23">
                  <c:v>0.152094533028188</c:v>
                </c:pt>
                <c:pt idx="24">
                  <c:v>0.152071571578476</c:v>
                </c:pt>
                <c:pt idx="25">
                  <c:v>0.152052333879508</c:v>
                </c:pt>
                <c:pt idx="26">
                  <c:v>0.152036150000754</c:v>
                </c:pt>
                <c:pt idx="27">
                  <c:v>0.152022491464945</c:v>
                </c:pt>
                <c:pt idx="28">
                  <c:v>0.152010938497783</c:v>
                </c:pt>
                <c:pt idx="29">
                  <c:v>0.152001155692396</c:v>
                </c:pt>
                <c:pt idx="30">
                  <c:v>0.151992873758533</c:v>
                </c:pt>
                <c:pt idx="31">
                  <c:v>0.151985875722463</c:v>
                </c:pt>
                <c:pt idx="32">
                  <c:v>0.15197998641871</c:v>
                </c:pt>
                <c:pt idx="33">
                  <c:v>0.151975064443403</c:v>
                </c:pt>
                <c:pt idx="34">
                  <c:v>0.151970995969147</c:v>
                </c:pt>
                <c:pt idx="35">
                  <c:v>0.151967689984541</c:v>
                </c:pt>
                <c:pt idx="36">
                  <c:v>0.15196507463863</c:v>
                </c:pt>
                <c:pt idx="37">
                  <c:v>0.151963094455846</c:v>
                </c:pt>
                <c:pt idx="38">
                  <c:v>0.151961708250096</c:v>
                </c:pt>
                <c:pt idx="39">
                  <c:v>0.151960887614169</c:v>
                </c:pt>
                <c:pt idx="40">
                  <c:v>0.151960615897415</c:v>
                </c:pt>
                <c:pt idx="41">
                  <c:v>0.151960887614169</c:v>
                </c:pt>
                <c:pt idx="42">
                  <c:v>0.151961708250096</c:v>
                </c:pt>
                <c:pt idx="43">
                  <c:v>0.151963094455846</c:v>
                </c:pt>
                <c:pt idx="44">
                  <c:v>0.15196507463863</c:v>
                </c:pt>
                <c:pt idx="45">
                  <c:v>0.151967689984541</c:v>
                </c:pt>
                <c:pt idx="46">
                  <c:v>0.151970995969147</c:v>
                </c:pt>
                <c:pt idx="47">
                  <c:v>0.151975064443403</c:v>
                </c:pt>
                <c:pt idx="48">
                  <c:v>0.15197998641871</c:v>
                </c:pt>
                <c:pt idx="49">
                  <c:v>0.151985875722463</c:v>
                </c:pt>
                <c:pt idx="50">
                  <c:v>0.151992873758533</c:v>
                </c:pt>
                <c:pt idx="51">
                  <c:v>0.152001155692396</c:v>
                </c:pt>
                <c:pt idx="52">
                  <c:v>0.152010938497783</c:v>
                </c:pt>
                <c:pt idx="53">
                  <c:v>0.152022491464945</c:v>
                </c:pt>
                <c:pt idx="54">
                  <c:v>0.152036150000754</c:v>
                </c:pt>
                <c:pt idx="55">
                  <c:v>0.152052333879508</c:v>
                </c:pt>
                <c:pt idx="56">
                  <c:v>0.152071571578476</c:v>
                </c:pt>
                <c:pt idx="57">
                  <c:v>0.152094533028188</c:v>
                </c:pt>
                <c:pt idx="58">
                  <c:v>0.152122074141044</c:v>
                </c:pt>
                <c:pt idx="59">
                  <c:v>0.152155298039255</c:v>
                </c:pt>
                <c:pt idx="60">
                  <c:v>0.15219564028715</c:v>
                </c:pt>
                <c:pt idx="61">
                  <c:v>0.15224498914455</c:v>
                </c:pt>
                <c:pt idx="62">
                  <c:v>0.152305857743724</c:v>
                </c:pt>
                <c:pt idx="63">
                  <c:v>0.152381634614482</c:v>
                </c:pt>
                <c:pt idx="64">
                  <c:v>0.15247695472733</c:v>
                </c:pt>
                <c:pt idx="65">
                  <c:v>0.152598259893974</c:v>
                </c:pt>
                <c:pt idx="66">
                  <c:v>0.152754663751211</c:v>
                </c:pt>
                <c:pt idx="67">
                  <c:v>0.152959319647723</c:v>
                </c:pt>
                <c:pt idx="68">
                  <c:v>0.153231643579189</c:v>
                </c:pt>
                <c:pt idx="69">
                  <c:v>0.153601039821875</c:v>
                </c:pt>
                <c:pt idx="70">
                  <c:v>0.154113368916218</c:v>
                </c:pt>
                <c:pt idx="71">
                  <c:v>0.154842641965605</c:v>
                </c:pt>
                <c:pt idx="72">
                  <c:v>0.155913189872764</c:v>
                </c:pt>
                <c:pt idx="73">
                  <c:v>0.157544110949293</c:v>
                </c:pt>
                <c:pt idx="74">
                  <c:v>0.160144586750677</c:v>
                </c:pt>
                <c:pt idx="75">
                  <c:v>0.16453583655573</c:v>
                </c:pt>
                <c:pt idx="76">
                  <c:v>0.172524233449064</c:v>
                </c:pt>
                <c:pt idx="77">
                  <c:v>0.188584488160826</c:v>
                </c:pt>
                <c:pt idx="78">
                  <c:v>0.223840186699626</c:v>
                </c:pt>
                <c:pt idx="79">
                  <c:v>0.30405805336572</c:v>
                </c:pt>
                <c:pt idx="80">
                  <c:v>0.408754707371365</c:v>
                </c:pt>
              </c:numCache>
            </c:numRef>
          </c:yVal>
          <c:smooth val="1"/>
          <c:extLst xmlns:c16r2="http://schemas.microsoft.com/office/drawing/2015/06/chart">
            <c:ext xmlns:c16="http://schemas.microsoft.com/office/drawing/2014/chart" uri="{C3380CC4-5D6E-409C-BE32-E72D297353CC}">
              <c16:uniqueId val="{00000003-FB5A-4699-A693-CE159A31F63F}"/>
            </c:ext>
          </c:extLst>
        </c:ser>
        <c:ser>
          <c:idx val="0"/>
          <c:order val="4"/>
          <c:tx>
            <c:strRef>
              <c:f>3000 psi</c:f>
              <c:strCache>
                <c:ptCount val="1"/>
                <c:pt idx="0">
                  <c:v>3000 psi</c:v>
                </c:pt>
              </c:strCache>
            </c:strRef>
          </c:tx>
          <c:spPr>
            <a:ln w="28575" cap="rnd" cmpd="sng" algn="ctr">
              <a:solidFill>
                <a:schemeClr val="accent1">
                  <a:shade val="95000"/>
                  <a:satMod val="105000"/>
                </a:schemeClr>
              </a:solidFill>
              <a:prstDash val="solid"/>
              <a:round/>
            </a:ln>
          </c:spPr>
          <c:marker>
            <c:symbol val="none"/>
          </c:marker>
          <c:xVal>
            <c:numRef>
              <c:f>Sheet2!$G$4:$G$84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Sheet2!$B$4:$B$84</c:f>
              <c:numCache>
                <c:formatCode>General</c:formatCode>
                <c:ptCount val="81"/>
                <c:pt idx="0">
                  <c:v>0.389174328664375</c:v>
                </c:pt>
                <c:pt idx="1">
                  <c:v>0.27020884024325</c:v>
                </c:pt>
                <c:pt idx="2">
                  <c:v>0.185712529026658</c:v>
                </c:pt>
                <c:pt idx="3">
                  <c:v>0.151320381601525</c:v>
                </c:pt>
                <c:pt idx="4">
                  <c:v>0.136272012032546</c:v>
                </c:pt>
                <c:pt idx="5">
                  <c:v>0.128900132333552</c:v>
                </c:pt>
                <c:pt idx="6">
                  <c:v>0.124881108716396</c:v>
                </c:pt>
                <c:pt idx="7">
                  <c:v>0.122512452959044</c:v>
                </c:pt>
                <c:pt idx="8">
                  <c:v>0.121031276136671</c:v>
                </c:pt>
                <c:pt idx="9">
                  <c:v>0.120060846447602</c:v>
                </c:pt>
                <c:pt idx="10">
                  <c:v>0.119400600271835</c:v>
                </c:pt>
                <c:pt idx="11">
                  <c:v>0.118937161298788</c:v>
                </c:pt>
                <c:pt idx="12">
                  <c:v>0.118603217658279</c:v>
                </c:pt>
                <c:pt idx="13">
                  <c:v>0.118357137753947</c:v>
                </c:pt>
                <c:pt idx="14">
                  <c:v>0.118172264747491</c:v>
                </c:pt>
                <c:pt idx="15">
                  <c:v>0.118031014296058</c:v>
                </c:pt>
                <c:pt idx="16">
                  <c:v>0.11792148278049</c:v>
                </c:pt>
                <c:pt idx="17">
                  <c:v>0.117835427155748</c:v>
                </c:pt>
                <c:pt idx="18">
                  <c:v>0.117767023530608</c:v>
                </c:pt>
                <c:pt idx="19">
                  <c:v>0.117712082977736</c:v>
                </c:pt>
                <c:pt idx="20">
                  <c:v>0.117667543895062</c:v>
                </c:pt>
                <c:pt idx="21">
                  <c:v>0.117631136115468</c:v>
                </c:pt>
                <c:pt idx="22">
                  <c:v>0.117601154234941</c:v>
                </c:pt>
                <c:pt idx="23">
                  <c:v>0.117576301894808</c:v>
                </c:pt>
                <c:pt idx="24">
                  <c:v>0.117555583061322</c:v>
                </c:pt>
                <c:pt idx="25">
                  <c:v>0.117538224989373</c:v>
                </c:pt>
                <c:pt idx="26">
                  <c:v>0.117523622895209</c:v>
                </c:pt>
                <c:pt idx="27">
                  <c:v>0.117511299726971</c:v>
                </c:pt>
                <c:pt idx="28">
                  <c:v>0.117500876581211</c:v>
                </c:pt>
                <c:pt idx="29">
                  <c:v>0.117492050723507</c:v>
                </c:pt>
                <c:pt idx="30">
                  <c:v>0.117484579106611</c:v>
                </c:pt>
                <c:pt idx="31">
                  <c:v>0.117478265909162</c:v>
                </c:pt>
                <c:pt idx="32">
                  <c:v>0.117472953047674</c:v>
                </c:pt>
                <c:pt idx="33">
                  <c:v>0.117468512911671</c:v>
                </c:pt>
                <c:pt idx="34">
                  <c:v>0.117464842779819</c:v>
                </c:pt>
                <c:pt idx="35">
                  <c:v>0.117461860522453</c:v>
                </c:pt>
                <c:pt idx="36">
                  <c:v>0.117459501301705</c:v>
                </c:pt>
                <c:pt idx="37">
                  <c:v>0.117457715057525</c:v>
                </c:pt>
                <c:pt idx="38">
                  <c:v>0.117456464624855</c:v>
                </c:pt>
                <c:pt idx="39">
                  <c:v>0.117455724370137</c:v>
                </c:pt>
                <c:pt idx="40">
                  <c:v>0.117455479268566</c:v>
                </c:pt>
                <c:pt idx="41">
                  <c:v>0.117455724370137</c:v>
                </c:pt>
                <c:pt idx="42">
                  <c:v>0.117456464624855</c:v>
                </c:pt>
                <c:pt idx="43">
                  <c:v>0.117457715057525</c:v>
                </c:pt>
                <c:pt idx="44">
                  <c:v>0.117459501301705</c:v>
                </c:pt>
                <c:pt idx="45">
                  <c:v>0.117461860522453</c:v>
                </c:pt>
                <c:pt idx="46">
                  <c:v>0.117464842779819</c:v>
                </c:pt>
                <c:pt idx="47">
                  <c:v>0.117468512911671</c:v>
                </c:pt>
                <c:pt idx="48">
                  <c:v>0.117472953047674</c:v>
                </c:pt>
                <c:pt idx="49">
                  <c:v>0.117478265909162</c:v>
                </c:pt>
                <c:pt idx="50">
                  <c:v>0.117484579106611</c:v>
                </c:pt>
                <c:pt idx="51">
                  <c:v>0.117492050723507</c:v>
                </c:pt>
                <c:pt idx="52">
                  <c:v>0.117500876581211</c:v>
                </c:pt>
                <c:pt idx="53">
                  <c:v>0.117511299726971</c:v>
                </c:pt>
                <c:pt idx="54">
                  <c:v>0.117523622895209</c:v>
                </c:pt>
                <c:pt idx="55">
                  <c:v>0.117538224989373</c:v>
                </c:pt>
                <c:pt idx="56">
                  <c:v>0.117555583061322</c:v>
                </c:pt>
                <c:pt idx="57">
                  <c:v>0.117576301894808</c:v>
                </c:pt>
                <c:pt idx="58">
                  <c:v>0.117601154234941</c:v>
                </c:pt>
                <c:pt idx="59">
                  <c:v>0.117631136115468</c:v>
                </c:pt>
                <c:pt idx="60">
                  <c:v>0.117667543895062</c:v>
                </c:pt>
                <c:pt idx="61">
                  <c:v>0.117712082977736</c:v>
                </c:pt>
                <c:pt idx="62">
                  <c:v>0.117767023530608</c:v>
                </c:pt>
                <c:pt idx="63">
                  <c:v>0.117835427155748</c:v>
                </c:pt>
                <c:pt idx="64">
                  <c:v>0.11792148278049</c:v>
                </c:pt>
                <c:pt idx="65">
                  <c:v>0.118031014296058</c:v>
                </c:pt>
                <c:pt idx="66">
                  <c:v>0.118172264747491</c:v>
                </c:pt>
                <c:pt idx="67">
                  <c:v>0.118357137753947</c:v>
                </c:pt>
                <c:pt idx="68">
                  <c:v>0.118603217658279</c:v>
                </c:pt>
                <c:pt idx="69">
                  <c:v>0.118937161298788</c:v>
                </c:pt>
                <c:pt idx="70">
                  <c:v>0.119400600271835</c:v>
                </c:pt>
                <c:pt idx="71">
                  <c:v>0.120060846447602</c:v>
                </c:pt>
                <c:pt idx="72">
                  <c:v>0.121031276136671</c:v>
                </c:pt>
                <c:pt idx="73">
                  <c:v>0.122512452959044</c:v>
                </c:pt>
                <c:pt idx="74">
                  <c:v>0.124881108716396</c:v>
                </c:pt>
                <c:pt idx="75">
                  <c:v>0.128900132333552</c:v>
                </c:pt>
                <c:pt idx="76">
                  <c:v>0.136272012032546</c:v>
                </c:pt>
                <c:pt idx="77">
                  <c:v>0.151320381601525</c:v>
                </c:pt>
                <c:pt idx="78">
                  <c:v>0.185712529026658</c:v>
                </c:pt>
                <c:pt idx="79">
                  <c:v>0.270208840243249</c:v>
                </c:pt>
                <c:pt idx="80">
                  <c:v>0.389174328664375</c:v>
                </c:pt>
              </c:numCache>
            </c:numRef>
          </c:yVal>
          <c:smooth val="1"/>
          <c:extLst xmlns:c16r2="http://schemas.microsoft.com/office/drawing/2015/06/chart">
            <c:ext xmlns:c16="http://schemas.microsoft.com/office/drawing/2014/chart" uri="{C3380CC4-5D6E-409C-BE32-E72D297353CC}">
              <c16:uniqueId val="{00000004-FB5A-4699-A693-CE159A31F63F}"/>
            </c:ext>
          </c:extLst>
        </c:ser>
        <c:dLbls>
          <c:showLegendKey val="0"/>
          <c:showVal val="0"/>
          <c:showCatName val="0"/>
          <c:showSerName val="0"/>
          <c:showPercent val="0"/>
          <c:showBubbleSize val="0"/>
        </c:dLbls>
        <c:axId val="1914782224"/>
        <c:axId val="1918167824"/>
      </c:scatterChart>
      <c:valAx>
        <c:axId val="1914782224"/>
        <c:scaling>
          <c:orientation val="minMax"/>
          <c:max val="10.0"/>
        </c:scaling>
        <c:delete val="0"/>
        <c:axPos val="b"/>
        <c:title>
          <c:tx>
            <c:rich>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r>
                  <a:rPr lang="en-US" sz="1200" b="0">
                    <a:latin typeface="Times New Roman" panose="02020603050405020304"/>
                    <a:cs typeface="Times New Roman" panose="02020603050405020304"/>
                  </a:rPr>
                  <a:t>Distance</a:t>
                </a:r>
                <a:r>
                  <a:rPr lang="en-US" sz="1200" b="0" baseline="0">
                    <a:latin typeface="Times New Roman" panose="02020603050405020304"/>
                    <a:cs typeface="Times New Roman" panose="02020603050405020304"/>
                  </a:rPr>
                  <a:t> to the left wall, nm</a:t>
                </a:r>
                <a:endParaRPr lang="en-US" sz="1200" b="0">
                  <a:latin typeface="Times New Roman" panose="02020603050405020304"/>
                  <a:cs typeface="Times New Roman" panose="02020603050405020304"/>
                </a:endParaRPr>
              </a:p>
            </c:rich>
          </c:tx>
          <c:layout>
            <c:manualLayout>
              <c:xMode val="edge"/>
              <c:yMode val="edge"/>
              <c:x val="0.30545287786982"/>
              <c:y val="0.93055541281908"/>
            </c:manualLayout>
          </c:layout>
          <c:overlay val="0"/>
        </c:title>
        <c:numFmt formatCode="General" sourceLinked="1"/>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167824"/>
        <c:crosses val="autoZero"/>
        <c:crossBetween val="midCat"/>
      </c:valAx>
      <c:valAx>
        <c:axId val="1918167824"/>
        <c:scaling>
          <c:orientation val="minMax"/>
          <c:max val="0.45"/>
          <c:min val="0.1"/>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i="0" baseline="0">
                    <a:effectLst/>
                    <a:latin typeface="Times New Roman" panose="02020603050405020304"/>
                    <a:cs typeface="Times New Roman" panose="02020603050405020304"/>
                  </a:rPr>
                  <a:t>Density, g/cm</a:t>
                </a:r>
                <a:r>
                  <a:rPr lang="en-US" sz="1200" b="0" i="0" baseline="30000">
                    <a:effectLst/>
                    <a:latin typeface="Times New Roman" panose="02020603050405020304"/>
                    <a:cs typeface="Times New Roman" panose="02020603050405020304"/>
                  </a:rPr>
                  <a:t>3</a:t>
                </a:r>
                <a:endParaRPr lang="en-US" sz="1200" b="0">
                  <a:effectLst/>
                  <a:latin typeface="Times New Roman" panose="02020603050405020304"/>
                  <a:cs typeface="Times New Roman" panose="02020603050405020304"/>
                </a:endParaRPr>
              </a:p>
            </c:rich>
          </c:tx>
          <c:overlay val="0"/>
        </c:title>
        <c:numFmt formatCode="#,##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4782224"/>
        <c:crosses val="autoZero"/>
        <c:crossBetween val="midCat"/>
      </c:valAx>
      <c:spPr>
        <a:ln>
          <a:solidFill>
            <a:srgbClr val="000000"/>
          </a:solidFill>
        </a:ln>
      </c:spPr>
    </c:plotArea>
    <c:legend>
      <c:legendPos val="r"/>
      <c:layout>
        <c:manualLayout>
          <c:xMode val="edge"/>
          <c:yMode val="edge"/>
          <c:x val="0.325"/>
          <c:y val="0.0823735053951589"/>
          <c:w val="0.394444444444444"/>
          <c:h val="0.293585958005249"/>
        </c:manualLayout>
      </c:layout>
      <c:overlay val="0"/>
      <c:spPr>
        <a:ln>
          <a:solidFill>
            <a:schemeClr val="tx1"/>
          </a:solidFill>
        </a:ln>
      </c:spPr>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3936508886959"/>
          <c:y val="0.0228136882129278"/>
          <c:w val="0.855049649212099"/>
          <c:h val="0.853163104611923"/>
        </c:manualLayout>
      </c:layout>
      <c:scatterChart>
        <c:scatterStyle val="smoothMarker"/>
        <c:varyColors val="0"/>
        <c:ser>
          <c:idx val="0"/>
          <c:order val="0"/>
          <c:tx>
            <c:strRef>
              <c:f>150 °F</c:f>
              <c:strCache>
                <c:ptCount val="1"/>
                <c:pt idx="0">
                  <c:v>150 °F</c:v>
                </c:pt>
              </c:strCache>
            </c:strRef>
          </c:tx>
          <c:spPr>
            <a:ln w="28575" cap="rnd" cmpd="sng" algn="ctr">
              <a:solidFill>
                <a:schemeClr val="accent1">
                  <a:shade val="95000"/>
                  <a:satMod val="105000"/>
                </a:schemeClr>
              </a:solidFill>
              <a:prstDash val="solid"/>
              <a:round/>
            </a:ln>
          </c:spPr>
          <c:marker>
            <c:symbol val="none"/>
          </c:marker>
          <c:xVal>
            <c:numRef>
              <c:f>Sheet3!$F$4:$F$84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Sheet3!$B$4:$B$84</c:f>
              <c:numCache>
                <c:formatCode>General</c:formatCode>
                <c:ptCount val="81"/>
                <c:pt idx="0">
                  <c:v>0.42829071521411</c:v>
                </c:pt>
                <c:pt idx="1">
                  <c:v>0.329480951352468</c:v>
                </c:pt>
                <c:pt idx="2">
                  <c:v>0.248130365597108</c:v>
                </c:pt>
                <c:pt idx="3">
                  <c:v>0.210522573264518</c:v>
                </c:pt>
                <c:pt idx="4">
                  <c:v>0.193012826625468</c:v>
                </c:pt>
                <c:pt idx="5">
                  <c:v>0.184249824177634</c:v>
                </c:pt>
                <c:pt idx="6">
                  <c:v>0.179417391962268</c:v>
                </c:pt>
                <c:pt idx="7">
                  <c:v>0.176550472929574</c:v>
                </c:pt>
                <c:pt idx="8">
                  <c:v>0.174750497193406</c:v>
                </c:pt>
                <c:pt idx="9">
                  <c:v>0.173568174336928</c:v>
                </c:pt>
                <c:pt idx="10">
                  <c:v>0.172762399075264</c:v>
                </c:pt>
                <c:pt idx="11">
                  <c:v>0.172196154701655</c:v>
                </c:pt>
                <c:pt idx="12">
                  <c:v>0.171787798852047</c:v>
                </c:pt>
                <c:pt idx="13">
                  <c:v>0.171486707925216</c:v>
                </c:pt>
                <c:pt idx="14">
                  <c:v>0.171260408011015</c:v>
                </c:pt>
                <c:pt idx="15">
                  <c:v>0.171087448653211</c:v>
                </c:pt>
                <c:pt idx="16">
                  <c:v>0.17095329447734</c:v>
                </c:pt>
                <c:pt idx="17">
                  <c:v>0.170847872303886</c:v>
                </c:pt>
                <c:pt idx="18">
                  <c:v>0.170764061022765</c:v>
                </c:pt>
                <c:pt idx="19">
                  <c:v>0.17069673630765</c:v>
                </c:pt>
                <c:pt idx="20">
                  <c:v>0.170642151532035</c:v>
                </c:pt>
                <c:pt idx="21">
                  <c:v>0.170597527778609</c:v>
                </c:pt>
                <c:pt idx="22">
                  <c:v>0.170560776967513</c:v>
                </c:pt>
                <c:pt idx="23">
                  <c:v>0.170530311545033</c:v>
                </c:pt>
                <c:pt idx="24">
                  <c:v>0.170504911549339</c:v>
                </c:pt>
                <c:pt idx="25">
                  <c:v>0.170483630381522</c:v>
                </c:pt>
                <c:pt idx="26">
                  <c:v>0.170465727109575</c:v>
                </c:pt>
                <c:pt idx="27">
                  <c:v>0.170450617232729</c:v>
                </c:pt>
                <c:pt idx="28">
                  <c:v>0.170437836467271</c:v>
                </c:pt>
                <c:pt idx="29">
                  <c:v>0.170427013835955</c:v>
                </c:pt>
                <c:pt idx="30">
                  <c:v>0.170417851485254</c:v>
                </c:pt>
                <c:pt idx="31">
                  <c:v>0.170410109423974</c:v>
                </c:pt>
                <c:pt idx="32">
                  <c:v>0.170403593901981</c:v>
                </c:pt>
                <c:pt idx="33">
                  <c:v>0.170398148511059</c:v>
                </c:pt>
                <c:pt idx="34">
                  <c:v>0.170393647344387</c:v>
                </c:pt>
                <c:pt idx="35">
                  <c:v>0.170389989731536</c:v>
                </c:pt>
                <c:pt idx="36">
                  <c:v>0.170387096195434</c:v>
                </c:pt>
                <c:pt idx="37">
                  <c:v>0.170384905372078</c:v>
                </c:pt>
                <c:pt idx="38">
                  <c:v>0.170383371703466</c:v>
                </c:pt>
                <c:pt idx="39">
                  <c:v>0.170382463766841</c:v>
                </c:pt>
                <c:pt idx="40">
                  <c:v>0.170382163143971</c:v>
                </c:pt>
                <c:pt idx="41">
                  <c:v>0.170382463766841</c:v>
                </c:pt>
                <c:pt idx="42">
                  <c:v>0.170383371703466</c:v>
                </c:pt>
                <c:pt idx="43">
                  <c:v>0.170384905372078</c:v>
                </c:pt>
                <c:pt idx="44">
                  <c:v>0.170387096195434</c:v>
                </c:pt>
                <c:pt idx="45">
                  <c:v>0.170389989731536</c:v>
                </c:pt>
                <c:pt idx="46">
                  <c:v>0.170393647344387</c:v>
                </c:pt>
                <c:pt idx="47">
                  <c:v>0.170398148511059</c:v>
                </c:pt>
                <c:pt idx="48">
                  <c:v>0.170403593901981</c:v>
                </c:pt>
                <c:pt idx="49">
                  <c:v>0.170410109423974</c:v>
                </c:pt>
                <c:pt idx="50">
                  <c:v>0.170417851485254</c:v>
                </c:pt>
                <c:pt idx="51">
                  <c:v>0.170427013835955</c:v>
                </c:pt>
                <c:pt idx="52">
                  <c:v>0.170437836467271</c:v>
                </c:pt>
                <c:pt idx="53">
                  <c:v>0.170450617232729</c:v>
                </c:pt>
                <c:pt idx="54">
                  <c:v>0.170465727109575</c:v>
                </c:pt>
                <c:pt idx="55">
                  <c:v>0.170483630381522</c:v>
                </c:pt>
                <c:pt idx="56">
                  <c:v>0.170504911549339</c:v>
                </c:pt>
                <c:pt idx="57">
                  <c:v>0.170530311545033</c:v>
                </c:pt>
                <c:pt idx="58">
                  <c:v>0.170560776967513</c:v>
                </c:pt>
                <c:pt idx="59">
                  <c:v>0.170597527778609</c:v>
                </c:pt>
                <c:pt idx="60">
                  <c:v>0.170642151532035</c:v>
                </c:pt>
                <c:pt idx="61">
                  <c:v>0.17069673630765</c:v>
                </c:pt>
                <c:pt idx="62">
                  <c:v>0.170764061022765</c:v>
                </c:pt>
                <c:pt idx="63">
                  <c:v>0.170847872303886</c:v>
                </c:pt>
                <c:pt idx="64">
                  <c:v>0.17095329447734</c:v>
                </c:pt>
                <c:pt idx="65">
                  <c:v>0.171087448653211</c:v>
                </c:pt>
                <c:pt idx="66">
                  <c:v>0.171260408011015</c:v>
                </c:pt>
                <c:pt idx="67">
                  <c:v>0.171486707925216</c:v>
                </c:pt>
                <c:pt idx="68">
                  <c:v>0.171787798852047</c:v>
                </c:pt>
                <c:pt idx="69">
                  <c:v>0.172196154701655</c:v>
                </c:pt>
                <c:pt idx="70">
                  <c:v>0.172762399075264</c:v>
                </c:pt>
                <c:pt idx="71">
                  <c:v>0.173568174336928</c:v>
                </c:pt>
                <c:pt idx="72">
                  <c:v>0.174750497193406</c:v>
                </c:pt>
                <c:pt idx="73">
                  <c:v>0.176550472929574</c:v>
                </c:pt>
                <c:pt idx="74">
                  <c:v>0.179417391962268</c:v>
                </c:pt>
                <c:pt idx="75">
                  <c:v>0.184249824177634</c:v>
                </c:pt>
                <c:pt idx="76">
                  <c:v>0.193012826625468</c:v>
                </c:pt>
                <c:pt idx="77">
                  <c:v>0.210522573264518</c:v>
                </c:pt>
                <c:pt idx="78">
                  <c:v>0.248130365597108</c:v>
                </c:pt>
                <c:pt idx="79">
                  <c:v>0.329480951352467</c:v>
                </c:pt>
                <c:pt idx="80">
                  <c:v>0.42829071521411</c:v>
                </c:pt>
              </c:numCache>
            </c:numRef>
          </c:yVal>
          <c:smooth val="1"/>
          <c:extLst xmlns:c16r2="http://schemas.microsoft.com/office/drawing/2015/06/chart">
            <c:ext xmlns:c16="http://schemas.microsoft.com/office/drawing/2014/chart" uri="{C3380CC4-5D6E-409C-BE32-E72D297353CC}">
              <c16:uniqueId val="{00000000-9FE0-42FE-86C0-DF892ACA8C58}"/>
            </c:ext>
          </c:extLst>
        </c:ser>
        <c:ser>
          <c:idx val="1"/>
          <c:order val="1"/>
          <c:tx>
            <c:strRef>
              <c:f>200 °F</c:f>
              <c:strCache>
                <c:ptCount val="1"/>
                <c:pt idx="0">
                  <c:v>200 °F</c:v>
                </c:pt>
              </c:strCache>
            </c:strRef>
          </c:tx>
          <c:spPr>
            <a:ln w="28575" cap="rnd" cmpd="sng" algn="ctr">
              <a:solidFill>
                <a:schemeClr val="accent2">
                  <a:shade val="95000"/>
                  <a:satMod val="105000"/>
                </a:schemeClr>
              </a:solidFill>
              <a:prstDash val="solid"/>
              <a:round/>
            </a:ln>
          </c:spPr>
          <c:marker>
            <c:symbol val="none"/>
          </c:marker>
          <c:xVal>
            <c:numRef>
              <c:f>Sheet3!$F$4:$F$84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Sheet3!$C$4:$C$84</c:f>
              <c:numCache>
                <c:formatCode>General</c:formatCode>
                <c:ptCount val="81"/>
                <c:pt idx="0">
                  <c:v>0.408754707371365</c:v>
                </c:pt>
                <c:pt idx="1">
                  <c:v>0.304058053365722</c:v>
                </c:pt>
                <c:pt idx="2">
                  <c:v>0.223840186699626</c:v>
                </c:pt>
                <c:pt idx="3">
                  <c:v>0.188584488160826</c:v>
                </c:pt>
                <c:pt idx="4">
                  <c:v>0.172524233449064</c:v>
                </c:pt>
                <c:pt idx="5">
                  <c:v>0.16453583655573</c:v>
                </c:pt>
                <c:pt idx="6">
                  <c:v>0.160144586750677</c:v>
                </c:pt>
                <c:pt idx="7">
                  <c:v>0.157544110949293</c:v>
                </c:pt>
                <c:pt idx="8">
                  <c:v>0.155913189872764</c:v>
                </c:pt>
                <c:pt idx="9">
                  <c:v>0.154842641965605</c:v>
                </c:pt>
                <c:pt idx="10">
                  <c:v>0.154113368916218</c:v>
                </c:pt>
                <c:pt idx="11">
                  <c:v>0.153601039821875</c:v>
                </c:pt>
                <c:pt idx="12">
                  <c:v>0.153231643579189</c:v>
                </c:pt>
                <c:pt idx="13">
                  <c:v>0.152959319647723</c:v>
                </c:pt>
                <c:pt idx="14">
                  <c:v>0.152754663751211</c:v>
                </c:pt>
                <c:pt idx="15">
                  <c:v>0.152598259893974</c:v>
                </c:pt>
                <c:pt idx="16">
                  <c:v>0.15247695472733</c:v>
                </c:pt>
                <c:pt idx="17">
                  <c:v>0.152381634614482</c:v>
                </c:pt>
                <c:pt idx="18">
                  <c:v>0.152305857743724</c:v>
                </c:pt>
                <c:pt idx="19">
                  <c:v>0.15224498914455</c:v>
                </c:pt>
                <c:pt idx="20">
                  <c:v>0.15219564028715</c:v>
                </c:pt>
                <c:pt idx="21">
                  <c:v>0.152155298039255</c:v>
                </c:pt>
                <c:pt idx="22">
                  <c:v>0.152122074141044</c:v>
                </c:pt>
                <c:pt idx="23">
                  <c:v>0.152094533028188</c:v>
                </c:pt>
                <c:pt idx="24">
                  <c:v>0.152071571578476</c:v>
                </c:pt>
                <c:pt idx="25">
                  <c:v>0.152052333879508</c:v>
                </c:pt>
                <c:pt idx="26">
                  <c:v>0.152036150000754</c:v>
                </c:pt>
                <c:pt idx="27">
                  <c:v>0.152022491464945</c:v>
                </c:pt>
                <c:pt idx="28">
                  <c:v>0.152010938497783</c:v>
                </c:pt>
                <c:pt idx="29">
                  <c:v>0.152001155692396</c:v>
                </c:pt>
                <c:pt idx="30">
                  <c:v>0.151992873758533</c:v>
                </c:pt>
                <c:pt idx="31">
                  <c:v>0.151985875722463</c:v>
                </c:pt>
                <c:pt idx="32">
                  <c:v>0.15197998641871</c:v>
                </c:pt>
                <c:pt idx="33">
                  <c:v>0.151975064443403</c:v>
                </c:pt>
                <c:pt idx="34">
                  <c:v>0.151970995969147</c:v>
                </c:pt>
                <c:pt idx="35">
                  <c:v>0.151967689984541</c:v>
                </c:pt>
                <c:pt idx="36">
                  <c:v>0.15196507463863</c:v>
                </c:pt>
                <c:pt idx="37">
                  <c:v>0.151963094455846</c:v>
                </c:pt>
                <c:pt idx="38">
                  <c:v>0.151961708250096</c:v>
                </c:pt>
                <c:pt idx="39">
                  <c:v>0.151960887614169</c:v>
                </c:pt>
                <c:pt idx="40">
                  <c:v>0.151960615897415</c:v>
                </c:pt>
                <c:pt idx="41">
                  <c:v>0.151960887614169</c:v>
                </c:pt>
                <c:pt idx="42">
                  <c:v>0.151961708250096</c:v>
                </c:pt>
                <c:pt idx="43">
                  <c:v>0.151963094455846</c:v>
                </c:pt>
                <c:pt idx="44">
                  <c:v>0.15196507463863</c:v>
                </c:pt>
                <c:pt idx="45">
                  <c:v>0.151967689984541</c:v>
                </c:pt>
                <c:pt idx="46">
                  <c:v>0.151970995969147</c:v>
                </c:pt>
                <c:pt idx="47">
                  <c:v>0.151975064443403</c:v>
                </c:pt>
                <c:pt idx="48">
                  <c:v>0.15197998641871</c:v>
                </c:pt>
                <c:pt idx="49">
                  <c:v>0.151985875722463</c:v>
                </c:pt>
                <c:pt idx="50">
                  <c:v>0.151992873758533</c:v>
                </c:pt>
                <c:pt idx="51">
                  <c:v>0.152001155692396</c:v>
                </c:pt>
                <c:pt idx="52">
                  <c:v>0.152010938497783</c:v>
                </c:pt>
                <c:pt idx="53">
                  <c:v>0.152022491464945</c:v>
                </c:pt>
                <c:pt idx="54">
                  <c:v>0.152036150000754</c:v>
                </c:pt>
                <c:pt idx="55">
                  <c:v>0.152052333879508</c:v>
                </c:pt>
                <c:pt idx="56">
                  <c:v>0.152071571578476</c:v>
                </c:pt>
                <c:pt idx="57">
                  <c:v>0.152094533028188</c:v>
                </c:pt>
                <c:pt idx="58">
                  <c:v>0.152122074141044</c:v>
                </c:pt>
                <c:pt idx="59">
                  <c:v>0.152155298039255</c:v>
                </c:pt>
                <c:pt idx="60">
                  <c:v>0.15219564028715</c:v>
                </c:pt>
                <c:pt idx="61">
                  <c:v>0.15224498914455</c:v>
                </c:pt>
                <c:pt idx="62">
                  <c:v>0.152305857743724</c:v>
                </c:pt>
                <c:pt idx="63">
                  <c:v>0.152381634614482</c:v>
                </c:pt>
                <c:pt idx="64">
                  <c:v>0.15247695472733</c:v>
                </c:pt>
                <c:pt idx="65">
                  <c:v>0.152598259893974</c:v>
                </c:pt>
                <c:pt idx="66">
                  <c:v>0.152754663751211</c:v>
                </c:pt>
                <c:pt idx="67">
                  <c:v>0.152959319647723</c:v>
                </c:pt>
                <c:pt idx="68">
                  <c:v>0.153231643579189</c:v>
                </c:pt>
                <c:pt idx="69">
                  <c:v>0.153601039821875</c:v>
                </c:pt>
                <c:pt idx="70">
                  <c:v>0.154113368916218</c:v>
                </c:pt>
                <c:pt idx="71">
                  <c:v>0.154842641965605</c:v>
                </c:pt>
                <c:pt idx="72">
                  <c:v>0.155913189872764</c:v>
                </c:pt>
                <c:pt idx="73">
                  <c:v>0.157544110949293</c:v>
                </c:pt>
                <c:pt idx="74">
                  <c:v>0.160144586750677</c:v>
                </c:pt>
                <c:pt idx="75">
                  <c:v>0.16453583655573</c:v>
                </c:pt>
                <c:pt idx="76">
                  <c:v>0.172524233449064</c:v>
                </c:pt>
                <c:pt idx="77">
                  <c:v>0.188584488160826</c:v>
                </c:pt>
                <c:pt idx="78">
                  <c:v>0.223840186699626</c:v>
                </c:pt>
                <c:pt idx="79">
                  <c:v>0.30405805336572</c:v>
                </c:pt>
                <c:pt idx="80">
                  <c:v>0.408754707371365</c:v>
                </c:pt>
              </c:numCache>
            </c:numRef>
          </c:yVal>
          <c:smooth val="1"/>
          <c:extLst xmlns:c16r2="http://schemas.microsoft.com/office/drawing/2015/06/chart">
            <c:ext xmlns:c16="http://schemas.microsoft.com/office/drawing/2014/chart" uri="{C3380CC4-5D6E-409C-BE32-E72D297353CC}">
              <c16:uniqueId val="{00000001-9FE0-42FE-86C0-DF892ACA8C58}"/>
            </c:ext>
          </c:extLst>
        </c:ser>
        <c:ser>
          <c:idx val="2"/>
          <c:order val="2"/>
          <c:tx>
            <c:strRef>
              <c:f>250 °F</c:f>
              <c:strCache>
                <c:ptCount val="1"/>
                <c:pt idx="0">
                  <c:v>250 °F</c:v>
                </c:pt>
              </c:strCache>
            </c:strRef>
          </c:tx>
          <c:spPr>
            <a:ln w="28575" cap="rnd" cmpd="sng" algn="ctr">
              <a:solidFill>
                <a:schemeClr val="accent3">
                  <a:shade val="95000"/>
                  <a:satMod val="105000"/>
                </a:schemeClr>
              </a:solidFill>
              <a:prstDash val="solid"/>
              <a:round/>
            </a:ln>
          </c:spPr>
          <c:marker>
            <c:symbol val="none"/>
          </c:marker>
          <c:xVal>
            <c:numRef>
              <c:f>Sheet3!$F$4:$F$84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Sheet3!$D$4:$D$84</c:f>
              <c:numCache>
                <c:formatCode>General</c:formatCode>
                <c:ptCount val="81"/>
                <c:pt idx="0">
                  <c:v>0.389623953708898</c:v>
                </c:pt>
                <c:pt idx="1">
                  <c:v>0.281109822961475</c:v>
                </c:pt>
                <c:pt idx="2">
                  <c:v>0.203426212836341</c:v>
                </c:pt>
                <c:pt idx="3">
                  <c:v>0.170709173392727</c:v>
                </c:pt>
                <c:pt idx="4">
                  <c:v>0.156056183455225</c:v>
                </c:pt>
                <c:pt idx="5">
                  <c:v>0.148800375564296</c:v>
                </c:pt>
                <c:pt idx="6">
                  <c:v>0.144821089655445</c:v>
                </c:pt>
                <c:pt idx="7">
                  <c:v>0.14246766940099</c:v>
                </c:pt>
                <c:pt idx="8">
                  <c:v>0.140992851387828</c:v>
                </c:pt>
                <c:pt idx="9">
                  <c:v>0.140025247506413</c:v>
                </c:pt>
                <c:pt idx="10">
                  <c:v>0.139366313369288</c:v>
                </c:pt>
                <c:pt idx="11">
                  <c:v>0.138903499295085</c:v>
                </c:pt>
                <c:pt idx="12">
                  <c:v>0.138569854497051</c:v>
                </c:pt>
                <c:pt idx="13">
                  <c:v>0.138323913642092</c:v>
                </c:pt>
                <c:pt idx="14">
                  <c:v>0.138139099779489</c:v>
                </c:pt>
                <c:pt idx="15">
                  <c:v>0.137997868267399</c:v>
                </c:pt>
                <c:pt idx="16">
                  <c:v>0.137888335724042</c:v>
                </c:pt>
                <c:pt idx="17">
                  <c:v>0.137802269596357</c:v>
                </c:pt>
                <c:pt idx="18">
                  <c:v>0.137733851472481</c:v>
                </c:pt>
                <c:pt idx="19">
                  <c:v>0.137678895271883</c:v>
                </c:pt>
                <c:pt idx="20">
                  <c:v>0.13763434083641</c:v>
                </c:pt>
                <c:pt idx="21">
                  <c:v>0.137597918689665</c:v>
                </c:pt>
                <c:pt idx="22">
                  <c:v>0.137567923714531</c:v>
                </c:pt>
                <c:pt idx="23">
                  <c:v>0.137543059625749</c:v>
                </c:pt>
                <c:pt idx="24">
                  <c:v>0.137522330353993</c:v>
                </c:pt>
                <c:pt idx="25">
                  <c:v>0.13750496306701</c:v>
                </c:pt>
                <c:pt idx="26">
                  <c:v>0.137490352873675</c:v>
                </c:pt>
                <c:pt idx="27">
                  <c:v>0.137478022611288</c:v>
                </c:pt>
                <c:pt idx="28">
                  <c:v>0.137467593270678</c:v>
                </c:pt>
                <c:pt idx="29">
                  <c:v>0.137458762020858</c:v>
                </c:pt>
                <c:pt idx="30">
                  <c:v>0.137451285728718</c:v>
                </c:pt>
                <c:pt idx="31">
                  <c:v>0.137444968497922</c:v>
                </c:pt>
                <c:pt idx="32">
                  <c:v>0.137439652180436</c:v>
                </c:pt>
                <c:pt idx="33">
                  <c:v>0.137435209110875</c:v>
                </c:pt>
                <c:pt idx="34">
                  <c:v>0.137431536521779</c:v>
                </c:pt>
                <c:pt idx="35">
                  <c:v>0.137428552245296</c:v>
                </c:pt>
                <c:pt idx="36">
                  <c:v>0.137426191412542</c:v>
                </c:pt>
                <c:pt idx="37">
                  <c:v>0.137424403938978</c:v>
                </c:pt>
                <c:pt idx="38">
                  <c:v>0.137423152641044</c:v>
                </c:pt>
                <c:pt idx="39">
                  <c:v>0.137422411872256</c:v>
                </c:pt>
                <c:pt idx="40">
                  <c:v>0.137422166600171</c:v>
                </c:pt>
                <c:pt idx="41">
                  <c:v>0.137422411872256</c:v>
                </c:pt>
                <c:pt idx="42">
                  <c:v>0.137423152641044</c:v>
                </c:pt>
                <c:pt idx="43">
                  <c:v>0.137424403938978</c:v>
                </c:pt>
                <c:pt idx="44">
                  <c:v>0.137426191412542</c:v>
                </c:pt>
                <c:pt idx="45">
                  <c:v>0.137428552245296</c:v>
                </c:pt>
                <c:pt idx="46">
                  <c:v>0.137431536521779</c:v>
                </c:pt>
                <c:pt idx="47">
                  <c:v>0.137435209110875</c:v>
                </c:pt>
                <c:pt idx="48">
                  <c:v>0.137439652180436</c:v>
                </c:pt>
                <c:pt idx="49">
                  <c:v>0.137444968497922</c:v>
                </c:pt>
                <c:pt idx="50">
                  <c:v>0.137451285728718</c:v>
                </c:pt>
                <c:pt idx="51">
                  <c:v>0.137458762020858</c:v>
                </c:pt>
                <c:pt idx="52">
                  <c:v>0.137467593270678</c:v>
                </c:pt>
                <c:pt idx="53">
                  <c:v>0.137478022611288</c:v>
                </c:pt>
                <c:pt idx="54">
                  <c:v>0.137490352873675</c:v>
                </c:pt>
                <c:pt idx="55">
                  <c:v>0.13750496306701</c:v>
                </c:pt>
                <c:pt idx="56">
                  <c:v>0.137522330353993</c:v>
                </c:pt>
                <c:pt idx="57">
                  <c:v>0.137543059625749</c:v>
                </c:pt>
                <c:pt idx="58">
                  <c:v>0.137567923714531</c:v>
                </c:pt>
                <c:pt idx="59">
                  <c:v>0.137597918689665</c:v>
                </c:pt>
                <c:pt idx="60">
                  <c:v>0.13763434083641</c:v>
                </c:pt>
                <c:pt idx="61">
                  <c:v>0.137678895271883</c:v>
                </c:pt>
                <c:pt idx="62">
                  <c:v>0.137733851472481</c:v>
                </c:pt>
                <c:pt idx="63">
                  <c:v>0.137802269596357</c:v>
                </c:pt>
                <c:pt idx="64">
                  <c:v>0.137888335724042</c:v>
                </c:pt>
                <c:pt idx="65">
                  <c:v>0.137997868267399</c:v>
                </c:pt>
                <c:pt idx="66">
                  <c:v>0.138139099779489</c:v>
                </c:pt>
                <c:pt idx="67">
                  <c:v>0.138323913642092</c:v>
                </c:pt>
                <c:pt idx="68">
                  <c:v>0.138569854497051</c:v>
                </c:pt>
                <c:pt idx="69">
                  <c:v>0.138903499295085</c:v>
                </c:pt>
                <c:pt idx="70">
                  <c:v>0.139366313369288</c:v>
                </c:pt>
                <c:pt idx="71">
                  <c:v>0.140025247506413</c:v>
                </c:pt>
                <c:pt idx="72">
                  <c:v>0.140992851387828</c:v>
                </c:pt>
                <c:pt idx="73">
                  <c:v>0.14246766940099</c:v>
                </c:pt>
                <c:pt idx="74">
                  <c:v>0.144821089655445</c:v>
                </c:pt>
                <c:pt idx="75">
                  <c:v>0.148800375564296</c:v>
                </c:pt>
                <c:pt idx="76">
                  <c:v>0.156056183455225</c:v>
                </c:pt>
                <c:pt idx="77">
                  <c:v>0.170709173392726</c:v>
                </c:pt>
                <c:pt idx="78">
                  <c:v>0.203426212836341</c:v>
                </c:pt>
                <c:pt idx="79">
                  <c:v>0.281109822961473</c:v>
                </c:pt>
                <c:pt idx="80">
                  <c:v>0.389623953708898</c:v>
                </c:pt>
              </c:numCache>
            </c:numRef>
          </c:yVal>
          <c:smooth val="1"/>
          <c:extLst xmlns:c16r2="http://schemas.microsoft.com/office/drawing/2015/06/chart">
            <c:ext xmlns:c16="http://schemas.microsoft.com/office/drawing/2014/chart" uri="{C3380CC4-5D6E-409C-BE32-E72D297353CC}">
              <c16:uniqueId val="{00000002-9FE0-42FE-86C0-DF892ACA8C58}"/>
            </c:ext>
          </c:extLst>
        </c:ser>
        <c:ser>
          <c:idx val="3"/>
          <c:order val="3"/>
          <c:tx>
            <c:strRef>
              <c:f>300 °F</c:f>
              <c:strCache>
                <c:ptCount val="1"/>
                <c:pt idx="0">
                  <c:v>300 °F</c:v>
                </c:pt>
              </c:strCache>
            </c:strRef>
          </c:tx>
          <c:spPr>
            <a:ln w="28575" cap="rnd" cmpd="sng" algn="ctr">
              <a:solidFill>
                <a:schemeClr val="accent4">
                  <a:shade val="95000"/>
                  <a:satMod val="105000"/>
                </a:schemeClr>
              </a:solidFill>
              <a:prstDash val="solid"/>
              <a:round/>
            </a:ln>
          </c:spPr>
          <c:marker>
            <c:symbol val="none"/>
          </c:marker>
          <c:xVal>
            <c:numRef>
              <c:f>Sheet3!$F$4:$F$84</c:f>
              <c:numCache>
                <c:formatCode>General</c:formatCode>
                <c:ptCount val="81"/>
                <c:pt idx="0">
                  <c:v>0.1879</c:v>
                </c:pt>
                <c:pt idx="1">
                  <c:v>0.3082025</c:v>
                </c:pt>
                <c:pt idx="2">
                  <c:v>0.428505</c:v>
                </c:pt>
                <c:pt idx="3">
                  <c:v>0.548807499999999</c:v>
                </c:pt>
                <c:pt idx="4">
                  <c:v>0.669109999999999</c:v>
                </c:pt>
                <c:pt idx="5">
                  <c:v>0.789412499999998</c:v>
                </c:pt>
                <c:pt idx="6">
                  <c:v>0.909714999999999</c:v>
                </c:pt>
                <c:pt idx="7">
                  <c:v>1.03001749999999</c:v>
                </c:pt>
                <c:pt idx="8">
                  <c:v>1.15031999999999</c:v>
                </c:pt>
                <c:pt idx="9">
                  <c:v>1.27062249999999</c:v>
                </c:pt>
                <c:pt idx="10">
                  <c:v>1.39092499999999</c:v>
                </c:pt>
                <c:pt idx="11">
                  <c:v>1.511227499999989</c:v>
                </c:pt>
                <c:pt idx="12">
                  <c:v>1.631529999999989</c:v>
                </c:pt>
                <c:pt idx="13">
                  <c:v>1.751832499999989</c:v>
                </c:pt>
                <c:pt idx="14">
                  <c:v>1.87213499999999</c:v>
                </c:pt>
                <c:pt idx="15">
                  <c:v>1.99243749999999</c:v>
                </c:pt>
                <c:pt idx="16">
                  <c:v>2.112739999999988</c:v>
                </c:pt>
                <c:pt idx="17">
                  <c:v>2.233042499999986</c:v>
                </c:pt>
                <c:pt idx="18">
                  <c:v>2.353344999999988</c:v>
                </c:pt>
                <c:pt idx="19">
                  <c:v>2.473647499999986</c:v>
                </c:pt>
                <c:pt idx="20">
                  <c:v>2.593949999999988</c:v>
                </c:pt>
                <c:pt idx="21">
                  <c:v>2.714252499999977</c:v>
                </c:pt>
                <c:pt idx="22">
                  <c:v>2.834554999999987</c:v>
                </c:pt>
                <c:pt idx="23">
                  <c:v>2.954857499999977</c:v>
                </c:pt>
                <c:pt idx="24">
                  <c:v>3.075159999999987</c:v>
                </c:pt>
                <c:pt idx="25">
                  <c:v>3.195462499999977</c:v>
                </c:pt>
                <c:pt idx="26">
                  <c:v>3.315764999999986</c:v>
                </c:pt>
                <c:pt idx="27">
                  <c:v>3.436067499999957</c:v>
                </c:pt>
                <c:pt idx="28">
                  <c:v>3.556369999999986</c:v>
                </c:pt>
                <c:pt idx="29">
                  <c:v>3.676672499999956</c:v>
                </c:pt>
                <c:pt idx="30">
                  <c:v>3.79697499999999</c:v>
                </c:pt>
                <c:pt idx="31">
                  <c:v>3.917277499999988</c:v>
                </c:pt>
                <c:pt idx="32">
                  <c:v>4.03757999999999</c:v>
                </c:pt>
                <c:pt idx="33">
                  <c:v>4.157882499999967</c:v>
                </c:pt>
                <c:pt idx="34">
                  <c:v>4.278184999999977</c:v>
                </c:pt>
                <c:pt idx="35">
                  <c:v>4.398487499999986</c:v>
                </c:pt>
                <c:pt idx="36">
                  <c:v>4.518789999999989</c:v>
                </c:pt>
                <c:pt idx="37">
                  <c:v>4.639092499999991</c:v>
                </c:pt>
                <c:pt idx="38">
                  <c:v>4.75939499999999</c:v>
                </c:pt>
                <c:pt idx="39">
                  <c:v>4.879697499999992</c:v>
                </c:pt>
                <c:pt idx="40">
                  <c:v>4.99999999999999</c:v>
                </c:pt>
                <c:pt idx="41">
                  <c:v>5.120302499999998</c:v>
                </c:pt>
                <c:pt idx="42">
                  <c:v>5.240605</c:v>
                </c:pt>
                <c:pt idx="43">
                  <c:v>5.360907499999977</c:v>
                </c:pt>
                <c:pt idx="44">
                  <c:v>5.481210000000002</c:v>
                </c:pt>
                <c:pt idx="45">
                  <c:v>5.601512499999996</c:v>
                </c:pt>
                <c:pt idx="46">
                  <c:v>5.721814999999966</c:v>
                </c:pt>
                <c:pt idx="47">
                  <c:v>5.842117499999976</c:v>
                </c:pt>
                <c:pt idx="48">
                  <c:v>5.962419999999986</c:v>
                </c:pt>
                <c:pt idx="49">
                  <c:v>6.08272249999999</c:v>
                </c:pt>
                <c:pt idx="50">
                  <c:v>6.203025</c:v>
                </c:pt>
                <c:pt idx="51">
                  <c:v>6.32332749999999</c:v>
                </c:pt>
                <c:pt idx="52">
                  <c:v>6.443630000000002</c:v>
                </c:pt>
                <c:pt idx="53">
                  <c:v>6.563932499999988</c:v>
                </c:pt>
                <c:pt idx="54">
                  <c:v>6.684234999999965</c:v>
                </c:pt>
                <c:pt idx="55">
                  <c:v>6.804537499999975</c:v>
                </c:pt>
                <c:pt idx="56">
                  <c:v>6.924839999999985</c:v>
                </c:pt>
                <c:pt idx="57">
                  <c:v>7.0451425</c:v>
                </c:pt>
                <c:pt idx="58">
                  <c:v>7.165444999999965</c:v>
                </c:pt>
                <c:pt idx="59">
                  <c:v>7.285747499999991</c:v>
                </c:pt>
                <c:pt idx="60">
                  <c:v>7.406049999999992</c:v>
                </c:pt>
                <c:pt idx="61">
                  <c:v>7.5263525</c:v>
                </c:pt>
                <c:pt idx="62">
                  <c:v>7.646654999999987</c:v>
                </c:pt>
                <c:pt idx="63">
                  <c:v>7.766957499999989</c:v>
                </c:pt>
                <c:pt idx="64">
                  <c:v>7.88726</c:v>
                </c:pt>
                <c:pt idx="65">
                  <c:v>8.0075625</c:v>
                </c:pt>
                <c:pt idx="66">
                  <c:v>8.12786499999999</c:v>
                </c:pt>
                <c:pt idx="67">
                  <c:v>8.248167499999921</c:v>
                </c:pt>
                <c:pt idx="68">
                  <c:v>8.36847</c:v>
                </c:pt>
                <c:pt idx="69">
                  <c:v>8.4887725</c:v>
                </c:pt>
                <c:pt idx="70">
                  <c:v>8.609075000000001</c:v>
                </c:pt>
                <c:pt idx="71">
                  <c:v>8.729377499999968</c:v>
                </c:pt>
                <c:pt idx="72">
                  <c:v>8.84968</c:v>
                </c:pt>
                <c:pt idx="73">
                  <c:v>8.96998250000001</c:v>
                </c:pt>
                <c:pt idx="74">
                  <c:v>9.090285000000001</c:v>
                </c:pt>
                <c:pt idx="75">
                  <c:v>9.2105875</c:v>
                </c:pt>
                <c:pt idx="76">
                  <c:v>9.33089</c:v>
                </c:pt>
                <c:pt idx="77">
                  <c:v>9.4511925</c:v>
                </c:pt>
                <c:pt idx="78">
                  <c:v>9.571495</c:v>
                </c:pt>
                <c:pt idx="79">
                  <c:v>9.69179749999999</c:v>
                </c:pt>
                <c:pt idx="80">
                  <c:v>9.812100000000002</c:v>
                </c:pt>
              </c:numCache>
            </c:numRef>
          </c:xVal>
          <c:yVal>
            <c:numRef>
              <c:f>Sheet3!$E$4:$E$84</c:f>
              <c:numCache>
                <c:formatCode>General</c:formatCode>
                <c:ptCount val="81"/>
                <c:pt idx="0">
                  <c:v>0.370990586586164</c:v>
                </c:pt>
                <c:pt idx="1">
                  <c:v>0.26044380745891</c:v>
                </c:pt>
                <c:pt idx="2">
                  <c:v>0.186129754678689</c:v>
                </c:pt>
                <c:pt idx="3">
                  <c:v>0.155928675094072</c:v>
                </c:pt>
                <c:pt idx="4">
                  <c:v>0.142579779341171</c:v>
                </c:pt>
                <c:pt idx="5">
                  <c:v>0.13599116917821</c:v>
                </c:pt>
                <c:pt idx="6">
                  <c:v>0.132383833707438</c:v>
                </c:pt>
                <c:pt idx="7">
                  <c:v>0.130252396003254</c:v>
                </c:pt>
                <c:pt idx="8">
                  <c:v>0.128917434695728</c:v>
                </c:pt>
                <c:pt idx="9">
                  <c:v>0.128041894314355</c:v>
                </c:pt>
                <c:pt idx="10">
                  <c:v>0.127445790362729</c:v>
                </c:pt>
                <c:pt idx="11">
                  <c:v>0.127027170137038</c:v>
                </c:pt>
                <c:pt idx="12">
                  <c:v>0.12672541688556</c:v>
                </c:pt>
                <c:pt idx="13">
                  <c:v>0.126503001215777</c:v>
                </c:pt>
                <c:pt idx="14">
                  <c:v>0.126335874806626</c:v>
                </c:pt>
                <c:pt idx="15">
                  <c:v>0.126208165101991</c:v>
                </c:pt>
                <c:pt idx="16">
                  <c:v>0.126109122669828</c:v>
                </c:pt>
                <c:pt idx="17">
                  <c:v>0.126031301263414</c:v>
                </c:pt>
                <c:pt idx="18">
                  <c:v>0.125969438590112</c:v>
                </c:pt>
                <c:pt idx="19">
                  <c:v>0.125919748888871</c:v>
                </c:pt>
                <c:pt idx="20">
                  <c:v>0.12587946477178</c:v>
                </c:pt>
                <c:pt idx="21">
                  <c:v>0.125846533959615</c:v>
                </c:pt>
                <c:pt idx="22">
                  <c:v>0.125819414565006</c:v>
                </c:pt>
                <c:pt idx="23">
                  <c:v>0.125796934422301</c:v>
                </c:pt>
                <c:pt idx="24">
                  <c:v>0.125778192853186</c:v>
                </c:pt>
                <c:pt idx="25">
                  <c:v>0.125762491048688</c:v>
                </c:pt>
                <c:pt idx="26">
                  <c:v>0.12574928206263</c:v>
                </c:pt>
                <c:pt idx="27">
                  <c:v>0.125738134446639</c:v>
                </c:pt>
                <c:pt idx="28">
                  <c:v>0.125728705505768</c:v>
                </c:pt>
                <c:pt idx="29">
                  <c:v>0.125720721426776</c:v>
                </c:pt>
                <c:pt idx="30">
                  <c:v>0.125713962375677</c:v>
                </c:pt>
                <c:pt idx="31">
                  <c:v>0.125708251229863</c:v>
                </c:pt>
                <c:pt idx="32">
                  <c:v>0.125703444998313</c:v>
                </c:pt>
                <c:pt idx="33">
                  <c:v>0.125699428251825</c:v>
                </c:pt>
                <c:pt idx="34">
                  <c:v>0.125696108073226</c:v>
                </c:pt>
                <c:pt idx="35">
                  <c:v>0.125693410170795</c:v>
                </c:pt>
                <c:pt idx="36">
                  <c:v>0.125691275893826</c:v>
                </c:pt>
                <c:pt idx="37">
                  <c:v>0.12568965995891</c:v>
                </c:pt>
                <c:pt idx="38">
                  <c:v>0.125688528747007</c:v>
                </c:pt>
                <c:pt idx="39">
                  <c:v>0.125687859070223</c:v>
                </c:pt>
                <c:pt idx="40">
                  <c:v>0.125687637337212</c:v>
                </c:pt>
                <c:pt idx="41">
                  <c:v>0.125687859070223</c:v>
                </c:pt>
                <c:pt idx="42">
                  <c:v>0.125688528747007</c:v>
                </c:pt>
                <c:pt idx="43">
                  <c:v>0.12568965995891</c:v>
                </c:pt>
                <c:pt idx="44">
                  <c:v>0.125691275893826</c:v>
                </c:pt>
                <c:pt idx="45">
                  <c:v>0.125693410170795</c:v>
                </c:pt>
                <c:pt idx="46">
                  <c:v>0.125696108073226</c:v>
                </c:pt>
                <c:pt idx="47">
                  <c:v>0.125699428251825</c:v>
                </c:pt>
                <c:pt idx="48">
                  <c:v>0.125703444998313</c:v>
                </c:pt>
                <c:pt idx="49">
                  <c:v>0.125708251229863</c:v>
                </c:pt>
                <c:pt idx="50">
                  <c:v>0.125713962375677</c:v>
                </c:pt>
                <c:pt idx="51">
                  <c:v>0.125720721426776</c:v>
                </c:pt>
                <c:pt idx="52">
                  <c:v>0.125728705505768</c:v>
                </c:pt>
                <c:pt idx="53">
                  <c:v>0.125738134446639</c:v>
                </c:pt>
                <c:pt idx="54">
                  <c:v>0.12574928206263</c:v>
                </c:pt>
                <c:pt idx="55">
                  <c:v>0.125762491048688</c:v>
                </c:pt>
                <c:pt idx="56">
                  <c:v>0.125778192853186</c:v>
                </c:pt>
                <c:pt idx="57">
                  <c:v>0.125796934422301</c:v>
                </c:pt>
                <c:pt idx="58">
                  <c:v>0.125819414565006</c:v>
                </c:pt>
                <c:pt idx="59">
                  <c:v>0.125846533959615</c:v>
                </c:pt>
                <c:pt idx="60">
                  <c:v>0.12587946477178</c:v>
                </c:pt>
                <c:pt idx="61">
                  <c:v>0.125919748888871</c:v>
                </c:pt>
                <c:pt idx="62">
                  <c:v>0.125969438590112</c:v>
                </c:pt>
                <c:pt idx="63">
                  <c:v>0.126031301263414</c:v>
                </c:pt>
                <c:pt idx="64">
                  <c:v>0.126109122669828</c:v>
                </c:pt>
                <c:pt idx="65">
                  <c:v>0.126208165101991</c:v>
                </c:pt>
                <c:pt idx="66">
                  <c:v>0.126335874806626</c:v>
                </c:pt>
                <c:pt idx="67">
                  <c:v>0.126503001215777</c:v>
                </c:pt>
                <c:pt idx="68">
                  <c:v>0.12672541688556</c:v>
                </c:pt>
                <c:pt idx="69">
                  <c:v>0.127027170137038</c:v>
                </c:pt>
                <c:pt idx="70">
                  <c:v>0.127445790362729</c:v>
                </c:pt>
                <c:pt idx="71">
                  <c:v>0.128041894314355</c:v>
                </c:pt>
                <c:pt idx="72">
                  <c:v>0.128917434695728</c:v>
                </c:pt>
                <c:pt idx="73">
                  <c:v>0.130252396003254</c:v>
                </c:pt>
                <c:pt idx="74">
                  <c:v>0.132383833707438</c:v>
                </c:pt>
                <c:pt idx="75">
                  <c:v>0.13599116917821</c:v>
                </c:pt>
                <c:pt idx="76">
                  <c:v>0.142579779341171</c:v>
                </c:pt>
                <c:pt idx="77">
                  <c:v>0.155928675094072</c:v>
                </c:pt>
                <c:pt idx="78">
                  <c:v>0.186129754678689</c:v>
                </c:pt>
                <c:pt idx="79">
                  <c:v>0.260443807458908</c:v>
                </c:pt>
                <c:pt idx="80">
                  <c:v>0.370990586586164</c:v>
                </c:pt>
              </c:numCache>
            </c:numRef>
          </c:yVal>
          <c:smooth val="1"/>
          <c:extLst xmlns:c16r2="http://schemas.microsoft.com/office/drawing/2015/06/chart">
            <c:ext xmlns:c16="http://schemas.microsoft.com/office/drawing/2014/chart" uri="{C3380CC4-5D6E-409C-BE32-E72D297353CC}">
              <c16:uniqueId val="{00000003-9FE0-42FE-86C0-DF892ACA8C58}"/>
            </c:ext>
          </c:extLst>
        </c:ser>
        <c:dLbls>
          <c:showLegendKey val="0"/>
          <c:showVal val="0"/>
          <c:showCatName val="0"/>
          <c:showSerName val="0"/>
          <c:showPercent val="0"/>
          <c:showBubbleSize val="0"/>
        </c:dLbls>
        <c:axId val="1918732624"/>
        <c:axId val="1918675712"/>
      </c:scatterChart>
      <c:valAx>
        <c:axId val="1918732624"/>
        <c:scaling>
          <c:orientation val="minMax"/>
          <c:max val="1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Distance</a:t>
                </a:r>
                <a:r>
                  <a:rPr lang="en-US" sz="1200" b="0" baseline="0">
                    <a:latin typeface="Times New Roman" panose="02020603050405020304"/>
                    <a:cs typeface="Times New Roman" panose="02020603050405020304"/>
                  </a:rPr>
                  <a:t> to the left wall, nm</a:t>
                </a:r>
                <a:endParaRPr lang="en-US" sz="1200" b="0">
                  <a:latin typeface="Times New Roman" panose="02020603050405020304"/>
                  <a:cs typeface="Times New Roman" panose="02020603050405020304"/>
                </a:endParaRPr>
              </a:p>
            </c:rich>
          </c:tx>
          <c:layout>
            <c:manualLayout>
              <c:xMode val="edge"/>
              <c:yMode val="edge"/>
              <c:x val="0.321120126143928"/>
              <c:y val="0.933840304182509"/>
            </c:manualLayout>
          </c:layout>
          <c:overlay val="0"/>
        </c:title>
        <c:numFmt formatCode="General" sourceLinked="1"/>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675712"/>
        <c:crosses val="autoZero"/>
        <c:crossBetween val="midCat"/>
      </c:valAx>
      <c:valAx>
        <c:axId val="1918675712"/>
        <c:scaling>
          <c:orientation val="minMax"/>
          <c:min val="0.1"/>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i="0" baseline="0">
                    <a:effectLst/>
                    <a:latin typeface="Times New Roman" panose="02020603050405020304"/>
                    <a:cs typeface="Times New Roman" panose="02020603050405020304"/>
                  </a:rPr>
                  <a:t>Density, g/cm</a:t>
                </a:r>
                <a:r>
                  <a:rPr lang="en-US" sz="1200" b="0" i="0" baseline="30000">
                    <a:effectLst/>
                    <a:latin typeface="Times New Roman" panose="02020603050405020304"/>
                    <a:cs typeface="Times New Roman" panose="02020603050405020304"/>
                  </a:rPr>
                  <a:t>3</a:t>
                </a:r>
                <a:endParaRPr lang="en-US" sz="1200" b="0">
                  <a:effectLst/>
                  <a:latin typeface="Times New Roman" panose="02020603050405020304"/>
                  <a:cs typeface="Times New Roman" panose="02020603050405020304"/>
                </a:endParaRPr>
              </a:p>
            </c:rich>
          </c:tx>
          <c:overlay val="0"/>
        </c:title>
        <c:numFmt formatCode="#,##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732624"/>
        <c:crosses val="autoZero"/>
        <c:crossBetween val="midCat"/>
      </c:valAx>
      <c:spPr>
        <a:ln>
          <a:solidFill>
            <a:srgbClr val="000000"/>
          </a:solidFill>
        </a:ln>
      </c:spPr>
    </c:plotArea>
    <c:legend>
      <c:legendPos val="r"/>
      <c:layout>
        <c:manualLayout>
          <c:xMode val="edge"/>
          <c:yMode val="edge"/>
          <c:x val="0.453664647059304"/>
          <c:y val="0.0747517376492756"/>
          <c:w val="0.163428639861082"/>
          <c:h val="0.321705338163528"/>
        </c:manualLayout>
      </c:layout>
      <c:overlay val="0"/>
      <c:spPr>
        <a:ln>
          <a:solidFill>
            <a:srgbClr val="000000"/>
          </a:solidFill>
        </a:ln>
      </c:spPr>
      <c:txPr>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2021062992126"/>
          <c:y val="0.0416666666666667"/>
          <c:w val="0.844470034995626"/>
          <c:h val="0.827099008457276"/>
        </c:manualLayout>
      </c:layout>
      <c:scatterChart>
        <c:scatterStyle val="smoothMarker"/>
        <c:varyColors val="0"/>
        <c:ser>
          <c:idx val="0"/>
          <c:order val="0"/>
          <c:tx>
            <c:strRef>
              <c:f>80% C1</c:f>
              <c:strCache>
                <c:ptCount val="1"/>
                <c:pt idx="0">
                  <c:v>80% C1</c:v>
                </c:pt>
              </c:strCache>
            </c:strRef>
          </c:tx>
          <c:spPr>
            <a:ln w="28575" cap="rnd" cmpd="sng" algn="ctr">
              <a:solidFill>
                <a:schemeClr val="accent1">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Sheet4!$J$3:$J$197</c:f>
              <c:numCache>
                <c:formatCode>General</c:formatCode>
                <c:ptCount val="195"/>
                <c:pt idx="0">
                  <c:v>0.800141140298966</c:v>
                </c:pt>
                <c:pt idx="1">
                  <c:v>0.793967369799245</c:v>
                </c:pt>
                <c:pt idx="2">
                  <c:v>0.745582635589943</c:v>
                </c:pt>
                <c:pt idx="3">
                  <c:v>0.661233190730949</c:v>
                </c:pt>
                <c:pt idx="4">
                  <c:v>0.598777449253597</c:v>
                </c:pt>
                <c:pt idx="5">
                  <c:v>0.571714149343741</c:v>
                </c:pt>
                <c:pt idx="6">
                  <c:v>0.543502398159075</c:v>
                </c:pt>
                <c:pt idx="7">
                  <c:v>0.512000718497976</c:v>
                </c:pt>
                <c:pt idx="8">
                  <c:v>0.481698177483303</c:v>
                </c:pt>
                <c:pt idx="9">
                  <c:v>0.454269095688096</c:v>
                </c:pt>
                <c:pt idx="10">
                  <c:v>0.430204988541012</c:v>
                </c:pt>
                <c:pt idx="11">
                  <c:v>0.409448866248286</c:v>
                </c:pt>
                <c:pt idx="12">
                  <c:v>0.391698577725237</c:v>
                </c:pt>
                <c:pt idx="13">
                  <c:v>0.376565810910839</c:v>
                </c:pt>
                <c:pt idx="14">
                  <c:v>0.363658329743008</c:v>
                </c:pt>
                <c:pt idx="15">
                  <c:v>0.352618301824154</c:v>
                </c:pt>
                <c:pt idx="16">
                  <c:v>0.343136136550339</c:v>
                </c:pt>
                <c:pt idx="17">
                  <c:v>0.334951719420102</c:v>
                </c:pt>
                <c:pt idx="18">
                  <c:v>0.327849964629057</c:v>
                </c:pt>
                <c:pt idx="19">
                  <c:v>0.321654411504629</c:v>
                </c:pt>
                <c:pt idx="20">
                  <c:v>0.316220688977948</c:v>
                </c:pt>
                <c:pt idx="21">
                  <c:v>0.311430626349447</c:v>
                </c:pt>
                <c:pt idx="22">
                  <c:v>0.307187256642346</c:v>
                </c:pt>
                <c:pt idx="23">
                  <c:v>0.303410711674246</c:v>
                </c:pt>
                <c:pt idx="24">
                  <c:v>0.300034908485772</c:v>
                </c:pt>
                <c:pt idx="25">
                  <c:v>0.297004898882741</c:v>
                </c:pt>
                <c:pt idx="26">
                  <c:v>0.294274757767035</c:v>
                </c:pt>
                <c:pt idx="27">
                  <c:v>0.291805901873976</c:v>
                </c:pt>
                <c:pt idx="28">
                  <c:v>0.289565749268535</c:v>
                </c:pt>
                <c:pt idx="29">
                  <c:v>0.287526647530596</c:v>
                </c:pt>
                <c:pt idx="30">
                  <c:v>0.285665013608662</c:v>
                </c:pt>
                <c:pt idx="31">
                  <c:v>0.283960640607134</c:v>
                </c:pt>
                <c:pt idx="32">
                  <c:v>0.282396136553924</c:v>
                </c:pt>
                <c:pt idx="33">
                  <c:v>0.280956467863004</c:v>
                </c:pt>
                <c:pt idx="34">
                  <c:v>0.279628586174781</c:v>
                </c:pt>
                <c:pt idx="35">
                  <c:v>0.278401121882638</c:v>
                </c:pt>
                <c:pt idx="36">
                  <c:v>0.277264131235194</c:v>
                </c:pt>
                <c:pt idx="37">
                  <c:v>0.276208886679667</c:v>
                </c:pt>
                <c:pt idx="38">
                  <c:v>0.275227702266862</c:v>
                </c:pt>
                <c:pt idx="39">
                  <c:v>0.274313787615825</c:v>
                </c:pt>
                <c:pt idx="40">
                  <c:v>0.273461125248055</c:v>
                </c:pt>
                <c:pt idx="41">
                  <c:v>0.2726643671291</c:v>
                </c:pt>
                <c:pt idx="42">
                  <c:v>0.271918747065191</c:v>
                </c:pt>
                <c:pt idx="43">
                  <c:v>0.271220006243212</c:v>
                </c:pt>
                <c:pt idx="44">
                  <c:v>0.270564329710232</c:v>
                </c:pt>
                <c:pt idx="45">
                  <c:v>0.269948291995305</c:v>
                </c:pt>
                <c:pt idx="46">
                  <c:v>0.269368810399825</c:v>
                </c:pt>
                <c:pt idx="47">
                  <c:v>0.268823104745393</c:v>
                </c:pt>
                <c:pt idx="48">
                  <c:v>0.268308662577724</c:v>
                </c:pt>
                <c:pt idx="49">
                  <c:v>0.267823208997326</c:v>
                </c:pt>
                <c:pt idx="50">
                  <c:v>0.267364680426319</c:v>
                </c:pt>
                <c:pt idx="51">
                  <c:v>0.26693120173481</c:v>
                </c:pt>
                <c:pt idx="52">
                  <c:v>0.266521066243596</c:v>
                </c:pt>
                <c:pt idx="53">
                  <c:v>0.266132718196916</c:v>
                </c:pt>
                <c:pt idx="54">
                  <c:v>0.265764737362225</c:v>
                </c:pt>
                <c:pt idx="55">
                  <c:v>0.265415825467013</c:v>
                </c:pt>
                <c:pt idx="56">
                  <c:v>0.265084794226436</c:v>
                </c:pt>
                <c:pt idx="57">
                  <c:v>0.264770554751556</c:v>
                </c:pt>
                <c:pt idx="58">
                  <c:v>0.264472108159501</c:v>
                </c:pt>
                <c:pt idx="59">
                  <c:v>0.264188538234856</c:v>
                </c:pt>
                <c:pt idx="60">
                  <c:v>0.263918999895913</c:v>
                </c:pt>
                <c:pt idx="61">
                  <c:v>0.263662718893605</c:v>
                </c:pt>
                <c:pt idx="62">
                  <c:v>0.263418981553367</c:v>
                </c:pt>
                <c:pt idx="63">
                  <c:v>0.263187130620696</c:v>
                </c:pt>
                <c:pt idx="64">
                  <c:v>0.262966560480202</c:v>
                </c:pt>
                <c:pt idx="65">
                  <c:v>0.262756712909601</c:v>
                </c:pt>
                <c:pt idx="66">
                  <c:v>0.262557073210098</c:v>
                </c:pt>
                <c:pt idx="67">
                  <c:v>0.262367166766853</c:v>
                </c:pt>
                <c:pt idx="68">
                  <c:v>0.262186555898465</c:v>
                </c:pt>
                <c:pt idx="69">
                  <c:v>0.262014837039229</c:v>
                </c:pt>
                <c:pt idx="70">
                  <c:v>0.261851638148695</c:v>
                </c:pt>
                <c:pt idx="71">
                  <c:v>0.261696616384279</c:v>
                </c:pt>
                <c:pt idx="72">
                  <c:v>0.261549455970472</c:v>
                </c:pt>
                <c:pt idx="73">
                  <c:v>0.261409866250973</c:v>
                </c:pt>
                <c:pt idx="74">
                  <c:v>0.261277579910164</c:v>
                </c:pt>
                <c:pt idx="75">
                  <c:v>0.261152351340831</c:v>
                </c:pt>
                <c:pt idx="76">
                  <c:v>0.26103395513963</c:v>
                </c:pt>
                <c:pt idx="77">
                  <c:v>0.26092218472671</c:v>
                </c:pt>
                <c:pt idx="78">
                  <c:v>0.260816851057171</c:v>
                </c:pt>
                <c:pt idx="79">
                  <c:v>0.26071778144187</c:v>
                </c:pt>
                <c:pt idx="80">
                  <c:v>0.260624818442384</c:v>
                </c:pt>
                <c:pt idx="81">
                  <c:v>0.260537818846788</c:v>
                </c:pt>
                <c:pt idx="82">
                  <c:v>0.260456652710481</c:v>
                </c:pt>
                <c:pt idx="83">
                  <c:v>0.260381202465321</c:v>
                </c:pt>
                <c:pt idx="84">
                  <c:v>0.260311362091533</c:v>
                </c:pt>
                <c:pt idx="85">
                  <c:v>0.260247036334485</c:v>
                </c:pt>
                <c:pt idx="86">
                  <c:v>0.260188139983654</c:v>
                </c:pt>
                <c:pt idx="87">
                  <c:v>0.260134597198331</c:v>
                </c:pt>
                <c:pt idx="88">
                  <c:v>0.260086340885883</c:v>
                </c:pt>
                <c:pt idx="89">
                  <c:v>0.260043312125726</c:v>
                </c:pt>
                <c:pt idx="90">
                  <c:v>0.260005459647271</c:v>
                </c:pt>
                <c:pt idx="91">
                  <c:v>0.259972739355954</c:v>
                </c:pt>
                <c:pt idx="92">
                  <c:v>0.259945113909181</c:v>
                </c:pt>
                <c:pt idx="93">
                  <c:v>0.259922552347939</c:v>
                </c:pt>
                <c:pt idx="94">
                  <c:v>0.259905029779364</c:v>
                </c:pt>
                <c:pt idx="95">
                  <c:v>0.259892527116144</c:v>
                </c:pt>
                <c:pt idx="96">
                  <c:v>0.259885031208902</c:v>
                </c:pt>
                <c:pt idx="97">
                  <c:v>0.259882533030576</c:v>
                </c:pt>
                <c:pt idx="98">
                  <c:v>0.259885031208902</c:v>
                </c:pt>
                <c:pt idx="99">
                  <c:v>0.259892527116144</c:v>
                </c:pt>
                <c:pt idx="100">
                  <c:v>0.259905029779364</c:v>
                </c:pt>
                <c:pt idx="101">
                  <c:v>0.259922552347939</c:v>
                </c:pt>
                <c:pt idx="102">
                  <c:v>0.259945113909181</c:v>
                </c:pt>
                <c:pt idx="103">
                  <c:v>0.259972739355954</c:v>
                </c:pt>
                <c:pt idx="104">
                  <c:v>0.260005459647271</c:v>
                </c:pt>
                <c:pt idx="105">
                  <c:v>0.260043312125726</c:v>
                </c:pt>
                <c:pt idx="106">
                  <c:v>0.260086340885883</c:v>
                </c:pt>
                <c:pt idx="107">
                  <c:v>0.260134597198331</c:v>
                </c:pt>
                <c:pt idx="108">
                  <c:v>0.260188139983654</c:v>
                </c:pt>
                <c:pt idx="109">
                  <c:v>0.260247036334485</c:v>
                </c:pt>
                <c:pt idx="110">
                  <c:v>0.260311362091533</c:v>
                </c:pt>
                <c:pt idx="111">
                  <c:v>0.260381202465321</c:v>
                </c:pt>
                <c:pt idx="112">
                  <c:v>0.260456652710481</c:v>
                </c:pt>
                <c:pt idx="113">
                  <c:v>0.260537818846788</c:v>
                </c:pt>
                <c:pt idx="114">
                  <c:v>0.260624818442384</c:v>
                </c:pt>
                <c:pt idx="115">
                  <c:v>0.26071778144187</c:v>
                </c:pt>
                <c:pt idx="116">
                  <c:v>0.260816851057171</c:v>
                </c:pt>
                <c:pt idx="117">
                  <c:v>0.26092218472671</c:v>
                </c:pt>
                <c:pt idx="118">
                  <c:v>0.26103395513963</c:v>
                </c:pt>
                <c:pt idx="119">
                  <c:v>0.261152351340831</c:v>
                </c:pt>
                <c:pt idx="120">
                  <c:v>0.261277579910164</c:v>
                </c:pt>
                <c:pt idx="121">
                  <c:v>0.261409866250973</c:v>
                </c:pt>
                <c:pt idx="122">
                  <c:v>0.261549455970472</c:v>
                </c:pt>
                <c:pt idx="123">
                  <c:v>0.261696616384279</c:v>
                </c:pt>
                <c:pt idx="124">
                  <c:v>0.261851638148695</c:v>
                </c:pt>
                <c:pt idx="125">
                  <c:v>0.262014837039229</c:v>
                </c:pt>
                <c:pt idx="126">
                  <c:v>0.262186555898465</c:v>
                </c:pt>
                <c:pt idx="127">
                  <c:v>0.262367166766853</c:v>
                </c:pt>
                <c:pt idx="128">
                  <c:v>0.262557073210098</c:v>
                </c:pt>
                <c:pt idx="129">
                  <c:v>0.262756712909601</c:v>
                </c:pt>
                <c:pt idx="130">
                  <c:v>0.262966560480202</c:v>
                </c:pt>
                <c:pt idx="131">
                  <c:v>0.263187130620696</c:v>
                </c:pt>
                <c:pt idx="132">
                  <c:v>0.263418981553367</c:v>
                </c:pt>
                <c:pt idx="133">
                  <c:v>0.263662718893605</c:v>
                </c:pt>
                <c:pt idx="134">
                  <c:v>0.263918999895913</c:v>
                </c:pt>
                <c:pt idx="135">
                  <c:v>0.264188538234856</c:v>
                </c:pt>
                <c:pt idx="136">
                  <c:v>0.264472108159501</c:v>
                </c:pt>
                <c:pt idx="137">
                  <c:v>0.264770554751556</c:v>
                </c:pt>
                <c:pt idx="138">
                  <c:v>0.265084794226436</c:v>
                </c:pt>
                <c:pt idx="139">
                  <c:v>0.265415825467013</c:v>
                </c:pt>
                <c:pt idx="140">
                  <c:v>0.265764737362225</c:v>
                </c:pt>
                <c:pt idx="141">
                  <c:v>0.266132718196916</c:v>
                </c:pt>
                <c:pt idx="142">
                  <c:v>0.266521066243596</c:v>
                </c:pt>
                <c:pt idx="143">
                  <c:v>0.26693120173481</c:v>
                </c:pt>
                <c:pt idx="144">
                  <c:v>0.267364680426319</c:v>
                </c:pt>
                <c:pt idx="145">
                  <c:v>0.267823208997326</c:v>
                </c:pt>
                <c:pt idx="146">
                  <c:v>0.268308662577724</c:v>
                </c:pt>
                <c:pt idx="147">
                  <c:v>0.268823104745393</c:v>
                </c:pt>
                <c:pt idx="148">
                  <c:v>0.269368810399825</c:v>
                </c:pt>
                <c:pt idx="149">
                  <c:v>0.269948291995305</c:v>
                </c:pt>
                <c:pt idx="150">
                  <c:v>0.270564329710232</c:v>
                </c:pt>
                <c:pt idx="151">
                  <c:v>0.271220006243212</c:v>
                </c:pt>
                <c:pt idx="152">
                  <c:v>0.271918747065191</c:v>
                </c:pt>
                <c:pt idx="153">
                  <c:v>0.2726643671291</c:v>
                </c:pt>
                <c:pt idx="154">
                  <c:v>0.273461125248055</c:v>
                </c:pt>
                <c:pt idx="155">
                  <c:v>0.274313787615825</c:v>
                </c:pt>
                <c:pt idx="156">
                  <c:v>0.275227702266862</c:v>
                </c:pt>
                <c:pt idx="157">
                  <c:v>0.276208886679667</c:v>
                </c:pt>
                <c:pt idx="158">
                  <c:v>0.277264131235194</c:v>
                </c:pt>
                <c:pt idx="159">
                  <c:v>0.278401121882638</c:v>
                </c:pt>
                <c:pt idx="160">
                  <c:v>0.279628586174781</c:v>
                </c:pt>
                <c:pt idx="161">
                  <c:v>0.280956467863004</c:v>
                </c:pt>
                <c:pt idx="162">
                  <c:v>0.282396136553924</c:v>
                </c:pt>
                <c:pt idx="163">
                  <c:v>0.283960640607134</c:v>
                </c:pt>
                <c:pt idx="164">
                  <c:v>0.285665013608662</c:v>
                </c:pt>
                <c:pt idx="165">
                  <c:v>0.287526647530596</c:v>
                </c:pt>
                <c:pt idx="166">
                  <c:v>0.289565749268535</c:v>
                </c:pt>
                <c:pt idx="167">
                  <c:v>0.291805901873976</c:v>
                </c:pt>
                <c:pt idx="168">
                  <c:v>0.294274757767035</c:v>
                </c:pt>
                <c:pt idx="169">
                  <c:v>0.297004898882741</c:v>
                </c:pt>
                <c:pt idx="170">
                  <c:v>0.300034908485772</c:v>
                </c:pt>
                <c:pt idx="171">
                  <c:v>0.303410711674246</c:v>
                </c:pt>
                <c:pt idx="172">
                  <c:v>0.307187256642346</c:v>
                </c:pt>
                <c:pt idx="173">
                  <c:v>0.311430626349447</c:v>
                </c:pt>
                <c:pt idx="174">
                  <c:v>0.316220688977948</c:v>
                </c:pt>
                <c:pt idx="175">
                  <c:v>0.321654411504629</c:v>
                </c:pt>
                <c:pt idx="176">
                  <c:v>0.327849964629057</c:v>
                </c:pt>
                <c:pt idx="177">
                  <c:v>0.334951719420102</c:v>
                </c:pt>
                <c:pt idx="178">
                  <c:v>0.343136136550339</c:v>
                </c:pt>
                <c:pt idx="179">
                  <c:v>0.352618301824154</c:v>
                </c:pt>
                <c:pt idx="180">
                  <c:v>0.363658329743008</c:v>
                </c:pt>
                <c:pt idx="181">
                  <c:v>0.376565810910839</c:v>
                </c:pt>
                <c:pt idx="182">
                  <c:v>0.391698577725237</c:v>
                </c:pt>
                <c:pt idx="183">
                  <c:v>0.409448866248286</c:v>
                </c:pt>
                <c:pt idx="184">
                  <c:v>0.430204988541012</c:v>
                </c:pt>
                <c:pt idx="185">
                  <c:v>0.454269095688096</c:v>
                </c:pt>
                <c:pt idx="186">
                  <c:v>0.481698177483303</c:v>
                </c:pt>
                <c:pt idx="187">
                  <c:v>0.512000718497976</c:v>
                </c:pt>
                <c:pt idx="188">
                  <c:v>0.543502398159075</c:v>
                </c:pt>
                <c:pt idx="189">
                  <c:v>0.571714149343741</c:v>
                </c:pt>
                <c:pt idx="190">
                  <c:v>0.598777449253597</c:v>
                </c:pt>
                <c:pt idx="191">
                  <c:v>0.661233190730949</c:v>
                </c:pt>
                <c:pt idx="192">
                  <c:v>0.745582635589943</c:v>
                </c:pt>
                <c:pt idx="193">
                  <c:v>0.793967369799245</c:v>
                </c:pt>
                <c:pt idx="194">
                  <c:v>0.800141140298966</c:v>
                </c:pt>
              </c:numCache>
            </c:numRef>
          </c:yVal>
          <c:smooth val="1"/>
          <c:extLst xmlns:c16r2="http://schemas.microsoft.com/office/drawing/2015/06/chart">
            <c:ext xmlns:c16="http://schemas.microsoft.com/office/drawing/2014/chart" uri="{C3380CC4-5D6E-409C-BE32-E72D297353CC}">
              <c16:uniqueId val="{00000000-9956-42B9-9A98-FB63968371C1}"/>
            </c:ext>
          </c:extLst>
        </c:ser>
        <c:ser>
          <c:idx val="1"/>
          <c:order val="1"/>
          <c:tx>
            <c:strRef>
              <c:f>70% C1</c:f>
              <c:strCache>
                <c:ptCount val="1"/>
                <c:pt idx="0">
                  <c:v>70% C1</c:v>
                </c:pt>
              </c:strCache>
            </c:strRef>
          </c:tx>
          <c:spPr>
            <a:ln w="28575" cap="rnd" cmpd="sng" algn="ctr">
              <a:solidFill>
                <a:schemeClr val="accent2">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Sheet4!$K$3:$K$197</c:f>
              <c:numCache>
                <c:formatCode>General</c:formatCode>
                <c:ptCount val="195"/>
                <c:pt idx="0">
                  <c:v>0.800247248727822</c:v>
                </c:pt>
                <c:pt idx="1">
                  <c:v>0.795188558348857</c:v>
                </c:pt>
                <c:pt idx="2">
                  <c:v>0.754605903935906</c:v>
                </c:pt>
                <c:pt idx="3">
                  <c:v>0.68197517401062</c:v>
                </c:pt>
                <c:pt idx="4">
                  <c:v>0.627769014174792</c:v>
                </c:pt>
                <c:pt idx="5">
                  <c:v>0.60724193772908</c:v>
                </c:pt>
                <c:pt idx="6">
                  <c:v>0.585811178514577</c:v>
                </c:pt>
                <c:pt idx="7">
                  <c:v>0.561043303867232</c:v>
                </c:pt>
                <c:pt idx="8">
                  <c:v>0.536815297532385</c:v>
                </c:pt>
                <c:pt idx="9">
                  <c:v>0.514487756542824</c:v>
                </c:pt>
                <c:pt idx="10">
                  <c:v>0.494463177449373</c:v>
                </c:pt>
                <c:pt idx="11">
                  <c:v>0.476743055207246</c:v>
                </c:pt>
                <c:pt idx="12">
                  <c:v>0.461162336318708</c:v>
                </c:pt>
                <c:pt idx="13">
                  <c:v>0.447496346659326</c:v>
                </c:pt>
                <c:pt idx="14">
                  <c:v>0.435510760682056</c:v>
                </c:pt>
                <c:pt idx="15">
                  <c:v>0.424984293163379</c:v>
                </c:pt>
                <c:pt idx="16">
                  <c:v>0.415717882413448</c:v>
                </c:pt>
                <c:pt idx="17">
                  <c:v>0.407537165525206</c:v>
                </c:pt>
                <c:pt idx="18">
                  <c:v>0.400291726811767</c:v>
                </c:pt>
                <c:pt idx="19">
                  <c:v>0.393852930033266</c:v>
                </c:pt>
                <c:pt idx="20">
                  <c:v>0.388111268202762</c:v>
                </c:pt>
                <c:pt idx="21">
                  <c:v>0.382973698179247</c:v>
                </c:pt>
                <c:pt idx="22">
                  <c:v>0.378361176846771</c:v>
                </c:pt>
                <c:pt idx="23">
                  <c:v>0.374206483109891</c:v>
                </c:pt>
                <c:pt idx="24">
                  <c:v>0.370452341817096</c:v>
                </c:pt>
                <c:pt idx="25">
                  <c:v>0.367049832868734</c:v>
                </c:pt>
                <c:pt idx="26">
                  <c:v>0.363957054887194</c:v>
                </c:pt>
                <c:pt idx="27">
                  <c:v>0.361138008903001</c:v>
                </c:pt>
                <c:pt idx="28">
                  <c:v>0.358561668516191</c:v>
                </c:pt>
                <c:pt idx="29">
                  <c:v>0.356201206209138</c:v>
                </c:pt>
                <c:pt idx="30">
                  <c:v>0.354033349455842</c:v>
                </c:pt>
                <c:pt idx="31">
                  <c:v>0.352037844259071</c:v>
                </c:pt>
                <c:pt idx="32">
                  <c:v>0.350197007412598</c:v>
                </c:pt>
                <c:pt idx="33">
                  <c:v>0.348495351992489</c:v>
                </c:pt>
                <c:pt idx="34">
                  <c:v>0.346919273313131</c:v>
                </c:pt>
                <c:pt idx="35">
                  <c:v>0.345456784866966</c:v>
                </c:pt>
                <c:pt idx="36">
                  <c:v>0.34409729565597</c:v>
                </c:pt>
                <c:pt idx="37">
                  <c:v>0.342831421871327</c:v>
                </c:pt>
                <c:pt idx="38">
                  <c:v>0.341650827146613</c:v>
                </c:pt>
                <c:pt idx="39">
                  <c:v>0.340548086641227</c:v>
                </c:pt>
                <c:pt idx="40">
                  <c:v>0.339516571054449</c:v>
                </c:pt>
                <c:pt idx="41">
                  <c:v>0.338550347353517</c:v>
                </c:pt>
                <c:pt idx="42">
                  <c:v>0.337644093560843</c:v>
                </c:pt>
                <c:pt idx="43">
                  <c:v>0.336793025399924</c:v>
                </c:pt>
                <c:pt idx="44">
                  <c:v>0.335992832973108</c:v>
                </c:pt>
                <c:pt idx="45">
                  <c:v>0.335239625950676</c:v>
                </c:pt>
                <c:pt idx="46">
                  <c:v>0.334529886001021</c:v>
                </c:pt>
                <c:pt idx="47">
                  <c:v>0.333860425398723</c:v>
                </c:pt>
                <c:pt idx="48">
                  <c:v>0.333228350918118</c:v>
                </c:pt>
                <c:pt idx="49">
                  <c:v>0.332631032260855</c:v>
                </c:pt>
                <c:pt idx="50">
                  <c:v>0.332066074382792</c:v>
                </c:pt>
                <c:pt idx="51">
                  <c:v>0.331531293183333</c:v>
                </c:pt>
                <c:pt idx="52">
                  <c:v>0.331024694101715</c:v>
                </c:pt>
                <c:pt idx="53">
                  <c:v>0.330544453231736</c:v>
                </c:pt>
                <c:pt idx="54">
                  <c:v>0.330088900624646</c:v>
                </c:pt>
                <c:pt idx="55">
                  <c:v>0.329656505496488</c:v>
                </c:pt>
                <c:pt idx="56">
                  <c:v>0.329245863097437</c:v>
                </c:pt>
                <c:pt idx="57">
                  <c:v>0.32885568303428</c:v>
                </c:pt>
                <c:pt idx="58">
                  <c:v>0.328484778866401</c:v>
                </c:pt>
                <c:pt idx="59">
                  <c:v>0.328132058819266</c:v>
                </c:pt>
                <c:pt idx="60">
                  <c:v>0.327796517481389</c:v>
                </c:pt>
                <c:pt idx="61">
                  <c:v>0.327477228367767</c:v>
                </c:pt>
                <c:pt idx="62">
                  <c:v>0.327173338248816</c:v>
                </c:pt>
                <c:pt idx="63">
                  <c:v>0.326884057058009</c:v>
                </c:pt>
                <c:pt idx="64">
                  <c:v>0.326608658779592</c:v>
                </c:pt>
                <c:pt idx="65">
                  <c:v>0.326346472316157</c:v>
                </c:pt>
                <c:pt idx="66">
                  <c:v>0.326096878124296</c:v>
                </c:pt>
                <c:pt idx="67">
                  <c:v>0.325859304328952</c:v>
                </c:pt>
                <c:pt idx="68">
                  <c:v>0.325633223035048</c:v>
                </c:pt>
                <c:pt idx="69">
                  <c:v>0.325418147117544</c:v>
                </c:pt>
                <c:pt idx="70">
                  <c:v>0.325213627188405</c:v>
                </c:pt>
                <c:pt idx="71">
                  <c:v>0.325019248923959</c:v>
                </c:pt>
                <c:pt idx="72">
                  <c:v>0.324834630552586</c:v>
                </c:pt>
                <c:pt idx="73">
                  <c:v>0.324659420593028</c:v>
                </c:pt>
                <c:pt idx="74">
                  <c:v>0.324493295759605</c:v>
                </c:pt>
                <c:pt idx="75">
                  <c:v>0.324335959053301</c:v>
                </c:pt>
                <c:pt idx="76">
                  <c:v>0.324187137954748</c:v>
                </c:pt>
                <c:pt idx="77">
                  <c:v>0.324046582825913</c:v>
                </c:pt>
                <c:pt idx="78">
                  <c:v>0.323914065336621</c:v>
                </c:pt>
                <c:pt idx="79">
                  <c:v>0.323789377085937</c:v>
                </c:pt>
                <c:pt idx="80">
                  <c:v>0.323672328241507</c:v>
                </c:pt>
                <c:pt idx="81">
                  <c:v>0.3235627463327</c:v>
                </c:pt>
                <c:pt idx="82">
                  <c:v>0.323460475065888</c:v>
                </c:pt>
                <c:pt idx="83">
                  <c:v>0.323365373250496</c:v>
                </c:pt>
                <c:pt idx="84">
                  <c:v>0.323277313766141</c:v>
                </c:pt>
                <c:pt idx="85">
                  <c:v>0.323196182612147</c:v>
                </c:pt>
                <c:pt idx="86">
                  <c:v>0.323121878008154</c:v>
                </c:pt>
                <c:pt idx="87">
                  <c:v>0.323054309549697</c:v>
                </c:pt>
                <c:pt idx="88">
                  <c:v>0.322993397431745</c:v>
                </c:pt>
                <c:pt idx="89">
                  <c:v>0.322939071725097</c:v>
                </c:pt>
                <c:pt idx="90">
                  <c:v>0.322891271711553</c:v>
                </c:pt>
                <c:pt idx="91">
                  <c:v>0.322849945282873</c:v>
                </c:pt>
                <c:pt idx="92">
                  <c:v>0.322815048402955</c:v>
                </c:pt>
                <c:pt idx="93">
                  <c:v>0.322786544630321</c:v>
                </c:pt>
                <c:pt idx="94">
                  <c:v>0.322764404714257</c:v>
                </c:pt>
                <c:pt idx="95">
                  <c:v>0.32274860625777</c:v>
                </c:pt>
                <c:pt idx="96">
                  <c:v>0.322739133903458</c:v>
                </c:pt>
                <c:pt idx="97">
                  <c:v>0.322735976943079</c:v>
                </c:pt>
                <c:pt idx="98">
                  <c:v>0.322739133903458</c:v>
                </c:pt>
                <c:pt idx="99">
                  <c:v>0.32274860625777</c:v>
                </c:pt>
                <c:pt idx="100">
                  <c:v>0.322764404714257</c:v>
                </c:pt>
                <c:pt idx="101">
                  <c:v>0.322786544630321</c:v>
                </c:pt>
                <c:pt idx="102">
                  <c:v>0.322815048402955</c:v>
                </c:pt>
                <c:pt idx="103">
                  <c:v>0.322849945282873</c:v>
                </c:pt>
                <c:pt idx="104">
                  <c:v>0.322891271711553</c:v>
                </c:pt>
                <c:pt idx="105">
                  <c:v>0.322939071725097</c:v>
                </c:pt>
                <c:pt idx="106">
                  <c:v>0.322993397431745</c:v>
                </c:pt>
                <c:pt idx="107">
                  <c:v>0.323054309549697</c:v>
                </c:pt>
                <c:pt idx="108">
                  <c:v>0.323121878008154</c:v>
                </c:pt>
                <c:pt idx="109">
                  <c:v>0.323196182612147</c:v>
                </c:pt>
                <c:pt idx="110">
                  <c:v>0.323277313766141</c:v>
                </c:pt>
                <c:pt idx="111">
                  <c:v>0.323365373250496</c:v>
                </c:pt>
                <c:pt idx="112">
                  <c:v>0.323460475065888</c:v>
                </c:pt>
                <c:pt idx="113">
                  <c:v>0.3235627463327</c:v>
                </c:pt>
                <c:pt idx="114">
                  <c:v>0.323672328241507</c:v>
                </c:pt>
                <c:pt idx="115">
                  <c:v>0.323789377085937</c:v>
                </c:pt>
                <c:pt idx="116">
                  <c:v>0.323914065336621</c:v>
                </c:pt>
                <c:pt idx="117">
                  <c:v>0.324046582825913</c:v>
                </c:pt>
                <c:pt idx="118">
                  <c:v>0.324187137954748</c:v>
                </c:pt>
                <c:pt idx="119">
                  <c:v>0.324335959053301</c:v>
                </c:pt>
                <c:pt idx="120">
                  <c:v>0.324493295759605</c:v>
                </c:pt>
                <c:pt idx="121">
                  <c:v>0.324659420593028</c:v>
                </c:pt>
                <c:pt idx="122">
                  <c:v>0.324834630552586</c:v>
                </c:pt>
                <c:pt idx="123">
                  <c:v>0.325019248923959</c:v>
                </c:pt>
                <c:pt idx="124">
                  <c:v>0.325213627188405</c:v>
                </c:pt>
                <c:pt idx="125">
                  <c:v>0.325418147117544</c:v>
                </c:pt>
                <c:pt idx="126">
                  <c:v>0.325633223035048</c:v>
                </c:pt>
                <c:pt idx="127">
                  <c:v>0.325859304328952</c:v>
                </c:pt>
                <c:pt idx="128">
                  <c:v>0.326096878124296</c:v>
                </c:pt>
                <c:pt idx="129">
                  <c:v>0.326346472316157</c:v>
                </c:pt>
                <c:pt idx="130">
                  <c:v>0.326608658779592</c:v>
                </c:pt>
                <c:pt idx="131">
                  <c:v>0.326884057058009</c:v>
                </c:pt>
                <c:pt idx="132">
                  <c:v>0.327173338248816</c:v>
                </c:pt>
                <c:pt idx="133">
                  <c:v>0.327477228367767</c:v>
                </c:pt>
                <c:pt idx="134">
                  <c:v>0.327796517481389</c:v>
                </c:pt>
                <c:pt idx="135">
                  <c:v>0.328132058819266</c:v>
                </c:pt>
                <c:pt idx="136">
                  <c:v>0.328484778866401</c:v>
                </c:pt>
                <c:pt idx="137">
                  <c:v>0.32885568303428</c:v>
                </c:pt>
                <c:pt idx="138">
                  <c:v>0.329245863097437</c:v>
                </c:pt>
                <c:pt idx="139">
                  <c:v>0.329656505496488</c:v>
                </c:pt>
                <c:pt idx="140">
                  <c:v>0.330088900624646</c:v>
                </c:pt>
                <c:pt idx="141">
                  <c:v>0.330544453231736</c:v>
                </c:pt>
                <c:pt idx="142">
                  <c:v>0.331024694101715</c:v>
                </c:pt>
                <c:pt idx="143">
                  <c:v>0.331531293183333</c:v>
                </c:pt>
                <c:pt idx="144">
                  <c:v>0.332066074382792</c:v>
                </c:pt>
                <c:pt idx="145">
                  <c:v>0.332631032260855</c:v>
                </c:pt>
                <c:pt idx="146">
                  <c:v>0.333228350918118</c:v>
                </c:pt>
                <c:pt idx="147">
                  <c:v>0.333860425398723</c:v>
                </c:pt>
                <c:pt idx="148">
                  <c:v>0.334529886001021</c:v>
                </c:pt>
                <c:pt idx="149">
                  <c:v>0.335239625950676</c:v>
                </c:pt>
                <c:pt idx="150">
                  <c:v>0.335992832973108</c:v>
                </c:pt>
                <c:pt idx="151">
                  <c:v>0.336793025399924</c:v>
                </c:pt>
                <c:pt idx="152">
                  <c:v>0.337644093560843</c:v>
                </c:pt>
                <c:pt idx="153">
                  <c:v>0.338550347353517</c:v>
                </c:pt>
                <c:pt idx="154">
                  <c:v>0.339516571054449</c:v>
                </c:pt>
                <c:pt idx="155">
                  <c:v>0.340548086641227</c:v>
                </c:pt>
                <c:pt idx="156">
                  <c:v>0.341650827146613</c:v>
                </c:pt>
                <c:pt idx="157">
                  <c:v>0.342831421871327</c:v>
                </c:pt>
                <c:pt idx="158">
                  <c:v>0.34409729565597</c:v>
                </c:pt>
                <c:pt idx="159">
                  <c:v>0.345456784866966</c:v>
                </c:pt>
                <c:pt idx="160">
                  <c:v>0.346919273313131</c:v>
                </c:pt>
                <c:pt idx="161">
                  <c:v>0.348495351992489</c:v>
                </c:pt>
                <c:pt idx="162">
                  <c:v>0.350197007412598</c:v>
                </c:pt>
                <c:pt idx="163">
                  <c:v>0.352037844259071</c:v>
                </c:pt>
                <c:pt idx="164">
                  <c:v>0.354033349455842</c:v>
                </c:pt>
                <c:pt idx="165">
                  <c:v>0.356201206209138</c:v>
                </c:pt>
                <c:pt idx="166">
                  <c:v>0.358561668516191</c:v>
                </c:pt>
                <c:pt idx="167">
                  <c:v>0.361138008903001</c:v>
                </c:pt>
                <c:pt idx="168">
                  <c:v>0.363957054887194</c:v>
                </c:pt>
                <c:pt idx="169">
                  <c:v>0.367049832868734</c:v>
                </c:pt>
                <c:pt idx="170">
                  <c:v>0.370452341817096</c:v>
                </c:pt>
                <c:pt idx="171">
                  <c:v>0.374206483109891</c:v>
                </c:pt>
                <c:pt idx="172">
                  <c:v>0.378361176846771</c:v>
                </c:pt>
                <c:pt idx="173">
                  <c:v>0.382973698179247</c:v>
                </c:pt>
                <c:pt idx="174">
                  <c:v>0.388111268202762</c:v>
                </c:pt>
                <c:pt idx="175">
                  <c:v>0.393852930033266</c:v>
                </c:pt>
                <c:pt idx="176">
                  <c:v>0.400291726811767</c:v>
                </c:pt>
                <c:pt idx="177">
                  <c:v>0.407537165525206</c:v>
                </c:pt>
                <c:pt idx="178">
                  <c:v>0.415717882413448</c:v>
                </c:pt>
                <c:pt idx="179">
                  <c:v>0.424984293163379</c:v>
                </c:pt>
                <c:pt idx="180">
                  <c:v>0.435510760682056</c:v>
                </c:pt>
                <c:pt idx="181">
                  <c:v>0.447496346659326</c:v>
                </c:pt>
                <c:pt idx="182">
                  <c:v>0.461162336318708</c:v>
                </c:pt>
                <c:pt idx="183">
                  <c:v>0.476743055207246</c:v>
                </c:pt>
                <c:pt idx="184">
                  <c:v>0.494463177449373</c:v>
                </c:pt>
                <c:pt idx="185">
                  <c:v>0.514487756542824</c:v>
                </c:pt>
                <c:pt idx="186">
                  <c:v>0.536815297532385</c:v>
                </c:pt>
                <c:pt idx="187">
                  <c:v>0.561043303867232</c:v>
                </c:pt>
                <c:pt idx="188">
                  <c:v>0.585811178514577</c:v>
                </c:pt>
                <c:pt idx="189">
                  <c:v>0.60724193772908</c:v>
                </c:pt>
                <c:pt idx="190">
                  <c:v>0.627769014174792</c:v>
                </c:pt>
                <c:pt idx="191">
                  <c:v>0.68197517401062</c:v>
                </c:pt>
                <c:pt idx="192">
                  <c:v>0.754605903935906</c:v>
                </c:pt>
                <c:pt idx="193">
                  <c:v>0.795188558348857</c:v>
                </c:pt>
                <c:pt idx="194">
                  <c:v>0.800247248727822</c:v>
                </c:pt>
              </c:numCache>
            </c:numRef>
          </c:yVal>
          <c:smooth val="1"/>
          <c:extLst xmlns:c16r2="http://schemas.microsoft.com/office/drawing/2015/06/chart">
            <c:ext xmlns:c16="http://schemas.microsoft.com/office/drawing/2014/chart" uri="{C3380CC4-5D6E-409C-BE32-E72D297353CC}">
              <c16:uniqueId val="{00000001-9956-42B9-9A98-FB63968371C1}"/>
            </c:ext>
          </c:extLst>
        </c:ser>
        <c:ser>
          <c:idx val="2"/>
          <c:order val="2"/>
          <c:tx>
            <c:strRef>
              <c:f>60% C1</c:f>
              <c:strCache>
                <c:ptCount val="1"/>
                <c:pt idx="0">
                  <c:v>60% C1</c:v>
                </c:pt>
              </c:strCache>
            </c:strRef>
          </c:tx>
          <c:spPr>
            <a:ln w="28575" cap="rnd" cmpd="sng" algn="ctr">
              <a:solidFill>
                <a:schemeClr val="accent3">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Sheet4!$L$3:$L$197</c:f>
              <c:numCache>
                <c:formatCode>General</c:formatCode>
                <c:ptCount val="195"/>
                <c:pt idx="0">
                  <c:v>0.800316124865507</c:v>
                </c:pt>
                <c:pt idx="1">
                  <c:v>0.795964019241953</c:v>
                </c:pt>
                <c:pt idx="2">
                  <c:v>0.760355734694811</c:v>
                </c:pt>
                <c:pt idx="3">
                  <c:v>0.69530718595</c:v>
                </c:pt>
                <c:pt idx="4">
                  <c:v>0.646405899981403</c:v>
                </c:pt>
                <c:pt idx="5">
                  <c:v>0.629639542673666</c:v>
                </c:pt>
                <c:pt idx="6">
                  <c:v>0.612092765872976</c:v>
                </c:pt>
                <c:pt idx="7">
                  <c:v>0.591343032327958</c:v>
                </c:pt>
                <c:pt idx="8">
                  <c:v>0.570943588974967</c:v>
                </c:pt>
                <c:pt idx="9">
                  <c:v>0.552099620148335</c:v>
                </c:pt>
                <c:pt idx="10">
                  <c:v>0.535155225482726</c:v>
                </c:pt>
                <c:pt idx="11">
                  <c:v>0.520107766237273</c:v>
                </c:pt>
                <c:pt idx="12">
                  <c:v>0.50681704630446</c:v>
                </c:pt>
                <c:pt idx="13">
                  <c:v>0.495096971639503</c:v>
                </c:pt>
                <c:pt idx="14">
                  <c:v>0.484756397121463</c:v>
                </c:pt>
                <c:pt idx="15">
                  <c:v>0.475616616097269</c:v>
                </c:pt>
                <c:pt idx="16">
                  <c:v>0.467517833629147</c:v>
                </c:pt>
                <c:pt idx="17">
                  <c:v>0.460320467833606</c:v>
                </c:pt>
                <c:pt idx="18">
                  <c:v>0.453904124263794</c:v>
                </c:pt>
                <c:pt idx="19">
                  <c:v>0.448165642333438</c:v>
                </c:pt>
                <c:pt idx="20">
                  <c:v>0.443016892759609</c:v>
                </c:pt>
                <c:pt idx="21">
                  <c:v>0.438382642953514</c:v>
                </c:pt>
                <c:pt idx="22">
                  <c:v>0.434198624213844</c:v>
                </c:pt>
                <c:pt idx="23">
                  <c:v>0.430409843365158</c:v>
                </c:pt>
                <c:pt idx="24">
                  <c:v>0.42696913771731</c:v>
                </c:pt>
                <c:pt idx="25">
                  <c:v>0.42383595286611</c:v>
                </c:pt>
                <c:pt idx="26">
                  <c:v>0.420975315947041</c:v>
                </c:pt>
                <c:pt idx="27">
                  <c:v>0.418356976140139</c:v>
                </c:pt>
                <c:pt idx="28">
                  <c:v>0.415954686215955</c:v>
                </c:pt>
                <c:pt idx="29">
                  <c:v>0.413745601984548</c:v>
                </c:pt>
                <c:pt idx="30">
                  <c:v>0.411709779818731</c:v>
                </c:pt>
                <c:pt idx="31">
                  <c:v>0.40982975554697</c:v>
                </c:pt>
                <c:pt idx="32">
                  <c:v>0.408090190800236</c:v>
                </c:pt>
                <c:pt idx="33">
                  <c:v>0.406477575290205</c:v>
                </c:pt>
                <c:pt idx="34">
                  <c:v>0.404979975515048</c:v>
                </c:pt>
                <c:pt idx="35">
                  <c:v>0.403586822067566</c:v>
                </c:pt>
                <c:pt idx="36">
                  <c:v>0.402288729104421</c:v>
                </c:pt>
                <c:pt idx="37">
                  <c:v>0.401077340672471</c:v>
                </c:pt>
                <c:pt idx="38">
                  <c:v>0.399945199520215</c:v>
                </c:pt>
                <c:pt idx="39">
                  <c:v>0.398885634783001</c:v>
                </c:pt>
                <c:pt idx="40">
                  <c:v>0.39789266555427</c:v>
                </c:pt>
                <c:pt idx="41">
                  <c:v>0.396960917865084</c:v>
                </c:pt>
                <c:pt idx="42">
                  <c:v>0.396085553012596</c:v>
                </c:pt>
                <c:pt idx="43">
                  <c:v>0.395262205519889</c:v>
                </c:pt>
                <c:pt idx="44">
                  <c:v>0.39448692929375</c:v>
                </c:pt>
                <c:pt idx="45">
                  <c:v>0.393756150777875</c:v>
                </c:pt>
                <c:pt idx="46">
                  <c:v>0.393066628092494</c:v>
                </c:pt>
                <c:pt idx="47">
                  <c:v>0.392415415309474</c:v>
                </c:pt>
                <c:pt idx="48">
                  <c:v>0.391799831145487</c:v>
                </c:pt>
                <c:pt idx="49">
                  <c:v>0.391217431464146</c:v>
                </c:pt>
                <c:pt idx="50">
                  <c:v>0.390665985071798</c:v>
                </c:pt>
                <c:pt idx="51">
                  <c:v>0.390143452366702</c:v>
                </c:pt>
                <c:pt idx="52">
                  <c:v>0.38964796646699</c:v>
                </c:pt>
                <c:pt idx="53">
                  <c:v>0.389177816496499</c:v>
                </c:pt>
                <c:pt idx="54">
                  <c:v>0.388731432753095</c:v>
                </c:pt>
                <c:pt idx="55">
                  <c:v>0.38830737352336</c:v>
                </c:pt>
                <c:pt idx="56">
                  <c:v>0.387904313339394</c:v>
                </c:pt>
                <c:pt idx="57">
                  <c:v>0.387521032501727</c:v>
                </c:pt>
                <c:pt idx="58">
                  <c:v>0.387156407716312</c:v>
                </c:pt>
                <c:pt idx="59">
                  <c:v>0.386809403712392</c:v>
                </c:pt>
                <c:pt idx="60">
                  <c:v>0.386479065727279</c:v>
                </c:pt>
                <c:pt idx="61">
                  <c:v>0.38616451275667</c:v>
                </c:pt>
                <c:pt idx="62">
                  <c:v>0.385864931483486</c:v>
                </c:pt>
                <c:pt idx="63">
                  <c:v>0.38557957172355</c:v>
                </c:pt>
                <c:pt idx="64">
                  <c:v>0.385307737742036</c:v>
                </c:pt>
                <c:pt idx="65">
                  <c:v>0.385048789553866</c:v>
                </c:pt>
                <c:pt idx="66">
                  <c:v>0.384802134932142</c:v>
                </c:pt>
                <c:pt idx="67">
                  <c:v>0.384567226799268</c:v>
                </c:pt>
                <c:pt idx="68">
                  <c:v>0.384343559840907</c:v>
                </c:pt>
                <c:pt idx="69">
                  <c:v>0.384130667519686</c:v>
                </c:pt>
                <c:pt idx="70">
                  <c:v>0.383928119303122</c:v>
                </c:pt>
                <c:pt idx="71">
                  <c:v>0.38373551812443</c:v>
                </c:pt>
                <c:pt idx="72">
                  <c:v>0.383552498089854</c:v>
                </c:pt>
                <c:pt idx="73">
                  <c:v>0.383378722342148</c:v>
                </c:pt>
                <c:pt idx="74">
                  <c:v>0.383213881109036</c:v>
                </c:pt>
                <c:pt idx="75">
                  <c:v>0.383057689883527</c:v>
                </c:pt>
                <c:pt idx="76">
                  <c:v>0.382909887774611</c:v>
                </c:pt>
                <c:pt idx="77">
                  <c:v>0.382770235932608</c:v>
                </c:pt>
                <c:pt idx="78">
                  <c:v>0.382638516103347</c:v>
                </c:pt>
                <c:pt idx="79">
                  <c:v>0.382514529294725</c:v>
                </c:pt>
                <c:pt idx="80">
                  <c:v>0.382398094470695</c:v>
                </c:pt>
                <c:pt idx="81">
                  <c:v>0.382289047391386</c:v>
                </c:pt>
                <c:pt idx="82">
                  <c:v>0.382187239482162</c:v>
                </c:pt>
                <c:pt idx="83">
                  <c:v>0.382092536768735</c:v>
                </c:pt>
                <c:pt idx="84">
                  <c:v>0.382004818882825</c:v>
                </c:pt>
                <c:pt idx="85">
                  <c:v>0.381923978123939</c:v>
                </c:pt>
                <c:pt idx="86">
                  <c:v>0.381849918559371</c:v>
                </c:pt>
                <c:pt idx="87">
                  <c:v>0.381782555208616</c:v>
                </c:pt>
                <c:pt idx="88">
                  <c:v>0.381721813250764</c:v>
                </c:pt>
                <c:pt idx="89">
                  <c:v>0.38166762730201</c:v>
                </c:pt>
                <c:pt idx="90">
                  <c:v>0.381619940747926</c:v>
                </c:pt>
                <c:pt idx="91">
                  <c:v>0.381578705133343</c:v>
                </c:pt>
                <c:pt idx="92">
                  <c:v>0.381543879613461</c:v>
                </c:pt>
                <c:pt idx="93">
                  <c:v>0.381515430471045</c:v>
                </c:pt>
                <c:pt idx="94">
                  <c:v>0.381493330698718</c:v>
                </c:pt>
                <c:pt idx="95">
                  <c:v>0.381477559655218</c:v>
                </c:pt>
                <c:pt idx="96">
                  <c:v>0.381468103310809</c:v>
                </c:pt>
                <c:pt idx="97">
                  <c:v>0.381464951525343</c:v>
                </c:pt>
                <c:pt idx="98">
                  <c:v>0.381468103310809</c:v>
                </c:pt>
                <c:pt idx="99">
                  <c:v>0.381477559655218</c:v>
                </c:pt>
                <c:pt idx="100">
                  <c:v>0.381493330698718</c:v>
                </c:pt>
                <c:pt idx="101">
                  <c:v>0.381515430471045</c:v>
                </c:pt>
                <c:pt idx="102">
                  <c:v>0.381543879613461</c:v>
                </c:pt>
                <c:pt idx="103">
                  <c:v>0.381578705133343</c:v>
                </c:pt>
                <c:pt idx="104">
                  <c:v>0.381619940747926</c:v>
                </c:pt>
                <c:pt idx="105">
                  <c:v>0.38166762730201</c:v>
                </c:pt>
                <c:pt idx="106">
                  <c:v>0.381721813250764</c:v>
                </c:pt>
                <c:pt idx="107">
                  <c:v>0.381782555208616</c:v>
                </c:pt>
                <c:pt idx="108">
                  <c:v>0.381849918559371</c:v>
                </c:pt>
                <c:pt idx="109">
                  <c:v>0.381923978123939</c:v>
                </c:pt>
                <c:pt idx="110">
                  <c:v>0.382004818882825</c:v>
                </c:pt>
                <c:pt idx="111">
                  <c:v>0.382092536768735</c:v>
                </c:pt>
                <c:pt idx="112">
                  <c:v>0.382187239482162</c:v>
                </c:pt>
                <c:pt idx="113">
                  <c:v>0.382289047391386</c:v>
                </c:pt>
                <c:pt idx="114">
                  <c:v>0.382398094470695</c:v>
                </c:pt>
                <c:pt idx="115">
                  <c:v>0.382514529294725</c:v>
                </c:pt>
                <c:pt idx="116">
                  <c:v>0.382638516103347</c:v>
                </c:pt>
                <c:pt idx="117">
                  <c:v>0.382770235932608</c:v>
                </c:pt>
                <c:pt idx="118">
                  <c:v>0.382909887774611</c:v>
                </c:pt>
                <c:pt idx="119">
                  <c:v>0.383057689883527</c:v>
                </c:pt>
                <c:pt idx="120">
                  <c:v>0.383213881109036</c:v>
                </c:pt>
                <c:pt idx="121">
                  <c:v>0.383378722342148</c:v>
                </c:pt>
                <c:pt idx="122">
                  <c:v>0.383552498089854</c:v>
                </c:pt>
                <c:pt idx="123">
                  <c:v>0.38373551812443</c:v>
                </c:pt>
                <c:pt idx="124">
                  <c:v>0.383928119303122</c:v>
                </c:pt>
                <c:pt idx="125">
                  <c:v>0.384130667519686</c:v>
                </c:pt>
                <c:pt idx="126">
                  <c:v>0.384343559840907</c:v>
                </c:pt>
                <c:pt idx="127">
                  <c:v>0.384567226799268</c:v>
                </c:pt>
                <c:pt idx="128">
                  <c:v>0.384802134932142</c:v>
                </c:pt>
                <c:pt idx="129">
                  <c:v>0.385048789553866</c:v>
                </c:pt>
                <c:pt idx="130">
                  <c:v>0.385307737742036</c:v>
                </c:pt>
                <c:pt idx="131">
                  <c:v>0.38557957172355</c:v>
                </c:pt>
                <c:pt idx="132">
                  <c:v>0.385864931483486</c:v>
                </c:pt>
                <c:pt idx="133">
                  <c:v>0.38616451275667</c:v>
                </c:pt>
                <c:pt idx="134">
                  <c:v>0.386479065727279</c:v>
                </c:pt>
                <c:pt idx="135">
                  <c:v>0.386809403712392</c:v>
                </c:pt>
                <c:pt idx="136">
                  <c:v>0.387156407716312</c:v>
                </c:pt>
                <c:pt idx="137">
                  <c:v>0.387521032501727</c:v>
                </c:pt>
                <c:pt idx="138">
                  <c:v>0.387904313339394</c:v>
                </c:pt>
                <c:pt idx="139">
                  <c:v>0.38830737352336</c:v>
                </c:pt>
                <c:pt idx="140">
                  <c:v>0.388731432753095</c:v>
                </c:pt>
                <c:pt idx="141">
                  <c:v>0.389177816496499</c:v>
                </c:pt>
                <c:pt idx="142">
                  <c:v>0.38964796646699</c:v>
                </c:pt>
                <c:pt idx="143">
                  <c:v>0.390143452366702</c:v>
                </c:pt>
                <c:pt idx="144">
                  <c:v>0.390665985071798</c:v>
                </c:pt>
                <c:pt idx="145">
                  <c:v>0.391217431464146</c:v>
                </c:pt>
                <c:pt idx="146">
                  <c:v>0.391799831145487</c:v>
                </c:pt>
                <c:pt idx="147">
                  <c:v>0.392415415309474</c:v>
                </c:pt>
                <c:pt idx="148">
                  <c:v>0.393066628092494</c:v>
                </c:pt>
                <c:pt idx="149">
                  <c:v>0.393756150777875</c:v>
                </c:pt>
                <c:pt idx="150">
                  <c:v>0.39448692929375</c:v>
                </c:pt>
                <c:pt idx="151">
                  <c:v>0.395262205519889</c:v>
                </c:pt>
                <c:pt idx="152">
                  <c:v>0.396085553012596</c:v>
                </c:pt>
                <c:pt idx="153">
                  <c:v>0.396960917865084</c:v>
                </c:pt>
                <c:pt idx="154">
                  <c:v>0.39789266555427</c:v>
                </c:pt>
                <c:pt idx="155">
                  <c:v>0.398885634783001</c:v>
                </c:pt>
                <c:pt idx="156">
                  <c:v>0.399945199520215</c:v>
                </c:pt>
                <c:pt idx="157">
                  <c:v>0.401077340672471</c:v>
                </c:pt>
                <c:pt idx="158">
                  <c:v>0.402288729104421</c:v>
                </c:pt>
                <c:pt idx="159">
                  <c:v>0.403586822067566</c:v>
                </c:pt>
                <c:pt idx="160">
                  <c:v>0.404979975515048</c:v>
                </c:pt>
                <c:pt idx="161">
                  <c:v>0.406477575290205</c:v>
                </c:pt>
                <c:pt idx="162">
                  <c:v>0.408090190800236</c:v>
                </c:pt>
                <c:pt idx="163">
                  <c:v>0.40982975554697</c:v>
                </c:pt>
                <c:pt idx="164">
                  <c:v>0.411709779818731</c:v>
                </c:pt>
                <c:pt idx="165">
                  <c:v>0.413745601984548</c:v>
                </c:pt>
                <c:pt idx="166">
                  <c:v>0.415954686215955</c:v>
                </c:pt>
                <c:pt idx="167">
                  <c:v>0.418356976140139</c:v>
                </c:pt>
                <c:pt idx="168">
                  <c:v>0.420975315947041</c:v>
                </c:pt>
                <c:pt idx="169">
                  <c:v>0.42383595286611</c:v>
                </c:pt>
                <c:pt idx="170">
                  <c:v>0.42696913771731</c:v>
                </c:pt>
                <c:pt idx="171">
                  <c:v>0.430409843365158</c:v>
                </c:pt>
                <c:pt idx="172">
                  <c:v>0.434198624213844</c:v>
                </c:pt>
                <c:pt idx="173">
                  <c:v>0.438382642953514</c:v>
                </c:pt>
                <c:pt idx="174">
                  <c:v>0.443016892759609</c:v>
                </c:pt>
                <c:pt idx="175">
                  <c:v>0.448165642333438</c:v>
                </c:pt>
                <c:pt idx="176">
                  <c:v>0.453904124263794</c:v>
                </c:pt>
                <c:pt idx="177">
                  <c:v>0.460320467833606</c:v>
                </c:pt>
                <c:pt idx="178">
                  <c:v>0.467517833629147</c:v>
                </c:pt>
                <c:pt idx="179">
                  <c:v>0.475616616097269</c:v>
                </c:pt>
                <c:pt idx="180">
                  <c:v>0.484756397121463</c:v>
                </c:pt>
                <c:pt idx="181">
                  <c:v>0.495096971639503</c:v>
                </c:pt>
                <c:pt idx="182">
                  <c:v>0.50681704630446</c:v>
                </c:pt>
                <c:pt idx="183">
                  <c:v>0.520107766237273</c:v>
                </c:pt>
                <c:pt idx="184">
                  <c:v>0.535155225482726</c:v>
                </c:pt>
                <c:pt idx="185">
                  <c:v>0.552099620148335</c:v>
                </c:pt>
                <c:pt idx="186">
                  <c:v>0.570943588974967</c:v>
                </c:pt>
                <c:pt idx="187">
                  <c:v>0.591343032327958</c:v>
                </c:pt>
                <c:pt idx="188">
                  <c:v>0.612092765872976</c:v>
                </c:pt>
                <c:pt idx="189">
                  <c:v>0.629639542673666</c:v>
                </c:pt>
                <c:pt idx="190">
                  <c:v>0.646405899981403</c:v>
                </c:pt>
                <c:pt idx="191">
                  <c:v>0.69530718595</c:v>
                </c:pt>
                <c:pt idx="192">
                  <c:v>0.760355734694811</c:v>
                </c:pt>
                <c:pt idx="193">
                  <c:v>0.795964019241953</c:v>
                </c:pt>
                <c:pt idx="194">
                  <c:v>0.800316124865507</c:v>
                </c:pt>
              </c:numCache>
            </c:numRef>
          </c:yVal>
          <c:smooth val="1"/>
          <c:extLst xmlns:c16r2="http://schemas.microsoft.com/office/drawing/2015/06/chart">
            <c:ext xmlns:c16="http://schemas.microsoft.com/office/drawing/2014/chart" uri="{C3380CC4-5D6E-409C-BE32-E72D297353CC}">
              <c16:uniqueId val="{00000002-9956-42B9-9A98-FB63968371C1}"/>
            </c:ext>
          </c:extLst>
        </c:ser>
        <c:ser>
          <c:idx val="3"/>
          <c:order val="3"/>
          <c:tx>
            <c:strRef>
              <c:f>50% C1</c:f>
              <c:strCache>
                <c:ptCount val="1"/>
                <c:pt idx="0">
                  <c:v>50% C1</c:v>
                </c:pt>
              </c:strCache>
            </c:strRef>
          </c:tx>
          <c:spPr>
            <a:ln w="28575" cap="rnd" cmpd="sng" algn="ctr">
              <a:solidFill>
                <a:schemeClr val="accent4">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Sheet4!$M$3:$M$197</c:f>
              <c:numCache>
                <c:formatCode>General</c:formatCode>
                <c:ptCount val="195"/>
                <c:pt idx="0">
                  <c:v>0.799732279049347</c:v>
                </c:pt>
                <c:pt idx="1">
                  <c:v>0.796622495977484</c:v>
                </c:pt>
                <c:pt idx="2">
                  <c:v>0.76522865989231</c:v>
                </c:pt>
                <c:pt idx="3">
                  <c:v>0.706616731787878</c:v>
                </c:pt>
                <c:pt idx="4">
                  <c:v>0.662109049449534</c:v>
                </c:pt>
                <c:pt idx="5">
                  <c:v>0.648171802651968</c:v>
                </c:pt>
                <c:pt idx="6">
                  <c:v>0.633505534986092</c:v>
                </c:pt>
                <c:pt idx="7">
                  <c:v>0.615758207372379</c:v>
                </c:pt>
                <c:pt idx="8">
                  <c:v>0.598229979757718</c:v>
                </c:pt>
                <c:pt idx="9">
                  <c:v>0.582018034553685</c:v>
                </c:pt>
                <c:pt idx="10">
                  <c:v>0.567432087335275</c:v>
                </c:pt>
                <c:pt idx="11">
                  <c:v>0.554471276423294</c:v>
                </c:pt>
                <c:pt idx="12">
                  <c:v>0.543014045263861</c:v>
                </c:pt>
                <c:pt idx="13">
                  <c:v>0.532899703622949</c:v>
                </c:pt>
                <c:pt idx="14">
                  <c:v>0.523964026657844</c:v>
                </c:pt>
                <c:pt idx="15">
                  <c:v>0.516054124385076</c:v>
                </c:pt>
                <c:pt idx="16">
                  <c:v>0.509033728916824</c:v>
                </c:pt>
                <c:pt idx="17">
                  <c:v>0.502784083099385</c:v>
                </c:pt>
                <c:pt idx="18">
                  <c:v>0.497202905539768</c:v>
                </c:pt>
                <c:pt idx="19">
                  <c:v>0.492202623558972</c:v>
                </c:pt>
                <c:pt idx="20">
                  <c:v>0.487708438676266</c:v>
                </c:pt>
                <c:pt idx="21">
                  <c:v>0.483656480124931</c:v>
                </c:pt>
                <c:pt idx="22">
                  <c:v>0.47999214900623</c:v>
                </c:pt>
                <c:pt idx="23">
                  <c:v>0.476668681413302</c:v>
                </c:pt>
                <c:pt idx="24">
                  <c:v>0.473645924350126</c:v>
                </c:pt>
                <c:pt idx="25">
                  <c:v>0.470889303793307</c:v>
                </c:pt>
                <c:pt idx="26">
                  <c:v>0.468368959697891</c:v>
                </c:pt>
                <c:pt idx="27">
                  <c:v>0.466059022920718</c:v>
                </c:pt>
                <c:pt idx="28">
                  <c:v>0.463937011256597</c:v>
                </c:pt>
                <c:pt idx="29">
                  <c:v>0.461983324715847</c:v>
                </c:pt>
                <c:pt idx="30">
                  <c:v>0.460180823157377</c:v>
                </c:pt>
                <c:pt idx="31">
                  <c:v>0.458514472146215</c:v>
                </c:pt>
                <c:pt idx="32">
                  <c:v>0.456971045315999</c:v>
                </c:pt>
                <c:pt idx="33">
                  <c:v>0.455538873563798</c:v>
                </c:pt>
                <c:pt idx="34">
                  <c:v>0.454207633119437</c:v>
                </c:pt>
                <c:pt idx="35">
                  <c:v>0.452968165946851</c:v>
                </c:pt>
                <c:pt idx="36">
                  <c:v>0.451812327098219</c:v>
                </c:pt>
                <c:pt idx="37">
                  <c:v>0.450732854593499</c:v>
                </c:pt>
                <c:pt idx="38">
                  <c:v>0.449723258175887</c:v>
                </c:pt>
                <c:pt idx="39">
                  <c:v>0.448777723929551</c:v>
                </c:pt>
                <c:pt idx="40">
                  <c:v>0.44789103226429</c:v>
                </c:pt>
                <c:pt idx="41">
                  <c:v>0.447058487196761</c:v>
                </c:pt>
                <c:pt idx="42">
                  <c:v>0.446275855205913</c:v>
                </c:pt>
                <c:pt idx="43">
                  <c:v>0.445539312225397</c:v>
                </c:pt>
                <c:pt idx="44">
                  <c:v>0.444845397571345</c:v>
                </c:pt>
                <c:pt idx="45">
                  <c:v>0.444190973797273</c:v>
                </c:pt>
                <c:pt idx="46">
                  <c:v>0.443573191627792</c:v>
                </c:pt>
                <c:pt idx="47">
                  <c:v>0.442989459256683</c:v>
                </c:pt>
                <c:pt idx="48">
                  <c:v>0.442437415404028</c:v>
                </c:pt>
                <c:pt idx="49">
                  <c:v>0.441914905619588</c:v>
                </c:pt>
                <c:pt idx="50">
                  <c:v>0.441419961397184</c:v>
                </c:pt>
                <c:pt idx="51">
                  <c:v>0.440950781727441</c:v>
                </c:pt>
                <c:pt idx="52">
                  <c:v>0.440505716772356</c:v>
                </c:pt>
                <c:pt idx="53">
                  <c:v>0.440083253388795</c:v>
                </c:pt>
                <c:pt idx="54">
                  <c:v>0.43968200226823</c:v>
                </c:pt>
                <c:pt idx="55">
                  <c:v>0.439300686490528</c:v>
                </c:pt>
                <c:pt idx="56">
                  <c:v>0.438938131319238</c:v>
                </c:pt>
                <c:pt idx="57">
                  <c:v>0.438593255087565</c:v>
                </c:pt>
                <c:pt idx="58">
                  <c:v>0.438265061045446</c:v>
                </c:pt>
                <c:pt idx="59">
                  <c:v>0.437952630053783</c:v>
                </c:pt>
                <c:pt idx="60">
                  <c:v>0.437655114028255</c:v>
                </c:pt>
                <c:pt idx="61">
                  <c:v>0.437371730046247</c:v>
                </c:pt>
                <c:pt idx="62">
                  <c:v>0.437101755956187</c:v>
                </c:pt>
                <c:pt idx="63">
                  <c:v>0.436844521851591</c:v>
                </c:pt>
                <c:pt idx="64">
                  <c:v>0.436599411495068</c:v>
                </c:pt>
                <c:pt idx="65">
                  <c:v>0.436365854488195</c:v>
                </c:pt>
                <c:pt idx="66">
                  <c:v>0.436143323748225</c:v>
                </c:pt>
                <c:pt idx="67">
                  <c:v>0.435931332273668</c:v>
                </c:pt>
                <c:pt idx="68">
                  <c:v>0.435729430243048</c:v>
                </c:pt>
                <c:pt idx="69">
                  <c:v>0.43553720233511</c:v>
                </c:pt>
                <c:pt idx="70">
                  <c:v>0.435354265331418</c:v>
                </c:pt>
                <c:pt idx="71">
                  <c:v>0.435180265855467</c:v>
                </c:pt>
                <c:pt idx="72">
                  <c:v>0.435014878367335</c:v>
                </c:pt>
                <c:pt idx="73">
                  <c:v>0.434857803265076</c:v>
                </c:pt>
                <c:pt idx="74">
                  <c:v>0.434708765184718</c:v>
                </c:pt>
                <c:pt idx="75">
                  <c:v>0.434567511360993</c:v>
                </c:pt>
                <c:pt idx="76">
                  <c:v>0.434433810203023</c:v>
                </c:pt>
                <c:pt idx="77">
                  <c:v>0.434307449849252</c:v>
                </c:pt>
                <c:pt idx="78">
                  <c:v>0.434188236931639</c:v>
                </c:pt>
                <c:pt idx="79">
                  <c:v>0.434075995339934</c:v>
                </c:pt>
                <c:pt idx="80">
                  <c:v>0.433970565093318</c:v>
                </c:pt>
                <c:pt idx="81">
                  <c:v>0.43387180126955</c:v>
                </c:pt>
                <c:pt idx="82">
                  <c:v>0.433779572994603</c:v>
                </c:pt>
                <c:pt idx="83">
                  <c:v>0.433693762486734</c:v>
                </c:pt>
                <c:pt idx="84">
                  <c:v>0.433614264143361</c:v>
                </c:pt>
                <c:pt idx="85">
                  <c:v>0.433540983693975</c:v>
                </c:pt>
                <c:pt idx="86">
                  <c:v>0.433473837374262</c:v>
                </c:pt>
                <c:pt idx="87">
                  <c:v>0.433412751171263</c:v>
                </c:pt>
                <c:pt idx="88">
                  <c:v>0.433357660096148</c:v>
                </c:pt>
                <c:pt idx="89">
                  <c:v>0.433308507513492</c:v>
                </c:pt>
                <c:pt idx="90">
                  <c:v>0.43326524452076</c:v>
                </c:pt>
                <c:pt idx="91">
                  <c:v>0.433227829377995</c:v>
                </c:pt>
                <c:pt idx="92">
                  <c:v>0.433196226993887</c:v>
                </c:pt>
                <c:pt idx="93">
                  <c:v>0.433170408471427</c:v>
                </c:pt>
                <c:pt idx="94">
                  <c:v>0.433150350715482</c:v>
                </c:pt>
                <c:pt idx="95">
                  <c:v>0.433136036108126</c:v>
                </c:pt>
                <c:pt idx="96">
                  <c:v>0.433127452755479</c:v>
                </c:pt>
                <c:pt idx="97">
                  <c:v>0.433124593185718</c:v>
                </c:pt>
                <c:pt idx="98">
                  <c:v>0.433127452755479</c:v>
                </c:pt>
                <c:pt idx="99">
                  <c:v>0.433136036108126</c:v>
                </c:pt>
                <c:pt idx="100">
                  <c:v>0.433150350715482</c:v>
                </c:pt>
                <c:pt idx="101">
                  <c:v>0.433170408471427</c:v>
                </c:pt>
                <c:pt idx="102">
                  <c:v>0.433196226993887</c:v>
                </c:pt>
                <c:pt idx="103">
                  <c:v>0.433227829377995</c:v>
                </c:pt>
                <c:pt idx="104">
                  <c:v>0.43326524452076</c:v>
                </c:pt>
                <c:pt idx="105">
                  <c:v>0.433308507513492</c:v>
                </c:pt>
                <c:pt idx="106">
                  <c:v>0.433357660096148</c:v>
                </c:pt>
                <c:pt idx="107">
                  <c:v>0.433412751171263</c:v>
                </c:pt>
                <c:pt idx="108">
                  <c:v>0.433473837374262</c:v>
                </c:pt>
                <c:pt idx="109">
                  <c:v>0.433540983693975</c:v>
                </c:pt>
                <c:pt idx="110">
                  <c:v>0.433614264143361</c:v>
                </c:pt>
                <c:pt idx="111">
                  <c:v>0.433693762486734</c:v>
                </c:pt>
                <c:pt idx="112">
                  <c:v>0.433779572994603</c:v>
                </c:pt>
                <c:pt idx="113">
                  <c:v>0.43387180126955</c:v>
                </c:pt>
                <c:pt idx="114">
                  <c:v>0.433970565093318</c:v>
                </c:pt>
                <c:pt idx="115">
                  <c:v>0.434075995339934</c:v>
                </c:pt>
                <c:pt idx="116">
                  <c:v>0.434188236931639</c:v>
                </c:pt>
                <c:pt idx="117">
                  <c:v>0.434307449849252</c:v>
                </c:pt>
                <c:pt idx="118">
                  <c:v>0.434433810203023</c:v>
                </c:pt>
                <c:pt idx="119">
                  <c:v>0.434567511360993</c:v>
                </c:pt>
                <c:pt idx="120">
                  <c:v>0.434708765184718</c:v>
                </c:pt>
                <c:pt idx="121">
                  <c:v>0.434857803265076</c:v>
                </c:pt>
                <c:pt idx="122">
                  <c:v>0.435014878367335</c:v>
                </c:pt>
                <c:pt idx="123">
                  <c:v>0.435180265855467</c:v>
                </c:pt>
                <c:pt idx="124">
                  <c:v>0.435354265331418</c:v>
                </c:pt>
                <c:pt idx="125">
                  <c:v>0.43553720233511</c:v>
                </c:pt>
                <c:pt idx="126">
                  <c:v>0.435729430243048</c:v>
                </c:pt>
                <c:pt idx="127">
                  <c:v>0.435931332273668</c:v>
                </c:pt>
                <c:pt idx="128">
                  <c:v>0.436143323748225</c:v>
                </c:pt>
                <c:pt idx="129">
                  <c:v>0.436365854488195</c:v>
                </c:pt>
                <c:pt idx="130">
                  <c:v>0.436599411495068</c:v>
                </c:pt>
                <c:pt idx="131">
                  <c:v>0.436844521851591</c:v>
                </c:pt>
                <c:pt idx="132">
                  <c:v>0.437101755956187</c:v>
                </c:pt>
                <c:pt idx="133">
                  <c:v>0.437371730046247</c:v>
                </c:pt>
                <c:pt idx="134">
                  <c:v>0.437655114028255</c:v>
                </c:pt>
                <c:pt idx="135">
                  <c:v>0.437952630053783</c:v>
                </c:pt>
                <c:pt idx="136">
                  <c:v>0.438265061045446</c:v>
                </c:pt>
                <c:pt idx="137">
                  <c:v>0.438593255087565</c:v>
                </c:pt>
                <c:pt idx="138">
                  <c:v>0.438938131319238</c:v>
                </c:pt>
                <c:pt idx="139">
                  <c:v>0.439300686490528</c:v>
                </c:pt>
                <c:pt idx="140">
                  <c:v>0.43968200226823</c:v>
                </c:pt>
                <c:pt idx="141">
                  <c:v>0.440083253388795</c:v>
                </c:pt>
                <c:pt idx="142">
                  <c:v>0.440505716772356</c:v>
                </c:pt>
                <c:pt idx="143">
                  <c:v>0.440950781727441</c:v>
                </c:pt>
                <c:pt idx="144">
                  <c:v>0.441419961397184</c:v>
                </c:pt>
                <c:pt idx="145">
                  <c:v>0.441914905619588</c:v>
                </c:pt>
                <c:pt idx="146">
                  <c:v>0.442437415404028</c:v>
                </c:pt>
                <c:pt idx="147">
                  <c:v>0.442989459256683</c:v>
                </c:pt>
                <c:pt idx="148">
                  <c:v>0.443573191627792</c:v>
                </c:pt>
                <c:pt idx="149">
                  <c:v>0.444190973797273</c:v>
                </c:pt>
                <c:pt idx="150">
                  <c:v>0.444845397571345</c:v>
                </c:pt>
                <c:pt idx="151">
                  <c:v>0.445539312225397</c:v>
                </c:pt>
                <c:pt idx="152">
                  <c:v>0.446275855205913</c:v>
                </c:pt>
                <c:pt idx="153">
                  <c:v>0.447058487196761</c:v>
                </c:pt>
                <c:pt idx="154">
                  <c:v>0.44789103226429</c:v>
                </c:pt>
                <c:pt idx="155">
                  <c:v>0.448777723929551</c:v>
                </c:pt>
                <c:pt idx="156">
                  <c:v>0.449723258175887</c:v>
                </c:pt>
                <c:pt idx="157">
                  <c:v>0.450732854593499</c:v>
                </c:pt>
                <c:pt idx="158">
                  <c:v>0.451812327098219</c:v>
                </c:pt>
                <c:pt idx="159">
                  <c:v>0.452968165946851</c:v>
                </c:pt>
                <c:pt idx="160">
                  <c:v>0.454207633119437</c:v>
                </c:pt>
                <c:pt idx="161">
                  <c:v>0.455538873563798</c:v>
                </c:pt>
                <c:pt idx="162">
                  <c:v>0.456971045315999</c:v>
                </c:pt>
                <c:pt idx="163">
                  <c:v>0.458514472146215</c:v>
                </c:pt>
                <c:pt idx="164">
                  <c:v>0.460180823157377</c:v>
                </c:pt>
                <c:pt idx="165">
                  <c:v>0.461983324715847</c:v>
                </c:pt>
                <c:pt idx="166">
                  <c:v>0.463937011256597</c:v>
                </c:pt>
                <c:pt idx="167">
                  <c:v>0.466059022920718</c:v>
                </c:pt>
                <c:pt idx="168">
                  <c:v>0.468368959697891</c:v>
                </c:pt>
                <c:pt idx="169">
                  <c:v>0.470889303793307</c:v>
                </c:pt>
                <c:pt idx="170">
                  <c:v>0.473645924350126</c:v>
                </c:pt>
                <c:pt idx="171">
                  <c:v>0.476668681413302</c:v>
                </c:pt>
                <c:pt idx="172">
                  <c:v>0.47999214900623</c:v>
                </c:pt>
                <c:pt idx="173">
                  <c:v>0.483656480124931</c:v>
                </c:pt>
                <c:pt idx="174">
                  <c:v>0.487708438676266</c:v>
                </c:pt>
                <c:pt idx="175">
                  <c:v>0.492202623558972</c:v>
                </c:pt>
                <c:pt idx="176">
                  <c:v>0.497202905539768</c:v>
                </c:pt>
                <c:pt idx="177">
                  <c:v>0.502784083099385</c:v>
                </c:pt>
                <c:pt idx="178">
                  <c:v>0.509033728916824</c:v>
                </c:pt>
                <c:pt idx="179">
                  <c:v>0.516054124385076</c:v>
                </c:pt>
                <c:pt idx="180">
                  <c:v>0.523964026657844</c:v>
                </c:pt>
                <c:pt idx="181">
                  <c:v>0.532899703622949</c:v>
                </c:pt>
                <c:pt idx="182">
                  <c:v>0.543014045263861</c:v>
                </c:pt>
                <c:pt idx="183">
                  <c:v>0.554471276423294</c:v>
                </c:pt>
                <c:pt idx="184">
                  <c:v>0.567432087335275</c:v>
                </c:pt>
                <c:pt idx="185">
                  <c:v>0.582018034553685</c:v>
                </c:pt>
                <c:pt idx="186">
                  <c:v>0.598229979757718</c:v>
                </c:pt>
                <c:pt idx="187">
                  <c:v>0.615758207372379</c:v>
                </c:pt>
                <c:pt idx="188">
                  <c:v>0.633505534986092</c:v>
                </c:pt>
                <c:pt idx="189">
                  <c:v>0.648171802651968</c:v>
                </c:pt>
                <c:pt idx="190">
                  <c:v>0.662109049449534</c:v>
                </c:pt>
                <c:pt idx="191">
                  <c:v>0.706616731787878</c:v>
                </c:pt>
                <c:pt idx="192">
                  <c:v>0.76522865989231</c:v>
                </c:pt>
                <c:pt idx="193">
                  <c:v>0.796622495977484</c:v>
                </c:pt>
                <c:pt idx="194">
                  <c:v>0.799732279049347</c:v>
                </c:pt>
              </c:numCache>
            </c:numRef>
          </c:yVal>
          <c:smooth val="1"/>
          <c:extLst xmlns:c16r2="http://schemas.microsoft.com/office/drawing/2015/06/chart">
            <c:ext xmlns:c16="http://schemas.microsoft.com/office/drawing/2014/chart" uri="{C3380CC4-5D6E-409C-BE32-E72D297353CC}">
              <c16:uniqueId val="{00000003-9956-42B9-9A98-FB63968371C1}"/>
            </c:ext>
          </c:extLst>
        </c:ser>
        <c:dLbls>
          <c:showLegendKey val="0"/>
          <c:showVal val="0"/>
          <c:showCatName val="0"/>
          <c:showSerName val="0"/>
          <c:showPercent val="0"/>
          <c:showBubbleSize val="0"/>
        </c:dLbls>
        <c:axId val="1918800240"/>
        <c:axId val="1918132016"/>
      </c:scatterChart>
      <c:valAx>
        <c:axId val="1918800240"/>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i="0" baseline="0">
                    <a:effectLst/>
                    <a:latin typeface="Times New Roman" panose="02020603050405020304"/>
                    <a:cs typeface="Times New Roman" panose="02020603050405020304"/>
                  </a:rPr>
                  <a:t>Distance to the left wall, nm</a:t>
                </a:r>
                <a:endParaRPr lang="en-US" sz="1200" b="0">
                  <a:effectLst/>
                  <a:latin typeface="Times New Roman" panose="02020603050405020304"/>
                  <a:cs typeface="Times New Roman" panose="02020603050405020304"/>
                </a:endParaRP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132016"/>
        <c:crosses val="autoZero"/>
        <c:crossBetween val="midCat"/>
      </c:valAx>
      <c:valAx>
        <c:axId val="1918132016"/>
        <c:scaling>
          <c:orientation val="minMax"/>
          <c:max val="0.9"/>
          <c:min val="0.2"/>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i="0" baseline="0">
                    <a:effectLst/>
                    <a:latin typeface="Times New Roman" panose="02020603050405020304"/>
                    <a:cs typeface="Times New Roman" panose="02020603050405020304"/>
                  </a:rPr>
                  <a:t>Density, g/cm</a:t>
                </a:r>
                <a:r>
                  <a:rPr lang="en-US" sz="1200" b="0" i="0" baseline="30000">
                    <a:effectLst/>
                    <a:latin typeface="Times New Roman" panose="02020603050405020304"/>
                    <a:cs typeface="Times New Roman" panose="02020603050405020304"/>
                  </a:rPr>
                  <a:t>3</a:t>
                </a:r>
                <a:endParaRPr lang="en-US" sz="1200" b="0" i="0">
                  <a:effectLst/>
                  <a:latin typeface="Times New Roman" panose="02020603050405020304"/>
                  <a:cs typeface="Times New Roman" panose="02020603050405020304"/>
                </a:endParaRPr>
              </a:p>
            </c:rich>
          </c:tx>
          <c:layout>
            <c:manualLayout>
              <c:xMode val="edge"/>
              <c:yMode val="edge"/>
              <c:x val="0.0106229255893852"/>
              <c:y val="0.29141261188505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800240"/>
        <c:crosses val="autoZero"/>
        <c:crossBetween val="midCat"/>
      </c:valAx>
      <c:spPr>
        <a:ln>
          <a:solidFill>
            <a:schemeClr val="tx1"/>
          </a:solidFill>
        </a:ln>
      </c:spPr>
    </c:plotArea>
    <c:legend>
      <c:legendPos val="r"/>
      <c:layout>
        <c:manualLayout>
          <c:xMode val="edge"/>
          <c:yMode val="edge"/>
          <c:x val="0.447371609798775"/>
          <c:y val="0.08719524642753"/>
          <c:w val="0.172072834645669"/>
          <c:h val="0.371905803441236"/>
        </c:manualLayout>
      </c:layout>
      <c:overlay val="0"/>
      <c:spPr>
        <a:ln>
          <a:solidFill>
            <a:srgbClr val="000000"/>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10292747020068"/>
          <c:y val="0.052"/>
          <c:w val="0.831012846083315"/>
          <c:h val="0.822613543307087"/>
        </c:manualLayout>
      </c:layout>
      <c:scatterChart>
        <c:scatterStyle val="smoothMarker"/>
        <c:varyColors val="0"/>
        <c:ser>
          <c:idx val="0"/>
          <c:order val="0"/>
          <c:tx>
            <c:strRef>
              <c:f>80% C1</c:f>
              <c:strCache>
                <c:ptCount val="1"/>
                <c:pt idx="0">
                  <c:v>80% C1</c:v>
                </c:pt>
              </c:strCache>
            </c:strRef>
          </c:tx>
          <c:spPr>
            <a:ln w="28575" cap="rnd" cmpd="sng" algn="ctr">
              <a:solidFill>
                <a:schemeClr val="accent1">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Sheet4!$C$4:$C$198</c:f>
              <c:numCache>
                <c:formatCode>General</c:formatCode>
                <c:ptCount val="195"/>
                <c:pt idx="0">
                  <c:v>0.004912068306795</c:v>
                </c:pt>
                <c:pt idx="1">
                  <c:v>0.031725244595934</c:v>
                </c:pt>
                <c:pt idx="2">
                  <c:v>0.160975244175693</c:v>
                </c:pt>
                <c:pt idx="3">
                  <c:v>0.322010620246589</c:v>
                </c:pt>
                <c:pt idx="4">
                  <c:v>0.418098065686158</c:v>
                </c:pt>
                <c:pt idx="5">
                  <c:v>0.443552900209951</c:v>
                </c:pt>
                <c:pt idx="6">
                  <c:v>0.473362960871447</c:v>
                </c:pt>
                <c:pt idx="7">
                  <c:v>0.509966436163419</c:v>
                </c:pt>
                <c:pt idx="8">
                  <c:v>0.545610765636637</c:v>
                </c:pt>
                <c:pt idx="9">
                  <c:v>0.577725056218353</c:v>
                </c:pt>
                <c:pt idx="10">
                  <c:v>0.605658628207072</c:v>
                </c:pt>
                <c:pt idx="11">
                  <c:v>0.629537760555996</c:v>
                </c:pt>
                <c:pt idx="12">
                  <c:v>0.6497907078639</c:v>
                </c:pt>
                <c:pt idx="13">
                  <c:v>0.666930581237428</c:v>
                </c:pt>
                <c:pt idx="14">
                  <c:v>0.681455768373369</c:v>
                </c:pt>
                <c:pt idx="15">
                  <c:v>0.693809048831007</c:v>
                </c:pt>
                <c:pt idx="16">
                  <c:v>0.704366145522568</c:v>
                </c:pt>
                <c:pt idx="17">
                  <c:v>0.713438061855505</c:v>
                </c:pt>
                <c:pt idx="18">
                  <c:v>0.721278922305976</c:v>
                </c:pt>
                <c:pt idx="19">
                  <c:v>0.728095190072379</c:v>
                </c:pt>
                <c:pt idx="20">
                  <c:v>0.734054402380478</c:v>
                </c:pt>
                <c:pt idx="21">
                  <c:v>0.739292731022776</c:v>
                </c:pt>
                <c:pt idx="22">
                  <c:v>0.743921232040581</c:v>
                </c:pt>
                <c:pt idx="23">
                  <c:v>0.748030885523185</c:v>
                </c:pt>
                <c:pt idx="24">
                  <c:v>0.751696606715924</c:v>
                </c:pt>
                <c:pt idx="25">
                  <c:v>0.754980418526455</c:v>
                </c:pt>
                <c:pt idx="26">
                  <c:v>0.757933955816782</c:v>
                </c:pt>
                <c:pt idx="27">
                  <c:v>0.760600443721465</c:v>
                </c:pt>
                <c:pt idx="28">
                  <c:v>0.763016264390831</c:v>
                </c:pt>
                <c:pt idx="29">
                  <c:v>0.765212202307868</c:v>
                </c:pt>
                <c:pt idx="30">
                  <c:v>0.767214438432695</c:v>
                </c:pt>
                <c:pt idx="31">
                  <c:v>0.769045347632204</c:v>
                </c:pt>
                <c:pt idx="32">
                  <c:v>0.770724141529552</c:v>
                </c:pt>
                <c:pt idx="33">
                  <c:v>0.772267389391997</c:v>
                </c:pt>
                <c:pt idx="34">
                  <c:v>0.773689442360364</c:v>
                </c:pt>
                <c:pt idx="35">
                  <c:v>0.775002780709796</c:v>
                </c:pt>
                <c:pt idx="36">
                  <c:v>0.77621829952158</c:v>
                </c:pt>
                <c:pt idx="37">
                  <c:v>0.777345544829625</c:v>
                </c:pt>
                <c:pt idx="38">
                  <c:v>0.778392909747039</c:v>
                </c:pt>
                <c:pt idx="39">
                  <c:v>0.779367798097236</c:v>
                </c:pt>
                <c:pt idx="40">
                  <c:v>0.780276761533716</c:v>
                </c:pt>
                <c:pt idx="41">
                  <c:v>0.781125614930848</c:v>
                </c:pt>
                <c:pt idx="42">
                  <c:v>0.781919533884504</c:v>
                </c:pt>
                <c:pt idx="43">
                  <c:v>0.782663137419043</c:v>
                </c:pt>
                <c:pt idx="44">
                  <c:v>0.783360558409381</c:v>
                </c:pt>
                <c:pt idx="45">
                  <c:v>0.784015503759415</c:v>
                </c:pt>
                <c:pt idx="46">
                  <c:v>0.784631306005393</c:v>
                </c:pt>
                <c:pt idx="47">
                  <c:v>0.785210967713387</c:v>
                </c:pt>
                <c:pt idx="48">
                  <c:v>0.785757199799233</c:v>
                </c:pt>
                <c:pt idx="49">
                  <c:v>0.786272454704402</c:v>
                </c:pt>
                <c:pt idx="50">
                  <c:v>0.786758955202822</c:v>
                </c:pt>
                <c:pt idx="51">
                  <c:v>0.787218719485008</c:v>
                </c:pt>
                <c:pt idx="52">
                  <c:v>0.787653583059679</c:v>
                </c:pt>
                <c:pt idx="53">
                  <c:v>0.788065217926702</c:v>
                </c:pt>
                <c:pt idx="54">
                  <c:v>0.788455149403512</c:v>
                </c:pt>
                <c:pt idx="55">
                  <c:v>0.788824770927741</c:v>
                </c:pt>
                <c:pt idx="56">
                  <c:v>0.789175357109746</c:v>
                </c:pt>
                <c:pt idx="57">
                  <c:v>0.789508075267991</c:v>
                </c:pt>
                <c:pt idx="58">
                  <c:v>0.789823995645289</c:v>
                </c:pt>
                <c:pt idx="59">
                  <c:v>0.790124099432825</c:v>
                </c:pt>
                <c:pt idx="60">
                  <c:v>0.790409291106888</c:v>
                </c:pt>
                <c:pt idx="61">
                  <c:v>0.790680399040738</c:v>
                </c:pt>
                <c:pt idx="62">
                  <c:v>0.790938186433685</c:v>
                </c:pt>
                <c:pt idx="63">
                  <c:v>0.791183355860507</c:v>
                </c:pt>
                <c:pt idx="64">
                  <c:v>0.791416554445437</c:v>
                </c:pt>
                <c:pt idx="65">
                  <c:v>0.791638378455279</c:v>
                </c:pt>
                <c:pt idx="66">
                  <c:v>0.79184937748066</c:v>
                </c:pt>
                <c:pt idx="67">
                  <c:v>0.792050058151318</c:v>
                </c:pt>
                <c:pt idx="68">
                  <c:v>0.792240887535543</c:v>
                </c:pt>
                <c:pt idx="69">
                  <c:v>0.792422296179579</c:v>
                </c:pt>
                <c:pt idx="70">
                  <c:v>0.792594680898727</c:v>
                </c:pt>
                <c:pt idx="71">
                  <c:v>0.792758407283882</c:v>
                </c:pt>
                <c:pt idx="72">
                  <c:v>0.792913811994973</c:v>
                </c:pt>
                <c:pt idx="73">
                  <c:v>0.793061204855521</c:v>
                </c:pt>
                <c:pt idx="74">
                  <c:v>0.793200870764116</c:v>
                </c:pt>
                <c:pt idx="75">
                  <c:v>0.793333071447281</c:v>
                </c:pt>
                <c:pt idx="76">
                  <c:v>0.793458047074204</c:v>
                </c:pt>
                <c:pt idx="77">
                  <c:v>0.793576017737066</c:v>
                </c:pt>
                <c:pt idx="78">
                  <c:v>0.793687184831537</c:v>
                </c:pt>
                <c:pt idx="79">
                  <c:v>0.793791732319816</c:v>
                </c:pt>
                <c:pt idx="80">
                  <c:v>0.793889827912746</c:v>
                </c:pt>
                <c:pt idx="81">
                  <c:v>0.793981624164977</c:v>
                </c:pt>
                <c:pt idx="82">
                  <c:v>0.794067259499762</c:v>
                </c:pt>
                <c:pt idx="83">
                  <c:v>0.794146859159796</c:v>
                </c:pt>
                <c:pt idx="84">
                  <c:v>0.794220536090978</c:v>
                </c:pt>
                <c:pt idx="85">
                  <c:v>0.794288391777001</c:v>
                </c:pt>
                <c:pt idx="86">
                  <c:v>0.794350517007713</c:v>
                </c:pt>
                <c:pt idx="87">
                  <c:v>0.794406992596795</c:v>
                </c:pt>
                <c:pt idx="88">
                  <c:v>0.794457890043422</c:v>
                </c:pt>
                <c:pt idx="89">
                  <c:v>0.794503272144622</c:v>
                </c:pt>
                <c:pt idx="90">
                  <c:v>0.794543193550256</c:v>
                </c:pt>
                <c:pt idx="91">
                  <c:v>0.794577701266383</c:v>
                </c:pt>
                <c:pt idx="92">
                  <c:v>0.794606835105664</c:v>
                </c:pt>
                <c:pt idx="93">
                  <c:v>0.794630628078249</c:v>
                </c:pt>
                <c:pt idx="94">
                  <c:v>0.794649106728691</c:v>
                </c:pt>
                <c:pt idx="95">
                  <c:v>0.794662291412444</c:v>
                </c:pt>
                <c:pt idx="96">
                  <c:v>0.79467019616707</c:v>
                </c:pt>
                <c:pt idx="97">
                  <c:v>0.794672830579204</c:v>
                </c:pt>
                <c:pt idx="98">
                  <c:v>0.79467019616707</c:v>
                </c:pt>
                <c:pt idx="99">
                  <c:v>0.794662291412444</c:v>
                </c:pt>
                <c:pt idx="100">
                  <c:v>0.794649106728691</c:v>
                </c:pt>
                <c:pt idx="101">
                  <c:v>0.794630628078249</c:v>
                </c:pt>
                <c:pt idx="102">
                  <c:v>0.794606835105664</c:v>
                </c:pt>
                <c:pt idx="103">
                  <c:v>0.794577701266383</c:v>
                </c:pt>
                <c:pt idx="104">
                  <c:v>0.794543193550256</c:v>
                </c:pt>
                <c:pt idx="105">
                  <c:v>0.794503272144622</c:v>
                </c:pt>
                <c:pt idx="106">
                  <c:v>0.794457890043422</c:v>
                </c:pt>
                <c:pt idx="107">
                  <c:v>0.794406992596795</c:v>
                </c:pt>
                <c:pt idx="108">
                  <c:v>0.794350517007713</c:v>
                </c:pt>
                <c:pt idx="109">
                  <c:v>0.794288391777001</c:v>
                </c:pt>
                <c:pt idx="110">
                  <c:v>0.794220536090978</c:v>
                </c:pt>
                <c:pt idx="111">
                  <c:v>0.794146859159796</c:v>
                </c:pt>
                <c:pt idx="112">
                  <c:v>0.794067259499762</c:v>
                </c:pt>
                <c:pt idx="113">
                  <c:v>0.793981624164977</c:v>
                </c:pt>
                <c:pt idx="114">
                  <c:v>0.793889827912746</c:v>
                </c:pt>
                <c:pt idx="115">
                  <c:v>0.793791732319816</c:v>
                </c:pt>
                <c:pt idx="116">
                  <c:v>0.793687184831537</c:v>
                </c:pt>
                <c:pt idx="117">
                  <c:v>0.793576017737066</c:v>
                </c:pt>
                <c:pt idx="118">
                  <c:v>0.793458047074204</c:v>
                </c:pt>
                <c:pt idx="119">
                  <c:v>0.793333071447281</c:v>
                </c:pt>
                <c:pt idx="120">
                  <c:v>0.793200870764116</c:v>
                </c:pt>
                <c:pt idx="121">
                  <c:v>0.793061204855521</c:v>
                </c:pt>
                <c:pt idx="122">
                  <c:v>0.792913811994973</c:v>
                </c:pt>
                <c:pt idx="123">
                  <c:v>0.792758407283882</c:v>
                </c:pt>
                <c:pt idx="124">
                  <c:v>0.792594680898727</c:v>
                </c:pt>
                <c:pt idx="125">
                  <c:v>0.792422296179579</c:v>
                </c:pt>
                <c:pt idx="126">
                  <c:v>0.792240887535543</c:v>
                </c:pt>
                <c:pt idx="127">
                  <c:v>0.792050058151318</c:v>
                </c:pt>
                <c:pt idx="128">
                  <c:v>0.79184937748066</c:v>
                </c:pt>
                <c:pt idx="129">
                  <c:v>0.791638378455279</c:v>
                </c:pt>
                <c:pt idx="130">
                  <c:v>0.791416554445437</c:v>
                </c:pt>
                <c:pt idx="131">
                  <c:v>0.791183355860507</c:v>
                </c:pt>
                <c:pt idx="132">
                  <c:v>0.790938186433685</c:v>
                </c:pt>
                <c:pt idx="133">
                  <c:v>0.790680399040738</c:v>
                </c:pt>
                <c:pt idx="134">
                  <c:v>0.790409291106888</c:v>
                </c:pt>
                <c:pt idx="135">
                  <c:v>0.790124099432825</c:v>
                </c:pt>
                <c:pt idx="136">
                  <c:v>0.789823995645289</c:v>
                </c:pt>
                <c:pt idx="137">
                  <c:v>0.789508075267991</c:v>
                </c:pt>
                <c:pt idx="138">
                  <c:v>0.789175357109746</c:v>
                </c:pt>
                <c:pt idx="139">
                  <c:v>0.788824770927741</c:v>
                </c:pt>
                <c:pt idx="140">
                  <c:v>0.788455149403512</c:v>
                </c:pt>
                <c:pt idx="141">
                  <c:v>0.788065217926702</c:v>
                </c:pt>
                <c:pt idx="142">
                  <c:v>0.787653583059679</c:v>
                </c:pt>
                <c:pt idx="143">
                  <c:v>0.787218719485008</c:v>
                </c:pt>
                <c:pt idx="144">
                  <c:v>0.786758955202822</c:v>
                </c:pt>
                <c:pt idx="145">
                  <c:v>0.786272454704402</c:v>
                </c:pt>
                <c:pt idx="146">
                  <c:v>0.785757199799233</c:v>
                </c:pt>
                <c:pt idx="147">
                  <c:v>0.785210967713387</c:v>
                </c:pt>
                <c:pt idx="148">
                  <c:v>0.784631306005393</c:v>
                </c:pt>
                <c:pt idx="149">
                  <c:v>0.784015503759415</c:v>
                </c:pt>
                <c:pt idx="150">
                  <c:v>0.783360558409381</c:v>
                </c:pt>
                <c:pt idx="151">
                  <c:v>0.782663137419043</c:v>
                </c:pt>
                <c:pt idx="152">
                  <c:v>0.781919533884504</c:v>
                </c:pt>
                <c:pt idx="153">
                  <c:v>0.781125614930848</c:v>
                </c:pt>
                <c:pt idx="154">
                  <c:v>0.780276761533716</c:v>
                </c:pt>
                <c:pt idx="155">
                  <c:v>0.779367798097236</c:v>
                </c:pt>
                <c:pt idx="156">
                  <c:v>0.778392909747039</c:v>
                </c:pt>
                <c:pt idx="157">
                  <c:v>0.777345544829625</c:v>
                </c:pt>
                <c:pt idx="158">
                  <c:v>0.77621829952158</c:v>
                </c:pt>
                <c:pt idx="159">
                  <c:v>0.775002780709796</c:v>
                </c:pt>
                <c:pt idx="160">
                  <c:v>0.773689442360364</c:v>
                </c:pt>
                <c:pt idx="161">
                  <c:v>0.772267389391997</c:v>
                </c:pt>
                <c:pt idx="162">
                  <c:v>0.770724141529552</c:v>
                </c:pt>
                <c:pt idx="163">
                  <c:v>0.769045347632204</c:v>
                </c:pt>
                <c:pt idx="164">
                  <c:v>0.767214438432695</c:v>
                </c:pt>
                <c:pt idx="165">
                  <c:v>0.765212202307868</c:v>
                </c:pt>
                <c:pt idx="166">
                  <c:v>0.763016264390831</c:v>
                </c:pt>
                <c:pt idx="167">
                  <c:v>0.760600443721465</c:v>
                </c:pt>
                <c:pt idx="168">
                  <c:v>0.757933955816782</c:v>
                </c:pt>
                <c:pt idx="169">
                  <c:v>0.754980418526455</c:v>
                </c:pt>
                <c:pt idx="170">
                  <c:v>0.751696606715924</c:v>
                </c:pt>
                <c:pt idx="171">
                  <c:v>0.748030885523185</c:v>
                </c:pt>
                <c:pt idx="172">
                  <c:v>0.743921232040581</c:v>
                </c:pt>
                <c:pt idx="173">
                  <c:v>0.739292731022776</c:v>
                </c:pt>
                <c:pt idx="174">
                  <c:v>0.734054402380478</c:v>
                </c:pt>
                <c:pt idx="175">
                  <c:v>0.728095190072379</c:v>
                </c:pt>
                <c:pt idx="176">
                  <c:v>0.721278922305976</c:v>
                </c:pt>
                <c:pt idx="177">
                  <c:v>0.713438061855505</c:v>
                </c:pt>
                <c:pt idx="178">
                  <c:v>0.704366145522568</c:v>
                </c:pt>
                <c:pt idx="179">
                  <c:v>0.693809048831007</c:v>
                </c:pt>
                <c:pt idx="180">
                  <c:v>0.681455768373369</c:v>
                </c:pt>
                <c:pt idx="181">
                  <c:v>0.666930581237428</c:v>
                </c:pt>
                <c:pt idx="182">
                  <c:v>0.6497907078639</c:v>
                </c:pt>
                <c:pt idx="183">
                  <c:v>0.629537760555996</c:v>
                </c:pt>
                <c:pt idx="184">
                  <c:v>0.605658628207072</c:v>
                </c:pt>
                <c:pt idx="185">
                  <c:v>0.577725056218353</c:v>
                </c:pt>
                <c:pt idx="186">
                  <c:v>0.545610765636637</c:v>
                </c:pt>
                <c:pt idx="187">
                  <c:v>0.509966436163419</c:v>
                </c:pt>
                <c:pt idx="188">
                  <c:v>0.473362960871447</c:v>
                </c:pt>
                <c:pt idx="189">
                  <c:v>0.443552900209951</c:v>
                </c:pt>
                <c:pt idx="190">
                  <c:v>0.418098065686158</c:v>
                </c:pt>
                <c:pt idx="191">
                  <c:v>0.322010620246589</c:v>
                </c:pt>
                <c:pt idx="192">
                  <c:v>0.160975244175693</c:v>
                </c:pt>
                <c:pt idx="193">
                  <c:v>0.031725244595934</c:v>
                </c:pt>
                <c:pt idx="194">
                  <c:v>0.004912068306795</c:v>
                </c:pt>
              </c:numCache>
            </c:numRef>
          </c:yVal>
          <c:smooth val="1"/>
          <c:extLst xmlns:c16r2="http://schemas.microsoft.com/office/drawing/2015/06/chart">
            <c:ext xmlns:c16="http://schemas.microsoft.com/office/drawing/2014/chart" uri="{C3380CC4-5D6E-409C-BE32-E72D297353CC}">
              <c16:uniqueId val="{00000000-D6E2-486D-BD62-6DEDD0FDE314}"/>
            </c:ext>
          </c:extLst>
        </c:ser>
        <c:ser>
          <c:idx val="1"/>
          <c:order val="1"/>
          <c:tx>
            <c:strRef>
              <c:f>70% C1</c:f>
              <c:strCache>
                <c:ptCount val="1"/>
                <c:pt idx="0">
                  <c:v>70% C1</c:v>
                </c:pt>
              </c:strCache>
            </c:strRef>
          </c:tx>
          <c:spPr>
            <a:ln w="28575" cap="rnd" cmpd="sng" algn="ctr">
              <a:solidFill>
                <a:schemeClr val="accent2">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Sheet4!$E$4:$E$198</c:f>
              <c:numCache>
                <c:formatCode>General</c:formatCode>
                <c:ptCount val="195"/>
                <c:pt idx="0">
                  <c:v>0.003849337424902</c:v>
                </c:pt>
                <c:pt idx="1">
                  <c:v>0.025016899227762</c:v>
                </c:pt>
                <c:pt idx="2">
                  <c:v>0.129986169445009</c:v>
                </c:pt>
                <c:pt idx="3">
                  <c:v>0.266682461815135</c:v>
                </c:pt>
                <c:pt idx="4">
                  <c:v>0.350100089365818</c:v>
                </c:pt>
                <c:pt idx="5">
                  <c:v>0.367373994574178</c:v>
                </c:pt>
                <c:pt idx="6">
                  <c:v>0.388789775725835</c:v>
                </c:pt>
                <c:pt idx="7">
                  <c:v>0.417255329696701</c:v>
                </c:pt>
                <c:pt idx="8">
                  <c:v>0.445825546727119</c:v>
                </c:pt>
                <c:pt idx="9">
                  <c:v>0.47223375136505</c:v>
                </c:pt>
                <c:pt idx="10">
                  <c:v>0.495842978626536</c:v>
                </c:pt>
                <c:pt idx="11">
                  <c:v>0.516636543087422</c:v>
                </c:pt>
                <c:pt idx="12">
                  <c:v>0.534832039651982</c:v>
                </c:pt>
                <c:pt idx="13">
                  <c:v>0.550721489658452</c:v>
                </c:pt>
                <c:pt idx="14">
                  <c:v>0.564603293815778</c:v>
                </c:pt>
                <c:pt idx="15">
                  <c:v>0.576754229379505</c:v>
                </c:pt>
                <c:pt idx="16">
                  <c:v>0.587419608649277</c:v>
                </c:pt>
                <c:pt idx="17">
                  <c:v>0.596811717673237</c:v>
                </c:pt>
                <c:pt idx="18">
                  <c:v>0.605111879419606</c:v>
                </c:pt>
                <c:pt idx="19">
                  <c:v>0.612473899989184</c:v>
                </c:pt>
                <c:pt idx="20">
                  <c:v>0.619027826563194</c:v>
                </c:pt>
                <c:pt idx="21">
                  <c:v>0.624883525830051</c:v>
                </c:pt>
                <c:pt idx="22">
                  <c:v>0.630133882806143</c:v>
                </c:pt>
                <c:pt idx="23">
                  <c:v>0.634857564067367</c:v>
                </c:pt>
                <c:pt idx="24">
                  <c:v>0.639121357790121</c:v>
                </c:pt>
                <c:pt idx="25">
                  <c:v>0.64298213227089</c:v>
                </c:pt>
                <c:pt idx="26">
                  <c:v>0.646488464041472</c:v>
                </c:pt>
                <c:pt idx="27">
                  <c:v>0.649681986476497</c:v>
                </c:pt>
                <c:pt idx="28">
                  <c:v>0.652598505277754</c:v>
                </c:pt>
                <c:pt idx="29">
                  <c:v>0.655268921172116</c:v>
                </c:pt>
                <c:pt idx="30">
                  <c:v>0.657719993960801</c:v>
                </c:pt>
                <c:pt idx="31">
                  <c:v>0.659974976335985</c:v>
                </c:pt>
                <c:pt idx="32">
                  <c:v>0.662054140874283</c:v>
                </c:pt>
                <c:pt idx="33">
                  <c:v>0.663975219375531</c:v>
                </c:pt>
                <c:pt idx="34">
                  <c:v>0.665753770186408</c:v>
                </c:pt>
                <c:pt idx="35">
                  <c:v>0.667403486249759</c:v>
                </c:pt>
                <c:pt idx="36">
                  <c:v>0.668936454254885</c:v>
                </c:pt>
                <c:pt idx="37">
                  <c:v>0.670363373345669</c:v>
                </c:pt>
                <c:pt idx="38">
                  <c:v>0.671693740286447</c:v>
                </c:pt>
                <c:pt idx="39">
                  <c:v>0.672936006728076</c:v>
                </c:pt>
                <c:pt idx="40">
                  <c:v>0.674097713197006</c:v>
                </c:pt>
                <c:pt idx="41">
                  <c:v>0.675185603605532</c:v>
                </c:pt>
                <c:pt idx="42">
                  <c:v>0.676205723410878</c:v>
                </c:pt>
                <c:pt idx="43">
                  <c:v>0.677163504007129</c:v>
                </c:pt>
                <c:pt idx="44">
                  <c:v>0.678063835490131</c:v>
                </c:pt>
                <c:pt idx="45">
                  <c:v>0.678911129573383</c:v>
                </c:pt>
                <c:pt idx="46">
                  <c:v>0.679709374136413</c:v>
                </c:pt>
                <c:pt idx="47">
                  <c:v>0.680462180643666</c:v>
                </c:pt>
                <c:pt idx="48">
                  <c:v>0.681172825471713</c:v>
                </c:pt>
                <c:pt idx="49">
                  <c:v>0.681844286016504</c:v>
                </c:pt>
                <c:pt idx="50">
                  <c:v>0.682479272316452</c:v>
                </c:pt>
                <c:pt idx="51">
                  <c:v>0.683080254812374</c:v>
                </c:pt>
                <c:pt idx="52">
                  <c:v>0.683649488771189</c:v>
                </c:pt>
                <c:pt idx="53">
                  <c:v>0.684189035821537</c:v>
                </c:pt>
                <c:pt idx="54">
                  <c:v>0.684700782982353</c:v>
                </c:pt>
                <c:pt idx="55">
                  <c:v>0.685186459510973</c:v>
                </c:pt>
                <c:pt idx="56">
                  <c:v>0.685647651850102</c:v>
                </c:pt>
                <c:pt idx="57">
                  <c:v>0.686085816913408</c:v>
                </c:pt>
                <c:pt idx="58">
                  <c:v>0.686502293916529</c:v>
                </c:pt>
                <c:pt idx="59">
                  <c:v>0.686898314931887</c:v>
                </c:pt>
                <c:pt idx="60">
                  <c:v>0.687275014321675</c:v>
                </c:pt>
                <c:pt idx="61">
                  <c:v>0.687633437182614</c:v>
                </c:pt>
                <c:pt idx="62">
                  <c:v>0.687974545810799</c:v>
                </c:pt>
                <c:pt idx="63">
                  <c:v>0.688299231041051</c:v>
                </c:pt>
                <c:pt idx="64">
                  <c:v>0.688608311410017</c:v>
                </c:pt>
                <c:pt idx="65">
                  <c:v>0.688902543395934</c:v>
                </c:pt>
                <c:pt idx="66">
                  <c:v>0.689182625259827</c:v>
                </c:pt>
                <c:pt idx="67">
                  <c:v>0.689449201448996</c:v>
                </c:pt>
                <c:pt idx="68">
                  <c:v>0.689702866773686</c:v>
                </c:pt>
                <c:pt idx="69">
                  <c:v>0.689944170041881</c:v>
                </c:pt>
                <c:pt idx="70">
                  <c:v>0.690173617491871</c:v>
                </c:pt>
                <c:pt idx="71">
                  <c:v>0.690391675816702</c:v>
                </c:pt>
                <c:pt idx="72">
                  <c:v>0.690598775005339</c:v>
                </c:pt>
                <c:pt idx="73">
                  <c:v>0.690795310900366</c:v>
                </c:pt>
                <c:pt idx="74">
                  <c:v>0.690981647565775</c:v>
                </c:pt>
                <c:pt idx="75">
                  <c:v>0.691158119444115</c:v>
                </c:pt>
                <c:pt idx="76">
                  <c:v>0.691325033397498</c:v>
                </c:pt>
                <c:pt idx="77">
                  <c:v>0.691482670512635</c:v>
                </c:pt>
                <c:pt idx="78">
                  <c:v>0.691631287876953</c:v>
                </c:pt>
                <c:pt idx="79">
                  <c:v>0.691771120134367</c:v>
                </c:pt>
                <c:pt idx="80">
                  <c:v>0.691902381020044</c:v>
                </c:pt>
                <c:pt idx="81">
                  <c:v>0.692025264721496</c:v>
                </c:pt>
                <c:pt idx="82">
                  <c:v>0.692139947213975</c:v>
                </c:pt>
                <c:pt idx="83">
                  <c:v>0.692246587470712</c:v>
                </c:pt>
                <c:pt idx="84">
                  <c:v>0.69234532862653</c:v>
                </c:pt>
                <c:pt idx="85">
                  <c:v>0.692436299048031</c:v>
                </c:pt>
                <c:pt idx="86">
                  <c:v>0.692519613346423</c:v>
                </c:pt>
                <c:pt idx="87">
                  <c:v>0.692595373327691</c:v>
                </c:pt>
                <c:pt idx="88">
                  <c:v>0.692663668866285</c:v>
                </c:pt>
                <c:pt idx="89">
                  <c:v>0.692724578719221</c:v>
                </c:pt>
                <c:pt idx="90">
                  <c:v>0.692778171273617</c:v>
                </c:pt>
                <c:pt idx="91">
                  <c:v>0.692824505222617</c:v>
                </c:pt>
                <c:pt idx="92">
                  <c:v>0.692863630169945</c:v>
                </c:pt>
                <c:pt idx="93">
                  <c:v>0.692895587166758</c:v>
                </c:pt>
                <c:pt idx="94">
                  <c:v>0.692920409165357</c:v>
                </c:pt>
                <c:pt idx="95">
                  <c:v>0.692938121398098</c:v>
                </c:pt>
                <c:pt idx="96">
                  <c:v>0.692948741179667</c:v>
                </c:pt>
                <c:pt idx="97">
                  <c:v>0.692952280537172</c:v>
                </c:pt>
                <c:pt idx="98">
                  <c:v>0.692948741179667</c:v>
                </c:pt>
                <c:pt idx="99">
                  <c:v>0.692938121398098</c:v>
                </c:pt>
                <c:pt idx="100">
                  <c:v>0.692920409165357</c:v>
                </c:pt>
                <c:pt idx="101">
                  <c:v>0.692895587166758</c:v>
                </c:pt>
                <c:pt idx="102">
                  <c:v>0.692863630169945</c:v>
                </c:pt>
                <c:pt idx="103">
                  <c:v>0.692824505222617</c:v>
                </c:pt>
                <c:pt idx="104">
                  <c:v>0.692778171273617</c:v>
                </c:pt>
                <c:pt idx="105">
                  <c:v>0.692724578719221</c:v>
                </c:pt>
                <c:pt idx="106">
                  <c:v>0.692663668866285</c:v>
                </c:pt>
                <c:pt idx="107">
                  <c:v>0.692595373327691</c:v>
                </c:pt>
                <c:pt idx="108">
                  <c:v>0.692519613346423</c:v>
                </c:pt>
                <c:pt idx="109">
                  <c:v>0.692436299048031</c:v>
                </c:pt>
                <c:pt idx="110">
                  <c:v>0.69234532862653</c:v>
                </c:pt>
                <c:pt idx="111">
                  <c:v>0.692246587470712</c:v>
                </c:pt>
                <c:pt idx="112">
                  <c:v>0.692139947213975</c:v>
                </c:pt>
                <c:pt idx="113">
                  <c:v>0.692025264721496</c:v>
                </c:pt>
                <c:pt idx="114">
                  <c:v>0.691902381020044</c:v>
                </c:pt>
                <c:pt idx="115">
                  <c:v>0.691771120134367</c:v>
                </c:pt>
                <c:pt idx="116">
                  <c:v>0.691631287876953</c:v>
                </c:pt>
                <c:pt idx="117">
                  <c:v>0.691482670512635</c:v>
                </c:pt>
                <c:pt idx="118">
                  <c:v>0.691325033397498</c:v>
                </c:pt>
                <c:pt idx="119">
                  <c:v>0.691158119444115</c:v>
                </c:pt>
                <c:pt idx="120">
                  <c:v>0.690981647565775</c:v>
                </c:pt>
                <c:pt idx="121">
                  <c:v>0.690795310900366</c:v>
                </c:pt>
                <c:pt idx="122">
                  <c:v>0.690598775005339</c:v>
                </c:pt>
                <c:pt idx="123">
                  <c:v>0.690391675816702</c:v>
                </c:pt>
                <c:pt idx="124">
                  <c:v>0.690173617491871</c:v>
                </c:pt>
                <c:pt idx="125">
                  <c:v>0.689944170041881</c:v>
                </c:pt>
                <c:pt idx="126">
                  <c:v>0.689702866773686</c:v>
                </c:pt>
                <c:pt idx="127">
                  <c:v>0.689449201448996</c:v>
                </c:pt>
                <c:pt idx="128">
                  <c:v>0.689182625259827</c:v>
                </c:pt>
                <c:pt idx="129">
                  <c:v>0.688902543395934</c:v>
                </c:pt>
                <c:pt idx="130">
                  <c:v>0.688608311410017</c:v>
                </c:pt>
                <c:pt idx="131">
                  <c:v>0.688299231041051</c:v>
                </c:pt>
                <c:pt idx="132">
                  <c:v>0.687974545810799</c:v>
                </c:pt>
                <c:pt idx="133">
                  <c:v>0.687633437182614</c:v>
                </c:pt>
                <c:pt idx="134">
                  <c:v>0.687275014321675</c:v>
                </c:pt>
                <c:pt idx="135">
                  <c:v>0.686898314931887</c:v>
                </c:pt>
                <c:pt idx="136">
                  <c:v>0.686502293916529</c:v>
                </c:pt>
                <c:pt idx="137">
                  <c:v>0.686085816913408</c:v>
                </c:pt>
                <c:pt idx="138">
                  <c:v>0.685647651850102</c:v>
                </c:pt>
                <c:pt idx="139">
                  <c:v>0.685186459510973</c:v>
                </c:pt>
                <c:pt idx="140">
                  <c:v>0.684700782982353</c:v>
                </c:pt>
                <c:pt idx="141">
                  <c:v>0.684189035821537</c:v>
                </c:pt>
                <c:pt idx="142">
                  <c:v>0.683649488771189</c:v>
                </c:pt>
                <c:pt idx="143">
                  <c:v>0.683080254812374</c:v>
                </c:pt>
                <c:pt idx="144">
                  <c:v>0.682479272316452</c:v>
                </c:pt>
                <c:pt idx="145">
                  <c:v>0.681844286016504</c:v>
                </c:pt>
                <c:pt idx="146">
                  <c:v>0.681172825471713</c:v>
                </c:pt>
                <c:pt idx="147">
                  <c:v>0.680462180643666</c:v>
                </c:pt>
                <c:pt idx="148">
                  <c:v>0.679709374136413</c:v>
                </c:pt>
                <c:pt idx="149">
                  <c:v>0.678911129573383</c:v>
                </c:pt>
                <c:pt idx="150">
                  <c:v>0.678063835490131</c:v>
                </c:pt>
                <c:pt idx="151">
                  <c:v>0.677163504007129</c:v>
                </c:pt>
                <c:pt idx="152">
                  <c:v>0.676205723410878</c:v>
                </c:pt>
                <c:pt idx="153">
                  <c:v>0.675185603605532</c:v>
                </c:pt>
                <c:pt idx="154">
                  <c:v>0.674097713197006</c:v>
                </c:pt>
                <c:pt idx="155">
                  <c:v>0.672936006728076</c:v>
                </c:pt>
                <c:pt idx="156">
                  <c:v>0.671693740286447</c:v>
                </c:pt>
                <c:pt idx="157">
                  <c:v>0.670363373345669</c:v>
                </c:pt>
                <c:pt idx="158">
                  <c:v>0.668936454254885</c:v>
                </c:pt>
                <c:pt idx="159">
                  <c:v>0.667403486249759</c:v>
                </c:pt>
                <c:pt idx="160">
                  <c:v>0.665753770186408</c:v>
                </c:pt>
                <c:pt idx="161">
                  <c:v>0.663975219375531</c:v>
                </c:pt>
                <c:pt idx="162">
                  <c:v>0.662054140874283</c:v>
                </c:pt>
                <c:pt idx="163">
                  <c:v>0.659974976335985</c:v>
                </c:pt>
                <c:pt idx="164">
                  <c:v>0.657719993960801</c:v>
                </c:pt>
                <c:pt idx="165">
                  <c:v>0.655268921172116</c:v>
                </c:pt>
                <c:pt idx="166">
                  <c:v>0.652598505277754</c:v>
                </c:pt>
                <c:pt idx="167">
                  <c:v>0.649681986476497</c:v>
                </c:pt>
                <c:pt idx="168">
                  <c:v>0.646488464041472</c:v>
                </c:pt>
                <c:pt idx="169">
                  <c:v>0.64298213227089</c:v>
                </c:pt>
                <c:pt idx="170">
                  <c:v>0.639121357790121</c:v>
                </c:pt>
                <c:pt idx="171">
                  <c:v>0.634857564067367</c:v>
                </c:pt>
                <c:pt idx="172">
                  <c:v>0.630133882806143</c:v>
                </c:pt>
                <c:pt idx="173">
                  <c:v>0.624883525830051</c:v>
                </c:pt>
                <c:pt idx="174">
                  <c:v>0.619027826563194</c:v>
                </c:pt>
                <c:pt idx="175">
                  <c:v>0.612473899989184</c:v>
                </c:pt>
                <c:pt idx="176">
                  <c:v>0.605111879419606</c:v>
                </c:pt>
                <c:pt idx="177">
                  <c:v>0.596811717673237</c:v>
                </c:pt>
                <c:pt idx="178">
                  <c:v>0.587419608649277</c:v>
                </c:pt>
                <c:pt idx="179">
                  <c:v>0.576754229379505</c:v>
                </c:pt>
                <c:pt idx="180">
                  <c:v>0.564603293815778</c:v>
                </c:pt>
                <c:pt idx="181">
                  <c:v>0.550721489658452</c:v>
                </c:pt>
                <c:pt idx="182">
                  <c:v>0.534832039651982</c:v>
                </c:pt>
                <c:pt idx="183">
                  <c:v>0.516636543087422</c:v>
                </c:pt>
                <c:pt idx="184">
                  <c:v>0.495842978626536</c:v>
                </c:pt>
                <c:pt idx="185">
                  <c:v>0.47223375136505</c:v>
                </c:pt>
                <c:pt idx="186">
                  <c:v>0.445825546727119</c:v>
                </c:pt>
                <c:pt idx="187">
                  <c:v>0.417255329696701</c:v>
                </c:pt>
                <c:pt idx="188">
                  <c:v>0.388789775725835</c:v>
                </c:pt>
                <c:pt idx="189">
                  <c:v>0.367373994574178</c:v>
                </c:pt>
                <c:pt idx="190">
                  <c:v>0.350100089365818</c:v>
                </c:pt>
                <c:pt idx="191">
                  <c:v>0.266682461815135</c:v>
                </c:pt>
                <c:pt idx="192">
                  <c:v>0.129986169445009</c:v>
                </c:pt>
                <c:pt idx="193">
                  <c:v>0.025016899227762</c:v>
                </c:pt>
                <c:pt idx="194">
                  <c:v>0.003849337424902</c:v>
                </c:pt>
              </c:numCache>
            </c:numRef>
          </c:yVal>
          <c:smooth val="1"/>
          <c:extLst xmlns:c16r2="http://schemas.microsoft.com/office/drawing/2015/06/chart">
            <c:ext xmlns:c16="http://schemas.microsoft.com/office/drawing/2014/chart" uri="{C3380CC4-5D6E-409C-BE32-E72D297353CC}">
              <c16:uniqueId val="{00000001-D6E2-486D-BD62-6DEDD0FDE314}"/>
            </c:ext>
          </c:extLst>
        </c:ser>
        <c:ser>
          <c:idx val="2"/>
          <c:order val="2"/>
          <c:tx>
            <c:strRef>
              <c:f>60% C1</c:f>
              <c:strCache>
                <c:ptCount val="1"/>
                <c:pt idx="0">
                  <c:v>60% C1</c:v>
                </c:pt>
              </c:strCache>
            </c:strRef>
          </c:tx>
          <c:spPr>
            <a:ln w="28575" cap="rnd" cmpd="sng" algn="ctr">
              <a:solidFill>
                <a:schemeClr val="accent3">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Sheet4!$G$4:$G$198</c:f>
              <c:numCache>
                <c:formatCode>General</c:formatCode>
                <c:ptCount val="195"/>
                <c:pt idx="0">
                  <c:v>0.003145461167591</c:v>
                </c:pt>
                <c:pt idx="1">
                  <c:v>0.020529216156176</c:v>
                </c:pt>
                <c:pt idx="2">
                  <c:v>0.108485994720896</c:v>
                </c:pt>
                <c:pt idx="3">
                  <c:v>0.226815035509582</c:v>
                </c:pt>
                <c:pt idx="4">
                  <c:v>0.300331160304038</c:v>
                </c:pt>
                <c:pt idx="5">
                  <c:v>0.312716079169951</c:v>
                </c:pt>
                <c:pt idx="6">
                  <c:v>0.328993734024855</c:v>
                </c:pt>
                <c:pt idx="7">
                  <c:v>0.352029057907168</c:v>
                </c:pt>
                <c:pt idx="8">
                  <c:v>0.375502624610126</c:v>
                </c:pt>
                <c:pt idx="9">
                  <c:v>0.397371238257258</c:v>
                </c:pt>
                <c:pt idx="10">
                  <c:v>0.417047549345318</c:v>
                </c:pt>
                <c:pt idx="11">
                  <c:v>0.43448896717314</c:v>
                </c:pt>
                <c:pt idx="12">
                  <c:v>0.449855959223083</c:v>
                </c:pt>
                <c:pt idx="13">
                  <c:v>0.463373414021844</c:v>
                </c:pt>
                <c:pt idx="14">
                  <c:v>0.475273005056845</c:v>
                </c:pt>
                <c:pt idx="15">
                  <c:v>0.485770100404204</c:v>
                </c:pt>
                <c:pt idx="16">
                  <c:v>0.49505589755698</c:v>
                </c:pt>
                <c:pt idx="17">
                  <c:v>0.503296264929111</c:v>
                </c:pt>
                <c:pt idx="18">
                  <c:v>0.510633401693157</c:v>
                </c:pt>
                <c:pt idx="19">
                  <c:v>0.517188514671308</c:v>
                </c:pt>
                <c:pt idx="20">
                  <c:v>0.523064688184075</c:v>
                </c:pt>
                <c:pt idx="21">
                  <c:v>0.528349587784175</c:v>
                </c:pt>
                <c:pt idx="22">
                  <c:v>0.533117861699546</c:v>
                </c:pt>
                <c:pt idx="23">
                  <c:v>0.53743320883125</c:v>
                </c:pt>
                <c:pt idx="24">
                  <c:v>0.541350129209547</c:v>
                </c:pt>
                <c:pt idx="25">
                  <c:v>0.544915391450986</c:v>
                </c:pt>
                <c:pt idx="26">
                  <c:v>0.548169256666458</c:v>
                </c:pt>
                <c:pt idx="27">
                  <c:v>0.551146496891333</c:v>
                </c:pt>
                <c:pt idx="28">
                  <c:v>0.55387724213812</c:v>
                </c:pt>
                <c:pt idx="29">
                  <c:v>0.556387685445395</c:v>
                </c:pt>
                <c:pt idx="30">
                  <c:v>0.558700670655721</c:v>
                </c:pt>
                <c:pt idx="31">
                  <c:v>0.560836183479278</c:v>
                </c:pt>
                <c:pt idx="32">
                  <c:v>0.562811762787943</c:v>
                </c:pt>
                <c:pt idx="33">
                  <c:v>0.564642846049736</c:v>
                </c:pt>
                <c:pt idx="34">
                  <c:v>0.566343060296459</c:v>
                </c:pt>
                <c:pt idx="35">
                  <c:v>0.567924467949262</c:v>
                </c:pt>
                <c:pt idx="36">
                  <c:v>0.569397775139172</c:v>
                </c:pt>
                <c:pt idx="37">
                  <c:v>0.570772508783968</c:v>
                </c:pt>
                <c:pt idx="38">
                  <c:v>0.572057167564331</c:v>
                </c:pt>
                <c:pt idx="39">
                  <c:v>0.573259351032473</c:v>
                </c:pt>
                <c:pt idx="40">
                  <c:v>0.574385870346209</c:v>
                </c:pt>
                <c:pt idx="41">
                  <c:v>0.575442843518019</c:v>
                </c:pt>
                <c:pt idx="42">
                  <c:v>0.576435777575008</c:v>
                </c:pt>
                <c:pt idx="43">
                  <c:v>0.577369639624264</c:v>
                </c:pt>
                <c:pt idx="44">
                  <c:v>0.578248918485384</c:v>
                </c:pt>
                <c:pt idx="45">
                  <c:v>0.579077678281798</c:v>
                </c:pt>
                <c:pt idx="46">
                  <c:v>0.579859605156972</c:v>
                </c:pt>
                <c:pt idx="47">
                  <c:v>0.580598048097699</c:v>
                </c:pt>
                <c:pt idx="48">
                  <c:v>0.581296054691646</c:v>
                </c:pt>
                <c:pt idx="49">
                  <c:v>0.581956402520242</c:v>
                </c:pt>
                <c:pt idx="50">
                  <c:v>0.58258162678026</c:v>
                </c:pt>
                <c:pt idx="51">
                  <c:v>0.58317404463981</c:v>
                </c:pt>
                <c:pt idx="52">
                  <c:v>0.583735776759024</c:v>
                </c:pt>
                <c:pt idx="53">
                  <c:v>0.584268766343953</c:v>
                </c:pt>
                <c:pt idx="54">
                  <c:v>0.584774796049261</c:v>
                </c:pt>
                <c:pt idx="55">
                  <c:v>0.585255503000414</c:v>
                </c:pt>
                <c:pt idx="56">
                  <c:v>0.585712392169324</c:v>
                </c:pt>
                <c:pt idx="57">
                  <c:v>0.586146848305082</c:v>
                </c:pt>
                <c:pt idx="58">
                  <c:v>0.586560146593464</c:v>
                </c:pt>
                <c:pt idx="59">
                  <c:v>0.586953462197591</c:v>
                </c:pt>
                <c:pt idx="60">
                  <c:v>0.587327878810463</c:v>
                </c:pt>
                <c:pt idx="61">
                  <c:v>0.587684396334456</c:v>
                </c:pt>
                <c:pt idx="62">
                  <c:v>0.588023937787866</c:v>
                </c:pt>
                <c:pt idx="63">
                  <c:v>0.588347354499909</c:v>
                </c:pt>
                <c:pt idx="64">
                  <c:v>0.588655435924725</c:v>
                </c:pt>
                <c:pt idx="65">
                  <c:v>0.58894890825591</c:v>
                </c:pt>
                <c:pt idx="66">
                  <c:v>0.589228443448674</c:v>
                </c:pt>
                <c:pt idx="67">
                  <c:v>0.589494662201462</c:v>
                </c:pt>
                <c:pt idx="68">
                  <c:v>0.589748137804296</c:v>
                </c:pt>
                <c:pt idx="69">
                  <c:v>0.589989399532545</c:v>
                </c:pt>
                <c:pt idx="70">
                  <c:v>0.590218935797086</c:v>
                </c:pt>
                <c:pt idx="71">
                  <c:v>0.590437197028642</c:v>
                </c:pt>
                <c:pt idx="72">
                  <c:v>0.590644598282603</c:v>
                </c:pt>
                <c:pt idx="73">
                  <c:v>0.590841521665806</c:v>
                </c:pt>
                <c:pt idx="74">
                  <c:v>0.59102831855299</c:v>
                </c:pt>
                <c:pt idx="75">
                  <c:v>0.591205311653179</c:v>
                </c:pt>
                <c:pt idx="76">
                  <c:v>0.591372796882653</c:v>
                </c:pt>
                <c:pt idx="77">
                  <c:v>0.591531045152574</c:v>
                </c:pt>
                <c:pt idx="78">
                  <c:v>0.591680304010374</c:v>
                </c:pt>
                <c:pt idx="79">
                  <c:v>0.591820799153517</c:v>
                </c:pt>
                <c:pt idx="80">
                  <c:v>0.591952735911606</c:v>
                </c:pt>
                <c:pt idx="81">
                  <c:v>0.59207630056297</c:v>
                </c:pt>
                <c:pt idx="82">
                  <c:v>0.592191661617695</c:v>
                </c:pt>
                <c:pt idx="83">
                  <c:v>0.59229897102629</c:v>
                </c:pt>
                <c:pt idx="84">
                  <c:v>0.592398365307448</c:v>
                </c:pt>
                <c:pt idx="85">
                  <c:v>0.592489966612742</c:v>
                </c:pt>
                <c:pt idx="86">
                  <c:v>0.592573883747205</c:v>
                </c:pt>
                <c:pt idx="87">
                  <c:v>0.592650213094721</c:v>
                </c:pt>
                <c:pt idx="88">
                  <c:v>0.592719039516808</c:v>
                </c:pt>
                <c:pt idx="89">
                  <c:v>0.592780437172082</c:v>
                </c:pt>
                <c:pt idx="90">
                  <c:v>0.592834470273422</c:v>
                </c:pt>
                <c:pt idx="91">
                  <c:v>0.592881193779861</c:v>
                </c:pt>
                <c:pt idx="92">
                  <c:v>0.592920654019049</c:v>
                </c:pt>
                <c:pt idx="93">
                  <c:v>0.59295288923466</c:v>
                </c:pt>
                <c:pt idx="94">
                  <c:v>0.592977930059908</c:v>
                </c:pt>
                <c:pt idx="95">
                  <c:v>0.592995799907439</c:v>
                </c:pt>
                <c:pt idx="96">
                  <c:v>0.593006514698351</c:v>
                </c:pt>
                <c:pt idx="97">
                  <c:v>0.593010085912014</c:v>
                </c:pt>
                <c:pt idx="98">
                  <c:v>0.593006514698351</c:v>
                </c:pt>
                <c:pt idx="99">
                  <c:v>0.592995799907439</c:v>
                </c:pt>
                <c:pt idx="100">
                  <c:v>0.592977930059908</c:v>
                </c:pt>
                <c:pt idx="101">
                  <c:v>0.59295288923466</c:v>
                </c:pt>
                <c:pt idx="102">
                  <c:v>0.592920654019049</c:v>
                </c:pt>
                <c:pt idx="103">
                  <c:v>0.592881193779861</c:v>
                </c:pt>
                <c:pt idx="104">
                  <c:v>0.592834470273422</c:v>
                </c:pt>
                <c:pt idx="105">
                  <c:v>0.592780437172082</c:v>
                </c:pt>
                <c:pt idx="106">
                  <c:v>0.592719039516808</c:v>
                </c:pt>
                <c:pt idx="107">
                  <c:v>0.592650213094721</c:v>
                </c:pt>
                <c:pt idx="108">
                  <c:v>0.592573883747205</c:v>
                </c:pt>
                <c:pt idx="109">
                  <c:v>0.592489966612742</c:v>
                </c:pt>
                <c:pt idx="110">
                  <c:v>0.592398365307448</c:v>
                </c:pt>
                <c:pt idx="111">
                  <c:v>0.59229897102629</c:v>
                </c:pt>
                <c:pt idx="112">
                  <c:v>0.592191661617695</c:v>
                </c:pt>
                <c:pt idx="113">
                  <c:v>0.59207630056297</c:v>
                </c:pt>
                <c:pt idx="114">
                  <c:v>0.591952735911606</c:v>
                </c:pt>
                <c:pt idx="115">
                  <c:v>0.591820799153517</c:v>
                </c:pt>
                <c:pt idx="116">
                  <c:v>0.591680304010374</c:v>
                </c:pt>
                <c:pt idx="117">
                  <c:v>0.591531045152574</c:v>
                </c:pt>
                <c:pt idx="118">
                  <c:v>0.591372796882653</c:v>
                </c:pt>
                <c:pt idx="119">
                  <c:v>0.591205311653179</c:v>
                </c:pt>
                <c:pt idx="120">
                  <c:v>0.59102831855299</c:v>
                </c:pt>
                <c:pt idx="121">
                  <c:v>0.590841521665806</c:v>
                </c:pt>
                <c:pt idx="122">
                  <c:v>0.590644598282603</c:v>
                </c:pt>
                <c:pt idx="123">
                  <c:v>0.590437197028642</c:v>
                </c:pt>
                <c:pt idx="124">
                  <c:v>0.590218935797086</c:v>
                </c:pt>
                <c:pt idx="125">
                  <c:v>0.589989399532545</c:v>
                </c:pt>
                <c:pt idx="126">
                  <c:v>0.589748137804296</c:v>
                </c:pt>
                <c:pt idx="127">
                  <c:v>0.589494662201462</c:v>
                </c:pt>
                <c:pt idx="128">
                  <c:v>0.589228443448674</c:v>
                </c:pt>
                <c:pt idx="129">
                  <c:v>0.58894890825591</c:v>
                </c:pt>
                <c:pt idx="130">
                  <c:v>0.588655435924725</c:v>
                </c:pt>
                <c:pt idx="131">
                  <c:v>0.588347354499909</c:v>
                </c:pt>
                <c:pt idx="132">
                  <c:v>0.588023937787866</c:v>
                </c:pt>
                <c:pt idx="133">
                  <c:v>0.587684396334456</c:v>
                </c:pt>
                <c:pt idx="134">
                  <c:v>0.587327878810463</c:v>
                </c:pt>
                <c:pt idx="135">
                  <c:v>0.586953462197591</c:v>
                </c:pt>
                <c:pt idx="136">
                  <c:v>0.586560146593464</c:v>
                </c:pt>
                <c:pt idx="137">
                  <c:v>0.586146848305082</c:v>
                </c:pt>
                <c:pt idx="138">
                  <c:v>0.585712392169324</c:v>
                </c:pt>
                <c:pt idx="139">
                  <c:v>0.585255503000414</c:v>
                </c:pt>
                <c:pt idx="140">
                  <c:v>0.584774796049261</c:v>
                </c:pt>
                <c:pt idx="141">
                  <c:v>0.584268766343953</c:v>
                </c:pt>
                <c:pt idx="142">
                  <c:v>0.583735776759024</c:v>
                </c:pt>
                <c:pt idx="143">
                  <c:v>0.58317404463981</c:v>
                </c:pt>
                <c:pt idx="144">
                  <c:v>0.58258162678026</c:v>
                </c:pt>
                <c:pt idx="145">
                  <c:v>0.581956402520242</c:v>
                </c:pt>
                <c:pt idx="146">
                  <c:v>0.581296054691646</c:v>
                </c:pt>
                <c:pt idx="147">
                  <c:v>0.580598048097699</c:v>
                </c:pt>
                <c:pt idx="148">
                  <c:v>0.579859605156972</c:v>
                </c:pt>
                <c:pt idx="149">
                  <c:v>0.579077678281798</c:v>
                </c:pt>
                <c:pt idx="150">
                  <c:v>0.578248918485384</c:v>
                </c:pt>
                <c:pt idx="151">
                  <c:v>0.577369639624264</c:v>
                </c:pt>
                <c:pt idx="152">
                  <c:v>0.576435777575008</c:v>
                </c:pt>
                <c:pt idx="153">
                  <c:v>0.575442843518019</c:v>
                </c:pt>
                <c:pt idx="154">
                  <c:v>0.574385870346209</c:v>
                </c:pt>
                <c:pt idx="155">
                  <c:v>0.573259351032473</c:v>
                </c:pt>
                <c:pt idx="156">
                  <c:v>0.572057167564331</c:v>
                </c:pt>
                <c:pt idx="157">
                  <c:v>0.570772508783968</c:v>
                </c:pt>
                <c:pt idx="158">
                  <c:v>0.569397775139172</c:v>
                </c:pt>
                <c:pt idx="159">
                  <c:v>0.567924467949262</c:v>
                </c:pt>
                <c:pt idx="160">
                  <c:v>0.566343060296459</c:v>
                </c:pt>
                <c:pt idx="161">
                  <c:v>0.564642846049736</c:v>
                </c:pt>
                <c:pt idx="162">
                  <c:v>0.562811762787943</c:v>
                </c:pt>
                <c:pt idx="163">
                  <c:v>0.560836183479278</c:v>
                </c:pt>
                <c:pt idx="164">
                  <c:v>0.558700670655721</c:v>
                </c:pt>
                <c:pt idx="165">
                  <c:v>0.556387685445395</c:v>
                </c:pt>
                <c:pt idx="166">
                  <c:v>0.55387724213812</c:v>
                </c:pt>
                <c:pt idx="167">
                  <c:v>0.551146496891333</c:v>
                </c:pt>
                <c:pt idx="168">
                  <c:v>0.548169256666458</c:v>
                </c:pt>
                <c:pt idx="169">
                  <c:v>0.544915391450986</c:v>
                </c:pt>
                <c:pt idx="170">
                  <c:v>0.541350129209547</c:v>
                </c:pt>
                <c:pt idx="171">
                  <c:v>0.53743320883125</c:v>
                </c:pt>
                <c:pt idx="172">
                  <c:v>0.533117861699546</c:v>
                </c:pt>
                <c:pt idx="173">
                  <c:v>0.528349587784175</c:v>
                </c:pt>
                <c:pt idx="174">
                  <c:v>0.523064688184075</c:v>
                </c:pt>
                <c:pt idx="175">
                  <c:v>0.517188514671308</c:v>
                </c:pt>
                <c:pt idx="176">
                  <c:v>0.510633401693157</c:v>
                </c:pt>
                <c:pt idx="177">
                  <c:v>0.503296264929111</c:v>
                </c:pt>
                <c:pt idx="178">
                  <c:v>0.49505589755698</c:v>
                </c:pt>
                <c:pt idx="179">
                  <c:v>0.485770100404204</c:v>
                </c:pt>
                <c:pt idx="180">
                  <c:v>0.475273005056845</c:v>
                </c:pt>
                <c:pt idx="181">
                  <c:v>0.463373414021844</c:v>
                </c:pt>
                <c:pt idx="182">
                  <c:v>0.449855959223083</c:v>
                </c:pt>
                <c:pt idx="183">
                  <c:v>0.43448896717314</c:v>
                </c:pt>
                <c:pt idx="184">
                  <c:v>0.417047549345318</c:v>
                </c:pt>
                <c:pt idx="185">
                  <c:v>0.397371238257258</c:v>
                </c:pt>
                <c:pt idx="186">
                  <c:v>0.375502624610126</c:v>
                </c:pt>
                <c:pt idx="187">
                  <c:v>0.352029057907168</c:v>
                </c:pt>
                <c:pt idx="188">
                  <c:v>0.328993734024855</c:v>
                </c:pt>
                <c:pt idx="189">
                  <c:v>0.312716079169951</c:v>
                </c:pt>
                <c:pt idx="190">
                  <c:v>0.300331160304038</c:v>
                </c:pt>
                <c:pt idx="191">
                  <c:v>0.226815035509582</c:v>
                </c:pt>
                <c:pt idx="192">
                  <c:v>0.108485994720896</c:v>
                </c:pt>
                <c:pt idx="193">
                  <c:v>0.020529216156176</c:v>
                </c:pt>
                <c:pt idx="194">
                  <c:v>0.003145461167591</c:v>
                </c:pt>
              </c:numCache>
            </c:numRef>
          </c:yVal>
          <c:smooth val="1"/>
          <c:extLst xmlns:c16r2="http://schemas.microsoft.com/office/drawing/2015/06/chart">
            <c:ext xmlns:c16="http://schemas.microsoft.com/office/drawing/2014/chart" uri="{C3380CC4-5D6E-409C-BE32-E72D297353CC}">
              <c16:uniqueId val="{00000002-D6E2-486D-BD62-6DEDD0FDE314}"/>
            </c:ext>
          </c:extLst>
        </c:ser>
        <c:ser>
          <c:idx val="3"/>
          <c:order val="3"/>
          <c:tx>
            <c:strRef>
              <c:f>50% C1</c:f>
              <c:strCache>
                <c:ptCount val="1"/>
                <c:pt idx="0">
                  <c:v>50% C1</c:v>
                </c:pt>
              </c:strCache>
            </c:strRef>
          </c:tx>
          <c:spPr>
            <a:ln w="28575" cap="rnd" cmpd="sng" algn="ctr">
              <a:solidFill>
                <a:schemeClr val="accent4">
                  <a:shade val="95000"/>
                  <a:satMod val="105000"/>
                </a:schemeClr>
              </a:solidFill>
              <a:prstDash val="solid"/>
              <a:round/>
            </a:ln>
          </c:spPr>
          <c:marker>
            <c:symbol val="none"/>
          </c:marker>
          <c:xVal>
            <c:numRef>
              <c:f>Sheet4!$A$4:$A$198</c:f>
              <c:numCache>
                <c:formatCode>General</c:formatCode>
                <c:ptCount val="195"/>
                <c:pt idx="0">
                  <c:v>0.23435</c:v>
                </c:pt>
                <c:pt idx="1">
                  <c:v>0.335026804123711</c:v>
                </c:pt>
                <c:pt idx="2">
                  <c:v>0.435703608247422</c:v>
                </c:pt>
                <c:pt idx="3">
                  <c:v>0.536380412371133</c:v>
                </c:pt>
                <c:pt idx="4">
                  <c:v>0.637057216494846</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4.563452577319524</c:v>
                </c:pt>
                <c:pt idx="44">
                  <c:v>4.664129381443279</c:v>
                </c:pt>
                <c:pt idx="45">
                  <c:v>4.764806185566988</c:v>
                </c:pt>
                <c:pt idx="46">
                  <c:v>4.865482989690697</c:v>
                </c:pt>
                <c:pt idx="47">
                  <c:v>4.966159793814412</c:v>
                </c:pt>
                <c:pt idx="48">
                  <c:v>5.066836597938106</c:v>
                </c:pt>
                <c:pt idx="49">
                  <c:v>5.16751340206183</c:v>
                </c:pt>
                <c:pt idx="50">
                  <c:v>5.268190206185489</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8.48984793814431</c:v>
                </c:pt>
                <c:pt idx="83">
                  <c:v>8.590524742268</c:v>
                </c:pt>
                <c:pt idx="84">
                  <c:v>8.691201546391664</c:v>
                </c:pt>
                <c:pt idx="85">
                  <c:v>8.791878350515322</c:v>
                </c:pt>
                <c:pt idx="86">
                  <c:v>8.89255515463913</c:v>
                </c:pt>
                <c:pt idx="87">
                  <c:v>8.99323195876284</c:v>
                </c:pt>
                <c:pt idx="88">
                  <c:v>9.093908762886514</c:v>
                </c:pt>
                <c:pt idx="89">
                  <c:v>9.194585567010271</c:v>
                </c:pt>
                <c:pt idx="90">
                  <c:v>9.295262371133978</c:v>
                </c:pt>
                <c:pt idx="91">
                  <c:v>9.39593917525771</c:v>
                </c:pt>
                <c:pt idx="92">
                  <c:v>9.496615979381404</c:v>
                </c:pt>
                <c:pt idx="93">
                  <c:v>9.597292783505098</c:v>
                </c:pt>
                <c:pt idx="94">
                  <c:v>9.697969587628817</c:v>
                </c:pt>
                <c:pt idx="95">
                  <c:v>9.798646391752518</c:v>
                </c:pt>
                <c:pt idx="96">
                  <c:v>9.89932319587624</c:v>
                </c:pt>
                <c:pt idx="97">
                  <c:v>9.99999999999996</c:v>
                </c:pt>
                <c:pt idx="98">
                  <c:v>10.1006768041238</c:v>
                </c:pt>
                <c:pt idx="99">
                  <c:v>10.2013536082475</c:v>
                </c:pt>
                <c:pt idx="100">
                  <c:v>10.30203041237121</c:v>
                </c:pt>
                <c:pt idx="101">
                  <c:v>10.40270721649491</c:v>
                </c:pt>
                <c:pt idx="102">
                  <c:v>10.5033840206186</c:v>
                </c:pt>
                <c:pt idx="103">
                  <c:v>10.6040608247423</c:v>
                </c:pt>
                <c:pt idx="104">
                  <c:v>10.704737628866</c:v>
                </c:pt>
                <c:pt idx="105">
                  <c:v>10.80541443298972</c:v>
                </c:pt>
                <c:pt idx="106">
                  <c:v>10.9060912371134</c:v>
                </c:pt>
                <c:pt idx="107">
                  <c:v>11.0067680412372</c:v>
                </c:pt>
                <c:pt idx="108">
                  <c:v>11.10744484536091</c:v>
                </c:pt>
                <c:pt idx="109">
                  <c:v>11.20812164948459</c:v>
                </c:pt>
                <c:pt idx="110">
                  <c:v>11.3087984536083</c:v>
                </c:pt>
                <c:pt idx="111">
                  <c:v>11.40947525773201</c:v>
                </c:pt>
                <c:pt idx="112">
                  <c:v>11.5101520618557</c:v>
                </c:pt>
                <c:pt idx="113">
                  <c:v>11.6108288659794</c:v>
                </c:pt>
                <c:pt idx="114">
                  <c:v>11.7115056701031</c:v>
                </c:pt>
                <c:pt idx="115">
                  <c:v>11.81218247422681</c:v>
                </c:pt>
                <c:pt idx="116">
                  <c:v>11.91285927835061</c:v>
                </c:pt>
                <c:pt idx="117">
                  <c:v>12.0135360824743</c:v>
                </c:pt>
                <c:pt idx="118">
                  <c:v>12.114212886598</c:v>
                </c:pt>
                <c:pt idx="119">
                  <c:v>12.2148896907217</c:v>
                </c:pt>
                <c:pt idx="120">
                  <c:v>12.31556649484541</c:v>
                </c:pt>
                <c:pt idx="121">
                  <c:v>12.41624329896911</c:v>
                </c:pt>
                <c:pt idx="122">
                  <c:v>12.5169201030928</c:v>
                </c:pt>
                <c:pt idx="123">
                  <c:v>12.6175969072165</c:v>
                </c:pt>
                <c:pt idx="124">
                  <c:v>12.71827371134019</c:v>
                </c:pt>
                <c:pt idx="125">
                  <c:v>12.818950515464</c:v>
                </c:pt>
                <c:pt idx="126">
                  <c:v>12.91962731958771</c:v>
                </c:pt>
                <c:pt idx="127">
                  <c:v>13.0203041237114</c:v>
                </c:pt>
                <c:pt idx="128">
                  <c:v>13.1209809278351</c:v>
                </c:pt>
                <c:pt idx="129">
                  <c:v>13.2216577319588</c:v>
                </c:pt>
                <c:pt idx="130">
                  <c:v>13.32233453608251</c:v>
                </c:pt>
                <c:pt idx="131">
                  <c:v>13.4230113402062</c:v>
                </c:pt>
                <c:pt idx="132">
                  <c:v>13.5236881443299</c:v>
                </c:pt>
                <c:pt idx="133">
                  <c:v>13.62436494845359</c:v>
                </c:pt>
                <c:pt idx="134">
                  <c:v>13.7250417525773</c:v>
                </c:pt>
                <c:pt idx="135">
                  <c:v>13.8257185567011</c:v>
                </c:pt>
                <c:pt idx="136">
                  <c:v>13.9263953608248</c:v>
                </c:pt>
                <c:pt idx="137">
                  <c:v>14.0270721649485</c:v>
                </c:pt>
                <c:pt idx="138">
                  <c:v>14.1277489690722</c:v>
                </c:pt>
                <c:pt idx="139">
                  <c:v>14.22842577319589</c:v>
                </c:pt>
                <c:pt idx="140">
                  <c:v>14.32910257731961</c:v>
                </c:pt>
                <c:pt idx="141">
                  <c:v>14.4297793814433</c:v>
                </c:pt>
                <c:pt idx="142">
                  <c:v>14.530456185567</c:v>
                </c:pt>
                <c:pt idx="143">
                  <c:v>14.6311329896907</c:v>
                </c:pt>
                <c:pt idx="144">
                  <c:v>14.7318097938145</c:v>
                </c:pt>
                <c:pt idx="145">
                  <c:v>14.83248659793821</c:v>
                </c:pt>
                <c:pt idx="146">
                  <c:v>14.9331634020619</c:v>
                </c:pt>
                <c:pt idx="147">
                  <c:v>15.03384020618561</c:v>
                </c:pt>
                <c:pt idx="148">
                  <c:v>15.1345170103093</c:v>
                </c:pt>
                <c:pt idx="149">
                  <c:v>15.235193814433</c:v>
                </c:pt>
                <c:pt idx="150">
                  <c:v>15.3358706185567</c:v>
                </c:pt>
                <c:pt idx="151">
                  <c:v>15.4365474226804</c:v>
                </c:pt>
                <c:pt idx="152">
                  <c:v>15.5372242268041</c:v>
                </c:pt>
                <c:pt idx="153">
                  <c:v>15.6379010309279</c:v>
                </c:pt>
                <c:pt idx="154">
                  <c:v>15.7385778350516</c:v>
                </c:pt>
                <c:pt idx="155">
                  <c:v>15.83925463917531</c:v>
                </c:pt>
                <c:pt idx="156">
                  <c:v>15.939931443299</c:v>
                </c:pt>
                <c:pt idx="157">
                  <c:v>16.04060824742269</c:v>
                </c:pt>
                <c:pt idx="158">
                  <c:v>16.14128505154641</c:v>
                </c:pt>
                <c:pt idx="159">
                  <c:v>16.24196185567012</c:v>
                </c:pt>
                <c:pt idx="160">
                  <c:v>16.34263865979378</c:v>
                </c:pt>
                <c:pt idx="161">
                  <c:v>16.4433154639175</c:v>
                </c:pt>
                <c:pt idx="162">
                  <c:v>16.54399226804129</c:v>
                </c:pt>
                <c:pt idx="163">
                  <c:v>16.64466907216498</c:v>
                </c:pt>
                <c:pt idx="164">
                  <c:v>16.74534587628868</c:v>
                </c:pt>
                <c:pt idx="165">
                  <c:v>16.8460226804124</c:v>
                </c:pt>
                <c:pt idx="166">
                  <c:v>16.94669948453608</c:v>
                </c:pt>
                <c:pt idx="167">
                  <c:v>17.0473762886598</c:v>
                </c:pt>
                <c:pt idx="168">
                  <c:v>17.1480530927835</c:v>
                </c:pt>
                <c:pt idx="169">
                  <c:v>17.24872989690682</c:v>
                </c:pt>
                <c:pt idx="170">
                  <c:v>17.34940670103089</c:v>
                </c:pt>
                <c:pt idx="171">
                  <c:v>17.45008350515459</c:v>
                </c:pt>
                <c:pt idx="172">
                  <c:v>17.5507603092784</c:v>
                </c:pt>
                <c:pt idx="173">
                  <c:v>17.65143711340211</c:v>
                </c:pt>
                <c:pt idx="174">
                  <c:v>17.75211391752578</c:v>
                </c:pt>
                <c:pt idx="175">
                  <c:v>17.85279072164952</c:v>
                </c:pt>
                <c:pt idx="176">
                  <c:v>17.95346752577318</c:v>
                </c:pt>
                <c:pt idx="177">
                  <c:v>18.05414432989691</c:v>
                </c:pt>
                <c:pt idx="178">
                  <c:v>18.15482113402062</c:v>
                </c:pt>
                <c:pt idx="179">
                  <c:v>18.25549793814428</c:v>
                </c:pt>
                <c:pt idx="180">
                  <c:v>18.35617474226811</c:v>
                </c:pt>
                <c:pt idx="181">
                  <c:v>18.4568515463918</c:v>
                </c:pt>
                <c:pt idx="182">
                  <c:v>18.5575283505155</c:v>
                </c:pt>
                <c:pt idx="183">
                  <c:v>18.65820515463922</c:v>
                </c:pt>
                <c:pt idx="184">
                  <c:v>18.7588819587629</c:v>
                </c:pt>
                <c:pt idx="185">
                  <c:v>18.85955876288662</c:v>
                </c:pt>
                <c:pt idx="186">
                  <c:v>18.96023556701029</c:v>
                </c:pt>
                <c:pt idx="187">
                  <c:v>19.06091237113382</c:v>
                </c:pt>
                <c:pt idx="188">
                  <c:v>19.1615891752577</c:v>
                </c:pt>
                <c:pt idx="189">
                  <c:v>19.26226597938138</c:v>
                </c:pt>
                <c:pt idx="190">
                  <c:v>19.36294278350508</c:v>
                </c:pt>
                <c:pt idx="191">
                  <c:v>19.46361958762852</c:v>
                </c:pt>
                <c:pt idx="192">
                  <c:v>19.5642963917526</c:v>
                </c:pt>
                <c:pt idx="193">
                  <c:v>19.66497319587631</c:v>
                </c:pt>
                <c:pt idx="194">
                  <c:v>19.76564999999983</c:v>
                </c:pt>
              </c:numCache>
            </c:numRef>
          </c:xVal>
          <c:yVal>
            <c:numRef>
              <c:f>Sheet4!$I$4:$I$198</c:f>
              <c:numCache>
                <c:formatCode>General</c:formatCode>
                <c:ptCount val="195"/>
                <c:pt idx="0">
                  <c:v>0.010995669112694</c:v>
                </c:pt>
                <c:pt idx="1">
                  <c:v>0.01651997361965</c:v>
                </c:pt>
                <c:pt idx="2">
                  <c:v>0.0887073557616193</c:v>
                </c:pt>
                <c:pt idx="3">
                  <c:v>0.188991182977881</c:v>
                </c:pt>
                <c:pt idx="4">
                  <c:v>0.252566898662819</c:v>
                </c:pt>
                <c:pt idx="5">
                  <c:v>0.261199062137079</c:v>
                </c:pt>
                <c:pt idx="6">
                  <c:v>0.273438974682072</c:v>
                </c:pt>
                <c:pt idx="7">
                  <c:v>0.291940471666024</c:v>
                </c:pt>
                <c:pt idx="8">
                  <c:v>0.311064269843645</c:v>
                </c:pt>
                <c:pt idx="9">
                  <c:v>0.328992823104602</c:v>
                </c:pt>
                <c:pt idx="10">
                  <c:v>0.345188931853114</c:v>
                </c:pt>
                <c:pt idx="11">
                  <c:v>0.359591790074982</c:v>
                </c:pt>
                <c:pt idx="12">
                  <c:v>0.372318880628284</c:v>
                </c:pt>
                <c:pt idx="13">
                  <c:v>0.383545803888857</c:v>
                </c:pt>
                <c:pt idx="14">
                  <c:v>0.393456443966738</c:v>
                </c:pt>
                <c:pt idx="15">
                  <c:v>0.402222932101475</c:v>
                </c:pt>
                <c:pt idx="16">
                  <c:v>0.409998675470014</c:v>
                </c:pt>
                <c:pt idx="17">
                  <c:v>0.416917124072486</c:v>
                </c:pt>
                <c:pt idx="18">
                  <c:v>0.423092951987569</c:v>
                </c:pt>
                <c:pt idx="19">
                  <c:v>0.42862412225863</c:v>
                </c:pt>
                <c:pt idx="20">
                  <c:v>0.433594138064085</c:v>
                </c:pt>
                <c:pt idx="21">
                  <c:v>0.438074176772405</c:v>
                </c:pt>
                <c:pt idx="22">
                  <c:v>0.442124990997766</c:v>
                </c:pt>
                <c:pt idx="23">
                  <c:v>0.445798548605295</c:v>
                </c:pt>
                <c:pt idx="24">
                  <c:v>0.449139422822802</c:v>
                </c:pt>
                <c:pt idx="25">
                  <c:v>0.452185959153646</c:v>
                </c:pt>
                <c:pt idx="26">
                  <c:v>0.454971249986048</c:v>
                </c:pt>
                <c:pt idx="27">
                  <c:v>0.457523946820931</c:v>
                </c:pt>
                <c:pt idx="28">
                  <c:v>0.459868936955708</c:v>
                </c:pt>
                <c:pt idx="29">
                  <c:v>0.462027907745909</c:v>
                </c:pt>
                <c:pt idx="30">
                  <c:v>0.464019817923599</c:v>
                </c:pt>
                <c:pt idx="31">
                  <c:v>0.465861292163735</c:v>
                </c:pt>
                <c:pt idx="32">
                  <c:v>0.467566952252731</c:v>
                </c:pt>
                <c:pt idx="33">
                  <c:v>0.469149695830307</c:v>
                </c:pt>
                <c:pt idx="34">
                  <c:v>0.470620931697018</c:v>
                </c:pt>
                <c:pt idx="35">
                  <c:v>0.471990779057618</c:v>
                </c:pt>
                <c:pt idx="36">
                  <c:v>0.473268236742444</c:v>
                </c:pt>
                <c:pt idx="37">
                  <c:v>0.474461327369307</c:v>
                </c:pt>
                <c:pt idx="38">
                  <c:v>0.475577220527603</c:v>
                </c:pt>
                <c:pt idx="39">
                  <c:v>0.476622338350479</c:v>
                </c:pt>
                <c:pt idx="40">
                  <c:v>0.477602446256808</c:v>
                </c:pt>
                <c:pt idx="41">
                  <c:v>0.478522731168738</c:v>
                </c:pt>
                <c:pt idx="42">
                  <c:v>0.479387869120718</c:v>
                </c:pt>
                <c:pt idx="43">
                  <c:v>0.480202083856794</c:v>
                </c:pt>
                <c:pt idx="44">
                  <c:v>0.480969197750937</c:v>
                </c:pt>
                <c:pt idx="45">
                  <c:v>0.481692676168542</c:v>
                </c:pt>
                <c:pt idx="46">
                  <c:v>0.482375666209784</c:v>
                </c:pt>
                <c:pt idx="47">
                  <c:v>0.483021030626782</c:v>
                </c:pt>
                <c:pt idx="48">
                  <c:v>0.483631377584963</c:v>
                </c:pt>
                <c:pt idx="49">
                  <c:v>0.484209086835816</c:v>
                </c:pt>
                <c:pt idx="50">
                  <c:v>0.484756332783699</c:v>
                </c:pt>
                <c:pt idx="51">
                  <c:v>0.485275104858021</c:v>
                </c:pt>
                <c:pt idx="52">
                  <c:v>0.485767225541505</c:v>
                </c:pt>
                <c:pt idx="53">
                  <c:v>0.486234366355868</c:v>
                </c:pt>
                <c:pt idx="54">
                  <c:v>0.486678062062546</c:v>
                </c:pt>
                <c:pt idx="55">
                  <c:v>0.487099723301341</c:v>
                </c:pt>
                <c:pt idx="56">
                  <c:v>0.487500647858425</c:v>
                </c:pt>
                <c:pt idx="57">
                  <c:v>0.487882030729595</c:v>
                </c:pt>
                <c:pt idx="58">
                  <c:v>0.488244973122554</c:v>
                </c:pt>
                <c:pt idx="59">
                  <c:v>0.488590490523453</c:v>
                </c:pt>
                <c:pt idx="60">
                  <c:v>0.48891951993596</c:v>
                </c:pt>
                <c:pt idx="61">
                  <c:v>0.489232926388458</c:v>
                </c:pt>
                <c:pt idx="62">
                  <c:v>0.489531507789515</c:v>
                </c:pt>
                <c:pt idx="63">
                  <c:v>0.489816004310155</c:v>
                </c:pt>
                <c:pt idx="64">
                  <c:v>0.490087096861691</c:v>
                </c:pt>
                <c:pt idx="65">
                  <c:v>0.490345415706804</c:v>
                </c:pt>
                <c:pt idx="66">
                  <c:v>0.490591543255413</c:v>
                </c:pt>
                <c:pt idx="67">
                  <c:v>0.490826017636048</c:v>
                </c:pt>
                <c:pt idx="68">
                  <c:v>0.491049335899828</c:v>
                </c:pt>
                <c:pt idx="69">
                  <c:v>0.491261956979628</c:v>
                </c:pt>
                <c:pt idx="70">
                  <c:v>0.491464304337972</c:v>
                </c:pt>
                <c:pt idx="71">
                  <c:v>0.491656768463793</c:v>
                </c:pt>
                <c:pt idx="72">
                  <c:v>0.491839709087371</c:v>
                </c:pt>
                <c:pt idx="73">
                  <c:v>0.492013457277121</c:v>
                </c:pt>
                <c:pt idx="74">
                  <c:v>0.492178317317461</c:v>
                </c:pt>
                <c:pt idx="75">
                  <c:v>0.492334568519704</c:v>
                </c:pt>
                <c:pt idx="76">
                  <c:v>0.49248246679519</c:v>
                </c:pt>
                <c:pt idx="77">
                  <c:v>0.492622246251796</c:v>
                </c:pt>
                <c:pt idx="78">
                  <c:v>0.492754120559468</c:v>
                </c:pt>
                <c:pt idx="79">
                  <c:v>0.492878284315312</c:v>
                </c:pt>
                <c:pt idx="80">
                  <c:v>0.492994914290472</c:v>
                </c:pt>
                <c:pt idx="81">
                  <c:v>0.493104170613666</c:v>
                </c:pt>
                <c:pt idx="82">
                  <c:v>0.493206197887528</c:v>
                </c:pt>
                <c:pt idx="83">
                  <c:v>0.49330112624544</c:v>
                </c:pt>
                <c:pt idx="84">
                  <c:v>0.493389072360588</c:v>
                </c:pt>
                <c:pt idx="85">
                  <c:v>0.493470140382535</c:v>
                </c:pt>
                <c:pt idx="86">
                  <c:v>0.493544422850058</c:v>
                </c:pt>
                <c:pt idx="87">
                  <c:v>0.493612001525968</c:v>
                </c:pt>
                <c:pt idx="88">
                  <c:v>0.493672948200901</c:v>
                </c:pt>
                <c:pt idx="89">
                  <c:v>0.49372732543521</c:v>
                </c:pt>
                <c:pt idx="90">
                  <c:v>0.493775187244863</c:v>
                </c:pt>
                <c:pt idx="91">
                  <c:v>0.493816579732432</c:v>
                </c:pt>
                <c:pt idx="92">
                  <c:v>0.493851541655226</c:v>
                </c:pt>
                <c:pt idx="93">
                  <c:v>0.493880104928011</c:v>
                </c:pt>
                <c:pt idx="94">
                  <c:v>0.493902295056774</c:v>
                </c:pt>
                <c:pt idx="95">
                  <c:v>0.493918131497934</c:v>
                </c:pt>
                <c:pt idx="96">
                  <c:v>0.493927627388897</c:v>
                </c:pt>
                <c:pt idx="97">
                  <c:v>0.493930790978558</c:v>
                </c:pt>
                <c:pt idx="98">
                  <c:v>0.493927627388897</c:v>
                </c:pt>
                <c:pt idx="99">
                  <c:v>0.493918131497934</c:v>
                </c:pt>
                <c:pt idx="100">
                  <c:v>0.493902295056774</c:v>
                </c:pt>
                <c:pt idx="101">
                  <c:v>0.493880104928011</c:v>
                </c:pt>
                <c:pt idx="102">
                  <c:v>0.493851541655226</c:v>
                </c:pt>
                <c:pt idx="103">
                  <c:v>0.493816579732432</c:v>
                </c:pt>
                <c:pt idx="104">
                  <c:v>0.493775187244863</c:v>
                </c:pt>
                <c:pt idx="105">
                  <c:v>0.49372732543521</c:v>
                </c:pt>
                <c:pt idx="106">
                  <c:v>0.493672948200901</c:v>
                </c:pt>
                <c:pt idx="107">
                  <c:v>0.493612001525968</c:v>
                </c:pt>
                <c:pt idx="108">
                  <c:v>0.493544422850058</c:v>
                </c:pt>
                <c:pt idx="109">
                  <c:v>0.493470140382535</c:v>
                </c:pt>
                <c:pt idx="110">
                  <c:v>0.493389072360588</c:v>
                </c:pt>
                <c:pt idx="111">
                  <c:v>0.49330112624544</c:v>
                </c:pt>
                <c:pt idx="112">
                  <c:v>0.493206197887528</c:v>
                </c:pt>
                <c:pt idx="113">
                  <c:v>0.493104170613666</c:v>
                </c:pt>
                <c:pt idx="114">
                  <c:v>0.492994914290472</c:v>
                </c:pt>
                <c:pt idx="115">
                  <c:v>0.492878284315312</c:v>
                </c:pt>
                <c:pt idx="116">
                  <c:v>0.492754120559468</c:v>
                </c:pt>
                <c:pt idx="117">
                  <c:v>0.492622246251796</c:v>
                </c:pt>
                <c:pt idx="118">
                  <c:v>0.49248246679519</c:v>
                </c:pt>
                <c:pt idx="119">
                  <c:v>0.492334568519704</c:v>
                </c:pt>
                <c:pt idx="120">
                  <c:v>0.492178317317461</c:v>
                </c:pt>
                <c:pt idx="121">
                  <c:v>0.492013457277121</c:v>
                </c:pt>
                <c:pt idx="122">
                  <c:v>0.491839709087371</c:v>
                </c:pt>
                <c:pt idx="123">
                  <c:v>0.491656768463793</c:v>
                </c:pt>
                <c:pt idx="124">
                  <c:v>0.491464304337972</c:v>
                </c:pt>
                <c:pt idx="125">
                  <c:v>0.491261956979628</c:v>
                </c:pt>
                <c:pt idx="126">
                  <c:v>0.491049335899828</c:v>
                </c:pt>
                <c:pt idx="127">
                  <c:v>0.490826017636048</c:v>
                </c:pt>
                <c:pt idx="128">
                  <c:v>0.490591543255413</c:v>
                </c:pt>
                <c:pt idx="129">
                  <c:v>0.490345415706804</c:v>
                </c:pt>
                <c:pt idx="130">
                  <c:v>0.490087096861691</c:v>
                </c:pt>
                <c:pt idx="131">
                  <c:v>0.489816004310155</c:v>
                </c:pt>
                <c:pt idx="132">
                  <c:v>0.489531507789515</c:v>
                </c:pt>
                <c:pt idx="133">
                  <c:v>0.489232926388458</c:v>
                </c:pt>
                <c:pt idx="134">
                  <c:v>0.48891951993596</c:v>
                </c:pt>
                <c:pt idx="135">
                  <c:v>0.488590490523453</c:v>
                </c:pt>
                <c:pt idx="136">
                  <c:v>0.488244973122554</c:v>
                </c:pt>
                <c:pt idx="137">
                  <c:v>0.487882030729595</c:v>
                </c:pt>
                <c:pt idx="138">
                  <c:v>0.487500647858425</c:v>
                </c:pt>
                <c:pt idx="139">
                  <c:v>0.487099723301341</c:v>
                </c:pt>
                <c:pt idx="140">
                  <c:v>0.486678062062546</c:v>
                </c:pt>
                <c:pt idx="141">
                  <c:v>0.486234366355868</c:v>
                </c:pt>
                <c:pt idx="142">
                  <c:v>0.485767225541505</c:v>
                </c:pt>
                <c:pt idx="143">
                  <c:v>0.485275104858021</c:v>
                </c:pt>
                <c:pt idx="144">
                  <c:v>0.484756332783699</c:v>
                </c:pt>
                <c:pt idx="145">
                  <c:v>0.484209086835816</c:v>
                </c:pt>
                <c:pt idx="146">
                  <c:v>0.483631377584963</c:v>
                </c:pt>
                <c:pt idx="147">
                  <c:v>0.483021030626782</c:v>
                </c:pt>
                <c:pt idx="148">
                  <c:v>0.482375666209784</c:v>
                </c:pt>
                <c:pt idx="149">
                  <c:v>0.481692676168542</c:v>
                </c:pt>
                <c:pt idx="150">
                  <c:v>0.480969197750937</c:v>
                </c:pt>
                <c:pt idx="151">
                  <c:v>0.480202083856794</c:v>
                </c:pt>
                <c:pt idx="152">
                  <c:v>0.479387869120718</c:v>
                </c:pt>
                <c:pt idx="153">
                  <c:v>0.478522731168738</c:v>
                </c:pt>
                <c:pt idx="154">
                  <c:v>0.477602446256808</c:v>
                </c:pt>
                <c:pt idx="155">
                  <c:v>0.476622338350479</c:v>
                </c:pt>
                <c:pt idx="156">
                  <c:v>0.475577220527603</c:v>
                </c:pt>
                <c:pt idx="157">
                  <c:v>0.474461327369307</c:v>
                </c:pt>
                <c:pt idx="158">
                  <c:v>0.473268236742444</c:v>
                </c:pt>
                <c:pt idx="159">
                  <c:v>0.471990779057618</c:v>
                </c:pt>
                <c:pt idx="160">
                  <c:v>0.470620931697018</c:v>
                </c:pt>
                <c:pt idx="161">
                  <c:v>0.469149695830307</c:v>
                </c:pt>
                <c:pt idx="162">
                  <c:v>0.467566952252731</c:v>
                </c:pt>
                <c:pt idx="163">
                  <c:v>0.465861292163735</c:v>
                </c:pt>
                <c:pt idx="164">
                  <c:v>0.464019817923599</c:v>
                </c:pt>
                <c:pt idx="165">
                  <c:v>0.462027907745909</c:v>
                </c:pt>
                <c:pt idx="166">
                  <c:v>0.459868936955708</c:v>
                </c:pt>
                <c:pt idx="167">
                  <c:v>0.457523946820931</c:v>
                </c:pt>
                <c:pt idx="168">
                  <c:v>0.454971249986048</c:v>
                </c:pt>
                <c:pt idx="169">
                  <c:v>0.452185959153646</c:v>
                </c:pt>
                <c:pt idx="170">
                  <c:v>0.449139422822802</c:v>
                </c:pt>
                <c:pt idx="171">
                  <c:v>0.445798548605295</c:v>
                </c:pt>
                <c:pt idx="172">
                  <c:v>0.442124990997766</c:v>
                </c:pt>
                <c:pt idx="173">
                  <c:v>0.438074176772405</c:v>
                </c:pt>
                <c:pt idx="174">
                  <c:v>0.433594138064085</c:v>
                </c:pt>
                <c:pt idx="175">
                  <c:v>0.42862412225863</c:v>
                </c:pt>
                <c:pt idx="176">
                  <c:v>0.423092951987569</c:v>
                </c:pt>
                <c:pt idx="177">
                  <c:v>0.416917124072486</c:v>
                </c:pt>
                <c:pt idx="178">
                  <c:v>0.409998675470014</c:v>
                </c:pt>
                <c:pt idx="179">
                  <c:v>0.402222932101475</c:v>
                </c:pt>
                <c:pt idx="180">
                  <c:v>0.393456443966738</c:v>
                </c:pt>
                <c:pt idx="181">
                  <c:v>0.383545803888857</c:v>
                </c:pt>
                <c:pt idx="182">
                  <c:v>0.372318880628284</c:v>
                </c:pt>
                <c:pt idx="183">
                  <c:v>0.359591790074982</c:v>
                </c:pt>
                <c:pt idx="184">
                  <c:v>0.345188931853114</c:v>
                </c:pt>
                <c:pt idx="185">
                  <c:v>0.328992823104602</c:v>
                </c:pt>
                <c:pt idx="186">
                  <c:v>0.311064269843645</c:v>
                </c:pt>
                <c:pt idx="187">
                  <c:v>0.291940471666024</c:v>
                </c:pt>
                <c:pt idx="188">
                  <c:v>0.273438974682072</c:v>
                </c:pt>
                <c:pt idx="189">
                  <c:v>0.261199062137079</c:v>
                </c:pt>
                <c:pt idx="190">
                  <c:v>0.252566898662819</c:v>
                </c:pt>
                <c:pt idx="191">
                  <c:v>0.188991182977881</c:v>
                </c:pt>
                <c:pt idx="192">
                  <c:v>0.0887073557616193</c:v>
                </c:pt>
                <c:pt idx="193">
                  <c:v>0.01651997361965</c:v>
                </c:pt>
                <c:pt idx="194">
                  <c:v>0.010995669112694</c:v>
                </c:pt>
              </c:numCache>
            </c:numRef>
          </c:yVal>
          <c:smooth val="1"/>
          <c:extLst xmlns:c16r2="http://schemas.microsoft.com/office/drawing/2015/06/chart">
            <c:ext xmlns:c16="http://schemas.microsoft.com/office/drawing/2014/chart" uri="{C3380CC4-5D6E-409C-BE32-E72D297353CC}">
              <c16:uniqueId val="{00000003-D6E2-486D-BD62-6DEDD0FDE314}"/>
            </c:ext>
          </c:extLst>
        </c:ser>
        <c:dLbls>
          <c:showLegendKey val="0"/>
          <c:showVal val="0"/>
          <c:showCatName val="0"/>
          <c:showSerName val="0"/>
          <c:showPercent val="0"/>
          <c:showBubbleSize val="0"/>
        </c:dLbls>
        <c:axId val="1918328304"/>
        <c:axId val="1918684304"/>
      </c:scatterChart>
      <c:valAx>
        <c:axId val="1918328304"/>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i="0" baseline="0">
                    <a:effectLst/>
                    <a:latin typeface="Times New Roman" panose="02020603050405020304"/>
                    <a:cs typeface="Times New Roman" panose="02020603050405020304"/>
                  </a:rPr>
                  <a:t>Distance to the left wall, nm</a:t>
                </a:r>
                <a:endParaRPr lang="en-US" sz="1200" b="0">
                  <a:effectLst/>
                  <a:latin typeface="Times New Roman" panose="02020603050405020304"/>
                  <a:cs typeface="Times New Roman" panose="02020603050405020304"/>
                </a:endParaRP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684304"/>
        <c:crosses val="autoZero"/>
        <c:crossBetween val="midCat"/>
      </c:valAx>
      <c:valAx>
        <c:axId val="1918684304"/>
        <c:scaling>
          <c:orientation val="minMax"/>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i="0" baseline="0">
                    <a:effectLst/>
                    <a:latin typeface="Times New Roman" panose="02020603050405020304"/>
                    <a:cs typeface="Times New Roman" panose="02020603050405020304"/>
                  </a:rPr>
                  <a:t>Density, g/cm</a:t>
                </a:r>
                <a:r>
                  <a:rPr lang="en-US" sz="1200" b="0" i="0" baseline="30000">
                    <a:effectLst/>
                    <a:latin typeface="Times New Roman" panose="02020603050405020304"/>
                    <a:cs typeface="Times New Roman" panose="02020603050405020304"/>
                  </a:rPr>
                  <a:t>3</a:t>
                </a:r>
                <a:endParaRPr lang="en-US" sz="1200" b="0">
                  <a:effectLst/>
                  <a:latin typeface="Times New Roman" panose="02020603050405020304"/>
                  <a:cs typeface="Times New Roman" panose="02020603050405020304"/>
                </a:endParaRPr>
              </a:p>
            </c:rich>
          </c:tx>
          <c:layout>
            <c:manualLayout>
              <c:xMode val="edge"/>
              <c:yMode val="edge"/>
              <c:x val="0.0"/>
              <c:y val="0.296708525379206"/>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8328304"/>
        <c:crosses val="autoZero"/>
        <c:crossBetween val="midCat"/>
      </c:valAx>
      <c:spPr>
        <a:ln>
          <a:solidFill>
            <a:schemeClr val="tx1"/>
          </a:solidFill>
        </a:ln>
      </c:spPr>
    </c:plotArea>
    <c:legend>
      <c:legendPos val="r"/>
      <c:layout>
        <c:manualLayout>
          <c:xMode val="edge"/>
          <c:yMode val="edge"/>
          <c:x val="0.428700551086576"/>
          <c:y val="0.511336692913386"/>
          <c:w val="0.148730421302379"/>
          <c:h val="0.321326614173228"/>
        </c:manualLayout>
      </c:layout>
      <c:overlay val="0"/>
      <c:spPr>
        <a:ln>
          <a:solidFill>
            <a:srgbClr val="000000"/>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7074584426948"/>
          <c:y val="0.070903532238413"/>
          <c:w val="0.833958731853434"/>
          <c:h val="0.814113971569157"/>
        </c:manualLayout>
      </c:layout>
      <c:scatterChart>
        <c:scatterStyle val="lineMarker"/>
        <c:varyColors val="0"/>
        <c:ser>
          <c:idx val="0"/>
          <c:order val="0"/>
          <c:tx>
            <c:strRef>
              <c:f>Methane in Graphite</c:f>
              <c:strCache>
                <c:ptCount val="1"/>
                <c:pt idx="0">
                  <c:v>Methane in Graphite</c:v>
                </c:pt>
              </c:strCache>
            </c:strRef>
          </c:tx>
          <c:spPr>
            <a:ln w="28575" cap="rnd" cmpd="sng" algn="ctr">
              <a:noFill/>
              <a:prstDash val="solid"/>
              <a:round/>
            </a:ln>
          </c:spPr>
          <c:xVal>
            <c:numRef>
              <c:f>Sheet1!$D$3:$D$13</c:f>
              <c:numCache>
                <c:formatCode>General</c:formatCode>
                <c:ptCount val="11"/>
                <c:pt idx="0">
                  <c:v>10.009750457882</c:v>
                </c:pt>
                <c:pt idx="1">
                  <c:v>7.451111543408039</c:v>
                </c:pt>
                <c:pt idx="2">
                  <c:v>6.270342653207812</c:v>
                </c:pt>
                <c:pt idx="3">
                  <c:v>5.020427033185777</c:v>
                </c:pt>
                <c:pt idx="4">
                  <c:v>3.75837299167261</c:v>
                </c:pt>
                <c:pt idx="5">
                  <c:v>2.5012943447846</c:v>
                </c:pt>
                <c:pt idx="6">
                  <c:v>2.255209705816371</c:v>
                </c:pt>
                <c:pt idx="7">
                  <c:v>2.002285793443507</c:v>
                </c:pt>
                <c:pt idx="8">
                  <c:v>1.50325681792208</c:v>
                </c:pt>
                <c:pt idx="9">
                  <c:v>1.429683886027199</c:v>
                </c:pt>
                <c:pt idx="10">
                  <c:v>1.356312036966601</c:v>
                </c:pt>
              </c:numCache>
            </c:numRef>
          </c:xVal>
          <c:yVal>
            <c:numRef>
              <c:f>Sheet1!$C$3:$C$13</c:f>
              <c:numCache>
                <c:formatCode>General</c:formatCode>
                <c:ptCount val="11"/>
                <c:pt idx="0">
                  <c:v>0.0343592</c:v>
                </c:pt>
                <c:pt idx="1">
                  <c:v>0.0640205</c:v>
                </c:pt>
                <c:pt idx="2">
                  <c:v>0.0838047000000001</c:v>
                </c:pt>
                <c:pt idx="3">
                  <c:v>0.111028</c:v>
                </c:pt>
                <c:pt idx="4">
                  <c:v>0.202324</c:v>
                </c:pt>
                <c:pt idx="5">
                  <c:v>0.362776</c:v>
                </c:pt>
                <c:pt idx="6">
                  <c:v>0.522857</c:v>
                </c:pt>
                <c:pt idx="7">
                  <c:v>0.587048</c:v>
                </c:pt>
                <c:pt idx="8">
                  <c:v>0.59757</c:v>
                </c:pt>
                <c:pt idx="9">
                  <c:v>0.59771</c:v>
                </c:pt>
                <c:pt idx="10">
                  <c:v>0.597866</c:v>
                </c:pt>
              </c:numCache>
            </c:numRef>
          </c:yVal>
          <c:smooth val="0"/>
          <c:extLst xmlns:c16r2="http://schemas.microsoft.com/office/drawing/2015/06/chart">
            <c:ext xmlns:c16="http://schemas.microsoft.com/office/drawing/2014/chart" uri="{C3380CC4-5D6E-409C-BE32-E72D297353CC}">
              <c16:uniqueId val="{00000000-F0C1-4E11-8ECE-00B13DDA9DEB}"/>
            </c:ext>
          </c:extLst>
        </c:ser>
        <c:ser>
          <c:idx val="1"/>
          <c:order val="1"/>
          <c:tx>
            <c:strRef>
              <c:f>n-Butane in Graphite</c:f>
              <c:strCache>
                <c:ptCount val="1"/>
                <c:pt idx="0">
                  <c:v>n-Butane in Graphite</c:v>
                </c:pt>
              </c:strCache>
            </c:strRef>
          </c:tx>
          <c:spPr>
            <a:ln w="28575" cap="rnd" cmpd="sng" algn="ctr">
              <a:noFill/>
              <a:prstDash val="solid"/>
              <a:round/>
            </a:ln>
          </c:spPr>
          <c:xVal>
            <c:numRef>
              <c:f>Sheet1!$H$3:$H$11</c:f>
              <c:numCache>
                <c:formatCode>General</c:formatCode>
                <c:ptCount val="9"/>
                <c:pt idx="0">
                  <c:v>9.60577929790304</c:v>
                </c:pt>
                <c:pt idx="1">
                  <c:v>7.23361027571955</c:v>
                </c:pt>
                <c:pt idx="2">
                  <c:v>5.999603006269082</c:v>
                </c:pt>
                <c:pt idx="3">
                  <c:v>4.84173306639568</c:v>
                </c:pt>
                <c:pt idx="4">
                  <c:v>3.611173469055187</c:v>
                </c:pt>
                <c:pt idx="5">
                  <c:v>2.393030919634599</c:v>
                </c:pt>
                <c:pt idx="6">
                  <c:v>1.91446276106691</c:v>
                </c:pt>
                <c:pt idx="7">
                  <c:v>1.435881295118977</c:v>
                </c:pt>
                <c:pt idx="8">
                  <c:v>1.38338685195935</c:v>
                </c:pt>
              </c:numCache>
            </c:numRef>
          </c:xVal>
          <c:yVal>
            <c:numRef>
              <c:f>Sheet1!$G$3:$G$11</c:f>
              <c:numCache>
                <c:formatCode>General</c:formatCode>
                <c:ptCount val="9"/>
                <c:pt idx="0">
                  <c:v>0.0563265</c:v>
                </c:pt>
                <c:pt idx="1">
                  <c:v>0.0857143</c:v>
                </c:pt>
                <c:pt idx="2">
                  <c:v>0.107755</c:v>
                </c:pt>
                <c:pt idx="3">
                  <c:v>0.146939</c:v>
                </c:pt>
                <c:pt idx="4">
                  <c:v>0.24</c:v>
                </c:pt>
                <c:pt idx="5">
                  <c:v>0.457959</c:v>
                </c:pt>
                <c:pt idx="6">
                  <c:v>0.570612</c:v>
                </c:pt>
                <c:pt idx="7">
                  <c:v>0.658776</c:v>
                </c:pt>
                <c:pt idx="8">
                  <c:v>0.661224</c:v>
                </c:pt>
              </c:numCache>
            </c:numRef>
          </c:yVal>
          <c:smooth val="0"/>
          <c:extLst xmlns:c16r2="http://schemas.microsoft.com/office/drawing/2015/06/chart">
            <c:ext xmlns:c16="http://schemas.microsoft.com/office/drawing/2014/chart" uri="{C3380CC4-5D6E-409C-BE32-E72D297353CC}">
              <c16:uniqueId val="{00000001-F0C1-4E11-8ECE-00B13DDA9DEB}"/>
            </c:ext>
          </c:extLst>
        </c:ser>
        <c:ser>
          <c:idx val="2"/>
          <c:order val="2"/>
          <c:tx>
            <c:strRef>
              <c:f>n-Octane in Graphite</c:f>
              <c:strCache>
                <c:ptCount val="1"/>
                <c:pt idx="0">
                  <c:v>n-Octane in Graphite</c:v>
                </c:pt>
              </c:strCache>
            </c:strRef>
          </c:tx>
          <c:spPr>
            <a:ln w="28575" cap="rnd" cmpd="sng" algn="ctr">
              <a:noFill/>
              <a:prstDash val="solid"/>
              <a:round/>
            </a:ln>
          </c:spPr>
          <c:xVal>
            <c:numRef>
              <c:f>Sheet1!$L$3:$L$12</c:f>
              <c:numCache>
                <c:formatCode>General</c:formatCode>
                <c:ptCount val="10"/>
                <c:pt idx="0">
                  <c:v>9.77459777530155</c:v>
                </c:pt>
                <c:pt idx="1">
                  <c:v>7.82061388690767</c:v>
                </c:pt>
                <c:pt idx="2">
                  <c:v>5.892558853109997</c:v>
                </c:pt>
                <c:pt idx="3">
                  <c:v>3.90920771266354</c:v>
                </c:pt>
                <c:pt idx="4">
                  <c:v>2.92316248179418</c:v>
                </c:pt>
                <c:pt idx="5">
                  <c:v>2.347536209102751</c:v>
                </c:pt>
                <c:pt idx="6">
                  <c:v>1.95031114288818</c:v>
                </c:pt>
                <c:pt idx="7">
                  <c:v>1.75182645426121</c:v>
                </c:pt>
                <c:pt idx="8">
                  <c:v>1.56139506902069</c:v>
                </c:pt>
                <c:pt idx="9">
                  <c:v>1.36352114609952</c:v>
                </c:pt>
              </c:numCache>
            </c:numRef>
          </c:xVal>
          <c:yVal>
            <c:numRef>
              <c:f>Sheet1!$K$3:$K$12</c:f>
              <c:numCache>
                <c:formatCode>General</c:formatCode>
                <c:ptCount val="10"/>
                <c:pt idx="0">
                  <c:v>0.0487805</c:v>
                </c:pt>
                <c:pt idx="1">
                  <c:v>0.0658537</c:v>
                </c:pt>
                <c:pt idx="2">
                  <c:v>0.095122</c:v>
                </c:pt>
                <c:pt idx="3">
                  <c:v>0.168293</c:v>
                </c:pt>
                <c:pt idx="4">
                  <c:v>0.265854</c:v>
                </c:pt>
                <c:pt idx="5">
                  <c:v>0.35122</c:v>
                </c:pt>
                <c:pt idx="6">
                  <c:v>0.509756</c:v>
                </c:pt>
                <c:pt idx="7">
                  <c:v>0.54878</c:v>
                </c:pt>
                <c:pt idx="8">
                  <c:v>0.582927</c:v>
                </c:pt>
                <c:pt idx="9">
                  <c:v>0.643902</c:v>
                </c:pt>
              </c:numCache>
            </c:numRef>
          </c:yVal>
          <c:smooth val="0"/>
          <c:extLst xmlns:c16r2="http://schemas.microsoft.com/office/drawing/2015/06/chart">
            <c:ext xmlns:c16="http://schemas.microsoft.com/office/drawing/2014/chart" uri="{C3380CC4-5D6E-409C-BE32-E72D297353CC}">
              <c16:uniqueId val="{00000002-F0C1-4E11-8ECE-00B13DDA9DEB}"/>
            </c:ext>
          </c:extLst>
        </c:ser>
        <c:ser>
          <c:idx val="3"/>
          <c:order val="3"/>
          <c:tx>
            <c:strRef>
              <c:f>Methane in Mica</c:f>
              <c:strCache>
                <c:ptCount val="1"/>
                <c:pt idx="0">
                  <c:v>Methane in Mica</c:v>
                </c:pt>
              </c:strCache>
            </c:strRef>
          </c:tx>
          <c:spPr>
            <a:ln w="28575" cap="rnd" cmpd="sng" algn="ctr">
              <a:noFill/>
              <a:prstDash val="solid"/>
              <a:round/>
            </a:ln>
          </c:spPr>
          <c:xVal>
            <c:numRef>
              <c:f>Sheet1!$D$15:$D$26</c:f>
              <c:numCache>
                <c:formatCode>General</c:formatCode>
                <c:ptCount val="12"/>
                <c:pt idx="0">
                  <c:v>10.0828437090984</c:v>
                </c:pt>
                <c:pt idx="1">
                  <c:v>7.58643792399141</c:v>
                </c:pt>
                <c:pt idx="2">
                  <c:v>6.316018658731767</c:v>
                </c:pt>
                <c:pt idx="3">
                  <c:v>5.07405641147164</c:v>
                </c:pt>
                <c:pt idx="4">
                  <c:v>3.78229639920042</c:v>
                </c:pt>
                <c:pt idx="5">
                  <c:v>2.532088894154116</c:v>
                </c:pt>
                <c:pt idx="6">
                  <c:v>2.080793447491541</c:v>
                </c:pt>
                <c:pt idx="7">
                  <c:v>2.00446259119172</c:v>
                </c:pt>
                <c:pt idx="8">
                  <c:v>1.759899613073399</c:v>
                </c:pt>
                <c:pt idx="9">
                  <c:v>1.50566688145306</c:v>
                </c:pt>
                <c:pt idx="10">
                  <c:v>1.35564476625981</c:v>
                </c:pt>
                <c:pt idx="11">
                  <c:v>1.25813960969329</c:v>
                </c:pt>
              </c:numCache>
            </c:numRef>
          </c:xVal>
          <c:yVal>
            <c:numRef>
              <c:f>Sheet1!$C$15:$C$26</c:f>
              <c:numCache>
                <c:formatCode>General</c:formatCode>
                <c:ptCount val="12"/>
                <c:pt idx="0">
                  <c:v>0.0444444</c:v>
                </c:pt>
                <c:pt idx="1">
                  <c:v>0.0740741</c:v>
                </c:pt>
                <c:pt idx="2">
                  <c:v>0.101235</c:v>
                </c:pt>
                <c:pt idx="3">
                  <c:v>0.138272</c:v>
                </c:pt>
                <c:pt idx="4">
                  <c:v>0.202469</c:v>
                </c:pt>
                <c:pt idx="5">
                  <c:v>0.323457</c:v>
                </c:pt>
                <c:pt idx="6">
                  <c:v>0.414815</c:v>
                </c:pt>
                <c:pt idx="7">
                  <c:v>0.48642</c:v>
                </c:pt>
                <c:pt idx="8">
                  <c:v>0.575309</c:v>
                </c:pt>
                <c:pt idx="9">
                  <c:v>0.587654</c:v>
                </c:pt>
                <c:pt idx="10">
                  <c:v>0.587654</c:v>
                </c:pt>
                <c:pt idx="11">
                  <c:v>0.587654</c:v>
                </c:pt>
              </c:numCache>
            </c:numRef>
          </c:yVal>
          <c:smooth val="0"/>
          <c:extLst xmlns:c16r2="http://schemas.microsoft.com/office/drawing/2015/06/chart">
            <c:ext xmlns:c16="http://schemas.microsoft.com/office/drawing/2014/chart" uri="{C3380CC4-5D6E-409C-BE32-E72D297353CC}">
              <c16:uniqueId val="{00000003-F0C1-4E11-8ECE-00B13DDA9DEB}"/>
            </c:ext>
          </c:extLst>
        </c:ser>
        <c:ser>
          <c:idx val="4"/>
          <c:order val="4"/>
          <c:tx>
            <c:strRef>
              <c:f>n-Butane in Mica</c:f>
              <c:strCache>
                <c:ptCount val="1"/>
                <c:pt idx="0">
                  <c:v>n-Butane in Mica</c:v>
                </c:pt>
              </c:strCache>
            </c:strRef>
          </c:tx>
          <c:spPr>
            <a:ln w="28575" cap="rnd" cmpd="sng" algn="ctr">
              <a:noFill/>
              <a:prstDash val="solid"/>
              <a:round/>
            </a:ln>
          </c:spPr>
          <c:xVal>
            <c:numRef>
              <c:f>Sheet1!$H$15:$H$24</c:f>
              <c:numCache>
                <c:formatCode>General</c:formatCode>
                <c:ptCount val="10"/>
                <c:pt idx="0">
                  <c:v>9.709120101767098</c:v>
                </c:pt>
                <c:pt idx="1">
                  <c:v>6.01471343258733</c:v>
                </c:pt>
                <c:pt idx="2">
                  <c:v>4.797954996429495</c:v>
                </c:pt>
                <c:pt idx="3">
                  <c:v>3.625042956759039</c:v>
                </c:pt>
                <c:pt idx="4">
                  <c:v>2.422046699458101</c:v>
                </c:pt>
                <c:pt idx="5">
                  <c:v>1.93794318338175</c:v>
                </c:pt>
                <c:pt idx="6">
                  <c:v>1.62063325434097</c:v>
                </c:pt>
                <c:pt idx="7">
                  <c:v>1.451694432258279</c:v>
                </c:pt>
                <c:pt idx="8">
                  <c:v>1.37974310839014</c:v>
                </c:pt>
                <c:pt idx="9">
                  <c:v>1.333015364735001</c:v>
                </c:pt>
              </c:numCache>
            </c:numRef>
          </c:xVal>
          <c:yVal>
            <c:numRef>
              <c:f>Sheet1!$G$15:$G$24</c:f>
              <c:numCache>
                <c:formatCode>General</c:formatCode>
                <c:ptCount val="10"/>
                <c:pt idx="0">
                  <c:v>0.0669421</c:v>
                </c:pt>
                <c:pt idx="1">
                  <c:v>0.119008</c:v>
                </c:pt>
                <c:pt idx="2">
                  <c:v>0.156198</c:v>
                </c:pt>
                <c:pt idx="3">
                  <c:v>0.220661</c:v>
                </c:pt>
                <c:pt idx="4">
                  <c:v>0.344628</c:v>
                </c:pt>
                <c:pt idx="5">
                  <c:v>0.468595</c:v>
                </c:pt>
                <c:pt idx="6">
                  <c:v>0.590083</c:v>
                </c:pt>
                <c:pt idx="7">
                  <c:v>0.627273</c:v>
                </c:pt>
                <c:pt idx="8">
                  <c:v>0.642149</c:v>
                </c:pt>
                <c:pt idx="9">
                  <c:v>0.642149</c:v>
                </c:pt>
              </c:numCache>
            </c:numRef>
          </c:yVal>
          <c:smooth val="0"/>
          <c:extLst xmlns:c16r2="http://schemas.microsoft.com/office/drawing/2015/06/chart">
            <c:ext xmlns:c16="http://schemas.microsoft.com/office/drawing/2014/chart" uri="{C3380CC4-5D6E-409C-BE32-E72D297353CC}">
              <c16:uniqueId val="{00000004-F0C1-4E11-8ECE-00B13DDA9DEB}"/>
            </c:ext>
          </c:extLst>
        </c:ser>
        <c:ser>
          <c:idx val="5"/>
          <c:order val="5"/>
          <c:tx>
            <c:strRef>
              <c:f>n-Octane in Mica</c:f>
              <c:strCache>
                <c:ptCount val="1"/>
                <c:pt idx="0">
                  <c:v>n-Octane in Mica</c:v>
                </c:pt>
              </c:strCache>
            </c:strRef>
          </c:tx>
          <c:spPr>
            <a:ln w="28575" cap="rnd" cmpd="sng" algn="ctr">
              <a:noFill/>
              <a:prstDash val="solid"/>
              <a:round/>
            </a:ln>
          </c:spPr>
          <c:xVal>
            <c:numRef>
              <c:f>Sheet1!$L$15:$L$24</c:f>
              <c:numCache>
                <c:formatCode>General</c:formatCode>
                <c:ptCount val="10"/>
                <c:pt idx="0">
                  <c:v>9.90240094603578</c:v>
                </c:pt>
                <c:pt idx="1">
                  <c:v>7.863487961746837</c:v>
                </c:pt>
                <c:pt idx="2">
                  <c:v>5.916437537831896</c:v>
                </c:pt>
                <c:pt idx="3">
                  <c:v>3.915890586101128</c:v>
                </c:pt>
                <c:pt idx="4">
                  <c:v>2.94871633826518</c:v>
                </c:pt>
                <c:pt idx="5">
                  <c:v>1.96376530946526</c:v>
                </c:pt>
                <c:pt idx="6">
                  <c:v>1.568288700621061</c:v>
                </c:pt>
                <c:pt idx="7">
                  <c:v>1.371494340460029</c:v>
                </c:pt>
                <c:pt idx="8">
                  <c:v>1.31486837378657</c:v>
                </c:pt>
                <c:pt idx="9">
                  <c:v>1.27120593968433</c:v>
                </c:pt>
              </c:numCache>
            </c:numRef>
          </c:xVal>
          <c:yVal>
            <c:numRef>
              <c:f>Sheet1!$K$15:$K$24</c:f>
              <c:numCache>
                <c:formatCode>General</c:formatCode>
                <c:ptCount val="10"/>
                <c:pt idx="0">
                  <c:v>0.0669421</c:v>
                </c:pt>
                <c:pt idx="1">
                  <c:v>0.0917355000000001</c:v>
                </c:pt>
                <c:pt idx="2">
                  <c:v>0.116529</c:v>
                </c:pt>
                <c:pt idx="3">
                  <c:v>0.178512</c:v>
                </c:pt>
                <c:pt idx="4">
                  <c:v>0.247934</c:v>
                </c:pt>
                <c:pt idx="5">
                  <c:v>0.37438</c:v>
                </c:pt>
                <c:pt idx="6">
                  <c:v>0.530579</c:v>
                </c:pt>
                <c:pt idx="7">
                  <c:v>0.567769</c:v>
                </c:pt>
                <c:pt idx="8">
                  <c:v>0.590083</c:v>
                </c:pt>
                <c:pt idx="9">
                  <c:v>0.595041</c:v>
                </c:pt>
              </c:numCache>
            </c:numRef>
          </c:yVal>
          <c:smooth val="0"/>
          <c:extLst xmlns:c16r2="http://schemas.microsoft.com/office/drawing/2015/06/chart">
            <c:ext xmlns:c16="http://schemas.microsoft.com/office/drawing/2014/chart" uri="{C3380CC4-5D6E-409C-BE32-E72D297353CC}">
              <c16:uniqueId val="{00000005-F0C1-4E11-8ECE-00B13DDA9DEB}"/>
            </c:ext>
          </c:extLst>
        </c:ser>
        <c:dLbls>
          <c:showLegendKey val="0"/>
          <c:showVal val="0"/>
          <c:showCatName val="0"/>
          <c:showSerName val="0"/>
          <c:showPercent val="0"/>
          <c:showBubbleSize val="0"/>
        </c:dLbls>
        <c:axId val="1962036048"/>
        <c:axId val="1962820672"/>
      </c:scatterChart>
      <c:valAx>
        <c:axId val="1962036048"/>
        <c:scaling>
          <c:logBase val="10.0"/>
          <c:orientation val="minMax"/>
          <c:max val="10.0"/>
        </c:scaling>
        <c:delete val="0"/>
        <c:axPos val="b"/>
        <c:title>
          <c:tx>
            <c:rich>
              <a:bodyPr rot="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zh-CN" sz="1200" b="0" i="0" u="none" strike="noStrike" kern="1200" baseline="0">
                    <a:solidFill>
                      <a:sysClr val="windowText" lastClr="000000"/>
                    </a:solidFill>
                    <a:latin typeface="+mn-lt"/>
                    <a:ea typeface="+mn-ea"/>
                    <a:cs typeface="+mn-cs"/>
                  </a:defRPr>
                </a:pPr>
                <a:r>
                  <a:rPr lang="en-US" sz="1200" b="0"/>
                  <a:t>D/</a:t>
                </a:r>
                <a:r>
                  <a:rPr lang="en-US" sz="1200" b="0">
                    <a:effectLst/>
                  </a:rPr>
                  <a:t>σ</a:t>
                </a:r>
              </a:p>
            </c:rich>
          </c:tx>
          <c:layout>
            <c:manualLayout>
              <c:xMode val="edge"/>
              <c:yMode val="edge"/>
              <c:x val="0.487337811587111"/>
              <c:y val="0.919426605362273"/>
            </c:manualLayout>
          </c:layout>
          <c:overlay val="0"/>
        </c:title>
        <c:numFmt formatCode="General" sourceLinked="1"/>
        <c:majorTickMark val="in"/>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820672"/>
        <c:crossesAt val="0.01"/>
        <c:crossBetween val="midCat"/>
      </c:valAx>
      <c:valAx>
        <c:axId val="1962820672"/>
        <c:scaling>
          <c:logBase val="10.0"/>
          <c:orientation val="minMax"/>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r>
                  <a:rPr lang="en-US" sz="1200" b="0" i="0" u="none" strike="noStrike" baseline="0">
                    <a:effectLst/>
                  </a:rPr>
                  <a:t>Δ </a:t>
                </a:r>
                <a:r>
                  <a:rPr lang="en-US" sz="1200" b="0"/>
                  <a:t>T</a:t>
                </a:r>
                <a:r>
                  <a:rPr lang="en-US" sz="1200" b="0" baseline="-25000"/>
                  <a:t>C</a:t>
                </a:r>
                <a:endParaRPr lang="en-US" sz="1200" b="0"/>
              </a:p>
            </c:rich>
          </c:tx>
          <c:layout>
            <c:manualLayout>
              <c:xMode val="edge"/>
              <c:yMode val="edge"/>
              <c:x val="0.0"/>
              <c:y val="0.434548673862019"/>
            </c:manualLayout>
          </c:layout>
          <c:overlay val="0"/>
        </c:title>
        <c:numFmt formatCode="General" sourceLinked="1"/>
        <c:majorTickMark val="in"/>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036048"/>
        <c:crosses val="autoZero"/>
        <c:crossBetween val="midCat"/>
      </c:valAx>
      <c:spPr>
        <a:ln>
          <a:solidFill>
            <a:srgbClr val="000000"/>
          </a:solidFill>
        </a:ln>
      </c:spPr>
    </c:plotArea>
    <c:legend>
      <c:legendPos val="r"/>
      <c:layout>
        <c:manualLayout>
          <c:xMode val="edge"/>
          <c:yMode val="edge"/>
          <c:x val="0.11397860225099"/>
          <c:y val="0.421678983389488"/>
          <c:w val="0.243366030517372"/>
          <c:h val="0.448210197129614"/>
        </c:manualLayout>
      </c:layout>
      <c:overlay val="0"/>
      <c:spPr>
        <a:ln>
          <a:solidFill>
            <a:srgbClr val="000000"/>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997444905185669"/>
          <c:y val="0.0601851851851852"/>
          <c:w val="0.875941853422169"/>
          <c:h val="0.794964342620237"/>
        </c:manualLayout>
      </c:layout>
      <c:scatterChart>
        <c:scatterStyle val="lineMarker"/>
        <c:varyColors val="0"/>
        <c:ser>
          <c:idx val="0"/>
          <c:order val="0"/>
          <c:tx>
            <c:v>Pure Methane_Experimental Data</c:v>
          </c:tx>
          <c:spPr>
            <a:ln w="25400" cap="rnd">
              <a:noFill/>
              <a:round/>
            </a:ln>
            <a:effectLst/>
          </c:spPr>
          <c:marker>
            <c:symbol val="circle"/>
            <c:size val="5"/>
            <c:spPr>
              <a:solidFill>
                <a:schemeClr val="accent1"/>
              </a:solidFill>
              <a:ln w="9525">
                <a:solidFill>
                  <a:schemeClr val="accent1"/>
                </a:solidFill>
              </a:ln>
              <a:effectLst/>
            </c:spPr>
          </c:marker>
          <c:xVal>
            <c:numRef>
              <c:f>Sheet2!$G$2:$G$17</c:f>
              <c:numCache>
                <c:formatCode>General</c:formatCode>
                <c:ptCount val="16"/>
                <c:pt idx="0">
                  <c:v>0.082</c:v>
                </c:pt>
                <c:pt idx="1">
                  <c:v>0.125</c:v>
                </c:pt>
                <c:pt idx="2">
                  <c:v>0.158</c:v>
                </c:pt>
                <c:pt idx="3">
                  <c:v>0.24</c:v>
                </c:pt>
                <c:pt idx="4">
                  <c:v>0.345</c:v>
                </c:pt>
                <c:pt idx="5">
                  <c:v>0.561</c:v>
                </c:pt>
                <c:pt idx="6">
                  <c:v>0.782</c:v>
                </c:pt>
                <c:pt idx="7">
                  <c:v>1.084</c:v>
                </c:pt>
                <c:pt idx="8">
                  <c:v>1.338</c:v>
                </c:pt>
                <c:pt idx="9">
                  <c:v>1.602</c:v>
                </c:pt>
                <c:pt idx="10">
                  <c:v>1.871</c:v>
                </c:pt>
                <c:pt idx="11">
                  <c:v>2.125</c:v>
                </c:pt>
                <c:pt idx="12">
                  <c:v>2.474999999999999</c:v>
                </c:pt>
                <c:pt idx="13">
                  <c:v>2.706</c:v>
                </c:pt>
                <c:pt idx="14">
                  <c:v>2.974</c:v>
                </c:pt>
                <c:pt idx="15">
                  <c:v>3.161</c:v>
                </c:pt>
              </c:numCache>
            </c:numRef>
          </c:xVal>
          <c:yVal>
            <c:numRef>
              <c:f>Sheet2!$H$2:$H$17</c:f>
              <c:numCache>
                <c:formatCode>General</c:formatCode>
                <c:ptCount val="16"/>
                <c:pt idx="0">
                  <c:v>0.013</c:v>
                </c:pt>
                <c:pt idx="1">
                  <c:v>0.051</c:v>
                </c:pt>
                <c:pt idx="2">
                  <c:v>0.077</c:v>
                </c:pt>
                <c:pt idx="3">
                  <c:v>0.109</c:v>
                </c:pt>
                <c:pt idx="4">
                  <c:v>0.16</c:v>
                </c:pt>
                <c:pt idx="5">
                  <c:v>0.243</c:v>
                </c:pt>
                <c:pt idx="6">
                  <c:v>0.352</c:v>
                </c:pt>
                <c:pt idx="7">
                  <c:v>0.455</c:v>
                </c:pt>
                <c:pt idx="8">
                  <c:v>0.557</c:v>
                </c:pt>
                <c:pt idx="9">
                  <c:v>0.66</c:v>
                </c:pt>
                <c:pt idx="10">
                  <c:v>0.756</c:v>
                </c:pt>
                <c:pt idx="11">
                  <c:v>0.833</c:v>
                </c:pt>
                <c:pt idx="12">
                  <c:v>0.949</c:v>
                </c:pt>
                <c:pt idx="13">
                  <c:v>1.032</c:v>
                </c:pt>
                <c:pt idx="14">
                  <c:v>1.1092</c:v>
                </c:pt>
                <c:pt idx="15">
                  <c:v>1.173</c:v>
                </c:pt>
              </c:numCache>
            </c:numRef>
          </c:yVal>
          <c:smooth val="0"/>
          <c:extLst xmlns:c16r2="http://schemas.microsoft.com/office/drawing/2015/06/chart">
            <c:ext xmlns:c16="http://schemas.microsoft.com/office/drawing/2014/chart" uri="{C3380CC4-5D6E-409C-BE32-E72D297353CC}">
              <c16:uniqueId val="{00000000-A0DB-4349-9755-5676A3685B75}"/>
            </c:ext>
          </c:extLst>
        </c:ser>
        <c:ser>
          <c:idx val="1"/>
          <c:order val="1"/>
          <c:tx>
            <c:v>Pure Eethane_Experimental Data</c:v>
          </c:tx>
          <c:spPr>
            <a:ln w="25400" cap="rnd">
              <a:noFill/>
              <a:round/>
            </a:ln>
            <a:effectLst/>
          </c:spPr>
          <c:marker>
            <c:symbol val="circle"/>
            <c:size val="5"/>
            <c:spPr>
              <a:solidFill>
                <a:schemeClr val="accent2"/>
              </a:solidFill>
              <a:ln w="9525">
                <a:solidFill>
                  <a:schemeClr val="accent2"/>
                </a:solidFill>
              </a:ln>
              <a:effectLst/>
            </c:spPr>
          </c:marker>
          <c:xVal>
            <c:numRef>
              <c:f>Sheet2!$C$2:$C$18</c:f>
              <c:numCache>
                <c:formatCode>General</c:formatCode>
                <c:ptCount val="17"/>
                <c:pt idx="0">
                  <c:v>0.062</c:v>
                </c:pt>
                <c:pt idx="1">
                  <c:v>0.137</c:v>
                </c:pt>
                <c:pt idx="2">
                  <c:v>0.222</c:v>
                </c:pt>
                <c:pt idx="3">
                  <c:v>0.336</c:v>
                </c:pt>
                <c:pt idx="4">
                  <c:v>0.491</c:v>
                </c:pt>
                <c:pt idx="5">
                  <c:v>0.719</c:v>
                </c:pt>
                <c:pt idx="6">
                  <c:v>1.036999999999999</c:v>
                </c:pt>
                <c:pt idx="7">
                  <c:v>1.262999999999999</c:v>
                </c:pt>
                <c:pt idx="8">
                  <c:v>1.627999999999999</c:v>
                </c:pt>
                <c:pt idx="9">
                  <c:v>1.827</c:v>
                </c:pt>
                <c:pt idx="10">
                  <c:v>2.23</c:v>
                </c:pt>
                <c:pt idx="11">
                  <c:v>2.414</c:v>
                </c:pt>
                <c:pt idx="12">
                  <c:v>2.783</c:v>
                </c:pt>
                <c:pt idx="13">
                  <c:v>3.071999999999999</c:v>
                </c:pt>
                <c:pt idx="14">
                  <c:v>3.177</c:v>
                </c:pt>
                <c:pt idx="15">
                  <c:v>3.248</c:v>
                </c:pt>
                <c:pt idx="16">
                  <c:v>3.313999999999999</c:v>
                </c:pt>
              </c:numCache>
            </c:numRef>
          </c:xVal>
          <c:yVal>
            <c:numRef>
              <c:f>Sheet2!$D$2:$D$18</c:f>
              <c:numCache>
                <c:formatCode>General</c:formatCode>
                <c:ptCount val="17"/>
                <c:pt idx="0">
                  <c:v>0.081</c:v>
                </c:pt>
                <c:pt idx="1">
                  <c:v>0.215</c:v>
                </c:pt>
                <c:pt idx="2">
                  <c:v>0.322</c:v>
                </c:pt>
                <c:pt idx="3">
                  <c:v>0.51</c:v>
                </c:pt>
                <c:pt idx="4">
                  <c:v>0.672</c:v>
                </c:pt>
                <c:pt idx="5">
                  <c:v>0.915</c:v>
                </c:pt>
                <c:pt idx="6">
                  <c:v>1.238999999999999</c:v>
                </c:pt>
                <c:pt idx="7">
                  <c:v>1.454</c:v>
                </c:pt>
                <c:pt idx="8">
                  <c:v>1.7</c:v>
                </c:pt>
                <c:pt idx="9">
                  <c:v>1.84</c:v>
                </c:pt>
                <c:pt idx="10">
                  <c:v>2.0</c:v>
                </c:pt>
                <c:pt idx="11">
                  <c:v>2.056999999999998</c:v>
                </c:pt>
                <c:pt idx="12">
                  <c:v>2.116</c:v>
                </c:pt>
                <c:pt idx="13">
                  <c:v>2.1</c:v>
                </c:pt>
                <c:pt idx="14">
                  <c:v>2.068</c:v>
                </c:pt>
                <c:pt idx="15">
                  <c:v>2.043</c:v>
                </c:pt>
                <c:pt idx="16">
                  <c:v>1.991</c:v>
                </c:pt>
              </c:numCache>
            </c:numRef>
          </c:yVal>
          <c:smooth val="0"/>
          <c:extLst xmlns:c16r2="http://schemas.microsoft.com/office/drawing/2015/06/chart">
            <c:ext xmlns:c16="http://schemas.microsoft.com/office/drawing/2014/chart" uri="{C3380CC4-5D6E-409C-BE32-E72D297353CC}">
              <c16:uniqueId val="{00000001-A0DB-4349-9755-5676A3685B75}"/>
            </c:ext>
          </c:extLst>
        </c:ser>
        <c:dLbls>
          <c:showLegendKey val="0"/>
          <c:showVal val="0"/>
          <c:showCatName val="0"/>
          <c:showSerName val="0"/>
          <c:showPercent val="0"/>
          <c:showBubbleSize val="0"/>
        </c:dLbls>
        <c:axId val="1918390384"/>
        <c:axId val="1918393232"/>
      </c:scatterChart>
      <c:scatterChart>
        <c:scatterStyle val="smoothMarker"/>
        <c:varyColors val="0"/>
        <c:ser>
          <c:idx val="2"/>
          <c:order val="2"/>
          <c:tx>
            <c:v>Pure Methane_SLD-PR</c:v>
          </c:tx>
          <c:spPr>
            <a:ln w="28575" cap="rnd">
              <a:solidFill>
                <a:schemeClr val="accent3"/>
              </a:solidFill>
              <a:round/>
            </a:ln>
            <a:effectLst/>
          </c:spPr>
          <c:marker>
            <c:symbol val="none"/>
          </c:marker>
          <c:xVal>
            <c:numRef>
              <c:f>Sheet2!$E$2:$E$14</c:f>
              <c:numCache>
                <c:formatCode>General</c:formatCode>
                <c:ptCount val="13"/>
                <c:pt idx="0">
                  <c:v>0.01</c:v>
                </c:pt>
                <c:pt idx="1">
                  <c:v>0.31</c:v>
                </c:pt>
                <c:pt idx="2">
                  <c:v>0.4</c:v>
                </c:pt>
                <c:pt idx="3">
                  <c:v>0.5</c:v>
                </c:pt>
                <c:pt idx="4">
                  <c:v>0.61</c:v>
                </c:pt>
                <c:pt idx="5">
                  <c:v>0.91</c:v>
                </c:pt>
                <c:pt idx="6">
                  <c:v>1.21</c:v>
                </c:pt>
                <c:pt idx="7">
                  <c:v>1.51</c:v>
                </c:pt>
                <c:pt idx="8">
                  <c:v>1.81</c:v>
                </c:pt>
                <c:pt idx="9">
                  <c:v>2.11</c:v>
                </c:pt>
                <c:pt idx="10">
                  <c:v>2.41</c:v>
                </c:pt>
                <c:pt idx="11">
                  <c:v>2.71</c:v>
                </c:pt>
                <c:pt idx="12">
                  <c:v>3.01</c:v>
                </c:pt>
              </c:numCache>
            </c:numRef>
          </c:xVal>
          <c:yVal>
            <c:numRef>
              <c:f>Sheet2!$F$2:$F$14</c:f>
              <c:numCache>
                <c:formatCode>General</c:formatCode>
                <c:ptCount val="13"/>
                <c:pt idx="0">
                  <c:v>0.00433788526710699</c:v>
                </c:pt>
                <c:pt idx="1">
                  <c:v>0.135291943531472</c:v>
                </c:pt>
                <c:pt idx="2">
                  <c:v>0.19</c:v>
                </c:pt>
                <c:pt idx="3">
                  <c:v>0.23</c:v>
                </c:pt>
                <c:pt idx="4">
                  <c:v>0.265868916984828</c:v>
                </c:pt>
                <c:pt idx="5">
                  <c:v>0.3936802819861</c:v>
                </c:pt>
                <c:pt idx="6">
                  <c:v>0.517142245864178</c:v>
                </c:pt>
                <c:pt idx="7">
                  <c:v>0.635416062909262</c:v>
                </c:pt>
                <c:pt idx="8">
                  <c:v>0.748211508236282</c:v>
                </c:pt>
                <c:pt idx="9">
                  <c:v>0.855581374250993</c:v>
                </c:pt>
                <c:pt idx="10">
                  <c:v>0.957763296549944</c:v>
                </c:pt>
                <c:pt idx="11">
                  <c:v>1.05507650161293</c:v>
                </c:pt>
                <c:pt idx="12">
                  <c:v>1.147861702998439</c:v>
                </c:pt>
              </c:numCache>
            </c:numRef>
          </c:yVal>
          <c:smooth val="1"/>
          <c:extLst xmlns:c16r2="http://schemas.microsoft.com/office/drawing/2015/06/chart">
            <c:ext xmlns:c16="http://schemas.microsoft.com/office/drawing/2014/chart" uri="{C3380CC4-5D6E-409C-BE32-E72D297353CC}">
              <c16:uniqueId val="{00000002-A0DB-4349-9755-5676A3685B75}"/>
            </c:ext>
          </c:extLst>
        </c:ser>
        <c:ser>
          <c:idx val="3"/>
          <c:order val="3"/>
          <c:tx>
            <c:v>Pure Ethane_SLD-PR</c:v>
          </c:tx>
          <c:spPr>
            <a:ln w="28575" cap="rnd">
              <a:solidFill>
                <a:schemeClr val="accent4"/>
              </a:solidFill>
              <a:round/>
            </a:ln>
            <a:effectLst/>
          </c:spPr>
          <c:marker>
            <c:symbol val="none"/>
          </c:marker>
          <c:xVal>
            <c:numRef>
              <c:f>Sheet2!$A$2:$A$19</c:f>
              <c:numCache>
                <c:formatCode>General</c:formatCode>
                <c:ptCount val="18"/>
                <c:pt idx="0">
                  <c:v>0.01</c:v>
                </c:pt>
                <c:pt idx="1">
                  <c:v>0.21</c:v>
                </c:pt>
                <c:pt idx="2">
                  <c:v>0.41</c:v>
                </c:pt>
                <c:pt idx="3">
                  <c:v>0.61</c:v>
                </c:pt>
                <c:pt idx="4">
                  <c:v>0.81</c:v>
                </c:pt>
                <c:pt idx="5">
                  <c:v>1.01</c:v>
                </c:pt>
                <c:pt idx="6">
                  <c:v>1.21</c:v>
                </c:pt>
                <c:pt idx="7">
                  <c:v>1.41</c:v>
                </c:pt>
                <c:pt idx="8">
                  <c:v>1.61</c:v>
                </c:pt>
                <c:pt idx="9">
                  <c:v>1.81</c:v>
                </c:pt>
                <c:pt idx="10">
                  <c:v>2.01</c:v>
                </c:pt>
                <c:pt idx="11">
                  <c:v>2.21</c:v>
                </c:pt>
                <c:pt idx="12">
                  <c:v>2.41</c:v>
                </c:pt>
                <c:pt idx="13">
                  <c:v>2.61</c:v>
                </c:pt>
                <c:pt idx="14">
                  <c:v>2.809999999999999</c:v>
                </c:pt>
                <c:pt idx="15">
                  <c:v>3.01</c:v>
                </c:pt>
                <c:pt idx="16">
                  <c:v>3.21</c:v>
                </c:pt>
                <c:pt idx="17">
                  <c:v>3.41</c:v>
                </c:pt>
              </c:numCache>
            </c:numRef>
          </c:xVal>
          <c:yVal>
            <c:numRef>
              <c:f>Sheet2!$B$2:$B$19</c:f>
              <c:numCache>
                <c:formatCode>General</c:formatCode>
                <c:ptCount val="18"/>
                <c:pt idx="0">
                  <c:v>0.011581312865017</c:v>
                </c:pt>
                <c:pt idx="1">
                  <c:v>0.267485458894981</c:v>
                </c:pt>
                <c:pt idx="2">
                  <c:v>0.519421100416006</c:v>
                </c:pt>
                <c:pt idx="3">
                  <c:v>0.73422200634465</c:v>
                </c:pt>
                <c:pt idx="4">
                  <c:v>0.921606508215709</c:v>
                </c:pt>
                <c:pt idx="5">
                  <c:v>1.09149337385877</c:v>
                </c:pt>
                <c:pt idx="6">
                  <c:v>1.24828278487245</c:v>
                </c:pt>
                <c:pt idx="7">
                  <c:v>1.39393204049914</c:v>
                </c:pt>
                <c:pt idx="8">
                  <c:v>1.52977597468917</c:v>
                </c:pt>
                <c:pt idx="9">
                  <c:v>1.65707892865745</c:v>
                </c:pt>
                <c:pt idx="10">
                  <c:v>1.7770683492546</c:v>
                </c:pt>
                <c:pt idx="11">
                  <c:v>1.89085829914341</c:v>
                </c:pt>
                <c:pt idx="12">
                  <c:v>1.99939812418615</c:v>
                </c:pt>
                <c:pt idx="13">
                  <c:v>2.103462796432091</c:v>
                </c:pt>
                <c:pt idx="14">
                  <c:v>2.20366959598863</c:v>
                </c:pt>
                <c:pt idx="15">
                  <c:v>2.30050521409274</c:v>
                </c:pt>
                <c:pt idx="16">
                  <c:v>2.394353411014427</c:v>
                </c:pt>
                <c:pt idx="17">
                  <c:v>2.485518616728708</c:v>
                </c:pt>
              </c:numCache>
            </c:numRef>
          </c:yVal>
          <c:smooth val="1"/>
          <c:extLst xmlns:c16r2="http://schemas.microsoft.com/office/drawing/2015/06/chart">
            <c:ext xmlns:c16="http://schemas.microsoft.com/office/drawing/2014/chart" uri="{C3380CC4-5D6E-409C-BE32-E72D297353CC}">
              <c16:uniqueId val="{00000003-A0DB-4349-9755-5676A3685B75}"/>
            </c:ext>
          </c:extLst>
        </c:ser>
        <c:dLbls>
          <c:showLegendKey val="0"/>
          <c:showVal val="0"/>
          <c:showCatName val="0"/>
          <c:showSerName val="0"/>
          <c:showPercent val="0"/>
          <c:showBubbleSize val="0"/>
        </c:dLbls>
        <c:axId val="1918390384"/>
        <c:axId val="1918393232"/>
      </c:scatterChart>
      <c:valAx>
        <c:axId val="19183903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Pressure, MPa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393232"/>
        <c:crossesAt val="0.001"/>
        <c:crossBetween val="midCat"/>
      </c:valAx>
      <c:valAx>
        <c:axId val="1918393232"/>
        <c:scaling>
          <c:logBase val="10.0"/>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t>Adsorbed Amount, mmol/kg</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390384"/>
        <c:crosses val="autoZero"/>
        <c:crossBetween val="midCat"/>
      </c:valAx>
      <c:spPr>
        <a:noFill/>
        <a:ln>
          <a:solidFill>
            <a:schemeClr val="tx1"/>
          </a:solidFill>
        </a:ln>
        <a:effectLst/>
      </c:spPr>
    </c:plotArea>
    <c:legend>
      <c:legendPos val="b"/>
      <c:layout>
        <c:manualLayout>
          <c:xMode val="edge"/>
          <c:yMode val="edge"/>
          <c:x val="0.524969295997763"/>
          <c:y val="0.531509985613291"/>
          <c:w val="0.44000223640684"/>
          <c:h val="0.311319091007534"/>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04696567625179"/>
          <c:y val="0.0484171322160149"/>
          <c:w val="0.874563361900203"/>
          <c:h val="0.846008885760788"/>
        </c:manualLayout>
      </c:layout>
      <c:scatterChart>
        <c:scatterStyle val="lineMarker"/>
        <c:varyColors val="0"/>
        <c:ser>
          <c:idx val="0"/>
          <c:order val="0"/>
          <c:tx>
            <c:v>Methane_Experimental Data</c:v>
          </c:tx>
          <c:spPr>
            <a:ln w="25400" cap="rnd">
              <a:noFill/>
              <a:round/>
            </a:ln>
            <a:effectLst/>
          </c:spPr>
          <c:marker>
            <c:symbol val="circle"/>
            <c:size val="6"/>
            <c:spPr>
              <a:solidFill>
                <a:schemeClr val="accent1"/>
              </a:solidFill>
              <a:ln>
                <a:noFill/>
              </a:ln>
              <a:effectLst/>
            </c:spPr>
          </c:marker>
          <c:xVal>
            <c:numRef>
              <c:f>Sheet1!$A$2:$A$7</c:f>
              <c:numCache>
                <c:formatCode>General</c:formatCode>
                <c:ptCount val="6"/>
                <c:pt idx="0">
                  <c:v>0.45</c:v>
                </c:pt>
                <c:pt idx="1">
                  <c:v>1.0</c:v>
                </c:pt>
                <c:pt idx="2">
                  <c:v>1.3</c:v>
                </c:pt>
                <c:pt idx="3">
                  <c:v>1.5</c:v>
                </c:pt>
                <c:pt idx="4">
                  <c:v>1.65</c:v>
                </c:pt>
                <c:pt idx="5">
                  <c:v>1.95</c:v>
                </c:pt>
              </c:numCache>
            </c:numRef>
          </c:xVal>
          <c:yVal>
            <c:numRef>
              <c:f>Sheet1!$B$2:$B$7</c:f>
              <c:numCache>
                <c:formatCode>General</c:formatCode>
                <c:ptCount val="6"/>
                <c:pt idx="0">
                  <c:v>0.1</c:v>
                </c:pt>
                <c:pt idx="1">
                  <c:v>0.12</c:v>
                </c:pt>
                <c:pt idx="2">
                  <c:v>0.15</c:v>
                </c:pt>
                <c:pt idx="3">
                  <c:v>0.17</c:v>
                </c:pt>
                <c:pt idx="4">
                  <c:v>0.18</c:v>
                </c:pt>
                <c:pt idx="5">
                  <c:v>0.17</c:v>
                </c:pt>
              </c:numCache>
            </c:numRef>
          </c:yVal>
          <c:smooth val="0"/>
          <c:extLst xmlns:c16r2="http://schemas.microsoft.com/office/drawing/2015/06/chart">
            <c:ext xmlns:c16="http://schemas.microsoft.com/office/drawing/2014/chart" uri="{C3380CC4-5D6E-409C-BE32-E72D297353CC}">
              <c16:uniqueId val="{00000000-7AE7-4D01-A4E8-000D4C620EB5}"/>
            </c:ext>
          </c:extLst>
        </c:ser>
        <c:ser>
          <c:idx val="1"/>
          <c:order val="1"/>
          <c:tx>
            <c:v>Ethane_Experimental Data</c:v>
          </c:tx>
          <c:spPr>
            <a:ln w="25400" cap="rnd">
              <a:noFill/>
              <a:round/>
            </a:ln>
            <a:effectLst/>
          </c:spPr>
          <c:marker>
            <c:symbol val="circle"/>
            <c:size val="6"/>
            <c:spPr>
              <a:solidFill>
                <a:schemeClr val="accent2"/>
              </a:solidFill>
              <a:ln>
                <a:noFill/>
              </a:ln>
              <a:effectLst/>
            </c:spPr>
          </c:marker>
          <c:xVal>
            <c:numRef>
              <c:f>Sheet1!$C$2:$C$8</c:f>
              <c:numCache>
                <c:formatCode>General</c:formatCode>
                <c:ptCount val="7"/>
                <c:pt idx="0">
                  <c:v>0.1</c:v>
                </c:pt>
                <c:pt idx="1">
                  <c:v>0.45</c:v>
                </c:pt>
                <c:pt idx="2">
                  <c:v>1.0</c:v>
                </c:pt>
                <c:pt idx="3">
                  <c:v>1.35</c:v>
                </c:pt>
                <c:pt idx="4">
                  <c:v>1.5</c:v>
                </c:pt>
                <c:pt idx="5">
                  <c:v>1.75</c:v>
                </c:pt>
                <c:pt idx="6">
                  <c:v>2.0</c:v>
                </c:pt>
              </c:numCache>
            </c:numRef>
          </c:xVal>
          <c:yVal>
            <c:numRef>
              <c:f>Sheet1!$D$2:$D$8</c:f>
              <c:numCache>
                <c:formatCode>General</c:formatCode>
                <c:ptCount val="7"/>
                <c:pt idx="0">
                  <c:v>1.2</c:v>
                </c:pt>
                <c:pt idx="1">
                  <c:v>3.2</c:v>
                </c:pt>
                <c:pt idx="2">
                  <c:v>5.0</c:v>
                </c:pt>
                <c:pt idx="3">
                  <c:v>6.3</c:v>
                </c:pt>
                <c:pt idx="4">
                  <c:v>7.7</c:v>
                </c:pt>
                <c:pt idx="5">
                  <c:v>9.6</c:v>
                </c:pt>
                <c:pt idx="6">
                  <c:v>10.4</c:v>
                </c:pt>
              </c:numCache>
            </c:numRef>
          </c:yVal>
          <c:smooth val="0"/>
          <c:extLst xmlns:c16r2="http://schemas.microsoft.com/office/drawing/2015/06/chart">
            <c:ext xmlns:c16="http://schemas.microsoft.com/office/drawing/2014/chart" uri="{C3380CC4-5D6E-409C-BE32-E72D297353CC}">
              <c16:uniqueId val="{00000001-7AE7-4D01-A4E8-000D4C620EB5}"/>
            </c:ext>
          </c:extLst>
        </c:ser>
        <c:dLbls>
          <c:showLegendKey val="0"/>
          <c:showVal val="0"/>
          <c:showCatName val="0"/>
          <c:showSerName val="0"/>
          <c:showPercent val="0"/>
          <c:showBubbleSize val="0"/>
        </c:dLbls>
        <c:axId val="1918422352"/>
        <c:axId val="1918864672"/>
      </c:scatterChart>
      <c:scatterChart>
        <c:scatterStyle val="smoothMarker"/>
        <c:varyColors val="0"/>
        <c:ser>
          <c:idx val="4"/>
          <c:order val="2"/>
          <c:tx>
            <c:v>Methane_SLD-PR</c:v>
          </c:tx>
          <c:spPr>
            <a:ln w="28575" cap="rnd">
              <a:solidFill>
                <a:schemeClr val="accent5"/>
              </a:solidFill>
              <a:round/>
            </a:ln>
            <a:effectLst/>
          </c:spPr>
          <c:marker>
            <c:symbol val="none"/>
          </c:marker>
          <c:xVal>
            <c:numRef>
              <c:f>Sheet1!$E$3:$E$16</c:f>
              <c:numCache>
                <c:formatCode>General</c:formatCode>
                <c:ptCount val="14"/>
                <c:pt idx="0">
                  <c:v>0.01</c:v>
                </c:pt>
                <c:pt idx="1">
                  <c:v>0.16</c:v>
                </c:pt>
                <c:pt idx="2">
                  <c:v>0.31</c:v>
                </c:pt>
                <c:pt idx="3">
                  <c:v>0.46</c:v>
                </c:pt>
                <c:pt idx="4">
                  <c:v>0.61</c:v>
                </c:pt>
                <c:pt idx="5">
                  <c:v>0.76</c:v>
                </c:pt>
                <c:pt idx="6">
                  <c:v>0.91</c:v>
                </c:pt>
                <c:pt idx="7">
                  <c:v>1.06</c:v>
                </c:pt>
                <c:pt idx="8">
                  <c:v>1.21</c:v>
                </c:pt>
                <c:pt idx="9">
                  <c:v>1.36</c:v>
                </c:pt>
                <c:pt idx="10">
                  <c:v>1.51</c:v>
                </c:pt>
                <c:pt idx="11">
                  <c:v>1.66</c:v>
                </c:pt>
                <c:pt idx="12">
                  <c:v>1.81</c:v>
                </c:pt>
                <c:pt idx="13">
                  <c:v>1.96</c:v>
                </c:pt>
              </c:numCache>
            </c:numRef>
          </c:xVal>
          <c:yVal>
            <c:numRef>
              <c:f>Sheet1!$H$3:$H$16</c:f>
              <c:numCache>
                <c:formatCode>General</c:formatCode>
                <c:ptCount val="14"/>
                <c:pt idx="0">
                  <c:v>0.123263840264198</c:v>
                </c:pt>
                <c:pt idx="1">
                  <c:v>0.317169395179355</c:v>
                </c:pt>
                <c:pt idx="2">
                  <c:v>0.39319832160977</c:v>
                </c:pt>
                <c:pt idx="3">
                  <c:v>0.417012867638527</c:v>
                </c:pt>
                <c:pt idx="4">
                  <c:v>0.435513560559715</c:v>
                </c:pt>
                <c:pt idx="5">
                  <c:v>0.453055281233984</c:v>
                </c:pt>
                <c:pt idx="6">
                  <c:v>0.454668945343523</c:v>
                </c:pt>
                <c:pt idx="7">
                  <c:v>0.451123005692142</c:v>
                </c:pt>
                <c:pt idx="8">
                  <c:v>0.440498195396465</c:v>
                </c:pt>
                <c:pt idx="9">
                  <c:v>0.413885972477903</c:v>
                </c:pt>
                <c:pt idx="10">
                  <c:v>0.36946682442682</c:v>
                </c:pt>
                <c:pt idx="11">
                  <c:v>0.329107294665107</c:v>
                </c:pt>
                <c:pt idx="12">
                  <c:v>0.298753704077342</c:v>
                </c:pt>
                <c:pt idx="13">
                  <c:v>0.337512886582672</c:v>
                </c:pt>
              </c:numCache>
            </c:numRef>
          </c:yVal>
          <c:smooth val="1"/>
          <c:extLst xmlns:c16r2="http://schemas.microsoft.com/office/drawing/2015/06/chart">
            <c:ext xmlns:c16="http://schemas.microsoft.com/office/drawing/2014/chart" uri="{C3380CC4-5D6E-409C-BE32-E72D297353CC}">
              <c16:uniqueId val="{00000002-7AE7-4D01-A4E8-000D4C620EB5}"/>
            </c:ext>
          </c:extLst>
        </c:ser>
        <c:ser>
          <c:idx val="5"/>
          <c:order val="3"/>
          <c:tx>
            <c:v>Ethene_SLD-PR</c:v>
          </c:tx>
          <c:spPr>
            <a:ln w="28575" cap="rnd">
              <a:solidFill>
                <a:schemeClr val="accent6"/>
              </a:solidFill>
              <a:round/>
            </a:ln>
            <a:effectLst/>
          </c:spPr>
          <c:marker>
            <c:symbol val="none"/>
          </c:marker>
          <c:xVal>
            <c:numRef>
              <c:f>Sheet1!$E$3:$E$16</c:f>
              <c:numCache>
                <c:formatCode>General</c:formatCode>
                <c:ptCount val="14"/>
                <c:pt idx="0">
                  <c:v>0.01</c:v>
                </c:pt>
                <c:pt idx="1">
                  <c:v>0.16</c:v>
                </c:pt>
                <c:pt idx="2">
                  <c:v>0.31</c:v>
                </c:pt>
                <c:pt idx="3">
                  <c:v>0.46</c:v>
                </c:pt>
                <c:pt idx="4">
                  <c:v>0.61</c:v>
                </c:pt>
                <c:pt idx="5">
                  <c:v>0.76</c:v>
                </c:pt>
                <c:pt idx="6">
                  <c:v>0.91</c:v>
                </c:pt>
                <c:pt idx="7">
                  <c:v>1.06</c:v>
                </c:pt>
                <c:pt idx="8">
                  <c:v>1.21</c:v>
                </c:pt>
                <c:pt idx="9">
                  <c:v>1.36</c:v>
                </c:pt>
                <c:pt idx="10">
                  <c:v>1.51</c:v>
                </c:pt>
                <c:pt idx="11">
                  <c:v>1.66</c:v>
                </c:pt>
                <c:pt idx="12">
                  <c:v>1.81</c:v>
                </c:pt>
                <c:pt idx="13">
                  <c:v>1.96</c:v>
                </c:pt>
              </c:numCache>
            </c:numRef>
          </c:xVal>
          <c:yVal>
            <c:numRef>
              <c:f>Sheet1!$I$3:$I$16</c:f>
              <c:numCache>
                <c:formatCode>General</c:formatCode>
                <c:ptCount val="14"/>
                <c:pt idx="0">
                  <c:v>0.904361871092885</c:v>
                </c:pt>
                <c:pt idx="1">
                  <c:v>2.516341880458758</c:v>
                </c:pt>
                <c:pt idx="2">
                  <c:v>3.33884913481612</c:v>
                </c:pt>
                <c:pt idx="3">
                  <c:v>3.766901274638321</c:v>
                </c:pt>
                <c:pt idx="4">
                  <c:v>4.23361437189101</c:v>
                </c:pt>
                <c:pt idx="5">
                  <c:v>4.754954605219686</c:v>
                </c:pt>
                <c:pt idx="6">
                  <c:v>5.172693831960332</c:v>
                </c:pt>
                <c:pt idx="7">
                  <c:v>5.715016926377731</c:v>
                </c:pt>
                <c:pt idx="8">
                  <c:v>6.28043221834932</c:v>
                </c:pt>
                <c:pt idx="9">
                  <c:v>7.124369964927236</c:v>
                </c:pt>
                <c:pt idx="10">
                  <c:v>7.84677067413607</c:v>
                </c:pt>
                <c:pt idx="11">
                  <c:v>8.328713755350218</c:v>
                </c:pt>
                <c:pt idx="12">
                  <c:v>9.045764963130098</c:v>
                </c:pt>
                <c:pt idx="13">
                  <c:v>9.5</c:v>
                </c:pt>
              </c:numCache>
            </c:numRef>
          </c:yVal>
          <c:smooth val="1"/>
          <c:extLst xmlns:c16r2="http://schemas.microsoft.com/office/drawing/2015/06/chart">
            <c:ext xmlns:c16="http://schemas.microsoft.com/office/drawing/2014/chart" uri="{C3380CC4-5D6E-409C-BE32-E72D297353CC}">
              <c16:uniqueId val="{00000003-7AE7-4D01-A4E8-000D4C620EB5}"/>
            </c:ext>
          </c:extLst>
        </c:ser>
        <c:dLbls>
          <c:showLegendKey val="0"/>
          <c:showVal val="0"/>
          <c:showCatName val="0"/>
          <c:showSerName val="0"/>
          <c:showPercent val="0"/>
          <c:showBubbleSize val="0"/>
        </c:dLbls>
        <c:axId val="1918422352"/>
        <c:axId val="1918864672"/>
      </c:scatterChart>
      <c:valAx>
        <c:axId val="19184223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a:t>Pressure, MPa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864672"/>
        <c:crosses val="autoZero"/>
        <c:crossBetween val="midCat"/>
      </c:valAx>
      <c:valAx>
        <c:axId val="1918864672"/>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0"/>
                  <a:t>Adsorbed Amount, mmol/kg</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422352"/>
        <c:crosses val="autoZero"/>
        <c:crossBetween val="midCat"/>
      </c:valAx>
      <c:spPr>
        <a:noFill/>
        <a:ln>
          <a:solidFill>
            <a:schemeClr val="tx1"/>
          </a:solidFill>
        </a:ln>
        <a:effectLst/>
      </c:spPr>
    </c:plotArea>
    <c:legend>
      <c:legendPos val="b"/>
      <c:layout>
        <c:manualLayout>
          <c:xMode val="edge"/>
          <c:yMode val="edge"/>
          <c:x val="0.533089457567804"/>
          <c:y val="0.519287268728622"/>
          <c:w val="0.403728492271799"/>
          <c:h val="0.293468728930826"/>
        </c:manualLayout>
      </c:layout>
      <c:overlay val="0"/>
      <c:spPr>
        <a:noFill/>
        <a:ln>
          <a:solidFill>
            <a:schemeClr val="tx1"/>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0993329768964065"/>
          <c:y val="0.0379008746355685"/>
          <c:w val="0.865842001231328"/>
          <c:h val="0.850301416404583"/>
        </c:manualLayout>
      </c:layout>
      <c:scatterChart>
        <c:scatterStyle val="lineMarker"/>
        <c:varyColors val="0"/>
        <c:ser>
          <c:idx val="1"/>
          <c:order val="0"/>
          <c:tx>
            <c:v>345 kPa Molecular Simulation Data (Du et al.)</c:v>
          </c:tx>
          <c:spPr>
            <a:ln w="47625">
              <a:noFill/>
            </a:ln>
          </c:spPr>
          <c:xVal>
            <c:numRef>
              <c:f>Sheet1!$A$3:$A$9</c:f>
              <c:numCache>
                <c:formatCode>General</c:formatCode>
                <c:ptCount val="7"/>
                <c:pt idx="0">
                  <c:v>0.05</c:v>
                </c:pt>
                <c:pt idx="1">
                  <c:v>0.076</c:v>
                </c:pt>
                <c:pt idx="2">
                  <c:v>0.1212</c:v>
                </c:pt>
                <c:pt idx="3">
                  <c:v>0.133</c:v>
                </c:pt>
                <c:pt idx="4">
                  <c:v>0.145</c:v>
                </c:pt>
                <c:pt idx="5">
                  <c:v>0.197</c:v>
                </c:pt>
                <c:pt idx="6">
                  <c:v>0.223</c:v>
                </c:pt>
              </c:numCache>
            </c:numRef>
          </c:xVal>
          <c:yVal>
            <c:numRef>
              <c:f>Sheet1!$B$3:$B$9</c:f>
              <c:numCache>
                <c:formatCode>General</c:formatCode>
                <c:ptCount val="7"/>
                <c:pt idx="0">
                  <c:v>0.48</c:v>
                </c:pt>
                <c:pt idx="1">
                  <c:v>0.6</c:v>
                </c:pt>
                <c:pt idx="2">
                  <c:v>0.695</c:v>
                </c:pt>
                <c:pt idx="3">
                  <c:v>0.733</c:v>
                </c:pt>
                <c:pt idx="4">
                  <c:v>0.769</c:v>
                </c:pt>
                <c:pt idx="5">
                  <c:v>0.822</c:v>
                </c:pt>
                <c:pt idx="6">
                  <c:v>0.841</c:v>
                </c:pt>
              </c:numCache>
            </c:numRef>
          </c:yVal>
          <c:smooth val="0"/>
          <c:extLst xmlns:c16r2="http://schemas.microsoft.com/office/drawing/2015/06/chart">
            <c:ext xmlns:c16="http://schemas.microsoft.com/office/drawing/2014/chart" uri="{C3380CC4-5D6E-409C-BE32-E72D297353CC}">
              <c16:uniqueId val="{00000000-8DD7-4753-A99D-0390324FFCA6}"/>
            </c:ext>
          </c:extLst>
        </c:ser>
        <c:ser>
          <c:idx val="0"/>
          <c:order val="1"/>
          <c:tx>
            <c:v>655 kPa Molecular Simulation Data (Du et al.)</c:v>
          </c:tx>
          <c:spPr>
            <a:ln w="47625">
              <a:noFill/>
            </a:ln>
          </c:spPr>
          <c:xVal>
            <c:numRef>
              <c:f>Sheet1!$C$3:$C$8</c:f>
              <c:numCache>
                <c:formatCode>General</c:formatCode>
                <c:ptCount val="6"/>
                <c:pt idx="0">
                  <c:v>0.0184</c:v>
                </c:pt>
                <c:pt idx="1">
                  <c:v>0.0284</c:v>
                </c:pt>
                <c:pt idx="2">
                  <c:v>0.0536</c:v>
                </c:pt>
                <c:pt idx="3">
                  <c:v>0.1139</c:v>
                </c:pt>
                <c:pt idx="4">
                  <c:v>0.2714</c:v>
                </c:pt>
                <c:pt idx="5">
                  <c:v>0.5812</c:v>
                </c:pt>
              </c:numCache>
            </c:numRef>
          </c:xVal>
          <c:yVal>
            <c:numRef>
              <c:f>Sheet1!$D$3:$D$8</c:f>
              <c:numCache>
                <c:formatCode>General</c:formatCode>
                <c:ptCount val="6"/>
                <c:pt idx="0">
                  <c:v>0.1818</c:v>
                </c:pt>
                <c:pt idx="1">
                  <c:v>0.299</c:v>
                </c:pt>
                <c:pt idx="2">
                  <c:v>0.457</c:v>
                </c:pt>
                <c:pt idx="3">
                  <c:v>0.669</c:v>
                </c:pt>
                <c:pt idx="4">
                  <c:v>0.865</c:v>
                </c:pt>
                <c:pt idx="5">
                  <c:v>0.963</c:v>
                </c:pt>
              </c:numCache>
            </c:numRef>
          </c:yVal>
          <c:smooth val="0"/>
          <c:extLst xmlns:c16r2="http://schemas.microsoft.com/office/drawing/2015/06/chart">
            <c:ext xmlns:c16="http://schemas.microsoft.com/office/drawing/2014/chart" uri="{C3380CC4-5D6E-409C-BE32-E72D297353CC}">
              <c16:uniqueId val="{00000001-8DD7-4753-A99D-0390324FFCA6}"/>
            </c:ext>
          </c:extLst>
        </c:ser>
        <c:ser>
          <c:idx val="2"/>
          <c:order val="2"/>
          <c:tx>
            <c:v>345 kPa Experimental Data (Abdul-Rehman et al.)</c:v>
          </c:tx>
          <c:spPr>
            <a:ln w="47625">
              <a:noFill/>
            </a:ln>
          </c:spPr>
          <c:xVal>
            <c:numRef>
              <c:f>Sheet1!$E$3:$E$10</c:f>
              <c:numCache>
                <c:formatCode>General</c:formatCode>
                <c:ptCount val="8"/>
                <c:pt idx="0">
                  <c:v>0.079</c:v>
                </c:pt>
                <c:pt idx="1">
                  <c:v>0.092</c:v>
                </c:pt>
                <c:pt idx="2">
                  <c:v>0.139</c:v>
                </c:pt>
                <c:pt idx="3">
                  <c:v>0.169</c:v>
                </c:pt>
                <c:pt idx="4">
                  <c:v>0.195</c:v>
                </c:pt>
                <c:pt idx="5">
                  <c:v>0.255</c:v>
                </c:pt>
                <c:pt idx="6">
                  <c:v>0.253</c:v>
                </c:pt>
                <c:pt idx="7">
                  <c:v>0.264</c:v>
                </c:pt>
              </c:numCache>
            </c:numRef>
          </c:xVal>
          <c:yVal>
            <c:numRef>
              <c:f>Sheet1!$F$3:$F$10</c:f>
              <c:numCache>
                <c:formatCode>General</c:formatCode>
                <c:ptCount val="8"/>
                <c:pt idx="0">
                  <c:v>0.487</c:v>
                </c:pt>
                <c:pt idx="1">
                  <c:v>0.608</c:v>
                </c:pt>
                <c:pt idx="2">
                  <c:v>0.703</c:v>
                </c:pt>
                <c:pt idx="3">
                  <c:v>0.738</c:v>
                </c:pt>
                <c:pt idx="4">
                  <c:v>0.774</c:v>
                </c:pt>
                <c:pt idx="5">
                  <c:v>0.802</c:v>
                </c:pt>
                <c:pt idx="6">
                  <c:v>0.828</c:v>
                </c:pt>
                <c:pt idx="7">
                  <c:v>0.848</c:v>
                </c:pt>
              </c:numCache>
            </c:numRef>
          </c:yVal>
          <c:smooth val="0"/>
          <c:extLst xmlns:c16r2="http://schemas.microsoft.com/office/drawing/2015/06/chart">
            <c:ext xmlns:c16="http://schemas.microsoft.com/office/drawing/2014/chart" uri="{C3380CC4-5D6E-409C-BE32-E72D297353CC}">
              <c16:uniqueId val="{00000002-8DD7-4753-A99D-0390324FFCA6}"/>
            </c:ext>
          </c:extLst>
        </c:ser>
        <c:ser>
          <c:idx val="3"/>
          <c:order val="3"/>
          <c:tx>
            <c:v>655 kPa Experimental Data (Abdul-Rehman et al.)</c:v>
          </c:tx>
          <c:spPr>
            <a:ln w="47625">
              <a:noFill/>
            </a:ln>
          </c:spPr>
          <c:xVal>
            <c:numRef>
              <c:f>Sheet1!$G$3:$G$8</c:f>
              <c:numCache>
                <c:formatCode>General</c:formatCode>
                <c:ptCount val="6"/>
                <c:pt idx="0">
                  <c:v>0.01</c:v>
                </c:pt>
                <c:pt idx="1">
                  <c:v>0.02346</c:v>
                </c:pt>
                <c:pt idx="2">
                  <c:v>0.0448</c:v>
                </c:pt>
                <c:pt idx="3">
                  <c:v>0.108</c:v>
                </c:pt>
                <c:pt idx="4">
                  <c:v>0.26</c:v>
                </c:pt>
                <c:pt idx="5">
                  <c:v>0.575</c:v>
                </c:pt>
              </c:numCache>
            </c:numRef>
          </c:xVal>
          <c:yVal>
            <c:numRef>
              <c:f>Sheet1!$H$3:$H$8</c:f>
              <c:numCache>
                <c:formatCode>General</c:formatCode>
                <c:ptCount val="6"/>
                <c:pt idx="0">
                  <c:v>0.192</c:v>
                </c:pt>
                <c:pt idx="1">
                  <c:v>0.303</c:v>
                </c:pt>
                <c:pt idx="2">
                  <c:v>0.463</c:v>
                </c:pt>
                <c:pt idx="3">
                  <c:v>0.674</c:v>
                </c:pt>
                <c:pt idx="4">
                  <c:v>0.866</c:v>
                </c:pt>
                <c:pt idx="5">
                  <c:v>0.966</c:v>
                </c:pt>
              </c:numCache>
            </c:numRef>
          </c:yVal>
          <c:smooth val="0"/>
          <c:extLst xmlns:c16r2="http://schemas.microsoft.com/office/drawing/2015/06/chart">
            <c:ext xmlns:c16="http://schemas.microsoft.com/office/drawing/2014/chart" uri="{C3380CC4-5D6E-409C-BE32-E72D297353CC}">
              <c16:uniqueId val="{00000003-8DD7-4753-A99D-0390324FFCA6}"/>
            </c:ext>
          </c:extLst>
        </c:ser>
        <c:dLbls>
          <c:showLegendKey val="0"/>
          <c:showVal val="0"/>
          <c:showCatName val="0"/>
          <c:showSerName val="0"/>
          <c:showPercent val="0"/>
          <c:showBubbleSize val="0"/>
        </c:dLbls>
        <c:axId val="1918354192"/>
        <c:axId val="1918445024"/>
      </c:scatterChart>
      <c:scatterChart>
        <c:scatterStyle val="smoothMarker"/>
        <c:varyColors val="0"/>
        <c:ser>
          <c:idx val="4"/>
          <c:order val="4"/>
          <c:tx>
            <c:v>345 kPa SLD-PR</c:v>
          </c:tx>
          <c:spPr>
            <a:ln w="28575" cmpd="sng"/>
          </c:spPr>
          <c:marker>
            <c:symbol val="none"/>
          </c:marker>
          <c:xVal>
            <c:numRef>
              <c:f>Sheet1!$B$14:$B$40</c:f>
              <c:numCache>
                <c:formatCode>General</c:formatCode>
                <c:ptCount val="27"/>
                <c:pt idx="0">
                  <c:v>0.017775916817488</c:v>
                </c:pt>
                <c:pt idx="1">
                  <c:v>0.021382682689909</c:v>
                </c:pt>
                <c:pt idx="2">
                  <c:v>0.02530623087305</c:v>
                </c:pt>
                <c:pt idx="3">
                  <c:v>0.029576408582716</c:v>
                </c:pt>
                <c:pt idx="4">
                  <c:v>0.034227107069899</c:v>
                </c:pt>
                <c:pt idx="5">
                  <c:v>0.039292151707678</c:v>
                </c:pt>
                <c:pt idx="6">
                  <c:v>0.044812978774354</c:v>
                </c:pt>
                <c:pt idx="7">
                  <c:v>0.050832524059908</c:v>
                </c:pt>
                <c:pt idx="8">
                  <c:v>0.057401585360575</c:v>
                </c:pt>
                <c:pt idx="9">
                  <c:v>0.06458194403309</c:v>
                </c:pt>
                <c:pt idx="10">
                  <c:v>0.072442197941779</c:v>
                </c:pt>
                <c:pt idx="11">
                  <c:v>0.081065732640655</c:v>
                </c:pt>
                <c:pt idx="12">
                  <c:v>0.090552330958961</c:v>
                </c:pt>
                <c:pt idx="13">
                  <c:v>0.101023729645896</c:v>
                </c:pt>
                <c:pt idx="14">
                  <c:v>0.112626484436309</c:v>
                </c:pt>
                <c:pt idx="15">
                  <c:v>0.12554376338723</c:v>
                </c:pt>
                <c:pt idx="16">
                  <c:v>0.140005908783762</c:v>
                </c:pt>
                <c:pt idx="17">
                  <c:v>0.156310498017503</c:v>
                </c:pt>
                <c:pt idx="18">
                  <c:v>0.174850849098562</c:v>
                </c:pt>
                <c:pt idx="19">
                  <c:v>0.196167182373481</c:v>
                </c:pt>
                <c:pt idx="20">
                  <c:v>0.221035769338885</c:v>
                </c:pt>
                <c:pt idx="21">
                  <c:v>0.250625499738014</c:v>
                </c:pt>
                <c:pt idx="22">
                  <c:v>0.286737776428343</c:v>
                </c:pt>
                <c:pt idx="23">
                  <c:v>0.332084070827816</c:v>
                </c:pt>
                <c:pt idx="24">
                  <c:v>0.39073465923481</c:v>
                </c:pt>
                <c:pt idx="25">
                  <c:v>0.470635934886694</c:v>
                </c:pt>
                <c:pt idx="26">
                  <c:v>0.595435953645156</c:v>
                </c:pt>
              </c:numCache>
            </c:numRef>
          </c:xVal>
          <c:yVal>
            <c:numRef>
              <c:f>Sheet1!$A$14:$A$40</c:f>
              <c:numCache>
                <c:formatCode>General</c:formatCode>
                <c:ptCount val="27"/>
                <c:pt idx="0">
                  <c:v>0.2</c:v>
                </c:pt>
                <c:pt idx="1">
                  <c:v>0.23</c:v>
                </c:pt>
                <c:pt idx="2">
                  <c:v>0.26</c:v>
                </c:pt>
                <c:pt idx="3">
                  <c:v>0.29</c:v>
                </c:pt>
                <c:pt idx="4">
                  <c:v>0.32</c:v>
                </c:pt>
                <c:pt idx="5">
                  <c:v>0.35</c:v>
                </c:pt>
                <c:pt idx="6">
                  <c:v>0.38</c:v>
                </c:pt>
                <c:pt idx="7">
                  <c:v>0.41</c:v>
                </c:pt>
                <c:pt idx="8">
                  <c:v>0.44</c:v>
                </c:pt>
                <c:pt idx="9">
                  <c:v>0.47</c:v>
                </c:pt>
                <c:pt idx="10">
                  <c:v>0.5</c:v>
                </c:pt>
                <c:pt idx="11">
                  <c:v>0.53</c:v>
                </c:pt>
                <c:pt idx="12">
                  <c:v>0.56</c:v>
                </c:pt>
                <c:pt idx="13">
                  <c:v>0.59</c:v>
                </c:pt>
                <c:pt idx="14">
                  <c:v>0.62</c:v>
                </c:pt>
                <c:pt idx="15">
                  <c:v>0.65</c:v>
                </c:pt>
                <c:pt idx="16">
                  <c:v>0.68</c:v>
                </c:pt>
                <c:pt idx="17">
                  <c:v>0.71</c:v>
                </c:pt>
                <c:pt idx="18">
                  <c:v>0.74</c:v>
                </c:pt>
                <c:pt idx="19">
                  <c:v>0.77</c:v>
                </c:pt>
                <c:pt idx="20">
                  <c:v>0.8</c:v>
                </c:pt>
                <c:pt idx="21">
                  <c:v>0.83</c:v>
                </c:pt>
                <c:pt idx="22">
                  <c:v>0.86</c:v>
                </c:pt>
                <c:pt idx="23">
                  <c:v>0.89</c:v>
                </c:pt>
                <c:pt idx="24">
                  <c:v>0.92</c:v>
                </c:pt>
                <c:pt idx="25">
                  <c:v>0.95</c:v>
                </c:pt>
                <c:pt idx="26">
                  <c:v>0.98</c:v>
                </c:pt>
              </c:numCache>
            </c:numRef>
          </c:yVal>
          <c:smooth val="1"/>
          <c:extLst xmlns:c16r2="http://schemas.microsoft.com/office/drawing/2015/06/chart">
            <c:ext xmlns:c16="http://schemas.microsoft.com/office/drawing/2014/chart" uri="{C3380CC4-5D6E-409C-BE32-E72D297353CC}">
              <c16:uniqueId val="{00000004-8DD7-4753-A99D-0390324FFCA6}"/>
            </c:ext>
          </c:extLst>
        </c:ser>
        <c:ser>
          <c:idx val="5"/>
          <c:order val="5"/>
          <c:tx>
            <c:v>655 kPa SLD-PR</c:v>
          </c:tx>
          <c:spPr>
            <a:ln w="28575" cmpd="sng"/>
          </c:spPr>
          <c:marker>
            <c:symbol val="none"/>
          </c:marker>
          <c:xVal>
            <c:numRef>
              <c:f>Sheet1!$D$14:$D$40</c:f>
              <c:numCache>
                <c:formatCode>General</c:formatCode>
                <c:ptCount val="27"/>
                <c:pt idx="0">
                  <c:v>0.011719913892268</c:v>
                </c:pt>
                <c:pt idx="1">
                  <c:v>0.014419179509275</c:v>
                </c:pt>
                <c:pt idx="2">
                  <c:v>0.017460076226902</c:v>
                </c:pt>
                <c:pt idx="3">
                  <c:v>0.020875248642824</c:v>
                </c:pt>
                <c:pt idx="4">
                  <c:v>0.024694281711468</c:v>
                </c:pt>
                <c:pt idx="5">
                  <c:v>0.028946188955012</c:v>
                </c:pt>
                <c:pt idx="6">
                  <c:v>0.033663830784512</c:v>
                </c:pt>
                <c:pt idx="7">
                  <c:v>0.038889075667678</c:v>
                </c:pt>
                <c:pt idx="8">
                  <c:v>0.044676145033053</c:v>
                </c:pt>
                <c:pt idx="9">
                  <c:v>0.05109519862224</c:v>
                </c:pt>
                <c:pt idx="10">
                  <c:v>0.05823490123723</c:v>
                </c:pt>
                <c:pt idx="11">
                  <c:v>0.066207107218754</c:v>
                </c:pt>
                <c:pt idx="12">
                  <c:v>0.075149274950192</c:v>
                </c:pt>
                <c:pt idx="13">
                  <c:v>0.0852243861496151</c:v>
                </c:pt>
                <c:pt idx="14">
                  <c:v>0.096617222374695</c:v>
                </c:pt>
                <c:pt idx="15">
                  <c:v>0.109527291530342</c:v>
                </c:pt>
                <c:pt idx="16">
                  <c:v>0.124169819228446</c:v>
                </c:pt>
                <c:pt idx="17">
                  <c:v>0.140800312351362</c:v>
                </c:pt>
                <c:pt idx="18">
                  <c:v>0.159746950635584</c:v>
                </c:pt>
                <c:pt idx="19">
                  <c:v>0.181465163063017</c:v>
                </c:pt>
                <c:pt idx="20">
                  <c:v>0.206601371884641</c:v>
                </c:pt>
                <c:pt idx="21">
                  <c:v>0.23611167372127</c:v>
                </c:pt>
                <c:pt idx="22">
                  <c:v>0.271498016679586</c:v>
                </c:pt>
                <c:pt idx="23">
                  <c:v>0.31537568864658</c:v>
                </c:pt>
                <c:pt idx="24">
                  <c:v>0.372921314615206</c:v>
                </c:pt>
                <c:pt idx="25">
                  <c:v>0.455164120755378</c:v>
                </c:pt>
                <c:pt idx="26">
                  <c:v>0.588453631218811</c:v>
                </c:pt>
              </c:numCache>
            </c:numRef>
          </c:xVal>
          <c:yVal>
            <c:numRef>
              <c:f>Sheet1!$A$14:$A$40</c:f>
              <c:numCache>
                <c:formatCode>General</c:formatCode>
                <c:ptCount val="27"/>
                <c:pt idx="0">
                  <c:v>0.2</c:v>
                </c:pt>
                <c:pt idx="1">
                  <c:v>0.23</c:v>
                </c:pt>
                <c:pt idx="2">
                  <c:v>0.26</c:v>
                </c:pt>
                <c:pt idx="3">
                  <c:v>0.29</c:v>
                </c:pt>
                <c:pt idx="4">
                  <c:v>0.32</c:v>
                </c:pt>
                <c:pt idx="5">
                  <c:v>0.35</c:v>
                </c:pt>
                <c:pt idx="6">
                  <c:v>0.38</c:v>
                </c:pt>
                <c:pt idx="7">
                  <c:v>0.41</c:v>
                </c:pt>
                <c:pt idx="8">
                  <c:v>0.44</c:v>
                </c:pt>
                <c:pt idx="9">
                  <c:v>0.47</c:v>
                </c:pt>
                <c:pt idx="10">
                  <c:v>0.5</c:v>
                </c:pt>
                <c:pt idx="11">
                  <c:v>0.53</c:v>
                </c:pt>
                <c:pt idx="12">
                  <c:v>0.56</c:v>
                </c:pt>
                <c:pt idx="13">
                  <c:v>0.59</c:v>
                </c:pt>
                <c:pt idx="14">
                  <c:v>0.62</c:v>
                </c:pt>
                <c:pt idx="15">
                  <c:v>0.65</c:v>
                </c:pt>
                <c:pt idx="16">
                  <c:v>0.68</c:v>
                </c:pt>
                <c:pt idx="17">
                  <c:v>0.71</c:v>
                </c:pt>
                <c:pt idx="18">
                  <c:v>0.74</c:v>
                </c:pt>
                <c:pt idx="19">
                  <c:v>0.77</c:v>
                </c:pt>
                <c:pt idx="20">
                  <c:v>0.8</c:v>
                </c:pt>
                <c:pt idx="21">
                  <c:v>0.83</c:v>
                </c:pt>
                <c:pt idx="22">
                  <c:v>0.86</c:v>
                </c:pt>
                <c:pt idx="23">
                  <c:v>0.89</c:v>
                </c:pt>
                <c:pt idx="24">
                  <c:v>0.92</c:v>
                </c:pt>
                <c:pt idx="25">
                  <c:v>0.95</c:v>
                </c:pt>
                <c:pt idx="26">
                  <c:v>0.98</c:v>
                </c:pt>
              </c:numCache>
            </c:numRef>
          </c:yVal>
          <c:smooth val="1"/>
          <c:extLst xmlns:c16r2="http://schemas.microsoft.com/office/drawing/2015/06/chart">
            <c:ext xmlns:c16="http://schemas.microsoft.com/office/drawing/2014/chart" uri="{C3380CC4-5D6E-409C-BE32-E72D297353CC}">
              <c16:uniqueId val="{00000005-8DD7-4753-A99D-0390324FFCA6}"/>
            </c:ext>
          </c:extLst>
        </c:ser>
        <c:dLbls>
          <c:showLegendKey val="0"/>
          <c:showVal val="0"/>
          <c:showCatName val="0"/>
          <c:showSerName val="0"/>
          <c:showPercent val="0"/>
          <c:showBubbleSize val="0"/>
        </c:dLbls>
        <c:axId val="1918354192"/>
        <c:axId val="1918445024"/>
      </c:scatterChart>
      <c:valAx>
        <c:axId val="1918354192"/>
        <c:scaling>
          <c:orientation val="minMax"/>
        </c:scaling>
        <c:delete val="0"/>
        <c:axPos val="b"/>
        <c:title>
          <c:tx>
            <c:rich>
              <a:bodyPr/>
              <a:lstStyle/>
              <a:p>
                <a:pPr>
                  <a:defRPr sz="1200" b="0"/>
                </a:pPr>
                <a:r>
                  <a:rPr lang="en-US" sz="1200" b="0"/>
                  <a:t>Methane Composition in Silicalite, fraction</a:t>
                </a:r>
              </a:p>
            </c:rich>
          </c:tx>
          <c:overlay val="0"/>
        </c:title>
        <c:numFmt formatCode="General" sourceLinked="1"/>
        <c:majorTickMark val="out"/>
        <c:minorTickMark val="none"/>
        <c:tickLblPos val="nextTo"/>
        <c:crossAx val="1918445024"/>
        <c:crosses val="autoZero"/>
        <c:crossBetween val="midCat"/>
      </c:valAx>
      <c:valAx>
        <c:axId val="1918445024"/>
        <c:scaling>
          <c:orientation val="minMax"/>
        </c:scaling>
        <c:delete val="0"/>
        <c:axPos val="l"/>
        <c:title>
          <c:tx>
            <c:rich>
              <a:bodyPr rot="-5400000" vert="horz"/>
              <a:lstStyle/>
              <a:p>
                <a:pPr>
                  <a:defRPr sz="1200" b="0"/>
                </a:pPr>
                <a:r>
                  <a:rPr lang="en-US" sz="1200" b="0"/>
                  <a:t>Methane</a:t>
                </a:r>
                <a:r>
                  <a:rPr lang="en-US" sz="1200" b="0" baseline="0"/>
                  <a:t> Composition in Bulk, fraction</a:t>
                </a:r>
                <a:endParaRPr lang="en-US" sz="1200" b="0"/>
              </a:p>
            </c:rich>
          </c:tx>
          <c:overlay val="0"/>
        </c:title>
        <c:numFmt formatCode="General" sourceLinked="1"/>
        <c:majorTickMark val="out"/>
        <c:minorTickMark val="none"/>
        <c:tickLblPos val="nextTo"/>
        <c:crossAx val="1918354192"/>
        <c:crosses val="autoZero"/>
        <c:crossBetween val="midCat"/>
      </c:valAx>
      <c:spPr>
        <a:ln>
          <a:solidFill>
            <a:srgbClr val="000000"/>
          </a:solidFill>
        </a:ln>
      </c:spPr>
    </c:plotArea>
    <c:legend>
      <c:legendPos val="r"/>
      <c:layout>
        <c:manualLayout>
          <c:xMode val="edge"/>
          <c:yMode val="edge"/>
          <c:x val="0.383487715077282"/>
          <c:y val="0.491983430736294"/>
          <c:w val="0.56712962962963"/>
          <c:h val="0.385560258559021"/>
        </c:manualLayout>
      </c:layout>
      <c:overlay val="0"/>
      <c:spPr>
        <a:ln>
          <a:solidFill>
            <a:schemeClr val="tx1"/>
          </a:solidFill>
        </a:ln>
      </c:spPr>
      <c:txPr>
        <a:bodyPr/>
        <a:lstStyle/>
        <a:p>
          <a:pPr>
            <a:defRPr sz="1050"/>
          </a:pPr>
          <a:endParaRPr lang="en-US"/>
        </a:p>
      </c:txPr>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713692038495"/>
          <c:y val="0.0601851851851852"/>
          <c:w val="0.842897419072616"/>
          <c:h val="0.790061971420239"/>
        </c:manualLayout>
      </c:layout>
      <c:scatterChart>
        <c:scatterStyle val="lineMarker"/>
        <c:varyColors val="0"/>
        <c:ser>
          <c:idx val="0"/>
          <c:order val="0"/>
          <c:tx>
            <c:v>Green River Shale Experimental Data</c:v>
          </c:tx>
          <c:spPr>
            <a:ln w="25400" cap="rnd">
              <a:noFill/>
              <a:round/>
            </a:ln>
            <a:effectLst/>
          </c:spPr>
          <c:marker>
            <c:symbol val="diamond"/>
            <c:size val="6"/>
            <c:spPr>
              <a:solidFill>
                <a:schemeClr val="accent1"/>
              </a:solidFill>
              <a:ln w="9525">
                <a:solidFill>
                  <a:schemeClr val="accent1"/>
                </a:solidFill>
                <a:round/>
              </a:ln>
              <a:effectLst/>
            </c:spPr>
          </c:marker>
          <c:xVal>
            <c:numRef>
              <c:f>Sheet2!$A$3:$A$15</c:f>
              <c:numCache>
                <c:formatCode>General</c:formatCode>
                <c:ptCount val="13"/>
                <c:pt idx="0">
                  <c:v>0.49</c:v>
                </c:pt>
                <c:pt idx="1">
                  <c:v>1.28</c:v>
                </c:pt>
                <c:pt idx="2">
                  <c:v>2.329999999999999</c:v>
                </c:pt>
                <c:pt idx="3">
                  <c:v>3.67</c:v>
                </c:pt>
                <c:pt idx="4">
                  <c:v>5.430000000000002</c:v>
                </c:pt>
                <c:pt idx="5">
                  <c:v>6.95</c:v>
                </c:pt>
                <c:pt idx="6">
                  <c:v>8.31</c:v>
                </c:pt>
                <c:pt idx="7">
                  <c:v>9.56</c:v>
                </c:pt>
                <c:pt idx="8">
                  <c:v>10.84</c:v>
                </c:pt>
                <c:pt idx="9">
                  <c:v>12.06</c:v>
                </c:pt>
                <c:pt idx="10">
                  <c:v>13.02999999999991</c:v>
                </c:pt>
                <c:pt idx="11">
                  <c:v>13.73</c:v>
                </c:pt>
                <c:pt idx="12">
                  <c:v>14.23</c:v>
                </c:pt>
              </c:numCache>
            </c:numRef>
          </c:xVal>
          <c:yVal>
            <c:numRef>
              <c:f>Sheet2!$B$3:$B$15</c:f>
              <c:numCache>
                <c:formatCode>General</c:formatCode>
                <c:ptCount val="13"/>
                <c:pt idx="0">
                  <c:v>0.047</c:v>
                </c:pt>
                <c:pt idx="1">
                  <c:v>0.111</c:v>
                </c:pt>
                <c:pt idx="2">
                  <c:v>0.177</c:v>
                </c:pt>
                <c:pt idx="3">
                  <c:v>0.247</c:v>
                </c:pt>
                <c:pt idx="4">
                  <c:v>0.319</c:v>
                </c:pt>
                <c:pt idx="5">
                  <c:v>0.371</c:v>
                </c:pt>
                <c:pt idx="6">
                  <c:v>0.406</c:v>
                </c:pt>
                <c:pt idx="7">
                  <c:v>0.431</c:v>
                </c:pt>
                <c:pt idx="8">
                  <c:v>0.455</c:v>
                </c:pt>
                <c:pt idx="9">
                  <c:v>0.473</c:v>
                </c:pt>
                <c:pt idx="10">
                  <c:v>0.484</c:v>
                </c:pt>
                <c:pt idx="11">
                  <c:v>0.492</c:v>
                </c:pt>
                <c:pt idx="12">
                  <c:v>0.497</c:v>
                </c:pt>
              </c:numCache>
            </c:numRef>
          </c:yVal>
          <c:smooth val="0"/>
          <c:extLst xmlns:c16r2="http://schemas.microsoft.com/office/drawing/2015/06/chart">
            <c:ext xmlns:c16="http://schemas.microsoft.com/office/drawing/2014/chart" uri="{C3380CC4-5D6E-409C-BE32-E72D297353CC}">
              <c16:uniqueId val="{00000000-9ADF-478A-9786-81D50F5A4819}"/>
            </c:ext>
          </c:extLst>
        </c:ser>
        <c:ser>
          <c:idx val="1"/>
          <c:order val="1"/>
          <c:tx>
            <c:v>Green River Shale SLD-PR</c:v>
          </c:tx>
          <c:spPr>
            <a:ln w="22225" cap="rnd">
              <a:solidFill>
                <a:schemeClr val="accent2"/>
              </a:solidFill>
              <a:round/>
            </a:ln>
            <a:effectLst/>
          </c:spPr>
          <c:marker>
            <c:symbol val="none"/>
          </c:marker>
          <c:xVal>
            <c:numRef>
              <c:f>Sheet2!$C$3:$C$33</c:f>
              <c:numCache>
                <c:formatCode>General</c:formatCode>
                <c:ptCount val="31"/>
                <c:pt idx="0">
                  <c:v>0.01</c:v>
                </c:pt>
                <c:pt idx="1">
                  <c:v>0.51</c:v>
                </c:pt>
                <c:pt idx="2">
                  <c:v>1.01</c:v>
                </c:pt>
                <c:pt idx="3">
                  <c:v>1.51</c:v>
                </c:pt>
                <c:pt idx="4">
                  <c:v>2.01</c:v>
                </c:pt>
                <c:pt idx="5">
                  <c:v>2.51</c:v>
                </c:pt>
                <c:pt idx="6">
                  <c:v>3.01</c:v>
                </c:pt>
                <c:pt idx="7">
                  <c:v>3.51</c:v>
                </c:pt>
                <c:pt idx="8">
                  <c:v>4.01</c:v>
                </c:pt>
                <c:pt idx="9">
                  <c:v>4.51</c:v>
                </c:pt>
                <c:pt idx="10">
                  <c:v>5.01</c:v>
                </c:pt>
                <c:pt idx="11">
                  <c:v>5.51</c:v>
                </c:pt>
                <c:pt idx="12">
                  <c:v>6.01</c:v>
                </c:pt>
                <c:pt idx="13">
                  <c:v>6.51</c:v>
                </c:pt>
                <c:pt idx="14">
                  <c:v>7.01</c:v>
                </c:pt>
                <c:pt idx="15">
                  <c:v>7.51</c:v>
                </c:pt>
                <c:pt idx="16">
                  <c:v>8.01</c:v>
                </c:pt>
                <c:pt idx="17">
                  <c:v>8.51</c:v>
                </c:pt>
                <c:pt idx="18">
                  <c:v>9.01</c:v>
                </c:pt>
                <c:pt idx="19">
                  <c:v>9.51</c:v>
                </c:pt>
                <c:pt idx="20">
                  <c:v>10.01</c:v>
                </c:pt>
                <c:pt idx="21">
                  <c:v>10.51</c:v>
                </c:pt>
                <c:pt idx="22">
                  <c:v>11.01</c:v>
                </c:pt>
                <c:pt idx="23">
                  <c:v>11.51</c:v>
                </c:pt>
                <c:pt idx="24">
                  <c:v>12.01</c:v>
                </c:pt>
                <c:pt idx="25">
                  <c:v>12.51</c:v>
                </c:pt>
                <c:pt idx="26">
                  <c:v>13.01</c:v>
                </c:pt>
                <c:pt idx="27">
                  <c:v>13.51</c:v>
                </c:pt>
                <c:pt idx="28">
                  <c:v>14.01</c:v>
                </c:pt>
                <c:pt idx="29">
                  <c:v>14.51</c:v>
                </c:pt>
                <c:pt idx="30">
                  <c:v>15.01</c:v>
                </c:pt>
              </c:numCache>
            </c:numRef>
          </c:xVal>
          <c:yVal>
            <c:numRef>
              <c:f>Sheet2!$D$3:$D$33</c:f>
              <c:numCache>
                <c:formatCode>General</c:formatCode>
                <c:ptCount val="31"/>
                <c:pt idx="0">
                  <c:v>0.001416397492932</c:v>
                </c:pt>
                <c:pt idx="1">
                  <c:v>0.066437960004801</c:v>
                </c:pt>
                <c:pt idx="2">
                  <c:v>0.113209651515498</c:v>
                </c:pt>
                <c:pt idx="3">
                  <c:v>0.149860629237841</c:v>
                </c:pt>
                <c:pt idx="4">
                  <c:v>0.180577849132735</c:v>
                </c:pt>
                <c:pt idx="5">
                  <c:v>0.207441748937835</c:v>
                </c:pt>
                <c:pt idx="6">
                  <c:v>0.23160146651327</c:v>
                </c:pt>
                <c:pt idx="7">
                  <c:v>0.253732943461391</c:v>
                </c:pt>
                <c:pt idx="8">
                  <c:v>0.274260701172801</c:v>
                </c:pt>
                <c:pt idx="9">
                  <c:v>0.293466850799737</c:v>
                </c:pt>
                <c:pt idx="10">
                  <c:v>0.311547373905525</c:v>
                </c:pt>
                <c:pt idx="11">
                  <c:v>0.328642735238755</c:v>
                </c:pt>
                <c:pt idx="12">
                  <c:v>0.344855966446449</c:v>
                </c:pt>
                <c:pt idx="13">
                  <c:v>0.36026401792068</c:v>
                </c:pt>
                <c:pt idx="14">
                  <c:v>0.374925244386699</c:v>
                </c:pt>
                <c:pt idx="15">
                  <c:v>0.388884501509869</c:v>
                </c:pt>
                <c:pt idx="16">
                  <c:v>0.402176834637594</c:v>
                </c:pt>
                <c:pt idx="17">
                  <c:v>0.414830157900203</c:v>
                </c:pt>
                <c:pt idx="18">
                  <c:v>0.426867252057309</c:v>
                </c:pt>
                <c:pt idx="19">
                  <c:v>0.438307198493967</c:v>
                </c:pt>
                <c:pt idx="20">
                  <c:v>0.449166630320286</c:v>
                </c:pt>
                <c:pt idx="21">
                  <c:v>0.459460523971176</c:v>
                </c:pt>
                <c:pt idx="22">
                  <c:v>0.469202907894338</c:v>
                </c:pt>
                <c:pt idx="23">
                  <c:v>0.478407377403423</c:v>
                </c:pt>
                <c:pt idx="24">
                  <c:v>0.487087416384992</c:v>
                </c:pt>
                <c:pt idx="25">
                  <c:v>0.495256685468068</c:v>
                </c:pt>
                <c:pt idx="26">
                  <c:v>0.502929172900393</c:v>
                </c:pt>
                <c:pt idx="27">
                  <c:v>0.510119311187261</c:v>
                </c:pt>
                <c:pt idx="28">
                  <c:v>0.516841987148525</c:v>
                </c:pt>
                <c:pt idx="29">
                  <c:v>0.523112586977936</c:v>
                </c:pt>
                <c:pt idx="30">
                  <c:v>0.528946910472666</c:v>
                </c:pt>
              </c:numCache>
            </c:numRef>
          </c:yVal>
          <c:smooth val="0"/>
          <c:extLst xmlns:c16r2="http://schemas.microsoft.com/office/drawing/2015/06/chart">
            <c:ext xmlns:c16="http://schemas.microsoft.com/office/drawing/2014/chart" uri="{C3380CC4-5D6E-409C-BE32-E72D297353CC}">
              <c16:uniqueId val="{00000001-9ADF-478A-9786-81D50F5A4819}"/>
            </c:ext>
          </c:extLst>
        </c:ser>
        <c:ser>
          <c:idx val="2"/>
          <c:order val="2"/>
          <c:tx>
            <c:v>Woodford Shale Experimental Data</c:v>
          </c:tx>
          <c:spPr>
            <a:ln w="25400" cap="rnd">
              <a:noFill/>
              <a:round/>
            </a:ln>
            <a:effectLst/>
          </c:spPr>
          <c:marker>
            <c:symbol val="triangle"/>
            <c:size val="6"/>
            <c:spPr>
              <a:solidFill>
                <a:schemeClr val="accent3"/>
              </a:solidFill>
              <a:ln w="9525">
                <a:solidFill>
                  <a:schemeClr val="accent3"/>
                </a:solidFill>
                <a:round/>
              </a:ln>
              <a:effectLst/>
            </c:spPr>
          </c:marker>
          <c:xVal>
            <c:numRef>
              <c:f>Sheet2!$E$3:$E$18</c:f>
              <c:numCache>
                <c:formatCode>General</c:formatCode>
                <c:ptCount val="16"/>
                <c:pt idx="0">
                  <c:v>0.11</c:v>
                </c:pt>
                <c:pt idx="1">
                  <c:v>0.48</c:v>
                </c:pt>
                <c:pt idx="2">
                  <c:v>0.76</c:v>
                </c:pt>
                <c:pt idx="3">
                  <c:v>1.26</c:v>
                </c:pt>
                <c:pt idx="4">
                  <c:v>1.94</c:v>
                </c:pt>
                <c:pt idx="5">
                  <c:v>2.829999999999999</c:v>
                </c:pt>
                <c:pt idx="6">
                  <c:v>3.86</c:v>
                </c:pt>
                <c:pt idx="7">
                  <c:v>5.09</c:v>
                </c:pt>
                <c:pt idx="8">
                  <c:v>6.33</c:v>
                </c:pt>
                <c:pt idx="9">
                  <c:v>7.71</c:v>
                </c:pt>
                <c:pt idx="10">
                  <c:v>9.01</c:v>
                </c:pt>
                <c:pt idx="11">
                  <c:v>10.41</c:v>
                </c:pt>
                <c:pt idx="12">
                  <c:v>11.47</c:v>
                </c:pt>
                <c:pt idx="13">
                  <c:v>12.43</c:v>
                </c:pt>
                <c:pt idx="14">
                  <c:v>13.31</c:v>
                </c:pt>
                <c:pt idx="15">
                  <c:v>13.94999999999991</c:v>
                </c:pt>
              </c:numCache>
            </c:numRef>
          </c:xVal>
          <c:yVal>
            <c:numRef>
              <c:f>Sheet2!$F$3:$F$18</c:f>
              <c:numCache>
                <c:formatCode>General</c:formatCode>
                <c:ptCount val="16"/>
                <c:pt idx="0">
                  <c:v>0.023</c:v>
                </c:pt>
                <c:pt idx="1">
                  <c:v>0.101</c:v>
                </c:pt>
                <c:pt idx="2">
                  <c:v>0.148</c:v>
                </c:pt>
                <c:pt idx="3">
                  <c:v>0.216</c:v>
                </c:pt>
                <c:pt idx="4">
                  <c:v>0.293</c:v>
                </c:pt>
                <c:pt idx="5">
                  <c:v>0.369</c:v>
                </c:pt>
                <c:pt idx="6">
                  <c:v>0.439</c:v>
                </c:pt>
                <c:pt idx="7">
                  <c:v>0.508</c:v>
                </c:pt>
                <c:pt idx="8">
                  <c:v>0.571</c:v>
                </c:pt>
                <c:pt idx="9">
                  <c:v>0.621</c:v>
                </c:pt>
                <c:pt idx="10">
                  <c:v>0.667</c:v>
                </c:pt>
                <c:pt idx="11">
                  <c:v>0.713</c:v>
                </c:pt>
                <c:pt idx="12">
                  <c:v>0.734</c:v>
                </c:pt>
                <c:pt idx="13">
                  <c:v>0.752</c:v>
                </c:pt>
                <c:pt idx="14">
                  <c:v>0.768</c:v>
                </c:pt>
                <c:pt idx="15">
                  <c:v>0.781</c:v>
                </c:pt>
              </c:numCache>
            </c:numRef>
          </c:yVal>
          <c:smooth val="0"/>
          <c:extLst xmlns:c16r2="http://schemas.microsoft.com/office/drawing/2015/06/chart">
            <c:ext xmlns:c16="http://schemas.microsoft.com/office/drawing/2014/chart" uri="{C3380CC4-5D6E-409C-BE32-E72D297353CC}">
              <c16:uniqueId val="{00000002-9ADF-478A-9786-81D50F5A4819}"/>
            </c:ext>
          </c:extLst>
        </c:ser>
        <c:ser>
          <c:idx val="3"/>
          <c:order val="3"/>
          <c:tx>
            <c:v>Woodford Shale SLD-PR</c:v>
          </c:tx>
          <c:spPr>
            <a:ln w="22225" cap="rnd">
              <a:solidFill>
                <a:schemeClr val="accent4"/>
              </a:solidFill>
              <a:round/>
            </a:ln>
            <a:effectLst/>
          </c:spPr>
          <c:marker>
            <c:symbol val="none"/>
          </c:marker>
          <c:xVal>
            <c:numRef>
              <c:f>Sheet2!$G$3:$G$33</c:f>
              <c:numCache>
                <c:formatCode>General</c:formatCode>
                <c:ptCount val="31"/>
                <c:pt idx="0">
                  <c:v>0.01</c:v>
                </c:pt>
                <c:pt idx="1">
                  <c:v>0.51</c:v>
                </c:pt>
                <c:pt idx="2">
                  <c:v>1.01</c:v>
                </c:pt>
                <c:pt idx="3">
                  <c:v>1.51</c:v>
                </c:pt>
                <c:pt idx="4">
                  <c:v>2.01</c:v>
                </c:pt>
                <c:pt idx="5">
                  <c:v>2.51</c:v>
                </c:pt>
                <c:pt idx="6">
                  <c:v>3.01</c:v>
                </c:pt>
                <c:pt idx="7">
                  <c:v>3.51</c:v>
                </c:pt>
                <c:pt idx="8">
                  <c:v>4.01</c:v>
                </c:pt>
                <c:pt idx="9">
                  <c:v>4.51</c:v>
                </c:pt>
                <c:pt idx="10">
                  <c:v>5.01</c:v>
                </c:pt>
                <c:pt idx="11">
                  <c:v>5.51</c:v>
                </c:pt>
                <c:pt idx="12">
                  <c:v>6.01</c:v>
                </c:pt>
                <c:pt idx="13">
                  <c:v>6.51</c:v>
                </c:pt>
                <c:pt idx="14">
                  <c:v>7.01</c:v>
                </c:pt>
                <c:pt idx="15">
                  <c:v>7.51</c:v>
                </c:pt>
                <c:pt idx="16">
                  <c:v>8.01</c:v>
                </c:pt>
                <c:pt idx="17">
                  <c:v>8.51</c:v>
                </c:pt>
                <c:pt idx="18">
                  <c:v>9.01</c:v>
                </c:pt>
                <c:pt idx="19">
                  <c:v>9.51</c:v>
                </c:pt>
                <c:pt idx="20">
                  <c:v>10.01</c:v>
                </c:pt>
                <c:pt idx="21">
                  <c:v>10.51</c:v>
                </c:pt>
                <c:pt idx="22">
                  <c:v>11.01</c:v>
                </c:pt>
                <c:pt idx="23">
                  <c:v>11.51</c:v>
                </c:pt>
                <c:pt idx="24">
                  <c:v>12.01</c:v>
                </c:pt>
                <c:pt idx="25">
                  <c:v>12.51</c:v>
                </c:pt>
                <c:pt idx="26">
                  <c:v>13.01</c:v>
                </c:pt>
                <c:pt idx="27">
                  <c:v>13.51</c:v>
                </c:pt>
                <c:pt idx="28">
                  <c:v>14.01</c:v>
                </c:pt>
                <c:pt idx="29">
                  <c:v>14.51</c:v>
                </c:pt>
                <c:pt idx="30">
                  <c:v>15.01</c:v>
                </c:pt>
              </c:numCache>
            </c:numRef>
          </c:xVal>
          <c:yVal>
            <c:numRef>
              <c:f>Sheet2!$H$3:$H$33</c:f>
              <c:numCache>
                <c:formatCode>General</c:formatCode>
                <c:ptCount val="31"/>
                <c:pt idx="0">
                  <c:v>0.002246699471548</c:v>
                </c:pt>
                <c:pt idx="1">
                  <c:v>0.105384350352442</c:v>
                </c:pt>
                <c:pt idx="2">
                  <c:v>0.1795739299901</c:v>
                </c:pt>
                <c:pt idx="3">
                  <c:v>0.237709963618645</c:v>
                </c:pt>
                <c:pt idx="4">
                  <c:v>0.286433829658821</c:v>
                </c:pt>
                <c:pt idx="5">
                  <c:v>0.329045532797944</c:v>
                </c:pt>
                <c:pt idx="6">
                  <c:v>0.367367843434842</c:v>
                </c:pt>
                <c:pt idx="7">
                  <c:v>0.402472944800826</c:v>
                </c:pt>
                <c:pt idx="8">
                  <c:v>0.435034215653408</c:v>
                </c:pt>
                <c:pt idx="9">
                  <c:v>0.465499142647858</c:v>
                </c:pt>
                <c:pt idx="10">
                  <c:v>0.494178593091522</c:v>
                </c:pt>
                <c:pt idx="11">
                  <c:v>0.521295373137335</c:v>
                </c:pt>
                <c:pt idx="12">
                  <c:v>0.547012912294367</c:v>
                </c:pt>
                <c:pt idx="13">
                  <c:v>0.571453269805215</c:v>
                </c:pt>
                <c:pt idx="14">
                  <c:v>0.594709008337522</c:v>
                </c:pt>
                <c:pt idx="15">
                  <c:v>0.616851278257033</c:v>
                </c:pt>
                <c:pt idx="16">
                  <c:v>0.637935668735494</c:v>
                </c:pt>
                <c:pt idx="17">
                  <c:v>0.658006457358943</c:v>
                </c:pt>
                <c:pt idx="18">
                  <c:v>0.677099779125387</c:v>
                </c:pt>
                <c:pt idx="19">
                  <c:v>0.695245901059395</c:v>
                </c:pt>
                <c:pt idx="20">
                  <c:v>0.712471206714936</c:v>
                </c:pt>
                <c:pt idx="21">
                  <c:v>0.728799451816348</c:v>
                </c:pt>
                <c:pt idx="22">
                  <c:v>0.744252888384122</c:v>
                </c:pt>
                <c:pt idx="23">
                  <c:v>0.758853081398533</c:v>
                </c:pt>
                <c:pt idx="24">
                  <c:v>0.772621419093437</c:v>
                </c:pt>
                <c:pt idx="25">
                  <c:v>0.785579570052797</c:v>
                </c:pt>
                <c:pt idx="26">
                  <c:v>0.797749722531657</c:v>
                </c:pt>
                <c:pt idx="27">
                  <c:v>0.809154769469449</c:v>
                </c:pt>
                <c:pt idx="28">
                  <c:v>0.819818324442488</c:v>
                </c:pt>
                <c:pt idx="29">
                  <c:v>0.829764793137418</c:v>
                </c:pt>
                <c:pt idx="30">
                  <c:v>0.83901923730147</c:v>
                </c:pt>
              </c:numCache>
            </c:numRef>
          </c:yVal>
          <c:smooth val="0"/>
          <c:extLst xmlns:c16r2="http://schemas.microsoft.com/office/drawing/2015/06/chart">
            <c:ext xmlns:c16="http://schemas.microsoft.com/office/drawing/2014/chart" uri="{C3380CC4-5D6E-409C-BE32-E72D297353CC}">
              <c16:uniqueId val="{00000003-9ADF-478A-9786-81D50F5A4819}"/>
            </c:ext>
          </c:extLst>
        </c:ser>
        <c:dLbls>
          <c:showLegendKey val="0"/>
          <c:showVal val="0"/>
          <c:showCatName val="0"/>
          <c:showSerName val="0"/>
          <c:showPercent val="0"/>
          <c:showBubbleSize val="0"/>
        </c:dLbls>
        <c:axId val="1918790624"/>
        <c:axId val="1918793984"/>
      </c:scatterChart>
      <c:valAx>
        <c:axId val="1918790624"/>
        <c:scaling>
          <c:orientation val="minMax"/>
        </c:scaling>
        <c:delete val="0"/>
        <c:axPos val="b"/>
        <c:title>
          <c:tx>
            <c:rich>
              <a:bodyPr rot="0" spcFirstLastPara="1" vertOverflow="ellipsis" vert="horz" wrap="square" anchor="ctr" anchorCtr="1"/>
              <a:lstStyle/>
              <a:p>
                <a:pPr>
                  <a:defRPr sz="1200" b="0" i="0" u="none" strike="noStrike" kern="1200" cap="none" baseline="0">
                    <a:solidFill>
                      <a:schemeClr val="tx1">
                        <a:lumMod val="65000"/>
                        <a:lumOff val="35000"/>
                      </a:schemeClr>
                    </a:solidFill>
                    <a:latin typeface="+mn-lt"/>
                    <a:ea typeface="+mn-ea"/>
                    <a:cs typeface="+mn-cs"/>
                  </a:defRPr>
                </a:pPr>
                <a:r>
                  <a:rPr lang="en-US" sz="1200" cap="none"/>
                  <a:t>Pressure, MPa</a:t>
                </a:r>
              </a:p>
            </c:rich>
          </c:tx>
          <c:layout>
            <c:manualLayout>
              <c:xMode val="edge"/>
              <c:yMode val="edge"/>
              <c:x val="0.402846523972365"/>
              <c:y val="0.923393399897378"/>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793984"/>
        <c:crosses val="autoZero"/>
        <c:crossBetween val="midCat"/>
      </c:valAx>
      <c:valAx>
        <c:axId val="1918793984"/>
        <c:scaling>
          <c:orientation val="minMax"/>
          <c:max val="1.4"/>
        </c:scaling>
        <c:delete val="0"/>
        <c:axPos val="l"/>
        <c:title>
          <c:tx>
            <c:rich>
              <a:bodyPr rot="-5400000" spcFirstLastPara="1" vertOverflow="ellipsis" vert="horz" wrap="square" anchor="ctr" anchorCtr="1"/>
              <a:lstStyle/>
              <a:p>
                <a:pPr>
                  <a:defRPr sz="1200" b="0" i="0" u="none" strike="noStrike" kern="1200" cap="none" baseline="0">
                    <a:solidFill>
                      <a:schemeClr val="tx1">
                        <a:lumMod val="65000"/>
                        <a:lumOff val="35000"/>
                      </a:schemeClr>
                    </a:solidFill>
                    <a:latin typeface="+mn-lt"/>
                    <a:ea typeface="+mn-ea"/>
                    <a:cs typeface="+mn-cs"/>
                  </a:defRPr>
                </a:pPr>
                <a:r>
                  <a:rPr lang="en-US" sz="1200" cap="none"/>
                  <a:t>Amount of Methane Adsorbed, mmol/g</a:t>
                </a:r>
              </a:p>
            </c:rich>
          </c:tx>
          <c:layout>
            <c:manualLayout>
              <c:xMode val="edge"/>
              <c:yMode val="edge"/>
              <c:x val="0.0129456799632515"/>
              <c:y val="0.12898384932823"/>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8790624"/>
        <c:crosses val="autoZero"/>
        <c:crossBetween val="midCat"/>
      </c:valAx>
      <c:spPr>
        <a:noFill/>
        <a:ln>
          <a:solidFill>
            <a:schemeClr val="tx1"/>
          </a:solidFill>
        </a:ln>
        <a:effectLst/>
      </c:spPr>
    </c:plotArea>
    <c:legend>
      <c:legendPos val="t"/>
      <c:layout>
        <c:manualLayout>
          <c:xMode val="edge"/>
          <c:yMode val="edge"/>
          <c:x val="0.124170583568038"/>
          <c:y val="0.0738416097470925"/>
          <c:w val="0.447592648443989"/>
          <c:h val="0.296218233935453"/>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3596161869"/>
          <c:y val="0.0434564179854308"/>
          <c:w val="0.799610624391601"/>
          <c:h val="0.795026375282592"/>
        </c:manualLayout>
      </c:layout>
      <c:scatterChart>
        <c:scatterStyle val="smoothMarker"/>
        <c:varyColors val="0"/>
        <c:ser>
          <c:idx val="0"/>
          <c:order val="0"/>
          <c:tx>
            <c:strRef>
              <c:f>Density Profile</c:f>
              <c:strCache>
                <c:ptCount val="1"/>
                <c:pt idx="0">
                  <c:v>Density Profile</c:v>
                </c:pt>
              </c:strCache>
            </c:strRef>
          </c:tx>
          <c:marker>
            <c:symbol val="none"/>
          </c:marker>
          <c:xVal>
            <c:numRef>
              <c:f>Sheet1!$A$4:$A$198</c:f>
              <c:numCache>
                <c:formatCode>General</c:formatCode>
                <c:ptCount val="195"/>
                <c:pt idx="0">
                  <c:v>0.23435</c:v>
                </c:pt>
                <c:pt idx="1">
                  <c:v>0.335026804123711</c:v>
                </c:pt>
                <c:pt idx="2">
                  <c:v>0.435703608247422</c:v>
                </c:pt>
                <c:pt idx="3">
                  <c:v>0.536380412371133</c:v>
                </c:pt>
                <c:pt idx="4">
                  <c:v>0.637057216494845</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4.563452577319529</c:v>
                </c:pt>
                <c:pt idx="44">
                  <c:v>4.664129381443279</c:v>
                </c:pt>
                <c:pt idx="45">
                  <c:v>4.764806185566988</c:v>
                </c:pt>
                <c:pt idx="46">
                  <c:v>4.865482989690697</c:v>
                </c:pt>
                <c:pt idx="47">
                  <c:v>4.966159793814412</c:v>
                </c:pt>
                <c:pt idx="48">
                  <c:v>5.066836597938106</c:v>
                </c:pt>
                <c:pt idx="49">
                  <c:v>5.16751340206183</c:v>
                </c:pt>
                <c:pt idx="50">
                  <c:v>5.268190206185506</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c:v>
                </c:pt>
                <c:pt idx="83">
                  <c:v>8.590524742268</c:v>
                </c:pt>
                <c:pt idx="84">
                  <c:v>8.691201546391664</c:v>
                </c:pt>
                <c:pt idx="85">
                  <c:v>8.791878350515347</c:v>
                </c:pt>
                <c:pt idx="86">
                  <c:v>8.89255515463913</c:v>
                </c:pt>
                <c:pt idx="87">
                  <c:v>8.99323195876284</c:v>
                </c:pt>
                <c:pt idx="88">
                  <c:v>9.093908762886514</c:v>
                </c:pt>
                <c:pt idx="89">
                  <c:v>9.194585567010271</c:v>
                </c:pt>
                <c:pt idx="90">
                  <c:v>9.295262371133978</c:v>
                </c:pt>
                <c:pt idx="91">
                  <c:v>9.3959391752577</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16.94669948453572</c:v>
                </c:pt>
                <c:pt idx="167">
                  <c:v>17.0473762886598</c:v>
                </c:pt>
                <c:pt idx="168">
                  <c:v>17.1480530927835</c:v>
                </c:pt>
                <c:pt idx="169">
                  <c:v>17.24872989690692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19.06091237113372</c:v>
                </c:pt>
                <c:pt idx="188">
                  <c:v>19.1615891752577</c:v>
                </c:pt>
                <c:pt idx="189">
                  <c:v>19.26226597938138</c:v>
                </c:pt>
                <c:pt idx="190">
                  <c:v>19.36294278350508</c:v>
                </c:pt>
                <c:pt idx="191">
                  <c:v>19.46361958762852</c:v>
                </c:pt>
                <c:pt idx="192">
                  <c:v>19.5642963917525</c:v>
                </c:pt>
                <c:pt idx="193">
                  <c:v>19.66497319587621</c:v>
                </c:pt>
                <c:pt idx="194">
                  <c:v>19.76564999999983</c:v>
                </c:pt>
              </c:numCache>
            </c:numRef>
          </c:xVal>
          <c:yVal>
            <c:numRef>
              <c:f>Sheet1!$B$4:$B$198</c:f>
              <c:numCache>
                <c:formatCode>General</c:formatCode>
                <c:ptCount val="195"/>
                <c:pt idx="0">
                  <c:v>0.013844784056757</c:v>
                </c:pt>
                <c:pt idx="1">
                  <c:v>0.014010973827029</c:v>
                </c:pt>
                <c:pt idx="2">
                  <c:v>0.014551048957922</c:v>
                </c:pt>
                <c:pt idx="3">
                  <c:v>0.01486729000355</c:v>
                </c:pt>
                <c:pt idx="4">
                  <c:v>0.014806532893469</c:v>
                </c:pt>
                <c:pt idx="5">
                  <c:v>0.014521198070703</c:v>
                </c:pt>
                <c:pt idx="6">
                  <c:v>0.014258041673671</c:v>
                </c:pt>
                <c:pt idx="7">
                  <c:v>0.013996092436872</c:v>
                </c:pt>
                <c:pt idx="8">
                  <c:v>0.013729597142989</c:v>
                </c:pt>
                <c:pt idx="9">
                  <c:v>0.013465459802219</c:v>
                </c:pt>
                <c:pt idx="10">
                  <c:v>0.013211594574325</c:v>
                </c:pt>
                <c:pt idx="11">
                  <c:v>0.012973757638115</c:v>
                </c:pt>
                <c:pt idx="12">
                  <c:v>0.012755105346597</c:v>
                </c:pt>
                <c:pt idx="13">
                  <c:v>0.012556675295401</c:v>
                </c:pt>
                <c:pt idx="14">
                  <c:v>0.012378071587582</c:v>
                </c:pt>
                <c:pt idx="15">
                  <c:v>0.012218065024476</c:v>
                </c:pt>
                <c:pt idx="16">
                  <c:v>0.01207502669108</c:v>
                </c:pt>
                <c:pt idx="17">
                  <c:v>0.011947205379975</c:v>
                </c:pt>
                <c:pt idx="18">
                  <c:v>0.011832888067573</c:v>
                </c:pt>
                <c:pt idx="19">
                  <c:v>0.011730482672534</c:v>
                </c:pt>
                <c:pt idx="20">
                  <c:v>0.011638553196571</c:v>
                </c:pt>
                <c:pt idx="21">
                  <c:v>0.011555827623375</c:v>
                </c:pt>
                <c:pt idx="22">
                  <c:v>0.011481191375388</c:v>
                </c:pt>
                <c:pt idx="23">
                  <c:v>0.011413673950305</c:v>
                </c:pt>
                <c:pt idx="24">
                  <c:v>0.01135243306747</c:v>
                </c:pt>
                <c:pt idx="25">
                  <c:v>0.011296738657202</c:v>
                </c:pt>
                <c:pt idx="26">
                  <c:v>0.011245957856375</c:v>
                </c:pt>
                <c:pt idx="27">
                  <c:v>0.01119954151068</c:v>
                </c:pt>
                <c:pt idx="28">
                  <c:v>0.011157012322297</c:v>
                </c:pt>
                <c:pt idx="29">
                  <c:v>0.011117954595035</c:v>
                </c:pt>
                <c:pt idx="30">
                  <c:v>0.011082005441557</c:v>
                </c:pt>
                <c:pt idx="31">
                  <c:v>0.011048847284588</c:v>
                </c:pt>
                <c:pt idx="32">
                  <c:v>0.011018201480307</c:v>
                </c:pt>
                <c:pt idx="33">
                  <c:v>0.010989822902682</c:v>
                </c:pt>
                <c:pt idx="34">
                  <c:v>0.010963495344249</c:v>
                </c:pt>
                <c:pt idx="35">
                  <c:v>0.010939027607311</c:v>
                </c:pt>
                <c:pt idx="36">
                  <c:v>0.010916250177495</c:v>
                </c:pt>
                <c:pt idx="37">
                  <c:v>0.01089501238795</c:v>
                </c:pt>
                <c:pt idx="38">
                  <c:v>0.010875179996941</c:v>
                </c:pt>
                <c:pt idx="39">
                  <c:v>0.010856633113969</c:v>
                </c:pt>
                <c:pt idx="40">
                  <c:v>0.01083926442011</c:v>
                </c:pt>
                <c:pt idx="41">
                  <c:v>0.01082297763712</c:v>
                </c:pt>
                <c:pt idx="42">
                  <c:v>0.010807686207306</c:v>
                </c:pt>
                <c:pt idx="43">
                  <c:v>0.010793312152297</c:v>
                </c:pt>
                <c:pt idx="44">
                  <c:v>0.010779785084069</c:v>
                </c:pt>
                <c:pt idx="45">
                  <c:v>0.010767041345779</c:v>
                </c:pt>
                <c:pt idx="46">
                  <c:v>0.010755023263607</c:v>
                </c:pt>
                <c:pt idx="47">
                  <c:v>0.010743678493685</c:v>
                </c:pt>
                <c:pt idx="48">
                  <c:v>0.010732959450744</c:v>
                </c:pt>
                <c:pt idx="49">
                  <c:v>0.010722822807094</c:v>
                </c:pt>
                <c:pt idx="50">
                  <c:v>0.01071322905232</c:v>
                </c:pt>
                <c:pt idx="51">
                  <c:v>0.010704142105518</c:v>
                </c:pt>
                <c:pt idx="52">
                  <c:v>0.010695528973064</c:v>
                </c:pt>
                <c:pt idx="53">
                  <c:v>0.010687359445974</c:v>
                </c:pt>
                <c:pt idx="54">
                  <c:v>0.010679605831748</c:v>
                </c:pt>
                <c:pt idx="55">
                  <c:v>0.010672242716301</c:v>
                </c:pt>
                <c:pt idx="56">
                  <c:v>0.010665246752222</c:v>
                </c:pt>
                <c:pt idx="57">
                  <c:v>0.01065859647011</c:v>
                </c:pt>
                <c:pt idx="58">
                  <c:v>0.010652272110161</c:v>
                </c:pt>
                <c:pt idx="59">
                  <c:v>0.010646255493164</c:v>
                </c:pt>
                <c:pt idx="60">
                  <c:v>0.010640529797397</c:v>
                </c:pt>
                <c:pt idx="61">
                  <c:v>0.010635079572978</c:v>
                </c:pt>
                <c:pt idx="62">
                  <c:v>0.010629890541003</c:v>
                </c:pt>
                <c:pt idx="63">
                  <c:v>0.010624949518992</c:v>
                </c:pt>
                <c:pt idx="64">
                  <c:v>0.010620244332584</c:v>
                </c:pt>
                <c:pt idx="65">
                  <c:v>0.01061576373648</c:v>
                </c:pt>
                <c:pt idx="66">
                  <c:v>0.010611497341593</c:v>
                </c:pt>
                <c:pt idx="67">
                  <c:v>0.010607435550362</c:v>
                </c:pt>
                <c:pt idx="68">
                  <c:v>0.010603569497162</c:v>
                </c:pt>
                <c:pt idx="69">
                  <c:v>0.010599890994487</c:v>
                </c:pt>
                <c:pt idx="70">
                  <c:v>0.010596392483822</c:v>
                </c:pt>
                <c:pt idx="71">
                  <c:v>0.010593066990725</c:v>
                </c:pt>
                <c:pt idx="72">
                  <c:v>0.010589908083955</c:v>
                </c:pt>
                <c:pt idx="73">
                  <c:v>0.010586909837822</c:v>
                </c:pt>
                <c:pt idx="74">
                  <c:v>0.010584066797438</c:v>
                </c:pt>
                <c:pt idx="75">
                  <c:v>0.010581373947117</c:v>
                </c:pt>
                <c:pt idx="76">
                  <c:v>0.010578826680615</c:v>
                </c:pt>
                <c:pt idx="77">
                  <c:v>0.010576420774236</c:v>
                </c:pt>
                <c:pt idx="78">
                  <c:v>0.010574152361166</c:v>
                </c:pt>
                <c:pt idx="79">
                  <c:v>0.010572017908186</c:v>
                </c:pt>
                <c:pt idx="80">
                  <c:v>0.010570014193492</c:v>
                </c:pt>
                <c:pt idx="81">
                  <c:v>0.010568138286268</c:v>
                </c:pt>
                <c:pt idx="82">
                  <c:v>0.010566387527422</c:v>
                </c:pt>
                <c:pt idx="83">
                  <c:v>0.010564759511534</c:v>
                </c:pt>
                <c:pt idx="84">
                  <c:v>0.010563252069968</c:v>
                </c:pt>
                <c:pt idx="85">
                  <c:v>0.010561863255022</c:v>
                </c:pt>
                <c:pt idx="86">
                  <c:v>0.010560591325124</c:v>
                </c:pt>
                <c:pt idx="87">
                  <c:v>0.010559434731045</c:v>
                </c:pt>
                <c:pt idx="88">
                  <c:v>0.01055839210298</c:v>
                </c:pt>
                <c:pt idx="89">
                  <c:v>0.010557462238755</c:v>
                </c:pt>
                <c:pt idx="90">
                  <c:v>0.010556644092916</c:v>
                </c:pt>
                <c:pt idx="91">
                  <c:v>0.01055593676692</c:v>
                </c:pt>
                <c:pt idx="92">
                  <c:v>0.010555339500299</c:v>
                </c:pt>
                <c:pt idx="93">
                  <c:v>0.010554851662939</c:v>
                </c:pt>
                <c:pt idx="94">
                  <c:v>0.010554472748466</c:v>
                </c:pt>
                <c:pt idx="95">
                  <c:v>0.010554202368778</c:v>
                </c:pt>
                <c:pt idx="96">
                  <c:v>0.010554040257157</c:v>
                </c:pt>
                <c:pt idx="97">
                  <c:v>0.010553986228526</c:v>
                </c:pt>
                <c:pt idx="98">
                  <c:v>0.010554040257157</c:v>
                </c:pt>
                <c:pt idx="99">
                  <c:v>0.010554202368778</c:v>
                </c:pt>
                <c:pt idx="100">
                  <c:v>0.010554472748466</c:v>
                </c:pt>
                <c:pt idx="101">
                  <c:v>0.010554851662939</c:v>
                </c:pt>
                <c:pt idx="102">
                  <c:v>0.010555339500299</c:v>
                </c:pt>
                <c:pt idx="103">
                  <c:v>0.01055593676692</c:v>
                </c:pt>
                <c:pt idx="104">
                  <c:v>0.010556644092916</c:v>
                </c:pt>
                <c:pt idx="105">
                  <c:v>0.010557462238755</c:v>
                </c:pt>
                <c:pt idx="106">
                  <c:v>0.01055839210298</c:v>
                </c:pt>
                <c:pt idx="107">
                  <c:v>0.010559434731045</c:v>
                </c:pt>
                <c:pt idx="108">
                  <c:v>0.010560591325124</c:v>
                </c:pt>
                <c:pt idx="109">
                  <c:v>0.010561863255022</c:v>
                </c:pt>
                <c:pt idx="110">
                  <c:v>0.010563252069968</c:v>
                </c:pt>
                <c:pt idx="111">
                  <c:v>0.010564759511534</c:v>
                </c:pt>
                <c:pt idx="112">
                  <c:v>0.010566387527422</c:v>
                </c:pt>
                <c:pt idx="113">
                  <c:v>0.010568138286268</c:v>
                </c:pt>
                <c:pt idx="114">
                  <c:v>0.010570014193492</c:v>
                </c:pt>
                <c:pt idx="115">
                  <c:v>0.010572017908186</c:v>
                </c:pt>
                <c:pt idx="116">
                  <c:v>0.010574152361166</c:v>
                </c:pt>
                <c:pt idx="117">
                  <c:v>0.010576420774236</c:v>
                </c:pt>
                <c:pt idx="118">
                  <c:v>0.010578826680615</c:v>
                </c:pt>
                <c:pt idx="119">
                  <c:v>0.010581373947117</c:v>
                </c:pt>
                <c:pt idx="120">
                  <c:v>0.010584066797438</c:v>
                </c:pt>
                <c:pt idx="121">
                  <c:v>0.010586909837822</c:v>
                </c:pt>
                <c:pt idx="122">
                  <c:v>0.010589908083955</c:v>
                </c:pt>
                <c:pt idx="123">
                  <c:v>0.010593066990725</c:v>
                </c:pt>
                <c:pt idx="124">
                  <c:v>0.010596392483822</c:v>
                </c:pt>
                <c:pt idx="125">
                  <c:v>0.010599890994487</c:v>
                </c:pt>
                <c:pt idx="126">
                  <c:v>0.010603569497162</c:v>
                </c:pt>
                <c:pt idx="127">
                  <c:v>0.010607435550362</c:v>
                </c:pt>
                <c:pt idx="128">
                  <c:v>0.010611497341593</c:v>
                </c:pt>
                <c:pt idx="129">
                  <c:v>0.01061576373648</c:v>
                </c:pt>
                <c:pt idx="130">
                  <c:v>0.010620244332584</c:v>
                </c:pt>
                <c:pt idx="131">
                  <c:v>0.010624949518992</c:v>
                </c:pt>
                <c:pt idx="132">
                  <c:v>0.010629890541003</c:v>
                </c:pt>
                <c:pt idx="133">
                  <c:v>0.010635079572978</c:v>
                </c:pt>
                <c:pt idx="134">
                  <c:v>0.010640529797397</c:v>
                </c:pt>
                <c:pt idx="135">
                  <c:v>0.010646255493164</c:v>
                </c:pt>
                <c:pt idx="136">
                  <c:v>0.010652272110161</c:v>
                </c:pt>
                <c:pt idx="137">
                  <c:v>0.01065859647011</c:v>
                </c:pt>
                <c:pt idx="138">
                  <c:v>0.010665246752222</c:v>
                </c:pt>
                <c:pt idx="139">
                  <c:v>0.010672242716301</c:v>
                </c:pt>
                <c:pt idx="140">
                  <c:v>0.010679605831748</c:v>
                </c:pt>
                <c:pt idx="141">
                  <c:v>0.010687359445974</c:v>
                </c:pt>
                <c:pt idx="142">
                  <c:v>0.010695528973064</c:v>
                </c:pt>
                <c:pt idx="143">
                  <c:v>0.010704142105518</c:v>
                </c:pt>
                <c:pt idx="144">
                  <c:v>0.01071322905232</c:v>
                </c:pt>
                <c:pt idx="145">
                  <c:v>0.010722822807094</c:v>
                </c:pt>
                <c:pt idx="146">
                  <c:v>0.010732959450744</c:v>
                </c:pt>
                <c:pt idx="147">
                  <c:v>0.010743678493685</c:v>
                </c:pt>
                <c:pt idx="148">
                  <c:v>0.010755023263607</c:v>
                </c:pt>
                <c:pt idx="149">
                  <c:v>0.010767041345779</c:v>
                </c:pt>
                <c:pt idx="150">
                  <c:v>0.010779785084069</c:v>
                </c:pt>
                <c:pt idx="151">
                  <c:v>0.010793312152297</c:v>
                </c:pt>
                <c:pt idx="152">
                  <c:v>0.010807686207306</c:v>
                </c:pt>
                <c:pt idx="153">
                  <c:v>0.01082297763712</c:v>
                </c:pt>
                <c:pt idx="154">
                  <c:v>0.01083926442011</c:v>
                </c:pt>
                <c:pt idx="155">
                  <c:v>0.010856633113969</c:v>
                </c:pt>
                <c:pt idx="156">
                  <c:v>0.010875179996941</c:v>
                </c:pt>
                <c:pt idx="157">
                  <c:v>0.01089501238795</c:v>
                </c:pt>
                <c:pt idx="158">
                  <c:v>0.010916250177495</c:v>
                </c:pt>
                <c:pt idx="159">
                  <c:v>0.010939027607311</c:v>
                </c:pt>
                <c:pt idx="160">
                  <c:v>0.010963495344249</c:v>
                </c:pt>
                <c:pt idx="161">
                  <c:v>0.010989822902682</c:v>
                </c:pt>
                <c:pt idx="162">
                  <c:v>0.011018201480307</c:v>
                </c:pt>
                <c:pt idx="163">
                  <c:v>0.011048847284588</c:v>
                </c:pt>
                <c:pt idx="164">
                  <c:v>0.011082005441557</c:v>
                </c:pt>
                <c:pt idx="165">
                  <c:v>0.011117954595035</c:v>
                </c:pt>
                <c:pt idx="166">
                  <c:v>0.011157012322297</c:v>
                </c:pt>
                <c:pt idx="167">
                  <c:v>0.01119954151068</c:v>
                </c:pt>
                <c:pt idx="168">
                  <c:v>0.011245957856375</c:v>
                </c:pt>
                <c:pt idx="169">
                  <c:v>0.011296738657202</c:v>
                </c:pt>
                <c:pt idx="170">
                  <c:v>0.01135243306747</c:v>
                </c:pt>
                <c:pt idx="171">
                  <c:v>0.011413673950305</c:v>
                </c:pt>
                <c:pt idx="172">
                  <c:v>0.011481191375388</c:v>
                </c:pt>
                <c:pt idx="173">
                  <c:v>0.011555827623375</c:v>
                </c:pt>
                <c:pt idx="174">
                  <c:v>0.011638553196571</c:v>
                </c:pt>
                <c:pt idx="175">
                  <c:v>0.011730482672534</c:v>
                </c:pt>
                <c:pt idx="176">
                  <c:v>0.011832888067573</c:v>
                </c:pt>
                <c:pt idx="177">
                  <c:v>0.011947205379975</c:v>
                </c:pt>
                <c:pt idx="178">
                  <c:v>0.01207502669108</c:v>
                </c:pt>
                <c:pt idx="179">
                  <c:v>0.012218065024476</c:v>
                </c:pt>
                <c:pt idx="180">
                  <c:v>0.012378071587582</c:v>
                </c:pt>
                <c:pt idx="181">
                  <c:v>0.012556675295401</c:v>
                </c:pt>
                <c:pt idx="182">
                  <c:v>0.012755105346597</c:v>
                </c:pt>
                <c:pt idx="183">
                  <c:v>0.012973757638115</c:v>
                </c:pt>
                <c:pt idx="184">
                  <c:v>0.013211594574325</c:v>
                </c:pt>
                <c:pt idx="185">
                  <c:v>0.013465459802219</c:v>
                </c:pt>
                <c:pt idx="186">
                  <c:v>0.013729597142989</c:v>
                </c:pt>
                <c:pt idx="187">
                  <c:v>0.013996092436872</c:v>
                </c:pt>
                <c:pt idx="188">
                  <c:v>0.014258041673671</c:v>
                </c:pt>
                <c:pt idx="189">
                  <c:v>0.014521198070703</c:v>
                </c:pt>
                <c:pt idx="190">
                  <c:v>0.014806532893469</c:v>
                </c:pt>
                <c:pt idx="191">
                  <c:v>0.01486729000355</c:v>
                </c:pt>
                <c:pt idx="192">
                  <c:v>0.014551048957922</c:v>
                </c:pt>
                <c:pt idx="193">
                  <c:v>0.014010973827029</c:v>
                </c:pt>
                <c:pt idx="194">
                  <c:v>0.013844784056757</c:v>
                </c:pt>
              </c:numCache>
            </c:numRef>
          </c:yVal>
          <c:smooth val="1"/>
          <c:extLst xmlns:c16r2="http://schemas.microsoft.com/office/drawing/2015/06/chart">
            <c:ext xmlns:c16="http://schemas.microsoft.com/office/drawing/2014/chart" uri="{C3380CC4-5D6E-409C-BE32-E72D297353CC}">
              <c16:uniqueId val="{00000000-344C-4252-AFCD-8A2FC51054D3}"/>
            </c:ext>
          </c:extLst>
        </c:ser>
        <c:dLbls>
          <c:showLegendKey val="0"/>
          <c:showVal val="0"/>
          <c:showCatName val="0"/>
          <c:showSerName val="0"/>
          <c:showPercent val="0"/>
          <c:showBubbleSize val="0"/>
        </c:dLbls>
        <c:axId val="-1897813648"/>
        <c:axId val="2098136208"/>
      </c:scatterChart>
      <c:scatterChart>
        <c:scatterStyle val="lineMarker"/>
        <c:varyColors val="0"/>
        <c:ser>
          <c:idx val="1"/>
          <c:order val="1"/>
          <c:tx>
            <c:strRef>
              <c:f>Cutoff Points</c:f>
              <c:strCache>
                <c:ptCount val="1"/>
                <c:pt idx="0">
                  <c:v>Cutoff Points</c:v>
                </c:pt>
              </c:strCache>
            </c:strRef>
          </c:tx>
          <c:spPr>
            <a:ln w="28575" cap="rnd" cmpd="sng" algn="ctr">
              <a:noFill/>
              <a:prstDash val="solid"/>
              <a:round/>
            </a:ln>
          </c:spPr>
          <c:xVal>
            <c:numRef>
              <c:f>Sheet1!$G$4:$G$5</c:f>
              <c:numCache>
                <c:formatCode>General</c:formatCode>
                <c:ptCount val="2"/>
                <c:pt idx="0">
                  <c:v>2.9</c:v>
                </c:pt>
                <c:pt idx="1">
                  <c:v>17.1</c:v>
                </c:pt>
              </c:numCache>
            </c:numRef>
          </c:xVal>
          <c:yVal>
            <c:numRef>
              <c:f>Sheet1!$H$4:$H$5</c:f>
              <c:numCache>
                <c:formatCode>General</c:formatCode>
                <c:ptCount val="2"/>
                <c:pt idx="0">
                  <c:v>0.011213024309196</c:v>
                </c:pt>
                <c:pt idx="1">
                  <c:v>0.011213024309196</c:v>
                </c:pt>
              </c:numCache>
            </c:numRef>
          </c:yVal>
          <c:smooth val="0"/>
          <c:extLst xmlns:c16r2="http://schemas.microsoft.com/office/drawing/2015/06/chart">
            <c:ext xmlns:c16="http://schemas.microsoft.com/office/drawing/2014/chart" uri="{C3380CC4-5D6E-409C-BE32-E72D297353CC}">
              <c16:uniqueId val="{00000001-344C-4252-AFCD-8A2FC51054D3}"/>
            </c:ext>
          </c:extLst>
        </c:ser>
        <c:dLbls>
          <c:showLegendKey val="0"/>
          <c:showVal val="0"/>
          <c:showCatName val="0"/>
          <c:showSerName val="0"/>
          <c:showPercent val="0"/>
          <c:showBubbleSize val="0"/>
        </c:dLbls>
        <c:axId val="-1897813648"/>
        <c:axId val="2098136208"/>
      </c:scatterChart>
      <c:valAx>
        <c:axId val="-1897813648"/>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latin typeface="Times New Roman" panose="02020603050405020304" charset="0"/>
                    <a:cs typeface="Times New Roman" panose="02020603050405020304" charset="0"/>
                  </a:rPr>
                  <a:t>Distance to the left wall</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nm)</a:t>
                </a:r>
              </a:p>
            </c:rich>
          </c:tx>
          <c:layout>
            <c:manualLayout>
              <c:xMode val="edge"/>
              <c:yMode val="edge"/>
              <c:x val="0.345740158442784"/>
              <c:y val="0.9406053149606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98136208"/>
        <c:crosses val="autoZero"/>
        <c:crossBetween val="midCat"/>
      </c:valAx>
      <c:valAx>
        <c:axId val="2098136208"/>
        <c:scaling>
          <c:orientation val="minMax"/>
          <c:min val="0.01"/>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latin typeface="Times New Roman" panose="02020603050405020304" charset="0"/>
                    <a:cs typeface="Times New Roman" panose="02020603050405020304" charset="0"/>
                  </a:rPr>
                  <a:t>Density</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 (mol/cm</a:t>
                </a:r>
                <a:r>
                  <a:rPr lang="en-US" sz="1200" b="0" baseline="30000">
                    <a:latin typeface="Times New Roman" panose="02020603050405020304" charset="0"/>
                    <a:cs typeface="Times New Roman" panose="02020603050405020304" charset="0"/>
                  </a:rPr>
                  <a:t>3</a:t>
                </a:r>
                <a:r>
                  <a:rPr lang="en-US" sz="1200" b="0">
                    <a:latin typeface="Times New Roman" panose="02020603050405020304" charset="0"/>
                    <a:cs typeface="Times New Roman" panose="02020603050405020304" charset="0"/>
                  </a:rPr>
                  <a:t>)</a:t>
                </a:r>
              </a:p>
            </c:rich>
          </c:tx>
          <c:layout>
            <c:manualLayout>
              <c:xMode val="edge"/>
              <c:yMode val="edge"/>
              <c:x val="0.00558978005877666"/>
              <c:y val="0.241286828999814"/>
            </c:manualLayout>
          </c:layout>
          <c:overlay val="0"/>
        </c:title>
        <c:numFmt formatCode="#,##0.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1897813648"/>
        <c:crosses val="autoZero"/>
        <c:crossBetween val="midCat"/>
      </c:valAx>
      <c:spPr>
        <a:ln>
          <a:solidFill>
            <a:schemeClr val="tx1"/>
          </a:solidFill>
        </a:ln>
      </c:spPr>
    </c:plotArea>
    <c:legend>
      <c:legendPos val="r"/>
      <c:layout>
        <c:manualLayout>
          <c:xMode val="edge"/>
          <c:yMode val="edge"/>
          <c:x val="0.408721209254028"/>
          <c:y val="0.0784710035618667"/>
          <c:w val="0.261087032640443"/>
          <c:h val="0.135087151217432"/>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335418534909"/>
          <c:y val="0.043369217519685"/>
          <c:w val="0.799552683705715"/>
          <c:h val="0.826721825787402"/>
        </c:manualLayout>
      </c:layout>
      <c:scatterChart>
        <c:scatterStyle val="smoothMarker"/>
        <c:varyColors val="0"/>
        <c:ser>
          <c:idx val="0"/>
          <c:order val="0"/>
          <c:tx>
            <c:strRef>
              <c:f>C1 Composition</c:f>
              <c:strCache>
                <c:ptCount val="1"/>
                <c:pt idx="0">
                  <c:v>C1 Composition</c:v>
                </c:pt>
              </c:strCache>
            </c:strRef>
          </c:tx>
          <c:marker>
            <c:symbol val="none"/>
          </c:marker>
          <c:xVal>
            <c:numRef>
              <c:f>Sheet1!$A$4:$A$198</c:f>
              <c:numCache>
                <c:formatCode>General</c:formatCode>
                <c:ptCount val="195"/>
                <c:pt idx="0">
                  <c:v>0.23435</c:v>
                </c:pt>
                <c:pt idx="1">
                  <c:v>0.335026804123711</c:v>
                </c:pt>
                <c:pt idx="2">
                  <c:v>0.435703608247422</c:v>
                </c:pt>
                <c:pt idx="3">
                  <c:v>0.536380412371133</c:v>
                </c:pt>
                <c:pt idx="4">
                  <c:v>0.637057216494845</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4.563452577319529</c:v>
                </c:pt>
                <c:pt idx="44">
                  <c:v>4.664129381443279</c:v>
                </c:pt>
                <c:pt idx="45">
                  <c:v>4.764806185566988</c:v>
                </c:pt>
                <c:pt idx="46">
                  <c:v>4.865482989690697</c:v>
                </c:pt>
                <c:pt idx="47">
                  <c:v>4.966159793814412</c:v>
                </c:pt>
                <c:pt idx="48">
                  <c:v>5.066836597938106</c:v>
                </c:pt>
                <c:pt idx="49">
                  <c:v>5.16751340206183</c:v>
                </c:pt>
                <c:pt idx="50">
                  <c:v>5.268190206185506</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c:v>
                </c:pt>
                <c:pt idx="83">
                  <c:v>8.590524742268</c:v>
                </c:pt>
                <c:pt idx="84">
                  <c:v>8.691201546391664</c:v>
                </c:pt>
                <c:pt idx="85">
                  <c:v>8.791878350515347</c:v>
                </c:pt>
                <c:pt idx="86">
                  <c:v>8.89255515463913</c:v>
                </c:pt>
                <c:pt idx="87">
                  <c:v>8.99323195876284</c:v>
                </c:pt>
                <c:pt idx="88">
                  <c:v>9.093908762886514</c:v>
                </c:pt>
                <c:pt idx="89">
                  <c:v>9.194585567010271</c:v>
                </c:pt>
                <c:pt idx="90">
                  <c:v>9.295262371133978</c:v>
                </c:pt>
                <c:pt idx="91">
                  <c:v>9.3959391752577</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16.94669948453572</c:v>
                </c:pt>
                <c:pt idx="167">
                  <c:v>17.0473762886598</c:v>
                </c:pt>
                <c:pt idx="168">
                  <c:v>17.1480530927835</c:v>
                </c:pt>
                <c:pt idx="169">
                  <c:v>17.24872989690692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19.06091237113372</c:v>
                </c:pt>
                <c:pt idx="188">
                  <c:v>19.1615891752577</c:v>
                </c:pt>
                <c:pt idx="189">
                  <c:v>19.26226597938138</c:v>
                </c:pt>
                <c:pt idx="190">
                  <c:v>19.36294278350508</c:v>
                </c:pt>
                <c:pt idx="191">
                  <c:v>19.46361958762852</c:v>
                </c:pt>
                <c:pt idx="192">
                  <c:v>19.5642963917525</c:v>
                </c:pt>
                <c:pt idx="193">
                  <c:v>19.66497319587621</c:v>
                </c:pt>
                <c:pt idx="194">
                  <c:v>19.76564999999983</c:v>
                </c:pt>
              </c:numCache>
            </c:numRef>
          </c:xVal>
          <c:yVal>
            <c:numRef>
              <c:f>Sheet1!$C$4:$C$198</c:f>
              <c:numCache>
                <c:formatCode>General</c:formatCode>
                <c:ptCount val="195"/>
                <c:pt idx="0">
                  <c:v>0.00491220919533101</c:v>
                </c:pt>
                <c:pt idx="1">
                  <c:v>0.031725674602202</c:v>
                </c:pt>
                <c:pt idx="2">
                  <c:v>0.160975450964975</c:v>
                </c:pt>
                <c:pt idx="3">
                  <c:v>0.322010027331635</c:v>
                </c:pt>
                <c:pt idx="4">
                  <c:v>0.418097518658892</c:v>
                </c:pt>
                <c:pt idx="5">
                  <c:v>0.44355329363927</c:v>
                </c:pt>
                <c:pt idx="6">
                  <c:v>0.473364069451892</c:v>
                </c:pt>
                <c:pt idx="7">
                  <c:v>0.509967997760095</c:v>
                </c:pt>
                <c:pt idx="8">
                  <c:v>0.545612613063339</c:v>
                </c:pt>
                <c:pt idx="9">
                  <c:v>0.577727058511286</c:v>
                </c:pt>
                <c:pt idx="10">
                  <c:v>0.605660682155102</c:v>
                </c:pt>
                <c:pt idx="11">
                  <c:v>0.629539790651799</c:v>
                </c:pt>
                <c:pt idx="12">
                  <c:v>0.649792664226497</c:v>
                </c:pt>
                <c:pt idx="13">
                  <c:v>0.666932434858813</c:v>
                </c:pt>
                <c:pt idx="14">
                  <c:v>0.681457505469845</c:v>
                </c:pt>
                <c:pt idx="15">
                  <c:v>0.693810665756537</c:v>
                </c:pt>
                <c:pt idx="16">
                  <c:v>0.70436764484701</c:v>
                </c:pt>
                <c:pt idx="17">
                  <c:v>0.713439449625898</c:v>
                </c:pt>
                <c:pt idx="18">
                  <c:v>0.721280206262214</c:v>
                </c:pt>
                <c:pt idx="19">
                  <c:v>0.728096378545479</c:v>
                </c:pt>
                <c:pt idx="20">
                  <c:v>0.734055503650385</c:v>
                </c:pt>
                <c:pt idx="21">
                  <c:v>0.739293752968294</c:v>
                </c:pt>
                <c:pt idx="22">
                  <c:v>0.743922181967893</c:v>
                </c:pt>
                <c:pt idx="23">
                  <c:v>0.748031770101613</c:v>
                </c:pt>
                <c:pt idx="24">
                  <c:v>0.751697431975022</c:v>
                </c:pt>
                <c:pt idx="25">
                  <c:v>0.754981189885278</c:v>
                </c:pt>
                <c:pt idx="26">
                  <c:v>0.75793467813007</c:v>
                </c:pt>
                <c:pt idx="27">
                  <c:v>0.760601121331463</c:v>
                </c:pt>
                <c:pt idx="28">
                  <c:v>0.763016901179969</c:v>
                </c:pt>
                <c:pt idx="29">
                  <c:v>0.765212801749026</c:v>
                </c:pt>
                <c:pt idx="30">
                  <c:v>0.767215003635425</c:v>
                </c:pt>
                <c:pt idx="31">
                  <c:v>0.769045881384723</c:v>
                </c:pt>
                <c:pt idx="32">
                  <c:v>0.77072464633605</c:v>
                </c:pt>
                <c:pt idx="33">
                  <c:v>0.772267867505727</c:v>
                </c:pt>
                <c:pt idx="34">
                  <c:v>0.773689895812708</c:v>
                </c:pt>
                <c:pt idx="35">
                  <c:v>0.77500321133582</c:v>
                </c:pt>
                <c:pt idx="36">
                  <c:v>0.776218708982416</c:v>
                </c:pt>
                <c:pt idx="37">
                  <c:v>0.777345934632009</c:v>
                </c:pt>
                <c:pt idx="38">
                  <c:v>0.778393281260491</c:v>
                </c:pt>
                <c:pt idx="39">
                  <c:v>0.779368152569021</c:v>
                </c:pt>
                <c:pt idx="40">
                  <c:v>0.780277100102049</c:v>
                </c:pt>
                <c:pt idx="41">
                  <c:v>0.781125938636419</c:v>
                </c:pt>
                <c:pt idx="42">
                  <c:v>0.781919843680665</c:v>
                </c:pt>
                <c:pt idx="43">
                  <c:v>0.782663434180784</c:v>
                </c:pt>
                <c:pt idx="44">
                  <c:v>0.783360842941191</c:v>
                </c:pt>
                <c:pt idx="45">
                  <c:v>0.784015776802321</c:v>
                </c:pt>
                <c:pt idx="46">
                  <c:v>0.784631568243112</c:v>
                </c:pt>
                <c:pt idx="47">
                  <c:v>0.785211219777858</c:v>
                </c:pt>
                <c:pt idx="48">
                  <c:v>0.785757442275502</c:v>
                </c:pt>
                <c:pt idx="49">
                  <c:v>0.786272688134957</c:v>
                </c:pt>
                <c:pt idx="50">
                  <c:v>0.78675918009155</c:v>
                </c:pt>
                <c:pt idx="51">
                  <c:v>0.787218936300635</c:v>
                </c:pt>
                <c:pt idx="52">
                  <c:v>0.787653792238849</c:v>
                </c:pt>
                <c:pt idx="53">
                  <c:v>0.788065419876879</c:v>
                </c:pt>
                <c:pt idx="54">
                  <c:v>0.788455344505455</c:v>
                </c:pt>
                <c:pt idx="55">
                  <c:v>0.788824959537788</c:v>
                </c:pt>
                <c:pt idx="56">
                  <c:v>0.789175539561898</c:v>
                </c:pt>
                <c:pt idx="57">
                  <c:v>0.789508251875706</c:v>
                </c:pt>
                <c:pt idx="58">
                  <c:v>0.789824166703284</c:v>
                </c:pt>
                <c:pt idx="59">
                  <c:v>0.790124265221131</c:v>
                </c:pt>
                <c:pt idx="60">
                  <c:v>0.790409451878707</c:v>
                </c:pt>
                <c:pt idx="61">
                  <c:v>0.790680555054356</c:v>
                </c:pt>
                <c:pt idx="62">
                  <c:v>0.790938337914709</c:v>
                </c:pt>
                <c:pt idx="63">
                  <c:v>0.79118350302877</c:v>
                </c:pt>
                <c:pt idx="64">
                  <c:v>0.791416697514487</c:v>
                </c:pt>
                <c:pt idx="65">
                  <c:v>0.791638517625341</c:v>
                </c:pt>
                <c:pt idx="66">
                  <c:v>0.791849512941967</c:v>
                </c:pt>
                <c:pt idx="67">
                  <c:v>0.792050190085096</c:v>
                </c:pt>
                <c:pt idx="68">
                  <c:v>0.792241016110476</c:v>
                </c:pt>
                <c:pt idx="69">
                  <c:v>0.79242242156217</c:v>
                </c:pt>
                <c:pt idx="70">
                  <c:v>0.792594803245096</c:v>
                </c:pt>
                <c:pt idx="71">
                  <c:v>0.792758526746673</c:v>
                </c:pt>
                <c:pt idx="72">
                  <c:v>0.792913928721597</c:v>
                </c:pt>
                <c:pt idx="73">
                  <c:v>0.7930613189847</c:v>
                </c:pt>
                <c:pt idx="74">
                  <c:v>0.793200982432331</c:v>
                </c:pt>
                <c:pt idx="75">
                  <c:v>0.79333318078305</c:v>
                </c:pt>
                <c:pt idx="76">
                  <c:v>0.793458154205584</c:v>
                </c:pt>
                <c:pt idx="77">
                  <c:v>0.793576122786341</c:v>
                </c:pt>
                <c:pt idx="78">
                  <c:v>0.793687287918409</c:v>
                </c:pt>
                <c:pt idx="79">
                  <c:v>0.793791833558999</c:v>
                </c:pt>
                <c:pt idx="80">
                  <c:v>0.793889927417855</c:v>
                </c:pt>
                <c:pt idx="81">
                  <c:v>0.793981722048311</c:v>
                </c:pt>
                <c:pt idx="82">
                  <c:v>0.7940673558697</c:v>
                </c:pt>
                <c:pt idx="83">
                  <c:v>0.794146954120677</c:v>
                </c:pt>
                <c:pt idx="84">
                  <c:v>0.794220629747142</c:v>
                </c:pt>
                <c:pt idx="85">
                  <c:v>0.794288484231075</c:v>
                </c:pt>
                <c:pt idx="86">
                  <c:v>0.794350608361435</c:v>
                </c:pt>
                <c:pt idx="87">
                  <c:v>0.794407082949036</c:v>
                </c:pt>
                <c:pt idx="88">
                  <c:v>0.794457979493448</c:v>
                </c:pt>
                <c:pt idx="89">
                  <c:v>0.794503360789613</c:v>
                </c:pt>
                <c:pt idx="90">
                  <c:v>0.794543281486927</c:v>
                </c:pt>
                <c:pt idx="91">
                  <c:v>0.794577788590851</c:v>
                </c:pt>
                <c:pt idx="92">
                  <c:v>0.794606921912877</c:v>
                </c:pt>
                <c:pt idx="93">
                  <c:v>0.794630714463</c:v>
                </c:pt>
                <c:pt idx="94">
                  <c:v>0.79464919278533</c:v>
                </c:pt>
                <c:pt idx="95">
                  <c:v>0.794662377234924</c:v>
                </c:pt>
                <c:pt idx="96">
                  <c:v>0.794670281852201</c:v>
                </c:pt>
                <c:pt idx="97">
                  <c:v>0.79467291621464</c:v>
                </c:pt>
                <c:pt idx="98">
                  <c:v>0.794670281852201</c:v>
                </c:pt>
                <c:pt idx="99">
                  <c:v>0.794662377234924</c:v>
                </c:pt>
                <c:pt idx="100">
                  <c:v>0.79464919278533</c:v>
                </c:pt>
                <c:pt idx="101">
                  <c:v>0.794630714463</c:v>
                </c:pt>
                <c:pt idx="102">
                  <c:v>0.794606921912877</c:v>
                </c:pt>
                <c:pt idx="103">
                  <c:v>0.794577788590851</c:v>
                </c:pt>
                <c:pt idx="104">
                  <c:v>0.794543281486927</c:v>
                </c:pt>
                <c:pt idx="105">
                  <c:v>0.794503360789613</c:v>
                </c:pt>
                <c:pt idx="106">
                  <c:v>0.794457979493448</c:v>
                </c:pt>
                <c:pt idx="107">
                  <c:v>0.794407082949036</c:v>
                </c:pt>
                <c:pt idx="108">
                  <c:v>0.794350608361435</c:v>
                </c:pt>
                <c:pt idx="109">
                  <c:v>0.794288484231075</c:v>
                </c:pt>
                <c:pt idx="110">
                  <c:v>0.794220629747142</c:v>
                </c:pt>
                <c:pt idx="111">
                  <c:v>0.794146954120677</c:v>
                </c:pt>
                <c:pt idx="112">
                  <c:v>0.7940673558697</c:v>
                </c:pt>
                <c:pt idx="113">
                  <c:v>0.793981722048311</c:v>
                </c:pt>
                <c:pt idx="114">
                  <c:v>0.793889927417855</c:v>
                </c:pt>
                <c:pt idx="115">
                  <c:v>0.793791833558999</c:v>
                </c:pt>
                <c:pt idx="116">
                  <c:v>0.793687287918409</c:v>
                </c:pt>
                <c:pt idx="117">
                  <c:v>0.793576122786341</c:v>
                </c:pt>
                <c:pt idx="118">
                  <c:v>0.793458154205584</c:v>
                </c:pt>
                <c:pt idx="119">
                  <c:v>0.79333318078305</c:v>
                </c:pt>
                <c:pt idx="120">
                  <c:v>0.793200982432331</c:v>
                </c:pt>
                <c:pt idx="121">
                  <c:v>0.7930613189847</c:v>
                </c:pt>
                <c:pt idx="122">
                  <c:v>0.792913928721597</c:v>
                </c:pt>
                <c:pt idx="123">
                  <c:v>0.792758526746673</c:v>
                </c:pt>
                <c:pt idx="124">
                  <c:v>0.792594803245096</c:v>
                </c:pt>
                <c:pt idx="125">
                  <c:v>0.79242242156217</c:v>
                </c:pt>
                <c:pt idx="126">
                  <c:v>0.792241016110476</c:v>
                </c:pt>
                <c:pt idx="127">
                  <c:v>0.792050190085096</c:v>
                </c:pt>
                <c:pt idx="128">
                  <c:v>0.791849512941967</c:v>
                </c:pt>
                <c:pt idx="129">
                  <c:v>0.791638517625341</c:v>
                </c:pt>
                <c:pt idx="130">
                  <c:v>0.791416697514487</c:v>
                </c:pt>
                <c:pt idx="131">
                  <c:v>0.79118350302877</c:v>
                </c:pt>
                <c:pt idx="132">
                  <c:v>0.790938337914709</c:v>
                </c:pt>
                <c:pt idx="133">
                  <c:v>0.790680555054356</c:v>
                </c:pt>
                <c:pt idx="134">
                  <c:v>0.790409451878707</c:v>
                </c:pt>
                <c:pt idx="135">
                  <c:v>0.790124265221131</c:v>
                </c:pt>
                <c:pt idx="136">
                  <c:v>0.789824166703284</c:v>
                </c:pt>
                <c:pt idx="137">
                  <c:v>0.789508251875706</c:v>
                </c:pt>
                <c:pt idx="138">
                  <c:v>0.789175539561898</c:v>
                </c:pt>
                <c:pt idx="139">
                  <c:v>0.788824959537788</c:v>
                </c:pt>
                <c:pt idx="140">
                  <c:v>0.788455344505455</c:v>
                </c:pt>
                <c:pt idx="141">
                  <c:v>0.788065419876879</c:v>
                </c:pt>
                <c:pt idx="142">
                  <c:v>0.787653792238849</c:v>
                </c:pt>
                <c:pt idx="143">
                  <c:v>0.787218936300635</c:v>
                </c:pt>
                <c:pt idx="144">
                  <c:v>0.78675918009155</c:v>
                </c:pt>
                <c:pt idx="145">
                  <c:v>0.786272688134957</c:v>
                </c:pt>
                <c:pt idx="146">
                  <c:v>0.785757442275502</c:v>
                </c:pt>
                <c:pt idx="147">
                  <c:v>0.785211219777858</c:v>
                </c:pt>
                <c:pt idx="148">
                  <c:v>0.784631568243112</c:v>
                </c:pt>
                <c:pt idx="149">
                  <c:v>0.784015776802321</c:v>
                </c:pt>
                <c:pt idx="150">
                  <c:v>0.783360842941191</c:v>
                </c:pt>
                <c:pt idx="151">
                  <c:v>0.782663434180784</c:v>
                </c:pt>
                <c:pt idx="152">
                  <c:v>0.781919843680665</c:v>
                </c:pt>
                <c:pt idx="153">
                  <c:v>0.781125938636419</c:v>
                </c:pt>
                <c:pt idx="154">
                  <c:v>0.780277100102049</c:v>
                </c:pt>
                <c:pt idx="155">
                  <c:v>0.779368152569021</c:v>
                </c:pt>
                <c:pt idx="156">
                  <c:v>0.778393281260491</c:v>
                </c:pt>
                <c:pt idx="157">
                  <c:v>0.777345934632009</c:v>
                </c:pt>
                <c:pt idx="158">
                  <c:v>0.776218708982416</c:v>
                </c:pt>
                <c:pt idx="159">
                  <c:v>0.77500321133582</c:v>
                </c:pt>
                <c:pt idx="160">
                  <c:v>0.773689895812708</c:v>
                </c:pt>
                <c:pt idx="161">
                  <c:v>0.772267867505727</c:v>
                </c:pt>
                <c:pt idx="162">
                  <c:v>0.77072464633605</c:v>
                </c:pt>
                <c:pt idx="163">
                  <c:v>0.769045881384723</c:v>
                </c:pt>
                <c:pt idx="164">
                  <c:v>0.767215003635425</c:v>
                </c:pt>
                <c:pt idx="165">
                  <c:v>0.765212801749026</c:v>
                </c:pt>
                <c:pt idx="166">
                  <c:v>0.763016901179969</c:v>
                </c:pt>
                <c:pt idx="167">
                  <c:v>0.760601121331463</c:v>
                </c:pt>
                <c:pt idx="168">
                  <c:v>0.75793467813007</c:v>
                </c:pt>
                <c:pt idx="169">
                  <c:v>0.754981189885278</c:v>
                </c:pt>
                <c:pt idx="170">
                  <c:v>0.751697431975022</c:v>
                </c:pt>
                <c:pt idx="171">
                  <c:v>0.748031770101613</c:v>
                </c:pt>
                <c:pt idx="172">
                  <c:v>0.743922181967893</c:v>
                </c:pt>
                <c:pt idx="173">
                  <c:v>0.739293752968294</c:v>
                </c:pt>
                <c:pt idx="174">
                  <c:v>0.734055503650385</c:v>
                </c:pt>
                <c:pt idx="175">
                  <c:v>0.728096378545479</c:v>
                </c:pt>
                <c:pt idx="176">
                  <c:v>0.721280206262214</c:v>
                </c:pt>
                <c:pt idx="177">
                  <c:v>0.713439449625898</c:v>
                </c:pt>
                <c:pt idx="178">
                  <c:v>0.70436764484701</c:v>
                </c:pt>
                <c:pt idx="179">
                  <c:v>0.693810665756537</c:v>
                </c:pt>
                <c:pt idx="180">
                  <c:v>0.681457505469845</c:v>
                </c:pt>
                <c:pt idx="181">
                  <c:v>0.666932434858813</c:v>
                </c:pt>
                <c:pt idx="182">
                  <c:v>0.649792664226497</c:v>
                </c:pt>
                <c:pt idx="183">
                  <c:v>0.629539790651799</c:v>
                </c:pt>
                <c:pt idx="184">
                  <c:v>0.605660682155102</c:v>
                </c:pt>
                <c:pt idx="185">
                  <c:v>0.577727058511286</c:v>
                </c:pt>
                <c:pt idx="186">
                  <c:v>0.545612613063339</c:v>
                </c:pt>
                <c:pt idx="187">
                  <c:v>0.509967997760095</c:v>
                </c:pt>
                <c:pt idx="188">
                  <c:v>0.473364069451892</c:v>
                </c:pt>
                <c:pt idx="189">
                  <c:v>0.44355329363927</c:v>
                </c:pt>
                <c:pt idx="190">
                  <c:v>0.418097518658892</c:v>
                </c:pt>
                <c:pt idx="191">
                  <c:v>0.322010027331635</c:v>
                </c:pt>
                <c:pt idx="192">
                  <c:v>0.160975450964975</c:v>
                </c:pt>
                <c:pt idx="193">
                  <c:v>0.031725674602202</c:v>
                </c:pt>
                <c:pt idx="194">
                  <c:v>0.00491220919533101</c:v>
                </c:pt>
              </c:numCache>
            </c:numRef>
          </c:yVal>
          <c:smooth val="1"/>
          <c:extLst xmlns:c16r2="http://schemas.microsoft.com/office/drawing/2015/06/chart">
            <c:ext xmlns:c16="http://schemas.microsoft.com/office/drawing/2014/chart" uri="{C3380CC4-5D6E-409C-BE32-E72D297353CC}">
              <c16:uniqueId val="{00000000-1EE7-4414-B44E-A63547554419}"/>
            </c:ext>
          </c:extLst>
        </c:ser>
        <c:ser>
          <c:idx val="1"/>
          <c:order val="1"/>
          <c:tx>
            <c:strRef>
              <c:f>C4 Composition</c:f>
              <c:strCache>
                <c:ptCount val="1"/>
                <c:pt idx="0">
                  <c:v>C4 Composition</c:v>
                </c:pt>
              </c:strCache>
            </c:strRef>
          </c:tx>
          <c:marker>
            <c:symbol val="none"/>
          </c:marker>
          <c:xVal>
            <c:numRef>
              <c:f>Sheet1!$A$4:$A$198</c:f>
              <c:numCache>
                <c:formatCode>General</c:formatCode>
                <c:ptCount val="195"/>
                <c:pt idx="0">
                  <c:v>0.23435</c:v>
                </c:pt>
                <c:pt idx="1">
                  <c:v>0.335026804123711</c:v>
                </c:pt>
                <c:pt idx="2">
                  <c:v>0.435703608247422</c:v>
                </c:pt>
                <c:pt idx="3">
                  <c:v>0.536380412371133</c:v>
                </c:pt>
                <c:pt idx="4">
                  <c:v>0.637057216494845</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4.563452577319529</c:v>
                </c:pt>
                <c:pt idx="44">
                  <c:v>4.664129381443279</c:v>
                </c:pt>
                <c:pt idx="45">
                  <c:v>4.764806185566988</c:v>
                </c:pt>
                <c:pt idx="46">
                  <c:v>4.865482989690697</c:v>
                </c:pt>
                <c:pt idx="47">
                  <c:v>4.966159793814412</c:v>
                </c:pt>
                <c:pt idx="48">
                  <c:v>5.066836597938106</c:v>
                </c:pt>
                <c:pt idx="49">
                  <c:v>5.16751340206183</c:v>
                </c:pt>
                <c:pt idx="50">
                  <c:v>5.268190206185506</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c:v>
                </c:pt>
                <c:pt idx="83">
                  <c:v>8.590524742268</c:v>
                </c:pt>
                <c:pt idx="84">
                  <c:v>8.691201546391664</c:v>
                </c:pt>
                <c:pt idx="85">
                  <c:v>8.791878350515347</c:v>
                </c:pt>
                <c:pt idx="86">
                  <c:v>8.89255515463913</c:v>
                </c:pt>
                <c:pt idx="87">
                  <c:v>8.99323195876284</c:v>
                </c:pt>
                <c:pt idx="88">
                  <c:v>9.093908762886514</c:v>
                </c:pt>
                <c:pt idx="89">
                  <c:v>9.194585567010271</c:v>
                </c:pt>
                <c:pt idx="90">
                  <c:v>9.295262371133978</c:v>
                </c:pt>
                <c:pt idx="91">
                  <c:v>9.3959391752577</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16.94669948453572</c:v>
                </c:pt>
                <c:pt idx="167">
                  <c:v>17.0473762886598</c:v>
                </c:pt>
                <c:pt idx="168">
                  <c:v>17.1480530927835</c:v>
                </c:pt>
                <c:pt idx="169">
                  <c:v>17.24872989690692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19.06091237113372</c:v>
                </c:pt>
                <c:pt idx="188">
                  <c:v>19.1615891752577</c:v>
                </c:pt>
                <c:pt idx="189">
                  <c:v>19.26226597938138</c:v>
                </c:pt>
                <c:pt idx="190">
                  <c:v>19.36294278350508</c:v>
                </c:pt>
                <c:pt idx="191">
                  <c:v>19.46361958762852</c:v>
                </c:pt>
                <c:pt idx="192">
                  <c:v>19.5642963917525</c:v>
                </c:pt>
                <c:pt idx="193">
                  <c:v>19.66497319587621</c:v>
                </c:pt>
                <c:pt idx="194">
                  <c:v>19.76564999999983</c:v>
                </c:pt>
              </c:numCache>
            </c:numRef>
          </c:xVal>
          <c:yVal>
            <c:numRef>
              <c:f>Sheet1!$D$4:$D$198</c:f>
              <c:numCache>
                <c:formatCode>General</c:formatCode>
                <c:ptCount val="195"/>
                <c:pt idx="0">
                  <c:v>0.995087790804668</c:v>
                </c:pt>
                <c:pt idx="1">
                  <c:v>0.968274325397798</c:v>
                </c:pt>
                <c:pt idx="2">
                  <c:v>0.839024549035025</c:v>
                </c:pt>
                <c:pt idx="3">
                  <c:v>0.677989972668366</c:v>
                </c:pt>
                <c:pt idx="4">
                  <c:v>0.581902481341108</c:v>
                </c:pt>
                <c:pt idx="5">
                  <c:v>0.55644670636073</c:v>
                </c:pt>
                <c:pt idx="6">
                  <c:v>0.526635930548109</c:v>
                </c:pt>
                <c:pt idx="7">
                  <c:v>0.490032002239905</c:v>
                </c:pt>
                <c:pt idx="8">
                  <c:v>0.454387386936661</c:v>
                </c:pt>
                <c:pt idx="9">
                  <c:v>0.422272941488714</c:v>
                </c:pt>
                <c:pt idx="10">
                  <c:v>0.394339317844899</c:v>
                </c:pt>
                <c:pt idx="11">
                  <c:v>0.370460209348202</c:v>
                </c:pt>
                <c:pt idx="12">
                  <c:v>0.350207335773503</c:v>
                </c:pt>
                <c:pt idx="13">
                  <c:v>0.333067565141187</c:v>
                </c:pt>
                <c:pt idx="14">
                  <c:v>0.318542494530155</c:v>
                </c:pt>
                <c:pt idx="15">
                  <c:v>0.306189334243463</c:v>
                </c:pt>
                <c:pt idx="16">
                  <c:v>0.295632355152989</c:v>
                </c:pt>
                <c:pt idx="17">
                  <c:v>0.286560550374102</c:v>
                </c:pt>
                <c:pt idx="18">
                  <c:v>0.278719793737786</c:v>
                </c:pt>
                <c:pt idx="19">
                  <c:v>0.271903621454521</c:v>
                </c:pt>
                <c:pt idx="20">
                  <c:v>0.265944496349616</c:v>
                </c:pt>
                <c:pt idx="21">
                  <c:v>0.260706247031706</c:v>
                </c:pt>
                <c:pt idx="22">
                  <c:v>0.256077818032107</c:v>
                </c:pt>
                <c:pt idx="23">
                  <c:v>0.251968229898387</c:v>
                </c:pt>
                <c:pt idx="24">
                  <c:v>0.248302568024978</c:v>
                </c:pt>
                <c:pt idx="25">
                  <c:v>0.245018810114722</c:v>
                </c:pt>
                <c:pt idx="26">
                  <c:v>0.24206532186993</c:v>
                </c:pt>
                <c:pt idx="27">
                  <c:v>0.239398878668537</c:v>
                </c:pt>
                <c:pt idx="28">
                  <c:v>0.236983098820031</c:v>
                </c:pt>
                <c:pt idx="29">
                  <c:v>0.234787198250974</c:v>
                </c:pt>
                <c:pt idx="30">
                  <c:v>0.232784996364577</c:v>
                </c:pt>
                <c:pt idx="31">
                  <c:v>0.230954118615278</c:v>
                </c:pt>
                <c:pt idx="32">
                  <c:v>0.22927535366395</c:v>
                </c:pt>
                <c:pt idx="33">
                  <c:v>0.227732132494273</c:v>
                </c:pt>
                <c:pt idx="34">
                  <c:v>0.226310104187293</c:v>
                </c:pt>
                <c:pt idx="35">
                  <c:v>0.22499678866418</c:v>
                </c:pt>
                <c:pt idx="36">
                  <c:v>0.223781291017584</c:v>
                </c:pt>
                <c:pt idx="37">
                  <c:v>0.222654065367991</c:v>
                </c:pt>
                <c:pt idx="38">
                  <c:v>0.221606718739509</c:v>
                </c:pt>
                <c:pt idx="39">
                  <c:v>0.220631847430979</c:v>
                </c:pt>
                <c:pt idx="40">
                  <c:v>0.219722899897951</c:v>
                </c:pt>
                <c:pt idx="41">
                  <c:v>0.218874061363581</c:v>
                </c:pt>
                <c:pt idx="42">
                  <c:v>0.218080156319335</c:v>
                </c:pt>
                <c:pt idx="43">
                  <c:v>0.217336565819216</c:v>
                </c:pt>
                <c:pt idx="44">
                  <c:v>0.216639157058809</c:v>
                </c:pt>
                <c:pt idx="45">
                  <c:v>0.215984223197679</c:v>
                </c:pt>
                <c:pt idx="46">
                  <c:v>0.215368431756889</c:v>
                </c:pt>
                <c:pt idx="47">
                  <c:v>0.214788780222142</c:v>
                </c:pt>
                <c:pt idx="48">
                  <c:v>0.214242557724498</c:v>
                </c:pt>
                <c:pt idx="49">
                  <c:v>0.213727311865043</c:v>
                </c:pt>
                <c:pt idx="50">
                  <c:v>0.213240819908449</c:v>
                </c:pt>
                <c:pt idx="51">
                  <c:v>0.212781063699365</c:v>
                </c:pt>
                <c:pt idx="52">
                  <c:v>0.212346207761151</c:v>
                </c:pt>
                <c:pt idx="53">
                  <c:v>0.211934580123121</c:v>
                </c:pt>
                <c:pt idx="54">
                  <c:v>0.211544655494545</c:v>
                </c:pt>
                <c:pt idx="55">
                  <c:v>0.211175040462212</c:v>
                </c:pt>
                <c:pt idx="56">
                  <c:v>0.210824460438102</c:v>
                </c:pt>
                <c:pt idx="57">
                  <c:v>0.210491748124294</c:v>
                </c:pt>
                <c:pt idx="58">
                  <c:v>0.210175833296716</c:v>
                </c:pt>
                <c:pt idx="59">
                  <c:v>0.209875734778869</c:v>
                </c:pt>
                <c:pt idx="60">
                  <c:v>0.209590548121293</c:v>
                </c:pt>
                <c:pt idx="61">
                  <c:v>0.209319444945644</c:v>
                </c:pt>
                <c:pt idx="62">
                  <c:v>0.209061662085291</c:v>
                </c:pt>
                <c:pt idx="63">
                  <c:v>0.20881649697123</c:v>
                </c:pt>
                <c:pt idx="64">
                  <c:v>0.208583302485513</c:v>
                </c:pt>
                <c:pt idx="65">
                  <c:v>0.208361482374659</c:v>
                </c:pt>
                <c:pt idx="66">
                  <c:v>0.208150487058033</c:v>
                </c:pt>
                <c:pt idx="67">
                  <c:v>0.207949809914904</c:v>
                </c:pt>
                <c:pt idx="68">
                  <c:v>0.207758983889525</c:v>
                </c:pt>
                <c:pt idx="69">
                  <c:v>0.20757757843783</c:v>
                </c:pt>
                <c:pt idx="70">
                  <c:v>0.207405196754904</c:v>
                </c:pt>
                <c:pt idx="71">
                  <c:v>0.207241473253327</c:v>
                </c:pt>
                <c:pt idx="72">
                  <c:v>0.207086071278403</c:v>
                </c:pt>
                <c:pt idx="73">
                  <c:v>0.2069386810153</c:v>
                </c:pt>
                <c:pt idx="74">
                  <c:v>0.206799017567669</c:v>
                </c:pt>
                <c:pt idx="75">
                  <c:v>0.206666819216949</c:v>
                </c:pt>
                <c:pt idx="76">
                  <c:v>0.206541845794416</c:v>
                </c:pt>
                <c:pt idx="77">
                  <c:v>0.206423877213658</c:v>
                </c:pt>
                <c:pt idx="78">
                  <c:v>0.206312712081591</c:v>
                </c:pt>
                <c:pt idx="79">
                  <c:v>0.206208166441002</c:v>
                </c:pt>
                <c:pt idx="80">
                  <c:v>0.206110072582145</c:v>
                </c:pt>
                <c:pt idx="81">
                  <c:v>0.206018277951689</c:v>
                </c:pt>
                <c:pt idx="82">
                  <c:v>0.2059326441303</c:v>
                </c:pt>
                <c:pt idx="83">
                  <c:v>0.205853045879323</c:v>
                </c:pt>
                <c:pt idx="84">
                  <c:v>0.205779370252858</c:v>
                </c:pt>
                <c:pt idx="85">
                  <c:v>0.205711515768925</c:v>
                </c:pt>
                <c:pt idx="86">
                  <c:v>0.205649391638565</c:v>
                </c:pt>
                <c:pt idx="87">
                  <c:v>0.205592917050963</c:v>
                </c:pt>
                <c:pt idx="88">
                  <c:v>0.205542020506552</c:v>
                </c:pt>
                <c:pt idx="89">
                  <c:v>0.205496639210386</c:v>
                </c:pt>
                <c:pt idx="90">
                  <c:v>0.205456718513073</c:v>
                </c:pt>
                <c:pt idx="91">
                  <c:v>0.205422211409149</c:v>
                </c:pt>
                <c:pt idx="92">
                  <c:v>0.205393078087123</c:v>
                </c:pt>
                <c:pt idx="93">
                  <c:v>0.205369285537</c:v>
                </c:pt>
                <c:pt idx="94">
                  <c:v>0.20535080721467</c:v>
                </c:pt>
                <c:pt idx="95">
                  <c:v>0.205337622765076</c:v>
                </c:pt>
                <c:pt idx="96">
                  <c:v>0.205329718147799</c:v>
                </c:pt>
                <c:pt idx="97">
                  <c:v>0.205327083785361</c:v>
                </c:pt>
                <c:pt idx="98">
                  <c:v>0.205329718147799</c:v>
                </c:pt>
                <c:pt idx="99">
                  <c:v>0.205337622765076</c:v>
                </c:pt>
                <c:pt idx="100">
                  <c:v>0.20535080721467</c:v>
                </c:pt>
                <c:pt idx="101">
                  <c:v>0.205369285537</c:v>
                </c:pt>
                <c:pt idx="102">
                  <c:v>0.205393078087123</c:v>
                </c:pt>
                <c:pt idx="103">
                  <c:v>0.205422211409149</c:v>
                </c:pt>
                <c:pt idx="104">
                  <c:v>0.205456718513073</c:v>
                </c:pt>
                <c:pt idx="105">
                  <c:v>0.205496639210386</c:v>
                </c:pt>
                <c:pt idx="106">
                  <c:v>0.205542020506552</c:v>
                </c:pt>
                <c:pt idx="107">
                  <c:v>0.205592917050963</c:v>
                </c:pt>
                <c:pt idx="108">
                  <c:v>0.205649391638565</c:v>
                </c:pt>
                <c:pt idx="109">
                  <c:v>0.205711515768925</c:v>
                </c:pt>
                <c:pt idx="110">
                  <c:v>0.205779370252858</c:v>
                </c:pt>
                <c:pt idx="111">
                  <c:v>0.205853045879323</c:v>
                </c:pt>
                <c:pt idx="112">
                  <c:v>0.2059326441303</c:v>
                </c:pt>
                <c:pt idx="113">
                  <c:v>0.206018277951689</c:v>
                </c:pt>
                <c:pt idx="114">
                  <c:v>0.206110072582145</c:v>
                </c:pt>
                <c:pt idx="115">
                  <c:v>0.206208166441002</c:v>
                </c:pt>
                <c:pt idx="116">
                  <c:v>0.206312712081591</c:v>
                </c:pt>
                <c:pt idx="117">
                  <c:v>0.206423877213658</c:v>
                </c:pt>
                <c:pt idx="118">
                  <c:v>0.206541845794416</c:v>
                </c:pt>
                <c:pt idx="119">
                  <c:v>0.206666819216949</c:v>
                </c:pt>
                <c:pt idx="120">
                  <c:v>0.206799017567669</c:v>
                </c:pt>
                <c:pt idx="121">
                  <c:v>0.2069386810153</c:v>
                </c:pt>
                <c:pt idx="122">
                  <c:v>0.207086071278403</c:v>
                </c:pt>
                <c:pt idx="123">
                  <c:v>0.207241473253327</c:v>
                </c:pt>
                <c:pt idx="124">
                  <c:v>0.207405196754904</c:v>
                </c:pt>
                <c:pt idx="125">
                  <c:v>0.20757757843783</c:v>
                </c:pt>
                <c:pt idx="126">
                  <c:v>0.207758983889525</c:v>
                </c:pt>
                <c:pt idx="127">
                  <c:v>0.207949809914904</c:v>
                </c:pt>
                <c:pt idx="128">
                  <c:v>0.208150487058033</c:v>
                </c:pt>
                <c:pt idx="129">
                  <c:v>0.208361482374659</c:v>
                </c:pt>
                <c:pt idx="130">
                  <c:v>0.208583302485513</c:v>
                </c:pt>
                <c:pt idx="131">
                  <c:v>0.20881649697123</c:v>
                </c:pt>
                <c:pt idx="132">
                  <c:v>0.209061662085291</c:v>
                </c:pt>
                <c:pt idx="133">
                  <c:v>0.209319444945644</c:v>
                </c:pt>
                <c:pt idx="134">
                  <c:v>0.209590548121293</c:v>
                </c:pt>
                <c:pt idx="135">
                  <c:v>0.209875734778869</c:v>
                </c:pt>
                <c:pt idx="136">
                  <c:v>0.210175833296716</c:v>
                </c:pt>
                <c:pt idx="137">
                  <c:v>0.210491748124294</c:v>
                </c:pt>
                <c:pt idx="138">
                  <c:v>0.210824460438102</c:v>
                </c:pt>
                <c:pt idx="139">
                  <c:v>0.211175040462212</c:v>
                </c:pt>
                <c:pt idx="140">
                  <c:v>0.211544655494545</c:v>
                </c:pt>
                <c:pt idx="141">
                  <c:v>0.211934580123121</c:v>
                </c:pt>
                <c:pt idx="142">
                  <c:v>0.212346207761151</c:v>
                </c:pt>
                <c:pt idx="143">
                  <c:v>0.212781063699365</c:v>
                </c:pt>
                <c:pt idx="144">
                  <c:v>0.213240819908449</c:v>
                </c:pt>
                <c:pt idx="145">
                  <c:v>0.213727311865043</c:v>
                </c:pt>
                <c:pt idx="146">
                  <c:v>0.214242557724498</c:v>
                </c:pt>
                <c:pt idx="147">
                  <c:v>0.214788780222142</c:v>
                </c:pt>
                <c:pt idx="148">
                  <c:v>0.215368431756889</c:v>
                </c:pt>
                <c:pt idx="149">
                  <c:v>0.215984223197679</c:v>
                </c:pt>
                <c:pt idx="150">
                  <c:v>0.216639157058809</c:v>
                </c:pt>
                <c:pt idx="151">
                  <c:v>0.217336565819216</c:v>
                </c:pt>
                <c:pt idx="152">
                  <c:v>0.218080156319335</c:v>
                </c:pt>
                <c:pt idx="153">
                  <c:v>0.218874061363581</c:v>
                </c:pt>
                <c:pt idx="154">
                  <c:v>0.219722899897951</c:v>
                </c:pt>
                <c:pt idx="155">
                  <c:v>0.220631847430979</c:v>
                </c:pt>
                <c:pt idx="156">
                  <c:v>0.221606718739509</c:v>
                </c:pt>
                <c:pt idx="157">
                  <c:v>0.222654065367991</c:v>
                </c:pt>
                <c:pt idx="158">
                  <c:v>0.223781291017584</c:v>
                </c:pt>
                <c:pt idx="159">
                  <c:v>0.22499678866418</c:v>
                </c:pt>
                <c:pt idx="160">
                  <c:v>0.226310104187293</c:v>
                </c:pt>
                <c:pt idx="161">
                  <c:v>0.227732132494273</c:v>
                </c:pt>
                <c:pt idx="162">
                  <c:v>0.22927535366395</c:v>
                </c:pt>
                <c:pt idx="163">
                  <c:v>0.230954118615278</c:v>
                </c:pt>
                <c:pt idx="164">
                  <c:v>0.232784996364577</c:v>
                </c:pt>
                <c:pt idx="165">
                  <c:v>0.234787198250974</c:v>
                </c:pt>
                <c:pt idx="166">
                  <c:v>0.236983098820031</c:v>
                </c:pt>
                <c:pt idx="167">
                  <c:v>0.239398878668537</c:v>
                </c:pt>
                <c:pt idx="168">
                  <c:v>0.24206532186993</c:v>
                </c:pt>
                <c:pt idx="169">
                  <c:v>0.245018810114722</c:v>
                </c:pt>
                <c:pt idx="170">
                  <c:v>0.248302568024978</c:v>
                </c:pt>
                <c:pt idx="171">
                  <c:v>0.251968229898387</c:v>
                </c:pt>
                <c:pt idx="172">
                  <c:v>0.256077818032107</c:v>
                </c:pt>
                <c:pt idx="173">
                  <c:v>0.260706247031706</c:v>
                </c:pt>
                <c:pt idx="174">
                  <c:v>0.265944496349616</c:v>
                </c:pt>
                <c:pt idx="175">
                  <c:v>0.271903621454521</c:v>
                </c:pt>
                <c:pt idx="176">
                  <c:v>0.278719793737786</c:v>
                </c:pt>
                <c:pt idx="177">
                  <c:v>0.286560550374102</c:v>
                </c:pt>
                <c:pt idx="178">
                  <c:v>0.295632355152989</c:v>
                </c:pt>
                <c:pt idx="179">
                  <c:v>0.306189334243463</c:v>
                </c:pt>
                <c:pt idx="180">
                  <c:v>0.318542494530155</c:v>
                </c:pt>
                <c:pt idx="181">
                  <c:v>0.333067565141187</c:v>
                </c:pt>
                <c:pt idx="182">
                  <c:v>0.350207335773503</c:v>
                </c:pt>
                <c:pt idx="183">
                  <c:v>0.370460209348202</c:v>
                </c:pt>
                <c:pt idx="184">
                  <c:v>0.394339317844899</c:v>
                </c:pt>
                <c:pt idx="185">
                  <c:v>0.422272941488714</c:v>
                </c:pt>
                <c:pt idx="186">
                  <c:v>0.454387386936661</c:v>
                </c:pt>
                <c:pt idx="187">
                  <c:v>0.490032002239905</c:v>
                </c:pt>
                <c:pt idx="188">
                  <c:v>0.526635930548109</c:v>
                </c:pt>
                <c:pt idx="189">
                  <c:v>0.55644670636073</c:v>
                </c:pt>
                <c:pt idx="190">
                  <c:v>0.581902481341108</c:v>
                </c:pt>
                <c:pt idx="191">
                  <c:v>0.677989972668366</c:v>
                </c:pt>
                <c:pt idx="192">
                  <c:v>0.839024549035025</c:v>
                </c:pt>
                <c:pt idx="193">
                  <c:v>0.968274325397798</c:v>
                </c:pt>
                <c:pt idx="194">
                  <c:v>0.995087790804668</c:v>
                </c:pt>
              </c:numCache>
            </c:numRef>
          </c:yVal>
          <c:smooth val="1"/>
          <c:extLst xmlns:c16r2="http://schemas.microsoft.com/office/drawing/2015/06/chart">
            <c:ext xmlns:c16="http://schemas.microsoft.com/office/drawing/2014/chart" uri="{C3380CC4-5D6E-409C-BE32-E72D297353CC}">
              <c16:uniqueId val="{00000001-1EE7-4414-B44E-A63547554419}"/>
            </c:ext>
          </c:extLst>
        </c:ser>
        <c:dLbls>
          <c:showLegendKey val="0"/>
          <c:showVal val="0"/>
          <c:showCatName val="0"/>
          <c:showSerName val="0"/>
          <c:showPercent val="0"/>
          <c:showBubbleSize val="0"/>
        </c:dLbls>
        <c:axId val="2097499952"/>
        <c:axId val="-1896902592"/>
      </c:scatterChart>
      <c:valAx>
        <c:axId val="2097499952"/>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t>Distance to the left wall</a:t>
                </a:r>
                <a:r>
                  <a:rPr lang="en-US" sz="1200" b="0" baseline="0"/>
                  <a:t> (</a:t>
                </a:r>
                <a:r>
                  <a:rPr lang="en-US" sz="1200" b="0"/>
                  <a:t>nm)</a:t>
                </a:r>
              </a:p>
            </c:rich>
          </c:tx>
          <c:layout>
            <c:manualLayout>
              <c:xMode val="edge"/>
              <c:yMode val="edge"/>
              <c:x val="0.345740158442784"/>
              <c:y val="0.9406053149606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1896902592"/>
        <c:crosses val="autoZero"/>
        <c:crossBetween val="midCat"/>
      </c:valAx>
      <c:valAx>
        <c:axId val="-1896902592"/>
        <c:scaling>
          <c:orientation val="minMax"/>
          <c:max val="1.0"/>
          <c:min val="0.0"/>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t>Composition (fraction)</a:t>
                </a:r>
              </a:p>
            </c:rich>
          </c:tx>
          <c:layout>
            <c:manualLayout>
              <c:xMode val="edge"/>
              <c:yMode val="edge"/>
              <c:x val="0.0158982989721705"/>
              <c:y val="0.29752642582208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97499952"/>
        <c:crosses val="autoZero"/>
        <c:crossBetween val="midCat"/>
      </c:valAx>
      <c:spPr>
        <a:ln>
          <a:solidFill>
            <a:schemeClr val="tx1"/>
          </a:solidFill>
        </a:ln>
      </c:spPr>
    </c:plotArea>
    <c:legend>
      <c:legendPos val="r"/>
      <c:layout>
        <c:manualLayout>
          <c:xMode val="edge"/>
          <c:yMode val="edge"/>
          <c:x val="0.425140291161402"/>
          <c:y val="0.346483928976727"/>
          <c:w val="0.26368771197784"/>
          <c:h val="0.139099333737129"/>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ln w="9525" cap="flat" cmpd="sng" algn="ctr">
      <a:noFill/>
      <a:prstDash val="solid"/>
      <a:round/>
    </a:ln>
  </c:spPr>
  <c:txPr>
    <a:bodyPr/>
    <a:lstStyle/>
    <a:p>
      <a:pPr>
        <a:defRPr lang="zh-CN">
          <a:latin typeface="Times New Roman" panose="02020603050405020304" charset="0"/>
          <a:cs typeface="Times New Roman" panose="02020603050405020304"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335418534909"/>
          <c:y val="0.043369217519685"/>
          <c:w val="0.799552683705715"/>
          <c:h val="0.826721825787402"/>
        </c:manualLayout>
      </c:layout>
      <c:scatterChart>
        <c:scatterStyle val="smoothMarker"/>
        <c:varyColors val="0"/>
        <c:ser>
          <c:idx val="0"/>
          <c:order val="0"/>
          <c:tx>
            <c:strRef>
              <c:f>Mixture Density Profile</c:f>
              <c:strCache>
                <c:ptCount val="1"/>
                <c:pt idx="0">
                  <c:v>Mixture Density Profile</c:v>
                </c:pt>
              </c:strCache>
            </c:strRef>
          </c:tx>
          <c:marker>
            <c:symbol val="none"/>
          </c:marker>
          <c:xVal>
            <c:numRef>
              <c:f>Sheet1!$A$4:$A$198</c:f>
              <c:numCache>
                <c:formatCode>General</c:formatCode>
                <c:ptCount val="195"/>
                <c:pt idx="0">
                  <c:v>0.23435</c:v>
                </c:pt>
                <c:pt idx="1">
                  <c:v>0.335026804123711</c:v>
                </c:pt>
                <c:pt idx="2">
                  <c:v>0.435703608247422</c:v>
                </c:pt>
                <c:pt idx="3">
                  <c:v>0.536380412371133</c:v>
                </c:pt>
                <c:pt idx="4">
                  <c:v>0.637057216494845</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4.563452577319529</c:v>
                </c:pt>
                <c:pt idx="44">
                  <c:v>4.664129381443279</c:v>
                </c:pt>
                <c:pt idx="45">
                  <c:v>4.764806185566988</c:v>
                </c:pt>
                <c:pt idx="46">
                  <c:v>4.865482989690697</c:v>
                </c:pt>
                <c:pt idx="47">
                  <c:v>4.966159793814412</c:v>
                </c:pt>
                <c:pt idx="48">
                  <c:v>5.066836597938106</c:v>
                </c:pt>
                <c:pt idx="49">
                  <c:v>5.16751340206183</c:v>
                </c:pt>
                <c:pt idx="50">
                  <c:v>5.268190206185506</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c:v>
                </c:pt>
                <c:pt idx="83">
                  <c:v>8.590524742268</c:v>
                </c:pt>
                <c:pt idx="84">
                  <c:v>8.691201546391664</c:v>
                </c:pt>
                <c:pt idx="85">
                  <c:v>8.791878350515347</c:v>
                </c:pt>
                <c:pt idx="86">
                  <c:v>8.89255515463913</c:v>
                </c:pt>
                <c:pt idx="87">
                  <c:v>8.99323195876284</c:v>
                </c:pt>
                <c:pt idx="88">
                  <c:v>9.093908762886514</c:v>
                </c:pt>
                <c:pt idx="89">
                  <c:v>9.194585567010271</c:v>
                </c:pt>
                <c:pt idx="90">
                  <c:v>9.295262371133978</c:v>
                </c:pt>
                <c:pt idx="91">
                  <c:v>9.3959391752577</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16.94669948453572</c:v>
                </c:pt>
                <c:pt idx="167">
                  <c:v>17.0473762886598</c:v>
                </c:pt>
                <c:pt idx="168">
                  <c:v>17.1480530927835</c:v>
                </c:pt>
                <c:pt idx="169">
                  <c:v>17.24872989690692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19.06091237113372</c:v>
                </c:pt>
                <c:pt idx="188">
                  <c:v>19.1615891752577</c:v>
                </c:pt>
                <c:pt idx="189">
                  <c:v>19.26226597938138</c:v>
                </c:pt>
                <c:pt idx="190">
                  <c:v>19.36294278350508</c:v>
                </c:pt>
                <c:pt idx="191">
                  <c:v>19.46361958762852</c:v>
                </c:pt>
                <c:pt idx="192">
                  <c:v>19.5642963917525</c:v>
                </c:pt>
                <c:pt idx="193">
                  <c:v>19.66497319587621</c:v>
                </c:pt>
                <c:pt idx="194">
                  <c:v>19.76564999999983</c:v>
                </c:pt>
              </c:numCache>
            </c:numRef>
          </c:xVal>
          <c:yVal>
            <c:numRef>
              <c:f>Sheet1!$B$4:$B$198</c:f>
              <c:numCache>
                <c:formatCode>General</c:formatCode>
                <c:ptCount val="195"/>
                <c:pt idx="0">
                  <c:v>0.013844784056757</c:v>
                </c:pt>
                <c:pt idx="1">
                  <c:v>0.014010973827029</c:v>
                </c:pt>
                <c:pt idx="2">
                  <c:v>0.014551048957922</c:v>
                </c:pt>
                <c:pt idx="3">
                  <c:v>0.01486729000355</c:v>
                </c:pt>
                <c:pt idx="4">
                  <c:v>0.014806532893469</c:v>
                </c:pt>
                <c:pt idx="5">
                  <c:v>0.014521198070703</c:v>
                </c:pt>
                <c:pt idx="6">
                  <c:v>0.014258041673671</c:v>
                </c:pt>
                <c:pt idx="7">
                  <c:v>0.013996092436872</c:v>
                </c:pt>
                <c:pt idx="8">
                  <c:v>0.013729597142989</c:v>
                </c:pt>
                <c:pt idx="9">
                  <c:v>0.013465459802219</c:v>
                </c:pt>
                <c:pt idx="10">
                  <c:v>0.013211594574325</c:v>
                </c:pt>
                <c:pt idx="11">
                  <c:v>0.012973757638115</c:v>
                </c:pt>
                <c:pt idx="12">
                  <c:v>0.012755105346597</c:v>
                </c:pt>
                <c:pt idx="13">
                  <c:v>0.012556675295401</c:v>
                </c:pt>
                <c:pt idx="14">
                  <c:v>0.012378071587582</c:v>
                </c:pt>
                <c:pt idx="15">
                  <c:v>0.012218065024476</c:v>
                </c:pt>
                <c:pt idx="16">
                  <c:v>0.01207502669108</c:v>
                </c:pt>
                <c:pt idx="17">
                  <c:v>0.011947205379975</c:v>
                </c:pt>
                <c:pt idx="18">
                  <c:v>0.011832888067573</c:v>
                </c:pt>
                <c:pt idx="19">
                  <c:v>0.011730482672534</c:v>
                </c:pt>
                <c:pt idx="20">
                  <c:v>0.011638553196571</c:v>
                </c:pt>
                <c:pt idx="21">
                  <c:v>0.011555827623375</c:v>
                </c:pt>
                <c:pt idx="22">
                  <c:v>0.011481191375388</c:v>
                </c:pt>
                <c:pt idx="23">
                  <c:v>0.011413673950305</c:v>
                </c:pt>
                <c:pt idx="24">
                  <c:v>0.01135243306747</c:v>
                </c:pt>
                <c:pt idx="25">
                  <c:v>0.011296738657202</c:v>
                </c:pt>
                <c:pt idx="26">
                  <c:v>0.011245957856375</c:v>
                </c:pt>
                <c:pt idx="27">
                  <c:v>0.01119954151068</c:v>
                </c:pt>
                <c:pt idx="28">
                  <c:v>0.011157012322297</c:v>
                </c:pt>
                <c:pt idx="29">
                  <c:v>0.011117954595035</c:v>
                </c:pt>
                <c:pt idx="30">
                  <c:v>0.011082005441557</c:v>
                </c:pt>
                <c:pt idx="31">
                  <c:v>0.011048847284588</c:v>
                </c:pt>
                <c:pt idx="32">
                  <c:v>0.011018201480307</c:v>
                </c:pt>
                <c:pt idx="33">
                  <c:v>0.010989822902682</c:v>
                </c:pt>
                <c:pt idx="34">
                  <c:v>0.010963495344249</c:v>
                </c:pt>
                <c:pt idx="35">
                  <c:v>0.010939027607311</c:v>
                </c:pt>
                <c:pt idx="36">
                  <c:v>0.010916250177495</c:v>
                </c:pt>
                <c:pt idx="37">
                  <c:v>0.01089501238795</c:v>
                </c:pt>
                <c:pt idx="38">
                  <c:v>0.010875179996941</c:v>
                </c:pt>
                <c:pt idx="39">
                  <c:v>0.010856633113969</c:v>
                </c:pt>
                <c:pt idx="40">
                  <c:v>0.01083926442011</c:v>
                </c:pt>
                <c:pt idx="41">
                  <c:v>0.01082297763712</c:v>
                </c:pt>
                <c:pt idx="42">
                  <c:v>0.010807686207306</c:v>
                </c:pt>
                <c:pt idx="43">
                  <c:v>0.010793312152297</c:v>
                </c:pt>
                <c:pt idx="44">
                  <c:v>0.010779785084069</c:v>
                </c:pt>
                <c:pt idx="45">
                  <c:v>0.010767041345779</c:v>
                </c:pt>
                <c:pt idx="46">
                  <c:v>0.010755023263607</c:v>
                </c:pt>
                <c:pt idx="47">
                  <c:v>0.010743678493685</c:v>
                </c:pt>
                <c:pt idx="48">
                  <c:v>0.010732959450744</c:v>
                </c:pt>
                <c:pt idx="49">
                  <c:v>0.010722822807094</c:v>
                </c:pt>
                <c:pt idx="50">
                  <c:v>0.01071322905232</c:v>
                </c:pt>
                <c:pt idx="51">
                  <c:v>0.010704142105518</c:v>
                </c:pt>
                <c:pt idx="52">
                  <c:v>0.010695528973064</c:v>
                </c:pt>
                <c:pt idx="53">
                  <c:v>0.010687359445974</c:v>
                </c:pt>
                <c:pt idx="54">
                  <c:v>0.010679605831748</c:v>
                </c:pt>
                <c:pt idx="55">
                  <c:v>0.010672242716301</c:v>
                </c:pt>
                <c:pt idx="56">
                  <c:v>0.010665246752222</c:v>
                </c:pt>
                <c:pt idx="57">
                  <c:v>0.01065859647011</c:v>
                </c:pt>
                <c:pt idx="58">
                  <c:v>0.010652272110161</c:v>
                </c:pt>
                <c:pt idx="59">
                  <c:v>0.010646255493164</c:v>
                </c:pt>
                <c:pt idx="60">
                  <c:v>0.010640529797397</c:v>
                </c:pt>
                <c:pt idx="61">
                  <c:v>0.010635079572978</c:v>
                </c:pt>
                <c:pt idx="62">
                  <c:v>0.010629890541003</c:v>
                </c:pt>
                <c:pt idx="63">
                  <c:v>0.010624949518992</c:v>
                </c:pt>
                <c:pt idx="64">
                  <c:v>0.010620244332584</c:v>
                </c:pt>
                <c:pt idx="65">
                  <c:v>0.01061576373648</c:v>
                </c:pt>
                <c:pt idx="66">
                  <c:v>0.010611497341593</c:v>
                </c:pt>
                <c:pt idx="67">
                  <c:v>0.010607435550362</c:v>
                </c:pt>
                <c:pt idx="68">
                  <c:v>0.010603569497162</c:v>
                </c:pt>
                <c:pt idx="69">
                  <c:v>0.010599890994487</c:v>
                </c:pt>
                <c:pt idx="70">
                  <c:v>0.010596392483822</c:v>
                </c:pt>
                <c:pt idx="71">
                  <c:v>0.010593066990725</c:v>
                </c:pt>
                <c:pt idx="72">
                  <c:v>0.010589908083955</c:v>
                </c:pt>
                <c:pt idx="73">
                  <c:v>0.010586909837822</c:v>
                </c:pt>
                <c:pt idx="74">
                  <c:v>0.010584066797438</c:v>
                </c:pt>
                <c:pt idx="75">
                  <c:v>0.010581373947117</c:v>
                </c:pt>
                <c:pt idx="76">
                  <c:v>0.010578826680615</c:v>
                </c:pt>
                <c:pt idx="77">
                  <c:v>0.010576420774236</c:v>
                </c:pt>
                <c:pt idx="78">
                  <c:v>0.010574152361166</c:v>
                </c:pt>
                <c:pt idx="79">
                  <c:v>0.010572017908186</c:v>
                </c:pt>
                <c:pt idx="80">
                  <c:v>0.010570014193492</c:v>
                </c:pt>
                <c:pt idx="81">
                  <c:v>0.010568138286268</c:v>
                </c:pt>
                <c:pt idx="82">
                  <c:v>0.010566387527422</c:v>
                </c:pt>
                <c:pt idx="83">
                  <c:v>0.010564759511534</c:v>
                </c:pt>
                <c:pt idx="84">
                  <c:v>0.010563252069968</c:v>
                </c:pt>
                <c:pt idx="85">
                  <c:v>0.010561863255022</c:v>
                </c:pt>
                <c:pt idx="86">
                  <c:v>0.010560591325124</c:v>
                </c:pt>
                <c:pt idx="87">
                  <c:v>0.010559434731045</c:v>
                </c:pt>
                <c:pt idx="88">
                  <c:v>0.01055839210298</c:v>
                </c:pt>
                <c:pt idx="89">
                  <c:v>0.010557462238755</c:v>
                </c:pt>
                <c:pt idx="90">
                  <c:v>0.010556644092916</c:v>
                </c:pt>
                <c:pt idx="91">
                  <c:v>0.01055593676692</c:v>
                </c:pt>
                <c:pt idx="92">
                  <c:v>0.010555339500299</c:v>
                </c:pt>
                <c:pt idx="93">
                  <c:v>0.010554851662939</c:v>
                </c:pt>
                <c:pt idx="94">
                  <c:v>0.010554472748466</c:v>
                </c:pt>
                <c:pt idx="95">
                  <c:v>0.010554202368778</c:v>
                </c:pt>
                <c:pt idx="96">
                  <c:v>0.010554040257157</c:v>
                </c:pt>
                <c:pt idx="97">
                  <c:v>0.010553986228526</c:v>
                </c:pt>
                <c:pt idx="98">
                  <c:v>0.010554040257157</c:v>
                </c:pt>
                <c:pt idx="99">
                  <c:v>0.010554202368778</c:v>
                </c:pt>
                <c:pt idx="100">
                  <c:v>0.010554472748466</c:v>
                </c:pt>
                <c:pt idx="101">
                  <c:v>0.010554851662939</c:v>
                </c:pt>
                <c:pt idx="102">
                  <c:v>0.010555339500299</c:v>
                </c:pt>
                <c:pt idx="103">
                  <c:v>0.01055593676692</c:v>
                </c:pt>
                <c:pt idx="104">
                  <c:v>0.010556644092916</c:v>
                </c:pt>
                <c:pt idx="105">
                  <c:v>0.010557462238755</c:v>
                </c:pt>
                <c:pt idx="106">
                  <c:v>0.01055839210298</c:v>
                </c:pt>
                <c:pt idx="107">
                  <c:v>0.010559434731045</c:v>
                </c:pt>
                <c:pt idx="108">
                  <c:v>0.010560591325124</c:v>
                </c:pt>
                <c:pt idx="109">
                  <c:v>0.010561863255022</c:v>
                </c:pt>
                <c:pt idx="110">
                  <c:v>0.010563252069968</c:v>
                </c:pt>
                <c:pt idx="111">
                  <c:v>0.010564759511534</c:v>
                </c:pt>
                <c:pt idx="112">
                  <c:v>0.010566387527422</c:v>
                </c:pt>
                <c:pt idx="113">
                  <c:v>0.010568138286268</c:v>
                </c:pt>
                <c:pt idx="114">
                  <c:v>0.010570014193492</c:v>
                </c:pt>
                <c:pt idx="115">
                  <c:v>0.010572017908186</c:v>
                </c:pt>
                <c:pt idx="116">
                  <c:v>0.010574152361166</c:v>
                </c:pt>
                <c:pt idx="117">
                  <c:v>0.010576420774236</c:v>
                </c:pt>
                <c:pt idx="118">
                  <c:v>0.010578826680615</c:v>
                </c:pt>
                <c:pt idx="119">
                  <c:v>0.010581373947117</c:v>
                </c:pt>
                <c:pt idx="120">
                  <c:v>0.010584066797438</c:v>
                </c:pt>
                <c:pt idx="121">
                  <c:v>0.010586909837822</c:v>
                </c:pt>
                <c:pt idx="122">
                  <c:v>0.010589908083955</c:v>
                </c:pt>
                <c:pt idx="123">
                  <c:v>0.010593066990725</c:v>
                </c:pt>
                <c:pt idx="124">
                  <c:v>0.010596392483822</c:v>
                </c:pt>
                <c:pt idx="125">
                  <c:v>0.010599890994487</c:v>
                </c:pt>
                <c:pt idx="126">
                  <c:v>0.010603569497162</c:v>
                </c:pt>
                <c:pt idx="127">
                  <c:v>0.010607435550362</c:v>
                </c:pt>
                <c:pt idx="128">
                  <c:v>0.010611497341593</c:v>
                </c:pt>
                <c:pt idx="129">
                  <c:v>0.01061576373648</c:v>
                </c:pt>
                <c:pt idx="130">
                  <c:v>0.010620244332584</c:v>
                </c:pt>
                <c:pt idx="131">
                  <c:v>0.010624949518992</c:v>
                </c:pt>
                <c:pt idx="132">
                  <c:v>0.010629890541003</c:v>
                </c:pt>
                <c:pt idx="133">
                  <c:v>0.010635079572978</c:v>
                </c:pt>
                <c:pt idx="134">
                  <c:v>0.010640529797397</c:v>
                </c:pt>
                <c:pt idx="135">
                  <c:v>0.010646255493164</c:v>
                </c:pt>
                <c:pt idx="136">
                  <c:v>0.010652272110161</c:v>
                </c:pt>
                <c:pt idx="137">
                  <c:v>0.01065859647011</c:v>
                </c:pt>
                <c:pt idx="138">
                  <c:v>0.010665246752222</c:v>
                </c:pt>
                <c:pt idx="139">
                  <c:v>0.010672242716301</c:v>
                </c:pt>
                <c:pt idx="140">
                  <c:v>0.010679605831748</c:v>
                </c:pt>
                <c:pt idx="141">
                  <c:v>0.010687359445974</c:v>
                </c:pt>
                <c:pt idx="142">
                  <c:v>0.010695528973064</c:v>
                </c:pt>
                <c:pt idx="143">
                  <c:v>0.010704142105518</c:v>
                </c:pt>
                <c:pt idx="144">
                  <c:v>0.01071322905232</c:v>
                </c:pt>
                <c:pt idx="145">
                  <c:v>0.010722822807094</c:v>
                </c:pt>
                <c:pt idx="146">
                  <c:v>0.010732959450744</c:v>
                </c:pt>
                <c:pt idx="147">
                  <c:v>0.010743678493685</c:v>
                </c:pt>
                <c:pt idx="148">
                  <c:v>0.010755023263607</c:v>
                </c:pt>
                <c:pt idx="149">
                  <c:v>0.010767041345779</c:v>
                </c:pt>
                <c:pt idx="150">
                  <c:v>0.010779785084069</c:v>
                </c:pt>
                <c:pt idx="151">
                  <c:v>0.010793312152297</c:v>
                </c:pt>
                <c:pt idx="152">
                  <c:v>0.010807686207306</c:v>
                </c:pt>
                <c:pt idx="153">
                  <c:v>0.01082297763712</c:v>
                </c:pt>
                <c:pt idx="154">
                  <c:v>0.01083926442011</c:v>
                </c:pt>
                <c:pt idx="155">
                  <c:v>0.010856633113969</c:v>
                </c:pt>
                <c:pt idx="156">
                  <c:v>0.010875179996941</c:v>
                </c:pt>
                <c:pt idx="157">
                  <c:v>0.01089501238795</c:v>
                </c:pt>
                <c:pt idx="158">
                  <c:v>0.010916250177495</c:v>
                </c:pt>
                <c:pt idx="159">
                  <c:v>0.010939027607311</c:v>
                </c:pt>
                <c:pt idx="160">
                  <c:v>0.010963495344249</c:v>
                </c:pt>
                <c:pt idx="161">
                  <c:v>0.010989822902682</c:v>
                </c:pt>
                <c:pt idx="162">
                  <c:v>0.011018201480307</c:v>
                </c:pt>
                <c:pt idx="163">
                  <c:v>0.011048847284588</c:v>
                </c:pt>
                <c:pt idx="164">
                  <c:v>0.011082005441557</c:v>
                </c:pt>
                <c:pt idx="165">
                  <c:v>0.011117954595035</c:v>
                </c:pt>
                <c:pt idx="166">
                  <c:v>0.011157012322297</c:v>
                </c:pt>
                <c:pt idx="167">
                  <c:v>0.01119954151068</c:v>
                </c:pt>
                <c:pt idx="168">
                  <c:v>0.011245957856375</c:v>
                </c:pt>
                <c:pt idx="169">
                  <c:v>0.011296738657202</c:v>
                </c:pt>
                <c:pt idx="170">
                  <c:v>0.01135243306747</c:v>
                </c:pt>
                <c:pt idx="171">
                  <c:v>0.011413673950305</c:v>
                </c:pt>
                <c:pt idx="172">
                  <c:v>0.011481191375388</c:v>
                </c:pt>
                <c:pt idx="173">
                  <c:v>0.011555827623375</c:v>
                </c:pt>
                <c:pt idx="174">
                  <c:v>0.011638553196571</c:v>
                </c:pt>
                <c:pt idx="175">
                  <c:v>0.011730482672534</c:v>
                </c:pt>
                <c:pt idx="176">
                  <c:v>0.011832888067573</c:v>
                </c:pt>
                <c:pt idx="177">
                  <c:v>0.011947205379975</c:v>
                </c:pt>
                <c:pt idx="178">
                  <c:v>0.01207502669108</c:v>
                </c:pt>
                <c:pt idx="179">
                  <c:v>0.012218065024476</c:v>
                </c:pt>
                <c:pt idx="180">
                  <c:v>0.012378071587582</c:v>
                </c:pt>
                <c:pt idx="181">
                  <c:v>0.012556675295401</c:v>
                </c:pt>
                <c:pt idx="182">
                  <c:v>0.012755105346597</c:v>
                </c:pt>
                <c:pt idx="183">
                  <c:v>0.012973757638115</c:v>
                </c:pt>
                <c:pt idx="184">
                  <c:v>0.013211594574325</c:v>
                </c:pt>
                <c:pt idx="185">
                  <c:v>0.013465459802219</c:v>
                </c:pt>
                <c:pt idx="186">
                  <c:v>0.013729597142989</c:v>
                </c:pt>
                <c:pt idx="187">
                  <c:v>0.013996092436872</c:v>
                </c:pt>
                <c:pt idx="188">
                  <c:v>0.014258041673671</c:v>
                </c:pt>
                <c:pt idx="189">
                  <c:v>0.014521198070703</c:v>
                </c:pt>
                <c:pt idx="190">
                  <c:v>0.014806532893469</c:v>
                </c:pt>
                <c:pt idx="191">
                  <c:v>0.01486729000355</c:v>
                </c:pt>
                <c:pt idx="192">
                  <c:v>0.014551048957922</c:v>
                </c:pt>
                <c:pt idx="193">
                  <c:v>0.014010973827029</c:v>
                </c:pt>
                <c:pt idx="194">
                  <c:v>0.013844784056757</c:v>
                </c:pt>
              </c:numCache>
            </c:numRef>
          </c:yVal>
          <c:smooth val="1"/>
          <c:extLst xmlns:c16r2="http://schemas.microsoft.com/office/drawing/2015/06/chart">
            <c:ext xmlns:c16="http://schemas.microsoft.com/office/drawing/2014/chart" uri="{C3380CC4-5D6E-409C-BE32-E72D297353CC}">
              <c16:uniqueId val="{00000000-B0B0-4703-829F-3ED13B16AD3A}"/>
            </c:ext>
          </c:extLst>
        </c:ser>
        <c:ser>
          <c:idx val="1"/>
          <c:order val="1"/>
          <c:tx>
            <c:strRef>
              <c:f>C1 Density Profile</c:f>
              <c:strCache>
                <c:ptCount val="1"/>
                <c:pt idx="0">
                  <c:v>C1 Density Profile</c:v>
                </c:pt>
              </c:strCache>
            </c:strRef>
          </c:tx>
          <c:marker>
            <c:symbol val="none"/>
          </c:marker>
          <c:xVal>
            <c:numRef>
              <c:f>Sheet1!$A$4:$A$198</c:f>
              <c:numCache>
                <c:formatCode>General</c:formatCode>
                <c:ptCount val="195"/>
                <c:pt idx="0">
                  <c:v>0.23435</c:v>
                </c:pt>
                <c:pt idx="1">
                  <c:v>0.335026804123711</c:v>
                </c:pt>
                <c:pt idx="2">
                  <c:v>0.435703608247422</c:v>
                </c:pt>
                <c:pt idx="3">
                  <c:v>0.536380412371133</c:v>
                </c:pt>
                <c:pt idx="4">
                  <c:v>0.637057216494845</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4.563452577319529</c:v>
                </c:pt>
                <c:pt idx="44">
                  <c:v>4.664129381443279</c:v>
                </c:pt>
                <c:pt idx="45">
                  <c:v>4.764806185566988</c:v>
                </c:pt>
                <c:pt idx="46">
                  <c:v>4.865482989690697</c:v>
                </c:pt>
                <c:pt idx="47">
                  <c:v>4.966159793814412</c:v>
                </c:pt>
                <c:pt idx="48">
                  <c:v>5.066836597938106</c:v>
                </c:pt>
                <c:pt idx="49">
                  <c:v>5.16751340206183</c:v>
                </c:pt>
                <c:pt idx="50">
                  <c:v>5.268190206185506</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c:v>
                </c:pt>
                <c:pt idx="83">
                  <c:v>8.590524742268</c:v>
                </c:pt>
                <c:pt idx="84">
                  <c:v>8.691201546391664</c:v>
                </c:pt>
                <c:pt idx="85">
                  <c:v>8.791878350515347</c:v>
                </c:pt>
                <c:pt idx="86">
                  <c:v>8.89255515463913</c:v>
                </c:pt>
                <c:pt idx="87">
                  <c:v>8.99323195876284</c:v>
                </c:pt>
                <c:pt idx="88">
                  <c:v>9.093908762886514</c:v>
                </c:pt>
                <c:pt idx="89">
                  <c:v>9.194585567010271</c:v>
                </c:pt>
                <c:pt idx="90">
                  <c:v>9.295262371133978</c:v>
                </c:pt>
                <c:pt idx="91">
                  <c:v>9.3959391752577</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16.94669948453572</c:v>
                </c:pt>
                <c:pt idx="167">
                  <c:v>17.0473762886598</c:v>
                </c:pt>
                <c:pt idx="168">
                  <c:v>17.1480530927835</c:v>
                </c:pt>
                <c:pt idx="169">
                  <c:v>17.24872989690692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19.06091237113372</c:v>
                </c:pt>
                <c:pt idx="188">
                  <c:v>19.1615891752577</c:v>
                </c:pt>
                <c:pt idx="189">
                  <c:v>19.26226597938138</c:v>
                </c:pt>
                <c:pt idx="190">
                  <c:v>19.36294278350508</c:v>
                </c:pt>
                <c:pt idx="191">
                  <c:v>19.46361958762852</c:v>
                </c:pt>
                <c:pt idx="192">
                  <c:v>19.5642963917525</c:v>
                </c:pt>
                <c:pt idx="193">
                  <c:v>19.66497319587621</c:v>
                </c:pt>
                <c:pt idx="194">
                  <c:v>19.76564999999983</c:v>
                </c:pt>
              </c:numCache>
            </c:numRef>
          </c:xVal>
          <c:yVal>
            <c:numRef>
              <c:f>Sheet1!$F$4:$F$198</c:f>
              <c:numCache>
                <c:formatCode>General</c:formatCode>
                <c:ptCount val="195"/>
                <c:pt idx="0">
                  <c:v>0.036410578743636</c:v>
                </c:pt>
                <c:pt idx="1">
                  <c:v>0.033191917264959</c:v>
                </c:pt>
                <c:pt idx="2">
                  <c:v>0.026638942670532</c:v>
                </c:pt>
                <c:pt idx="3">
                  <c:v>0.021531572577123</c:v>
                </c:pt>
                <c:pt idx="4">
                  <c:v>0.018714959658575</c:v>
                </c:pt>
                <c:pt idx="5">
                  <c:v>0.016732478678428</c:v>
                </c:pt>
                <c:pt idx="6">
                  <c:v>0.015216039781581</c:v>
                </c:pt>
                <c:pt idx="7">
                  <c:v>0.014088521682254</c:v>
                </c:pt>
                <c:pt idx="8">
                  <c:v>0.013242942655555</c:v>
                </c:pt>
                <c:pt idx="9">
                  <c:v>0.012596971426911</c:v>
                </c:pt>
                <c:pt idx="10">
                  <c:v>0.012093478374341</c:v>
                </c:pt>
                <c:pt idx="11">
                  <c:v>0.01169351747865</c:v>
                </c:pt>
                <c:pt idx="12">
                  <c:v>0.011370316367746</c:v>
                </c:pt>
                <c:pt idx="13">
                  <c:v>0.011105154471081</c:v>
                </c:pt>
                <c:pt idx="14">
                  <c:v>0.010884683790564</c:v>
                </c:pt>
                <c:pt idx="15">
                  <c:v>0.010699200234627</c:v>
                </c:pt>
                <c:pt idx="16">
                  <c:v>0.010541517837629</c:v>
                </c:pt>
                <c:pt idx="17">
                  <c:v>0.010406223980696</c:v>
                </c:pt>
                <c:pt idx="18">
                  <c:v>0.01028917775987</c:v>
                </c:pt>
                <c:pt idx="19">
                  <c:v>0.010187165904449</c:v>
                </c:pt>
                <c:pt idx="20">
                  <c:v>0.010097662551633</c:v>
                </c:pt>
                <c:pt idx="21">
                  <c:v>0.010018658694952</c:v>
                </c:pt>
                <c:pt idx="22">
                  <c:v>0.009948539183024</c:v>
                </c:pt>
                <c:pt idx="23">
                  <c:v>0.009885992705972</c:v>
                </c:pt>
                <c:pt idx="24">
                  <c:v>0.009829945023422</c:v>
                </c:pt>
                <c:pt idx="25">
                  <c:v>0.009779508806675</c:v>
                </c:pt>
                <c:pt idx="26">
                  <c:v>0.009733945519546</c:v>
                </c:pt>
                <c:pt idx="27">
                  <c:v>0.00969263613354501</c:v>
                </c:pt>
                <c:pt idx="28">
                  <c:v>0.009655058402912</c:v>
                </c:pt>
                <c:pt idx="29">
                  <c:v>0.009620769064606</c:v>
                </c:pt>
                <c:pt idx="30">
                  <c:v>0.009589389773994</c:v>
                </c:pt>
                <c:pt idx="31">
                  <c:v>0.009560595901612</c:v>
                </c:pt>
                <c:pt idx="32">
                  <c:v>0.009534107540915</c:v>
                </c:pt>
                <c:pt idx="33">
                  <c:v>0.00950968223917201</c:v>
                </c:pt>
                <c:pt idx="34">
                  <c:v>0.009487109081954</c:v>
                </c:pt>
                <c:pt idx="35">
                  <c:v>0.00946620384890201</c:v>
                </c:pt>
                <c:pt idx="36">
                  <c:v>0.009446805023282</c:v>
                </c:pt>
                <c:pt idx="37">
                  <c:v>0.009428770486535</c:v>
                </c:pt>
                <c:pt idx="38">
                  <c:v>0.00941197476582</c:v>
                </c:pt>
                <c:pt idx="39">
                  <c:v>0.00939630686598601</c:v>
                </c:pt>
                <c:pt idx="40">
                  <c:v>0.009381667775653</c:v>
                </c:pt>
                <c:pt idx="41">
                  <c:v>0.00936796969359901</c:v>
                </c:pt>
                <c:pt idx="42">
                  <c:v>0.00935513404794301</c:v>
                </c:pt>
                <c:pt idx="43">
                  <c:v>0.009343090468787</c:v>
                </c:pt>
                <c:pt idx="44">
                  <c:v>0.009331775778598</c:v>
                </c:pt>
                <c:pt idx="45">
                  <c:v>0.009321133126107</c:v>
                </c:pt>
                <c:pt idx="46">
                  <c:v>0.009311111240717</c:v>
                </c:pt>
                <c:pt idx="47">
                  <c:v>0.009301663788548</c:v>
                </c:pt>
                <c:pt idx="48">
                  <c:v>0.00929274881450301</c:v>
                </c:pt>
                <c:pt idx="49">
                  <c:v>0.009284328257416</c:v>
                </c:pt>
                <c:pt idx="50">
                  <c:v>0.009276367527486</c:v>
                </c:pt>
                <c:pt idx="51">
                  <c:v>0.009268835136981</c:v>
                </c:pt>
                <c:pt idx="52">
                  <c:v>0.00926170237666001</c:v>
                </c:pt>
                <c:pt idx="53">
                  <c:v>0.009254943031507</c:v>
                </c:pt>
                <c:pt idx="54">
                  <c:v>0.009248533130422</c:v>
                </c:pt>
                <c:pt idx="55">
                  <c:v>0.009242450725294</c:v>
                </c:pt>
                <c:pt idx="56">
                  <c:v>0.009236675695541</c:v>
                </c:pt>
                <c:pt idx="57">
                  <c:v>0.009231189574861</c:v>
                </c:pt>
                <c:pt idx="58">
                  <c:v>0.0092259753973</c:v>
                </c:pt>
                <c:pt idx="59">
                  <c:v>0.009221017560233</c:v>
                </c:pt>
                <c:pt idx="60">
                  <c:v>0.009216301702168</c:v>
                </c:pt>
                <c:pt idx="61">
                  <c:v>0.009211814593535</c:v>
                </c:pt>
                <c:pt idx="62">
                  <c:v>0.00920754403893501</c:v>
                </c:pt>
                <c:pt idx="63">
                  <c:v>0.009203478789457</c:v>
                </c:pt>
                <c:pt idx="64">
                  <c:v>0.009199608463908</c:v>
                </c:pt>
                <c:pt idx="65">
                  <c:v>0.009195923477913</c:v>
                </c:pt>
                <c:pt idx="66">
                  <c:v>0.00919241497998901</c:v>
                </c:pt>
                <c:pt idx="67">
                  <c:v>0.009189074793803</c:v>
                </c:pt>
                <c:pt idx="68">
                  <c:v>0.009185895365935</c:v>
                </c:pt>
                <c:pt idx="69">
                  <c:v>0.009182869718513</c:v>
                </c:pt>
                <c:pt idx="70">
                  <c:v>0.009179991406208</c:v>
                </c:pt>
                <c:pt idx="71">
                  <c:v>0.009177254477097</c:v>
                </c:pt>
                <c:pt idx="72">
                  <c:v>0.009174653436982</c:v>
                </c:pt>
                <c:pt idx="73">
                  <c:v>0.00917218321679901</c:v>
                </c:pt>
                <c:pt idx="74">
                  <c:v>0.00916983914276801</c:v>
                </c:pt>
                <c:pt idx="75">
                  <c:v>0.00916761690901801</c:v>
                </c:pt>
                <c:pt idx="76">
                  <c:v>0.00916551255240301</c:v>
                </c:pt>
                <c:pt idx="77">
                  <c:v>0.009163522429304</c:v>
                </c:pt>
                <c:pt idx="78">
                  <c:v>0.009161643194187</c:v>
                </c:pt>
                <c:pt idx="79">
                  <c:v>0.009159871779763</c:v>
                </c:pt>
                <c:pt idx="80">
                  <c:v>0.009158205378582</c:v>
                </c:pt>
                <c:pt idx="81">
                  <c:v>0.009156641425922</c:v>
                </c:pt>
                <c:pt idx="82">
                  <c:v>0.009155177583872</c:v>
                </c:pt>
                <c:pt idx="83">
                  <c:v>0.009153811726488</c:v>
                </c:pt>
                <c:pt idx="84">
                  <c:v>0.00915254192595601</c:v>
                </c:pt>
                <c:pt idx="85">
                  <c:v>0.00915136643968701</c:v>
                </c:pt>
                <c:pt idx="86">
                  <c:v>0.009150283698291</c:v>
                </c:pt>
                <c:pt idx="87">
                  <c:v>0.00914929229439</c:v>
                </c:pt>
                <c:pt idx="88">
                  <c:v>0.00914839097224</c:v>
                </c:pt>
                <c:pt idx="89">
                  <c:v>0.009147578618143</c:v>
                </c:pt>
                <c:pt idx="90">
                  <c:v>0.009146854251646</c:v>
                </c:pt>
                <c:pt idx="91">
                  <c:v>0.009146218589698</c:v>
                </c:pt>
                <c:pt idx="92">
                  <c:v>0.009145667300233</c:v>
                </c:pt>
                <c:pt idx="93">
                  <c:v>0.009145201855358</c:v>
                </c:pt>
                <c:pt idx="94">
                  <c:v>0.009144821735822</c:v>
                </c:pt>
                <c:pt idx="95">
                  <c:v>0.009144526523405</c:v>
                </c:pt>
                <c:pt idx="96">
                  <c:v>0.009144315897024</c:v>
                </c:pt>
                <c:pt idx="97">
                  <c:v>0.009144189629571</c:v>
                </c:pt>
                <c:pt idx="98">
                  <c:v>0.009144315897024</c:v>
                </c:pt>
                <c:pt idx="99">
                  <c:v>0.009144526523405</c:v>
                </c:pt>
                <c:pt idx="100">
                  <c:v>0.009144821735822</c:v>
                </c:pt>
                <c:pt idx="101">
                  <c:v>0.009145201855358</c:v>
                </c:pt>
                <c:pt idx="102">
                  <c:v>0.009145667300233</c:v>
                </c:pt>
                <c:pt idx="103">
                  <c:v>0.009146218589698</c:v>
                </c:pt>
                <c:pt idx="104">
                  <c:v>0.009146854251646</c:v>
                </c:pt>
                <c:pt idx="105">
                  <c:v>0.009147578618143</c:v>
                </c:pt>
                <c:pt idx="106">
                  <c:v>0.00914839097224</c:v>
                </c:pt>
                <c:pt idx="107">
                  <c:v>0.00914929229439</c:v>
                </c:pt>
                <c:pt idx="108">
                  <c:v>0.009150283698291</c:v>
                </c:pt>
                <c:pt idx="109">
                  <c:v>0.00915136643968701</c:v>
                </c:pt>
                <c:pt idx="110">
                  <c:v>0.00915254192595601</c:v>
                </c:pt>
                <c:pt idx="111">
                  <c:v>0.009153811726488</c:v>
                </c:pt>
                <c:pt idx="112">
                  <c:v>0.009155177583872</c:v>
                </c:pt>
                <c:pt idx="113">
                  <c:v>0.009156641425922</c:v>
                </c:pt>
                <c:pt idx="114">
                  <c:v>0.009158205378582</c:v>
                </c:pt>
                <c:pt idx="115">
                  <c:v>0.009159871779763</c:v>
                </c:pt>
                <c:pt idx="116">
                  <c:v>0.009161643194187</c:v>
                </c:pt>
                <c:pt idx="117">
                  <c:v>0.009163522429304</c:v>
                </c:pt>
                <c:pt idx="118">
                  <c:v>0.00916551255240301</c:v>
                </c:pt>
                <c:pt idx="119">
                  <c:v>0.00916761690901801</c:v>
                </c:pt>
                <c:pt idx="120">
                  <c:v>0.00916983914276801</c:v>
                </c:pt>
                <c:pt idx="121">
                  <c:v>0.00917218321679901</c:v>
                </c:pt>
                <c:pt idx="122">
                  <c:v>0.009174653436982</c:v>
                </c:pt>
                <c:pt idx="123">
                  <c:v>0.009177254477097</c:v>
                </c:pt>
                <c:pt idx="124">
                  <c:v>0.009179991406208</c:v>
                </c:pt>
                <c:pt idx="125">
                  <c:v>0.009182869718513</c:v>
                </c:pt>
                <c:pt idx="126">
                  <c:v>0.009185895365935</c:v>
                </c:pt>
                <c:pt idx="127">
                  <c:v>0.009189074793803</c:v>
                </c:pt>
                <c:pt idx="128">
                  <c:v>0.00919241497998901</c:v>
                </c:pt>
                <c:pt idx="129">
                  <c:v>0.009195923477913</c:v>
                </c:pt>
                <c:pt idx="130">
                  <c:v>0.009199608463908</c:v>
                </c:pt>
                <c:pt idx="131">
                  <c:v>0.009203478789457</c:v>
                </c:pt>
                <c:pt idx="132">
                  <c:v>0.00920754403893501</c:v>
                </c:pt>
                <c:pt idx="133">
                  <c:v>0.009211814593535</c:v>
                </c:pt>
                <c:pt idx="134">
                  <c:v>0.009216301702168</c:v>
                </c:pt>
                <c:pt idx="135">
                  <c:v>0.009221017560233</c:v>
                </c:pt>
                <c:pt idx="136">
                  <c:v>0.0092259753973</c:v>
                </c:pt>
                <c:pt idx="137">
                  <c:v>0.009231189574861</c:v>
                </c:pt>
                <c:pt idx="138">
                  <c:v>0.009236675695541</c:v>
                </c:pt>
                <c:pt idx="139">
                  <c:v>0.009242450725294</c:v>
                </c:pt>
                <c:pt idx="140">
                  <c:v>0.009248533130422</c:v>
                </c:pt>
                <c:pt idx="141">
                  <c:v>0.009254943031507</c:v>
                </c:pt>
                <c:pt idx="142">
                  <c:v>0.00926170237666001</c:v>
                </c:pt>
                <c:pt idx="143">
                  <c:v>0.009268835136981</c:v>
                </c:pt>
                <c:pt idx="144">
                  <c:v>0.009276367527486</c:v>
                </c:pt>
                <c:pt idx="145">
                  <c:v>0.009284328257416</c:v>
                </c:pt>
                <c:pt idx="146">
                  <c:v>0.00929274881450301</c:v>
                </c:pt>
                <c:pt idx="147">
                  <c:v>0.009301663788548</c:v>
                </c:pt>
                <c:pt idx="148">
                  <c:v>0.009311111240717</c:v>
                </c:pt>
                <c:pt idx="149">
                  <c:v>0.009321133126107</c:v>
                </c:pt>
                <c:pt idx="150">
                  <c:v>0.009331775778598</c:v>
                </c:pt>
                <c:pt idx="151">
                  <c:v>0.009343090468787</c:v>
                </c:pt>
                <c:pt idx="152">
                  <c:v>0.00935513404794301</c:v>
                </c:pt>
                <c:pt idx="153">
                  <c:v>0.00936796969359901</c:v>
                </c:pt>
                <c:pt idx="154">
                  <c:v>0.009381667775653</c:v>
                </c:pt>
                <c:pt idx="155">
                  <c:v>0.00939630686598601</c:v>
                </c:pt>
                <c:pt idx="156">
                  <c:v>0.00941197476582</c:v>
                </c:pt>
                <c:pt idx="157">
                  <c:v>0.009428770486535</c:v>
                </c:pt>
                <c:pt idx="158">
                  <c:v>0.009446805023282</c:v>
                </c:pt>
                <c:pt idx="159">
                  <c:v>0.00946620384890201</c:v>
                </c:pt>
                <c:pt idx="160">
                  <c:v>0.009487109081954</c:v>
                </c:pt>
                <c:pt idx="161">
                  <c:v>0.00950968223917201</c:v>
                </c:pt>
                <c:pt idx="162">
                  <c:v>0.009534107540915</c:v>
                </c:pt>
                <c:pt idx="163">
                  <c:v>0.009560595901612</c:v>
                </c:pt>
                <c:pt idx="164">
                  <c:v>0.009589389773994</c:v>
                </c:pt>
                <c:pt idx="165">
                  <c:v>0.009620769064606</c:v>
                </c:pt>
                <c:pt idx="166">
                  <c:v>0.009655058402912</c:v>
                </c:pt>
                <c:pt idx="167">
                  <c:v>0.00969263613354501</c:v>
                </c:pt>
                <c:pt idx="168">
                  <c:v>0.009733945519546</c:v>
                </c:pt>
                <c:pt idx="169">
                  <c:v>0.009779508806675</c:v>
                </c:pt>
                <c:pt idx="170">
                  <c:v>0.009829945023422</c:v>
                </c:pt>
                <c:pt idx="171">
                  <c:v>0.009885992705972</c:v>
                </c:pt>
                <c:pt idx="172">
                  <c:v>0.009948539183024</c:v>
                </c:pt>
                <c:pt idx="173">
                  <c:v>0.010018658694952</c:v>
                </c:pt>
                <c:pt idx="174">
                  <c:v>0.010097662551633</c:v>
                </c:pt>
                <c:pt idx="175">
                  <c:v>0.010187165904449</c:v>
                </c:pt>
                <c:pt idx="176">
                  <c:v>0.01028917775987</c:v>
                </c:pt>
                <c:pt idx="177">
                  <c:v>0.010406223980696</c:v>
                </c:pt>
                <c:pt idx="178">
                  <c:v>0.010541517837629</c:v>
                </c:pt>
                <c:pt idx="179">
                  <c:v>0.010699200234627</c:v>
                </c:pt>
                <c:pt idx="180">
                  <c:v>0.010884683790564</c:v>
                </c:pt>
                <c:pt idx="181">
                  <c:v>0.011105154471081</c:v>
                </c:pt>
                <c:pt idx="182">
                  <c:v>0.011370316367746</c:v>
                </c:pt>
                <c:pt idx="183">
                  <c:v>0.01169351747865</c:v>
                </c:pt>
                <c:pt idx="184">
                  <c:v>0.012093478374341</c:v>
                </c:pt>
                <c:pt idx="185">
                  <c:v>0.012596971426911</c:v>
                </c:pt>
                <c:pt idx="186">
                  <c:v>0.013242942655555</c:v>
                </c:pt>
                <c:pt idx="187">
                  <c:v>0.014088521682254</c:v>
                </c:pt>
                <c:pt idx="188">
                  <c:v>0.015216039781581</c:v>
                </c:pt>
                <c:pt idx="189">
                  <c:v>0.016732478678428</c:v>
                </c:pt>
                <c:pt idx="190">
                  <c:v>0.018714959658575</c:v>
                </c:pt>
                <c:pt idx="191">
                  <c:v>0.021531572577123</c:v>
                </c:pt>
                <c:pt idx="192">
                  <c:v>0.026638942670532</c:v>
                </c:pt>
                <c:pt idx="193">
                  <c:v>0.033191917264959</c:v>
                </c:pt>
                <c:pt idx="194">
                  <c:v>0.036410578743636</c:v>
                </c:pt>
              </c:numCache>
            </c:numRef>
          </c:yVal>
          <c:smooth val="1"/>
          <c:extLst xmlns:c16r2="http://schemas.microsoft.com/office/drawing/2015/06/chart">
            <c:ext xmlns:c16="http://schemas.microsoft.com/office/drawing/2014/chart" uri="{C3380CC4-5D6E-409C-BE32-E72D297353CC}">
              <c16:uniqueId val="{00000001-B0B0-4703-829F-3ED13B16AD3A}"/>
            </c:ext>
          </c:extLst>
        </c:ser>
        <c:ser>
          <c:idx val="2"/>
          <c:order val="2"/>
          <c:tx>
            <c:strRef>
              <c:f>C4 Density Profile</c:f>
              <c:strCache>
                <c:ptCount val="1"/>
                <c:pt idx="0">
                  <c:v>C4 Density Profile</c:v>
                </c:pt>
              </c:strCache>
            </c:strRef>
          </c:tx>
          <c:marker>
            <c:symbol val="none"/>
          </c:marker>
          <c:xVal>
            <c:numRef>
              <c:f>Sheet1!$A$4:$A$198</c:f>
              <c:numCache>
                <c:formatCode>General</c:formatCode>
                <c:ptCount val="195"/>
                <c:pt idx="0">
                  <c:v>0.23435</c:v>
                </c:pt>
                <c:pt idx="1">
                  <c:v>0.335026804123711</c:v>
                </c:pt>
                <c:pt idx="2">
                  <c:v>0.435703608247422</c:v>
                </c:pt>
                <c:pt idx="3">
                  <c:v>0.536380412371133</c:v>
                </c:pt>
                <c:pt idx="4">
                  <c:v>0.637057216494845</c:v>
                </c:pt>
                <c:pt idx="5">
                  <c:v>0.737734020618556</c:v>
                </c:pt>
                <c:pt idx="6">
                  <c:v>0.838410824742264</c:v>
                </c:pt>
                <c:pt idx="7">
                  <c:v>0.939087628865976</c:v>
                </c:pt>
                <c:pt idx="8">
                  <c:v>1.039764432989678</c:v>
                </c:pt>
                <c:pt idx="9">
                  <c:v>1.14044123711339</c:v>
                </c:pt>
                <c:pt idx="10">
                  <c:v>1.2411180412371</c:v>
                </c:pt>
                <c:pt idx="11">
                  <c:v>1.341794845360819</c:v>
                </c:pt>
                <c:pt idx="12">
                  <c:v>1.44247164948453</c:v>
                </c:pt>
                <c:pt idx="13">
                  <c:v>1.54314845360824</c:v>
                </c:pt>
                <c:pt idx="14">
                  <c:v>1.643825257731949</c:v>
                </c:pt>
                <c:pt idx="15">
                  <c:v>1.74450206185566</c:v>
                </c:pt>
                <c:pt idx="16">
                  <c:v>1.84517886597937</c:v>
                </c:pt>
                <c:pt idx="17">
                  <c:v>1.94585567010308</c:v>
                </c:pt>
                <c:pt idx="18">
                  <c:v>2.046532474226788</c:v>
                </c:pt>
                <c:pt idx="19">
                  <c:v>2.147209278350501</c:v>
                </c:pt>
                <c:pt idx="20">
                  <c:v>2.247886082474211</c:v>
                </c:pt>
                <c:pt idx="21">
                  <c:v>2.34856288659792</c:v>
                </c:pt>
                <c:pt idx="22">
                  <c:v>2.44923969072164</c:v>
                </c:pt>
                <c:pt idx="23">
                  <c:v>2.54991649484535</c:v>
                </c:pt>
                <c:pt idx="24">
                  <c:v>2.650593298969061</c:v>
                </c:pt>
                <c:pt idx="25">
                  <c:v>2.751270103092767</c:v>
                </c:pt>
                <c:pt idx="26">
                  <c:v>2.851946907216479</c:v>
                </c:pt>
                <c:pt idx="27">
                  <c:v>2.952623711340188</c:v>
                </c:pt>
                <c:pt idx="28">
                  <c:v>3.0533005154639</c:v>
                </c:pt>
                <c:pt idx="29">
                  <c:v>3.153977319587611</c:v>
                </c:pt>
                <c:pt idx="30">
                  <c:v>3.25465412371132</c:v>
                </c:pt>
                <c:pt idx="31">
                  <c:v>3.35533092783503</c:v>
                </c:pt>
                <c:pt idx="32">
                  <c:v>3.456007731958738</c:v>
                </c:pt>
                <c:pt idx="33">
                  <c:v>3.55668453608246</c:v>
                </c:pt>
                <c:pt idx="34">
                  <c:v>3.657361340206172</c:v>
                </c:pt>
                <c:pt idx="35">
                  <c:v>3.758038144329879</c:v>
                </c:pt>
                <c:pt idx="36">
                  <c:v>3.85871494845359</c:v>
                </c:pt>
                <c:pt idx="37">
                  <c:v>3.959391752577304</c:v>
                </c:pt>
                <c:pt idx="38">
                  <c:v>4.060068556701006</c:v>
                </c:pt>
                <c:pt idx="39">
                  <c:v>4.160745360824706</c:v>
                </c:pt>
                <c:pt idx="40">
                  <c:v>4.261422164948431</c:v>
                </c:pt>
                <c:pt idx="41">
                  <c:v>4.362098969072139</c:v>
                </c:pt>
                <c:pt idx="42">
                  <c:v>4.462775773195847</c:v>
                </c:pt>
                <c:pt idx="43">
                  <c:v>4.563452577319529</c:v>
                </c:pt>
                <c:pt idx="44">
                  <c:v>4.664129381443279</c:v>
                </c:pt>
                <c:pt idx="45">
                  <c:v>4.764806185566988</c:v>
                </c:pt>
                <c:pt idx="46">
                  <c:v>4.865482989690697</c:v>
                </c:pt>
                <c:pt idx="47">
                  <c:v>4.966159793814412</c:v>
                </c:pt>
                <c:pt idx="48">
                  <c:v>5.066836597938106</c:v>
                </c:pt>
                <c:pt idx="49">
                  <c:v>5.16751340206183</c:v>
                </c:pt>
                <c:pt idx="50">
                  <c:v>5.268190206185506</c:v>
                </c:pt>
                <c:pt idx="51">
                  <c:v>5.368867010309247</c:v>
                </c:pt>
                <c:pt idx="52">
                  <c:v>5.469543814432962</c:v>
                </c:pt>
                <c:pt idx="53">
                  <c:v>5.570220618556672</c:v>
                </c:pt>
                <c:pt idx="54">
                  <c:v>5.670897422680381</c:v>
                </c:pt>
                <c:pt idx="55">
                  <c:v>5.7715742268041</c:v>
                </c:pt>
                <c:pt idx="56">
                  <c:v>5.87225103092781</c:v>
                </c:pt>
                <c:pt idx="57">
                  <c:v>5.97292783505152</c:v>
                </c:pt>
                <c:pt idx="58">
                  <c:v>6.07360463917523</c:v>
                </c:pt>
                <c:pt idx="59">
                  <c:v>6.174281443298939</c:v>
                </c:pt>
                <c:pt idx="60">
                  <c:v>6.274958247422647</c:v>
                </c:pt>
                <c:pt idx="61">
                  <c:v>6.37563505154636</c:v>
                </c:pt>
                <c:pt idx="62">
                  <c:v>6.476311855670072</c:v>
                </c:pt>
                <c:pt idx="63">
                  <c:v>6.57698865979378</c:v>
                </c:pt>
                <c:pt idx="64">
                  <c:v>6.677665463917489</c:v>
                </c:pt>
                <c:pt idx="65">
                  <c:v>6.7783422680412</c:v>
                </c:pt>
                <c:pt idx="66">
                  <c:v>6.87901907216492</c:v>
                </c:pt>
                <c:pt idx="67">
                  <c:v>6.979695876288631</c:v>
                </c:pt>
                <c:pt idx="68">
                  <c:v>7.080372680412343</c:v>
                </c:pt>
                <c:pt idx="69">
                  <c:v>7.181049484536052</c:v>
                </c:pt>
                <c:pt idx="70">
                  <c:v>7.281726288659762</c:v>
                </c:pt>
                <c:pt idx="71">
                  <c:v>7.382403092783472</c:v>
                </c:pt>
                <c:pt idx="72">
                  <c:v>7.483079896907181</c:v>
                </c:pt>
                <c:pt idx="73">
                  <c:v>7.58375670103089</c:v>
                </c:pt>
                <c:pt idx="74">
                  <c:v>7.6844335051546</c:v>
                </c:pt>
                <c:pt idx="75">
                  <c:v>7.785110309278306</c:v>
                </c:pt>
                <c:pt idx="76">
                  <c:v>7.88578711340202</c:v>
                </c:pt>
                <c:pt idx="77">
                  <c:v>7.98646391752574</c:v>
                </c:pt>
                <c:pt idx="78">
                  <c:v>8.08714072164945</c:v>
                </c:pt>
                <c:pt idx="79">
                  <c:v>8.187817525773148</c:v>
                </c:pt>
                <c:pt idx="80">
                  <c:v>8.288494329896867</c:v>
                </c:pt>
                <c:pt idx="81">
                  <c:v>8.389171134020568</c:v>
                </c:pt>
                <c:pt idx="82">
                  <c:v>8.4898479381443</c:v>
                </c:pt>
                <c:pt idx="83">
                  <c:v>8.590524742268</c:v>
                </c:pt>
                <c:pt idx="84">
                  <c:v>8.691201546391664</c:v>
                </c:pt>
                <c:pt idx="85">
                  <c:v>8.791878350515347</c:v>
                </c:pt>
                <c:pt idx="86">
                  <c:v>8.89255515463913</c:v>
                </c:pt>
                <c:pt idx="87">
                  <c:v>8.99323195876284</c:v>
                </c:pt>
                <c:pt idx="88">
                  <c:v>9.093908762886514</c:v>
                </c:pt>
                <c:pt idx="89">
                  <c:v>9.194585567010271</c:v>
                </c:pt>
                <c:pt idx="90">
                  <c:v>9.295262371133978</c:v>
                </c:pt>
                <c:pt idx="91">
                  <c:v>9.3959391752577</c:v>
                </c:pt>
                <c:pt idx="92">
                  <c:v>9.496615979381404</c:v>
                </c:pt>
                <c:pt idx="93">
                  <c:v>9.597292783505098</c:v>
                </c:pt>
                <c:pt idx="94">
                  <c:v>9.697969587628817</c:v>
                </c:pt>
                <c:pt idx="95">
                  <c:v>9.798646391752518</c:v>
                </c:pt>
                <c:pt idx="96">
                  <c:v>9.89932319587624</c:v>
                </c:pt>
                <c:pt idx="97">
                  <c:v>9.99999999999996</c:v>
                </c:pt>
                <c:pt idx="98">
                  <c:v>10.1006768041237</c:v>
                </c:pt>
                <c:pt idx="99">
                  <c:v>10.2013536082474</c:v>
                </c:pt>
                <c:pt idx="100">
                  <c:v>10.3020304123711</c:v>
                </c:pt>
                <c:pt idx="101">
                  <c:v>10.40270721649481</c:v>
                </c:pt>
                <c:pt idx="102">
                  <c:v>10.5033840206185</c:v>
                </c:pt>
                <c:pt idx="103">
                  <c:v>10.6040608247423</c:v>
                </c:pt>
                <c:pt idx="104">
                  <c:v>10.704737628866</c:v>
                </c:pt>
                <c:pt idx="105">
                  <c:v>10.80541443298972</c:v>
                </c:pt>
                <c:pt idx="106">
                  <c:v>10.9060912371134</c:v>
                </c:pt>
                <c:pt idx="107">
                  <c:v>11.0067680412371</c:v>
                </c:pt>
                <c:pt idx="108">
                  <c:v>11.1074448453608</c:v>
                </c:pt>
                <c:pt idx="109">
                  <c:v>11.20812164948449</c:v>
                </c:pt>
                <c:pt idx="110">
                  <c:v>11.3087984536082</c:v>
                </c:pt>
                <c:pt idx="111">
                  <c:v>11.40947525773191</c:v>
                </c:pt>
                <c:pt idx="112">
                  <c:v>11.5101520618557</c:v>
                </c:pt>
                <c:pt idx="113">
                  <c:v>11.6108288659794</c:v>
                </c:pt>
                <c:pt idx="114">
                  <c:v>11.7115056701031</c:v>
                </c:pt>
                <c:pt idx="115">
                  <c:v>11.81218247422681</c:v>
                </c:pt>
                <c:pt idx="116">
                  <c:v>11.9128592783505</c:v>
                </c:pt>
                <c:pt idx="117">
                  <c:v>12.01353608247421</c:v>
                </c:pt>
                <c:pt idx="118">
                  <c:v>12.1142128865979</c:v>
                </c:pt>
                <c:pt idx="119">
                  <c:v>12.2148896907216</c:v>
                </c:pt>
                <c:pt idx="120">
                  <c:v>12.31556649484531</c:v>
                </c:pt>
                <c:pt idx="121">
                  <c:v>12.41624329896911</c:v>
                </c:pt>
                <c:pt idx="122">
                  <c:v>12.5169201030928</c:v>
                </c:pt>
                <c:pt idx="123">
                  <c:v>12.6175969072165</c:v>
                </c:pt>
                <c:pt idx="124">
                  <c:v>12.71827371134019</c:v>
                </c:pt>
                <c:pt idx="125">
                  <c:v>12.81895051546391</c:v>
                </c:pt>
                <c:pt idx="126">
                  <c:v>12.91962731958761</c:v>
                </c:pt>
                <c:pt idx="127">
                  <c:v>13.0203041237113</c:v>
                </c:pt>
                <c:pt idx="128">
                  <c:v>13.120980927835</c:v>
                </c:pt>
                <c:pt idx="129">
                  <c:v>13.2216577319587</c:v>
                </c:pt>
                <c:pt idx="130">
                  <c:v>13.32233453608251</c:v>
                </c:pt>
                <c:pt idx="131">
                  <c:v>13.4230113402062</c:v>
                </c:pt>
                <c:pt idx="132">
                  <c:v>13.5236881443299</c:v>
                </c:pt>
                <c:pt idx="133">
                  <c:v>13.62436494845359</c:v>
                </c:pt>
                <c:pt idx="134">
                  <c:v>13.7250417525773</c:v>
                </c:pt>
                <c:pt idx="135">
                  <c:v>13.82571855670101</c:v>
                </c:pt>
                <c:pt idx="136">
                  <c:v>13.9263953608247</c:v>
                </c:pt>
                <c:pt idx="137">
                  <c:v>14.0270721649484</c:v>
                </c:pt>
                <c:pt idx="138">
                  <c:v>14.1277489690721</c:v>
                </c:pt>
                <c:pt idx="139">
                  <c:v>14.22842577319589</c:v>
                </c:pt>
                <c:pt idx="140">
                  <c:v>14.32910257731961</c:v>
                </c:pt>
                <c:pt idx="141">
                  <c:v>14.4297793814433</c:v>
                </c:pt>
                <c:pt idx="142">
                  <c:v>14.530456185567</c:v>
                </c:pt>
                <c:pt idx="143">
                  <c:v>14.6311329896907</c:v>
                </c:pt>
                <c:pt idx="144">
                  <c:v>14.73180979381439</c:v>
                </c:pt>
                <c:pt idx="145">
                  <c:v>14.83248659793812</c:v>
                </c:pt>
                <c:pt idx="146">
                  <c:v>14.9331634020618</c:v>
                </c:pt>
                <c:pt idx="147">
                  <c:v>15.0338402061855</c:v>
                </c:pt>
                <c:pt idx="148">
                  <c:v>15.1345170103092</c:v>
                </c:pt>
                <c:pt idx="149">
                  <c:v>15.235193814433</c:v>
                </c:pt>
                <c:pt idx="150">
                  <c:v>15.3358706185567</c:v>
                </c:pt>
                <c:pt idx="151">
                  <c:v>15.4365474226804</c:v>
                </c:pt>
                <c:pt idx="152">
                  <c:v>15.5372242268041</c:v>
                </c:pt>
                <c:pt idx="153">
                  <c:v>15.6379010309278</c:v>
                </c:pt>
                <c:pt idx="154">
                  <c:v>15.7385778350515</c:v>
                </c:pt>
                <c:pt idx="155">
                  <c:v>15.83925463917521</c:v>
                </c:pt>
                <c:pt idx="156">
                  <c:v>15.9399314432989</c:v>
                </c:pt>
                <c:pt idx="157">
                  <c:v>16.04060824742259</c:v>
                </c:pt>
                <c:pt idx="158">
                  <c:v>16.14128505154641</c:v>
                </c:pt>
                <c:pt idx="159">
                  <c:v>16.24196185567012</c:v>
                </c:pt>
                <c:pt idx="160">
                  <c:v>16.34263865979378</c:v>
                </c:pt>
                <c:pt idx="161">
                  <c:v>16.4433154639175</c:v>
                </c:pt>
                <c:pt idx="162">
                  <c:v>16.54399226804119</c:v>
                </c:pt>
                <c:pt idx="163">
                  <c:v>16.64466907216488</c:v>
                </c:pt>
                <c:pt idx="164">
                  <c:v>16.74534587628859</c:v>
                </c:pt>
                <c:pt idx="165">
                  <c:v>16.84602268041229</c:v>
                </c:pt>
                <c:pt idx="166">
                  <c:v>16.94669948453572</c:v>
                </c:pt>
                <c:pt idx="167">
                  <c:v>17.0473762886598</c:v>
                </c:pt>
                <c:pt idx="168">
                  <c:v>17.1480530927835</c:v>
                </c:pt>
                <c:pt idx="169">
                  <c:v>17.24872989690692</c:v>
                </c:pt>
                <c:pt idx="170">
                  <c:v>17.34940670103089</c:v>
                </c:pt>
                <c:pt idx="171">
                  <c:v>17.45008350515459</c:v>
                </c:pt>
                <c:pt idx="172">
                  <c:v>17.5507603092783</c:v>
                </c:pt>
                <c:pt idx="173">
                  <c:v>17.65143711340201</c:v>
                </c:pt>
                <c:pt idx="174">
                  <c:v>17.75211391752568</c:v>
                </c:pt>
                <c:pt idx="175">
                  <c:v>17.8527907216494</c:v>
                </c:pt>
                <c:pt idx="176">
                  <c:v>17.95346752577318</c:v>
                </c:pt>
                <c:pt idx="177">
                  <c:v>18.05414432989691</c:v>
                </c:pt>
                <c:pt idx="178">
                  <c:v>18.15482113402062</c:v>
                </c:pt>
                <c:pt idx="179">
                  <c:v>18.25549793814428</c:v>
                </c:pt>
                <c:pt idx="180">
                  <c:v>18.356174742268</c:v>
                </c:pt>
                <c:pt idx="181">
                  <c:v>18.4568515463917</c:v>
                </c:pt>
                <c:pt idx="182">
                  <c:v>18.5575283505154</c:v>
                </c:pt>
                <c:pt idx="183">
                  <c:v>18.65820515463911</c:v>
                </c:pt>
                <c:pt idx="184">
                  <c:v>18.7588819587628</c:v>
                </c:pt>
                <c:pt idx="185">
                  <c:v>18.85955876288662</c:v>
                </c:pt>
                <c:pt idx="186">
                  <c:v>18.96023556701029</c:v>
                </c:pt>
                <c:pt idx="187">
                  <c:v>19.06091237113372</c:v>
                </c:pt>
                <c:pt idx="188">
                  <c:v>19.1615891752577</c:v>
                </c:pt>
                <c:pt idx="189">
                  <c:v>19.26226597938138</c:v>
                </c:pt>
                <c:pt idx="190">
                  <c:v>19.36294278350508</c:v>
                </c:pt>
                <c:pt idx="191">
                  <c:v>19.46361958762852</c:v>
                </c:pt>
                <c:pt idx="192">
                  <c:v>19.5642963917525</c:v>
                </c:pt>
                <c:pt idx="193">
                  <c:v>19.66497319587621</c:v>
                </c:pt>
                <c:pt idx="194">
                  <c:v>19.76564999999983</c:v>
                </c:pt>
              </c:numCache>
            </c:numRef>
          </c:xVal>
          <c:yVal>
            <c:numRef>
              <c:f>Sheet1!$E$4:$E$198</c:f>
              <c:numCache>
                <c:formatCode>General</c:formatCode>
                <c:ptCount val="195"/>
                <c:pt idx="0">
                  <c:v>0.013803595149166</c:v>
                </c:pt>
                <c:pt idx="1">
                  <c:v>0.013776742322993</c:v>
                </c:pt>
                <c:pt idx="2">
                  <c:v>0.013504898244953</c:v>
                </c:pt>
                <c:pt idx="3">
                  <c:v>0.012918530431691</c:v>
                </c:pt>
                <c:pt idx="4">
                  <c:v>0.012430921723232</c:v>
                </c:pt>
                <c:pt idx="5">
                  <c:v>0.012327260527377</c:v>
                </c:pt>
                <c:pt idx="6">
                  <c:v>0.0122116480288</c:v>
                </c:pt>
                <c:pt idx="7">
                  <c:v>0.012053776922826</c:v>
                </c:pt>
                <c:pt idx="8">
                  <c:v>0.011893490419989</c:v>
                </c:pt>
                <c:pt idx="9">
                  <c:v>0.011743555993915</c:v>
                </c:pt>
                <c:pt idx="10">
                  <c:v>0.011607796059623</c:v>
                </c:pt>
                <c:pt idx="11">
                  <c:v>0.01148661984108</c:v>
                </c:pt>
                <c:pt idx="12">
                  <c:v>0.011379111410241</c:v>
                </c:pt>
                <c:pt idx="13">
                  <c:v>0.011283900817921</c:v>
                </c:pt>
                <c:pt idx="14">
                  <c:v>0.011199539753901</c:v>
                </c:pt>
                <c:pt idx="15">
                  <c:v>0.011124659470638</c:v>
                </c:pt>
                <c:pt idx="16">
                  <c:v>0.01105802958761</c:v>
                </c:pt>
                <c:pt idx="17">
                  <c:v>0.010998571627084</c:v>
                </c:pt>
                <c:pt idx="18">
                  <c:v>0.010945352589813</c:v>
                </c:pt>
                <c:pt idx="19">
                  <c:v>0.010897570632471</c:v>
                </c:pt>
                <c:pt idx="20">
                  <c:v>0.0108545385557</c:v>
                </c:pt>
                <c:pt idx="21">
                  <c:v>0.010815667708075</c:v>
                </c:pt>
                <c:pt idx="22">
                  <c:v>0.010780453387305</c:v>
                </c:pt>
                <c:pt idx="23">
                  <c:v>0.010748462079732</c:v>
                </c:pt>
                <c:pt idx="24">
                  <c:v>0.010719320532042</c:v>
                </c:pt>
                <c:pt idx="25">
                  <c:v>0.010692706499298</c:v>
                </c:pt>
                <c:pt idx="26">
                  <c:v>0.010668340961433</c:v>
                </c:pt>
                <c:pt idx="27">
                  <c:v>0.01064598159534</c:v>
                </c:pt>
                <c:pt idx="28">
                  <c:v>0.01062541730559</c:v>
                </c:pt>
                <c:pt idx="29">
                  <c:v>0.01060646364052</c:v>
                </c:pt>
                <c:pt idx="30">
                  <c:v>0.010588958945546</c:v>
                </c:pt>
                <c:pt idx="31">
                  <c:v>0.010572761468646</c:v>
                </c:pt>
                <c:pt idx="32">
                  <c:v>0.010557745228469</c:v>
                </c:pt>
                <c:pt idx="33">
                  <c:v>0.010543799902851</c:v>
                </c:pt>
                <c:pt idx="34">
                  <c:v>0.010530827357253</c:v>
                </c:pt>
                <c:pt idx="35">
                  <c:v>0.010518740386003</c:v>
                </c:pt>
                <c:pt idx="36">
                  <c:v>0.010507461300827</c:v>
                </c:pt>
                <c:pt idx="37">
                  <c:v>0.010496920724916</c:v>
                </c:pt>
                <c:pt idx="38">
                  <c:v>0.010487056559686</c:v>
                </c:pt>
                <c:pt idx="39">
                  <c:v>0.010477813096958</c:v>
                </c:pt>
                <c:pt idx="40">
                  <c:v>0.010469140253993</c:v>
                </c:pt>
                <c:pt idx="41">
                  <c:v>0.010460992912568</c:v>
                </c:pt>
                <c:pt idx="42">
                  <c:v>0.010453330346433</c:v>
                </c:pt>
                <c:pt idx="43">
                  <c:v>0.010446115724044</c:v>
                </c:pt>
                <c:pt idx="44">
                  <c:v>0.010439315675568</c:v>
                </c:pt>
                <c:pt idx="45">
                  <c:v>0.010432899914968</c:v>
                </c:pt>
                <c:pt idx="46">
                  <c:v>0.010426840909333</c:v>
                </c:pt>
                <c:pt idx="47">
                  <c:v>0.010421113588907</c:v>
                </c:pt>
                <c:pt idx="48">
                  <c:v>0.010415695092251</c:v>
                </c:pt>
                <c:pt idx="49">
                  <c:v>0.010410564541769</c:v>
                </c:pt>
                <c:pt idx="50">
                  <c:v>0.010405702845604</c:v>
                </c:pt>
                <c:pt idx="51">
                  <c:v>0.010401092522412</c:v>
                </c:pt>
                <c:pt idx="52">
                  <c:v>0.010396717546134</c:v>
                </c:pt>
                <c:pt idx="53">
                  <c:v>0.010392563208154</c:v>
                </c:pt>
                <c:pt idx="54">
                  <c:v>0.010388615994739</c:v>
                </c:pt>
                <c:pt idx="55">
                  <c:v>0.010384863477832</c:v>
                </c:pt>
                <c:pt idx="56">
                  <c:v>0.010381294217607</c:v>
                </c:pt>
                <c:pt idx="57">
                  <c:v>0.010377897675367</c:v>
                </c:pt>
                <c:pt idx="58">
                  <c:v>0.010374664135559</c:v>
                </c:pt>
                <c:pt idx="59">
                  <c:v>0.010371584635866</c:v>
                </c:pt>
                <c:pt idx="60">
                  <c:v>0.010368650904414</c:v>
                </c:pt>
                <c:pt idx="61">
                  <c:v>0.010365855303321</c:v>
                </c:pt>
                <c:pt idx="62">
                  <c:v>0.010363190777846</c:v>
                </c:pt>
                <c:pt idx="63">
                  <c:v>0.010360650810533</c:v>
                </c:pt>
                <c:pt idx="64">
                  <c:v>0.010358229379788</c:v>
                </c:pt>
                <c:pt idx="65">
                  <c:v>0.010355920922406</c:v>
                </c:pt>
                <c:pt idx="66">
                  <c:v>0.010353720299625</c:v>
                </c:pt>
                <c:pt idx="67">
                  <c:v>0.010351622766306</c:v>
                </c:pt>
                <c:pt idx="68">
                  <c:v>0.010349623942913</c:v>
                </c:pt>
                <c:pt idx="69">
                  <c:v>0.010347719789986</c:v>
                </c:pt>
                <c:pt idx="70">
                  <c:v>0.010345906584821</c:v>
                </c:pt>
                <c:pt idx="71">
                  <c:v>0.010344180900131</c:v>
                </c:pt>
                <c:pt idx="72">
                  <c:v>0.010342539584446</c:v>
                </c:pt>
                <c:pt idx="73">
                  <c:v>0.010340979744068</c:v>
                </c:pt>
                <c:pt idx="74">
                  <c:v>0.010339498726395</c:v>
                </c:pt>
                <c:pt idx="75">
                  <c:v>0.010338094104441</c:v>
                </c:pt>
                <c:pt idx="76">
                  <c:v>0.010336763662423</c:v>
                </c:pt>
                <c:pt idx="77">
                  <c:v>0.010335505382273</c:v>
                </c:pt>
                <c:pt idx="78">
                  <c:v>0.010334317430896</c:v>
                </c:pt>
                <c:pt idx="79">
                  <c:v>0.010333207381592</c:v>
                </c:pt>
                <c:pt idx="80">
                  <c:v>0.010332154286024</c:v>
                </c:pt>
                <c:pt idx="81">
                  <c:v>0.010331167065227</c:v>
                </c:pt>
                <c:pt idx="82">
                  <c:v>0.010330244512013</c:v>
                </c:pt>
                <c:pt idx="83">
                  <c:v>0.010329385550152</c:v>
                </c:pt>
                <c:pt idx="84">
                  <c:v>0.010328589224675</c:v>
                </c:pt>
                <c:pt idx="85">
                  <c:v>0.010327854692819</c:v>
                </c:pt>
                <c:pt idx="86">
                  <c:v>0.010327181214965</c:v>
                </c:pt>
                <c:pt idx="87">
                  <c:v>0.010326568146323</c:v>
                </c:pt>
                <c:pt idx="88">
                  <c:v>0.010326014928676</c:v>
                </c:pt>
                <c:pt idx="89">
                  <c:v>0.010325521082782</c:v>
                </c:pt>
                <c:pt idx="90">
                  <c:v>0.010325086201138</c:v>
                </c:pt>
                <c:pt idx="91">
                  <c:v>0.010324709941212</c:v>
                </c:pt>
                <c:pt idx="92">
                  <c:v>0.010324392019381</c:v>
                </c:pt>
                <c:pt idx="93">
                  <c:v>0.010324132205419</c:v>
                </c:pt>
                <c:pt idx="94">
                  <c:v>0.010323930317722</c:v>
                </c:pt>
                <c:pt idx="95">
                  <c:v>0.010323786219306</c:v>
                </c:pt>
                <c:pt idx="96">
                  <c:v>0.010323699814622</c:v>
                </c:pt>
                <c:pt idx="97">
                  <c:v>0.010323671034583</c:v>
                </c:pt>
                <c:pt idx="98">
                  <c:v>0.010323699814622</c:v>
                </c:pt>
                <c:pt idx="99">
                  <c:v>0.010323786219306</c:v>
                </c:pt>
                <c:pt idx="100">
                  <c:v>0.010323930317722</c:v>
                </c:pt>
                <c:pt idx="101">
                  <c:v>0.010324132205419</c:v>
                </c:pt>
                <c:pt idx="102">
                  <c:v>0.010324392019381</c:v>
                </c:pt>
                <c:pt idx="103">
                  <c:v>0.010324709941212</c:v>
                </c:pt>
                <c:pt idx="104">
                  <c:v>0.010325086201138</c:v>
                </c:pt>
                <c:pt idx="105">
                  <c:v>0.010325521082782</c:v>
                </c:pt>
                <c:pt idx="106">
                  <c:v>0.010326014928676</c:v>
                </c:pt>
                <c:pt idx="107">
                  <c:v>0.010326568146323</c:v>
                </c:pt>
                <c:pt idx="108">
                  <c:v>0.010327181214965</c:v>
                </c:pt>
                <c:pt idx="109">
                  <c:v>0.010327854692819</c:v>
                </c:pt>
                <c:pt idx="110">
                  <c:v>0.010328589224675</c:v>
                </c:pt>
                <c:pt idx="111">
                  <c:v>0.010329385550152</c:v>
                </c:pt>
                <c:pt idx="112">
                  <c:v>0.010330244512013</c:v>
                </c:pt>
                <c:pt idx="113">
                  <c:v>0.010331167065227</c:v>
                </c:pt>
                <c:pt idx="114">
                  <c:v>0.010332154286024</c:v>
                </c:pt>
                <c:pt idx="115">
                  <c:v>0.010333207381592</c:v>
                </c:pt>
                <c:pt idx="116">
                  <c:v>0.010334317430896</c:v>
                </c:pt>
                <c:pt idx="117">
                  <c:v>0.010335505382273</c:v>
                </c:pt>
                <c:pt idx="118">
                  <c:v>0.010336763662423</c:v>
                </c:pt>
                <c:pt idx="119">
                  <c:v>0.010338094104441</c:v>
                </c:pt>
                <c:pt idx="120">
                  <c:v>0.010339498726395</c:v>
                </c:pt>
                <c:pt idx="121">
                  <c:v>0.010340979744068</c:v>
                </c:pt>
                <c:pt idx="122">
                  <c:v>0.010342539584446</c:v>
                </c:pt>
                <c:pt idx="123">
                  <c:v>0.010344180900131</c:v>
                </c:pt>
                <c:pt idx="124">
                  <c:v>0.010345906584821</c:v>
                </c:pt>
                <c:pt idx="125">
                  <c:v>0.010347719789986</c:v>
                </c:pt>
                <c:pt idx="126">
                  <c:v>0.010349623942913</c:v>
                </c:pt>
                <c:pt idx="127">
                  <c:v>0.010351622766306</c:v>
                </c:pt>
                <c:pt idx="128">
                  <c:v>0.010353720299625</c:v>
                </c:pt>
                <c:pt idx="129">
                  <c:v>0.010355920922406</c:v>
                </c:pt>
                <c:pt idx="130">
                  <c:v>0.010358229379788</c:v>
                </c:pt>
                <c:pt idx="131">
                  <c:v>0.010360650810533</c:v>
                </c:pt>
                <c:pt idx="132">
                  <c:v>0.010363190777846</c:v>
                </c:pt>
                <c:pt idx="133">
                  <c:v>0.010365855303321</c:v>
                </c:pt>
                <c:pt idx="134">
                  <c:v>0.010368650904414</c:v>
                </c:pt>
                <c:pt idx="135">
                  <c:v>0.010371584635866</c:v>
                </c:pt>
                <c:pt idx="136">
                  <c:v>0.010374664135559</c:v>
                </c:pt>
                <c:pt idx="137">
                  <c:v>0.010377897675367</c:v>
                </c:pt>
                <c:pt idx="138">
                  <c:v>0.010381294217607</c:v>
                </c:pt>
                <c:pt idx="139">
                  <c:v>0.010384863477832</c:v>
                </c:pt>
                <c:pt idx="140">
                  <c:v>0.010388615994739</c:v>
                </c:pt>
                <c:pt idx="141">
                  <c:v>0.010392563208154</c:v>
                </c:pt>
                <c:pt idx="142">
                  <c:v>0.010396717546134</c:v>
                </c:pt>
                <c:pt idx="143">
                  <c:v>0.010401092522412</c:v>
                </c:pt>
                <c:pt idx="144">
                  <c:v>0.010405702845604</c:v>
                </c:pt>
                <c:pt idx="145">
                  <c:v>0.010410564541769</c:v>
                </c:pt>
                <c:pt idx="146">
                  <c:v>0.010415695092251</c:v>
                </c:pt>
                <c:pt idx="147">
                  <c:v>0.010421113588907</c:v>
                </c:pt>
                <c:pt idx="148">
                  <c:v>0.010426840909333</c:v>
                </c:pt>
                <c:pt idx="149">
                  <c:v>0.010432899914968</c:v>
                </c:pt>
                <c:pt idx="150">
                  <c:v>0.010439315675568</c:v>
                </c:pt>
                <c:pt idx="151">
                  <c:v>0.010446115724044</c:v>
                </c:pt>
                <c:pt idx="152">
                  <c:v>0.010453330346433</c:v>
                </c:pt>
                <c:pt idx="153">
                  <c:v>0.010460992912568</c:v>
                </c:pt>
                <c:pt idx="154">
                  <c:v>0.010469140253993</c:v>
                </c:pt>
                <c:pt idx="155">
                  <c:v>0.010477813096958</c:v>
                </c:pt>
                <c:pt idx="156">
                  <c:v>0.010487056559686</c:v>
                </c:pt>
                <c:pt idx="157">
                  <c:v>0.010496920724916</c:v>
                </c:pt>
                <c:pt idx="158">
                  <c:v>0.010507461300827</c:v>
                </c:pt>
                <c:pt idx="159">
                  <c:v>0.010518740386003</c:v>
                </c:pt>
                <c:pt idx="160">
                  <c:v>0.010530827357253</c:v>
                </c:pt>
                <c:pt idx="161">
                  <c:v>0.010543799902851</c:v>
                </c:pt>
                <c:pt idx="162">
                  <c:v>0.010557745228469</c:v>
                </c:pt>
                <c:pt idx="163">
                  <c:v>0.010572761468646</c:v>
                </c:pt>
                <c:pt idx="164">
                  <c:v>0.010588958945546</c:v>
                </c:pt>
                <c:pt idx="165">
                  <c:v>0.01060646364052</c:v>
                </c:pt>
                <c:pt idx="166">
                  <c:v>0.01062541730559</c:v>
                </c:pt>
                <c:pt idx="167">
                  <c:v>0.01064598159534</c:v>
                </c:pt>
                <c:pt idx="168">
                  <c:v>0.010668340961433</c:v>
                </c:pt>
                <c:pt idx="169">
                  <c:v>0.010692706499298</c:v>
                </c:pt>
                <c:pt idx="170">
                  <c:v>0.010719320532042</c:v>
                </c:pt>
                <c:pt idx="171">
                  <c:v>0.010748462079732</c:v>
                </c:pt>
                <c:pt idx="172">
                  <c:v>0.010780453387305</c:v>
                </c:pt>
                <c:pt idx="173">
                  <c:v>0.010815667708075</c:v>
                </c:pt>
                <c:pt idx="174">
                  <c:v>0.0108545385557</c:v>
                </c:pt>
                <c:pt idx="175">
                  <c:v>0.010897570632471</c:v>
                </c:pt>
                <c:pt idx="176">
                  <c:v>0.010945352589813</c:v>
                </c:pt>
                <c:pt idx="177">
                  <c:v>0.010998571627084</c:v>
                </c:pt>
                <c:pt idx="178">
                  <c:v>0.01105802958761</c:v>
                </c:pt>
                <c:pt idx="179">
                  <c:v>0.011124659470638</c:v>
                </c:pt>
                <c:pt idx="180">
                  <c:v>0.011199539753901</c:v>
                </c:pt>
                <c:pt idx="181">
                  <c:v>0.011283900817921</c:v>
                </c:pt>
                <c:pt idx="182">
                  <c:v>0.011379111410241</c:v>
                </c:pt>
                <c:pt idx="183">
                  <c:v>0.01148661984108</c:v>
                </c:pt>
                <c:pt idx="184">
                  <c:v>0.011607796059623</c:v>
                </c:pt>
                <c:pt idx="185">
                  <c:v>0.011743555993915</c:v>
                </c:pt>
                <c:pt idx="186">
                  <c:v>0.011893490419989</c:v>
                </c:pt>
                <c:pt idx="187">
                  <c:v>0.012053776922826</c:v>
                </c:pt>
                <c:pt idx="188">
                  <c:v>0.0122116480288</c:v>
                </c:pt>
                <c:pt idx="189">
                  <c:v>0.012327260527377</c:v>
                </c:pt>
                <c:pt idx="190">
                  <c:v>0.012430921723232</c:v>
                </c:pt>
                <c:pt idx="191">
                  <c:v>0.012918530431691</c:v>
                </c:pt>
                <c:pt idx="192">
                  <c:v>0.013504898244953</c:v>
                </c:pt>
                <c:pt idx="193">
                  <c:v>0.013776742322993</c:v>
                </c:pt>
                <c:pt idx="194">
                  <c:v>0.013803595149166</c:v>
                </c:pt>
              </c:numCache>
            </c:numRef>
          </c:yVal>
          <c:smooth val="1"/>
          <c:extLst xmlns:c16r2="http://schemas.microsoft.com/office/drawing/2015/06/chart">
            <c:ext xmlns:c16="http://schemas.microsoft.com/office/drawing/2014/chart" uri="{C3380CC4-5D6E-409C-BE32-E72D297353CC}">
              <c16:uniqueId val="{00000002-B0B0-4703-829F-3ED13B16AD3A}"/>
            </c:ext>
          </c:extLst>
        </c:ser>
        <c:dLbls>
          <c:showLegendKey val="0"/>
          <c:showVal val="0"/>
          <c:showCatName val="0"/>
          <c:showSerName val="0"/>
          <c:showPercent val="0"/>
          <c:showBubbleSize val="0"/>
        </c:dLbls>
        <c:axId val="-1896916368"/>
        <c:axId val="2097902816"/>
      </c:scatterChart>
      <c:valAx>
        <c:axId val="-1896916368"/>
        <c:scaling>
          <c:orientation val="minMax"/>
          <c:max val="20.0"/>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latin typeface="Times New Roman" panose="02020603050405020304" charset="0"/>
                    <a:cs typeface="Times New Roman" panose="02020603050405020304" charset="0"/>
                  </a:rPr>
                  <a:t>Distance to the left wall</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nm)</a:t>
                </a:r>
              </a:p>
            </c:rich>
          </c:tx>
          <c:layout>
            <c:manualLayout>
              <c:xMode val="edge"/>
              <c:yMode val="edge"/>
              <c:x val="0.345740158442784"/>
              <c:y val="0.9406053149606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097902816"/>
        <c:crosses val="autoZero"/>
        <c:crossBetween val="midCat"/>
      </c:valAx>
      <c:valAx>
        <c:axId val="2097902816"/>
        <c:scaling>
          <c:orientation val="minMax"/>
          <c:min val="0.005"/>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charset="0"/>
                    <a:ea typeface="+mn-ea"/>
                    <a:cs typeface="Times New Roman" panose="02020603050405020304" charset="0"/>
                  </a:defRPr>
                </a:pPr>
                <a:r>
                  <a:rPr lang="en-US" sz="1200" b="0">
                    <a:latin typeface="Times New Roman" panose="02020603050405020304" charset="0"/>
                    <a:cs typeface="Times New Roman" panose="02020603050405020304" charset="0"/>
                  </a:rPr>
                  <a:t>Density</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mol/cm</a:t>
                </a:r>
                <a:r>
                  <a:rPr lang="en-US" sz="1200" b="0" baseline="30000">
                    <a:latin typeface="Times New Roman" panose="02020603050405020304" charset="0"/>
                    <a:cs typeface="Times New Roman" panose="02020603050405020304" charset="0"/>
                  </a:rPr>
                  <a:t>3</a:t>
                </a:r>
                <a:r>
                  <a:rPr lang="en-US" sz="1200" b="0" baseline="0">
                    <a:latin typeface="Times New Roman" panose="02020603050405020304" charset="0"/>
                    <a:cs typeface="Times New Roman" panose="02020603050405020304" charset="0"/>
                  </a:rPr>
                  <a:t>)</a:t>
                </a:r>
                <a:endParaRPr lang="en-US" sz="1200" b="0">
                  <a:latin typeface="Times New Roman" panose="02020603050405020304" charset="0"/>
                  <a:cs typeface="Times New Roman" panose="02020603050405020304" charset="0"/>
                </a:endParaRPr>
              </a:p>
            </c:rich>
          </c:tx>
          <c:layout>
            <c:manualLayout>
              <c:xMode val="edge"/>
              <c:yMode val="edge"/>
              <c:x val="0.0185821436442918"/>
              <c:y val="0.355468350547091"/>
            </c:manualLayout>
          </c:layout>
          <c:overlay val="0"/>
        </c:title>
        <c:numFmt formatCode="#,##0.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1896916368"/>
        <c:crosses val="autoZero"/>
        <c:crossBetween val="midCat"/>
      </c:valAx>
      <c:spPr>
        <a:ln>
          <a:solidFill>
            <a:schemeClr val="tx1"/>
          </a:solidFill>
        </a:ln>
      </c:spPr>
    </c:plotArea>
    <c:legend>
      <c:legendPos val="r"/>
      <c:layout>
        <c:manualLayout>
          <c:xMode val="edge"/>
          <c:yMode val="edge"/>
          <c:x val="0.362903376809719"/>
          <c:y val="0.0823296225902798"/>
          <c:w val="0.358483587922007"/>
          <c:h val="0.199632958724196"/>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200739478866785"/>
          <c:y val="0.0559166467827885"/>
          <c:w val="0.729386202757713"/>
          <c:h val="0.763214030064424"/>
        </c:manualLayout>
      </c:layout>
      <c:scatterChart>
        <c:scatterStyle val="lineMarker"/>
        <c:varyColors val="0"/>
        <c:ser>
          <c:idx val="0"/>
          <c:order val="0"/>
          <c:spPr>
            <a:ln w="28575" cap="rnd" cmpd="sng" algn="ctr">
              <a:solidFill>
                <a:schemeClr val="tx1"/>
              </a:solidFill>
              <a:prstDash val="solid"/>
              <a:round/>
            </a:ln>
          </c:spPr>
          <c:marker>
            <c:symbol val="none"/>
          </c:marker>
          <c:xVal>
            <c:numRef>
              <c:f>Sheet1!$C$2:$C$195</c:f>
              <c:numCache>
                <c:formatCode>General</c:formatCode>
                <c:ptCount val="194"/>
                <c:pt idx="0">
                  <c:v>0.1879</c:v>
                </c:pt>
                <c:pt idx="1">
                  <c:v>0.1979</c:v>
                </c:pt>
                <c:pt idx="2">
                  <c:v>0.2079</c:v>
                </c:pt>
                <c:pt idx="3">
                  <c:v>0.2179</c:v>
                </c:pt>
                <c:pt idx="4">
                  <c:v>0.2279</c:v>
                </c:pt>
                <c:pt idx="5">
                  <c:v>0.2379</c:v>
                </c:pt>
                <c:pt idx="6">
                  <c:v>0.2479</c:v>
                </c:pt>
                <c:pt idx="7">
                  <c:v>0.2579</c:v>
                </c:pt>
                <c:pt idx="8">
                  <c:v>0.2679</c:v>
                </c:pt>
                <c:pt idx="9">
                  <c:v>0.2779</c:v>
                </c:pt>
                <c:pt idx="10">
                  <c:v>0.2879</c:v>
                </c:pt>
                <c:pt idx="11">
                  <c:v>0.2979</c:v>
                </c:pt>
                <c:pt idx="12">
                  <c:v>0.3079</c:v>
                </c:pt>
                <c:pt idx="13">
                  <c:v>0.3179</c:v>
                </c:pt>
                <c:pt idx="14">
                  <c:v>0.3279</c:v>
                </c:pt>
                <c:pt idx="15">
                  <c:v>0.3379</c:v>
                </c:pt>
                <c:pt idx="16">
                  <c:v>0.3479</c:v>
                </c:pt>
                <c:pt idx="17">
                  <c:v>0.3579</c:v>
                </c:pt>
                <c:pt idx="18">
                  <c:v>0.3679</c:v>
                </c:pt>
                <c:pt idx="19">
                  <c:v>0.3779</c:v>
                </c:pt>
                <c:pt idx="20">
                  <c:v>0.3879</c:v>
                </c:pt>
                <c:pt idx="21">
                  <c:v>0.3979</c:v>
                </c:pt>
                <c:pt idx="22">
                  <c:v>0.4079</c:v>
                </c:pt>
                <c:pt idx="23">
                  <c:v>0.4179</c:v>
                </c:pt>
                <c:pt idx="24">
                  <c:v>0.4279</c:v>
                </c:pt>
                <c:pt idx="25">
                  <c:v>0.4379</c:v>
                </c:pt>
                <c:pt idx="26">
                  <c:v>0.4479</c:v>
                </c:pt>
                <c:pt idx="27">
                  <c:v>0.4579</c:v>
                </c:pt>
                <c:pt idx="28">
                  <c:v>0.4679</c:v>
                </c:pt>
                <c:pt idx="29">
                  <c:v>0.4779</c:v>
                </c:pt>
                <c:pt idx="30">
                  <c:v>0.4879</c:v>
                </c:pt>
                <c:pt idx="31">
                  <c:v>0.4979</c:v>
                </c:pt>
                <c:pt idx="32">
                  <c:v>0.5079</c:v>
                </c:pt>
                <c:pt idx="33">
                  <c:v>0.5179</c:v>
                </c:pt>
                <c:pt idx="34">
                  <c:v>0.5279</c:v>
                </c:pt>
                <c:pt idx="35">
                  <c:v>0.5379</c:v>
                </c:pt>
                <c:pt idx="36">
                  <c:v>0.5479</c:v>
                </c:pt>
                <c:pt idx="37">
                  <c:v>0.5579</c:v>
                </c:pt>
                <c:pt idx="38">
                  <c:v>0.5679</c:v>
                </c:pt>
                <c:pt idx="39">
                  <c:v>0.5779</c:v>
                </c:pt>
                <c:pt idx="40">
                  <c:v>0.5879</c:v>
                </c:pt>
                <c:pt idx="41">
                  <c:v>0.5979</c:v>
                </c:pt>
                <c:pt idx="42">
                  <c:v>0.6079</c:v>
                </c:pt>
                <c:pt idx="43">
                  <c:v>0.6179</c:v>
                </c:pt>
                <c:pt idx="44">
                  <c:v>0.6279</c:v>
                </c:pt>
                <c:pt idx="45">
                  <c:v>0.6379</c:v>
                </c:pt>
                <c:pt idx="46">
                  <c:v>0.6479</c:v>
                </c:pt>
                <c:pt idx="47">
                  <c:v>0.6579</c:v>
                </c:pt>
                <c:pt idx="48">
                  <c:v>0.667900000000001</c:v>
                </c:pt>
                <c:pt idx="49">
                  <c:v>0.6779</c:v>
                </c:pt>
                <c:pt idx="50">
                  <c:v>0.6879</c:v>
                </c:pt>
                <c:pt idx="51">
                  <c:v>0.6979</c:v>
                </c:pt>
                <c:pt idx="52">
                  <c:v>0.7079</c:v>
                </c:pt>
                <c:pt idx="53">
                  <c:v>0.7179</c:v>
                </c:pt>
                <c:pt idx="54">
                  <c:v>0.7279</c:v>
                </c:pt>
                <c:pt idx="55">
                  <c:v>0.7379</c:v>
                </c:pt>
                <c:pt idx="56">
                  <c:v>0.7479</c:v>
                </c:pt>
                <c:pt idx="57">
                  <c:v>0.7579</c:v>
                </c:pt>
                <c:pt idx="58">
                  <c:v>0.7679</c:v>
                </c:pt>
                <c:pt idx="59">
                  <c:v>0.7779</c:v>
                </c:pt>
                <c:pt idx="60">
                  <c:v>0.7879</c:v>
                </c:pt>
                <c:pt idx="61">
                  <c:v>0.7979</c:v>
                </c:pt>
                <c:pt idx="62">
                  <c:v>0.8079</c:v>
                </c:pt>
                <c:pt idx="63">
                  <c:v>0.8179</c:v>
                </c:pt>
                <c:pt idx="64">
                  <c:v>0.8279</c:v>
                </c:pt>
                <c:pt idx="65">
                  <c:v>0.8379</c:v>
                </c:pt>
                <c:pt idx="66">
                  <c:v>0.8479</c:v>
                </c:pt>
                <c:pt idx="67">
                  <c:v>0.8579</c:v>
                </c:pt>
                <c:pt idx="68">
                  <c:v>0.8679</c:v>
                </c:pt>
                <c:pt idx="69">
                  <c:v>0.8779</c:v>
                </c:pt>
                <c:pt idx="70">
                  <c:v>0.8879</c:v>
                </c:pt>
                <c:pt idx="71">
                  <c:v>0.8979</c:v>
                </c:pt>
                <c:pt idx="72">
                  <c:v>0.9079</c:v>
                </c:pt>
                <c:pt idx="73">
                  <c:v>0.9179</c:v>
                </c:pt>
                <c:pt idx="74">
                  <c:v>0.9279</c:v>
                </c:pt>
                <c:pt idx="75">
                  <c:v>0.9379</c:v>
                </c:pt>
                <c:pt idx="76">
                  <c:v>0.9479</c:v>
                </c:pt>
                <c:pt idx="77">
                  <c:v>0.9579</c:v>
                </c:pt>
                <c:pt idx="78">
                  <c:v>0.9679</c:v>
                </c:pt>
                <c:pt idx="79">
                  <c:v>0.9779</c:v>
                </c:pt>
                <c:pt idx="80">
                  <c:v>0.9879</c:v>
                </c:pt>
                <c:pt idx="81">
                  <c:v>0.997899999999999</c:v>
                </c:pt>
                <c:pt idx="82">
                  <c:v>1.007899999999998</c:v>
                </c:pt>
                <c:pt idx="83">
                  <c:v>1.017899999999998</c:v>
                </c:pt>
                <c:pt idx="84">
                  <c:v>1.027899999999998</c:v>
                </c:pt>
                <c:pt idx="85">
                  <c:v>1.037899999999998</c:v>
                </c:pt>
                <c:pt idx="86">
                  <c:v>1.047899999999989</c:v>
                </c:pt>
                <c:pt idx="87">
                  <c:v>1.057899999999999</c:v>
                </c:pt>
                <c:pt idx="88">
                  <c:v>1.067899999999999</c:v>
                </c:pt>
                <c:pt idx="89">
                  <c:v>1.077899999999999</c:v>
                </c:pt>
                <c:pt idx="90">
                  <c:v>1.087899999999999</c:v>
                </c:pt>
                <c:pt idx="91">
                  <c:v>1.097899999999989</c:v>
                </c:pt>
                <c:pt idx="92">
                  <c:v>1.107899999999999</c:v>
                </c:pt>
                <c:pt idx="93">
                  <c:v>1.117899999999999</c:v>
                </c:pt>
                <c:pt idx="94">
                  <c:v>1.127899999999999</c:v>
                </c:pt>
                <c:pt idx="95">
                  <c:v>1.137899999999999</c:v>
                </c:pt>
                <c:pt idx="96">
                  <c:v>1.147899999999999</c:v>
                </c:pt>
                <c:pt idx="97">
                  <c:v>1.157899999999999</c:v>
                </c:pt>
                <c:pt idx="98">
                  <c:v>1.167899999999999</c:v>
                </c:pt>
                <c:pt idx="99">
                  <c:v>1.177899999999999</c:v>
                </c:pt>
                <c:pt idx="100">
                  <c:v>1.1879</c:v>
                </c:pt>
                <c:pt idx="101">
                  <c:v>1.1979</c:v>
                </c:pt>
                <c:pt idx="102">
                  <c:v>1.207899999999999</c:v>
                </c:pt>
                <c:pt idx="103">
                  <c:v>1.217899999999999</c:v>
                </c:pt>
                <c:pt idx="104">
                  <c:v>1.227899999999999</c:v>
                </c:pt>
                <c:pt idx="105">
                  <c:v>1.237899999999998</c:v>
                </c:pt>
                <c:pt idx="106">
                  <c:v>1.247899999999998</c:v>
                </c:pt>
                <c:pt idx="107">
                  <c:v>1.257899999999998</c:v>
                </c:pt>
                <c:pt idx="108">
                  <c:v>1.267899999999998</c:v>
                </c:pt>
                <c:pt idx="109">
                  <c:v>1.277899999999998</c:v>
                </c:pt>
                <c:pt idx="110">
                  <c:v>1.287899999999998</c:v>
                </c:pt>
                <c:pt idx="111">
                  <c:v>1.297899999999998</c:v>
                </c:pt>
                <c:pt idx="112">
                  <c:v>1.307899999999999</c:v>
                </c:pt>
                <c:pt idx="113">
                  <c:v>1.317899999999999</c:v>
                </c:pt>
                <c:pt idx="114">
                  <c:v>1.327899999999999</c:v>
                </c:pt>
                <c:pt idx="115">
                  <c:v>1.337899999999999</c:v>
                </c:pt>
                <c:pt idx="116">
                  <c:v>1.347899999999999</c:v>
                </c:pt>
                <c:pt idx="117">
                  <c:v>1.357899999999999</c:v>
                </c:pt>
                <c:pt idx="118">
                  <c:v>1.367899999999999</c:v>
                </c:pt>
                <c:pt idx="119">
                  <c:v>1.377899999999999</c:v>
                </c:pt>
                <c:pt idx="120">
                  <c:v>1.387899999999999</c:v>
                </c:pt>
                <c:pt idx="121">
                  <c:v>1.397899999999999</c:v>
                </c:pt>
                <c:pt idx="122">
                  <c:v>1.407899999999997</c:v>
                </c:pt>
                <c:pt idx="123">
                  <c:v>1.417899999999997</c:v>
                </c:pt>
                <c:pt idx="124">
                  <c:v>1.427899999999997</c:v>
                </c:pt>
                <c:pt idx="125">
                  <c:v>1.437899999999999</c:v>
                </c:pt>
                <c:pt idx="126">
                  <c:v>1.447899999999999</c:v>
                </c:pt>
                <c:pt idx="127">
                  <c:v>1.457899999999999</c:v>
                </c:pt>
                <c:pt idx="128">
                  <c:v>1.467899999999999</c:v>
                </c:pt>
                <c:pt idx="129">
                  <c:v>1.477899999999999</c:v>
                </c:pt>
                <c:pt idx="130">
                  <c:v>1.487899999999998</c:v>
                </c:pt>
                <c:pt idx="131">
                  <c:v>1.497899999999998</c:v>
                </c:pt>
                <c:pt idx="132">
                  <c:v>1.507899999999998</c:v>
                </c:pt>
                <c:pt idx="133">
                  <c:v>1.517899999999998</c:v>
                </c:pt>
                <c:pt idx="134">
                  <c:v>1.527899999999998</c:v>
                </c:pt>
                <c:pt idx="135">
                  <c:v>1.537899999999998</c:v>
                </c:pt>
                <c:pt idx="136">
                  <c:v>1.547899999999998</c:v>
                </c:pt>
                <c:pt idx="137">
                  <c:v>1.557899999999999</c:v>
                </c:pt>
                <c:pt idx="138">
                  <c:v>1.567899999999999</c:v>
                </c:pt>
                <c:pt idx="139">
                  <c:v>1.577899999999999</c:v>
                </c:pt>
                <c:pt idx="140">
                  <c:v>1.587899999999999</c:v>
                </c:pt>
                <c:pt idx="141">
                  <c:v>1.597899999999999</c:v>
                </c:pt>
                <c:pt idx="142">
                  <c:v>1.607899999999999</c:v>
                </c:pt>
                <c:pt idx="143">
                  <c:v>1.617899999999999</c:v>
                </c:pt>
                <c:pt idx="144">
                  <c:v>1.627899999999999</c:v>
                </c:pt>
                <c:pt idx="145">
                  <c:v>1.637899999999999</c:v>
                </c:pt>
                <c:pt idx="146">
                  <c:v>1.647899999999999</c:v>
                </c:pt>
                <c:pt idx="147">
                  <c:v>1.657899999999999</c:v>
                </c:pt>
                <c:pt idx="148">
                  <c:v>1.667899999999999</c:v>
                </c:pt>
                <c:pt idx="149">
                  <c:v>1.677899999999999</c:v>
                </c:pt>
                <c:pt idx="150">
                  <c:v>1.6879</c:v>
                </c:pt>
                <c:pt idx="151">
                  <c:v>1.6979</c:v>
                </c:pt>
                <c:pt idx="152">
                  <c:v>1.707899999999999</c:v>
                </c:pt>
                <c:pt idx="153">
                  <c:v>1.717899999999999</c:v>
                </c:pt>
                <c:pt idx="154">
                  <c:v>1.727899999999999</c:v>
                </c:pt>
                <c:pt idx="155">
                  <c:v>1.737899999999999</c:v>
                </c:pt>
                <c:pt idx="156">
                  <c:v>1.747899999999999</c:v>
                </c:pt>
                <c:pt idx="157">
                  <c:v>1.757899999999999</c:v>
                </c:pt>
                <c:pt idx="158">
                  <c:v>1.7679</c:v>
                </c:pt>
                <c:pt idx="159">
                  <c:v>1.7779</c:v>
                </c:pt>
                <c:pt idx="160">
                  <c:v>1.7879</c:v>
                </c:pt>
                <c:pt idx="161">
                  <c:v>1.7979</c:v>
                </c:pt>
                <c:pt idx="162">
                  <c:v>1.807899999999999</c:v>
                </c:pt>
                <c:pt idx="163">
                  <c:v>1.817899999999999</c:v>
                </c:pt>
                <c:pt idx="164">
                  <c:v>1.827899999999999</c:v>
                </c:pt>
                <c:pt idx="165">
                  <c:v>1.837899999999999</c:v>
                </c:pt>
                <c:pt idx="166">
                  <c:v>1.847899999999999</c:v>
                </c:pt>
                <c:pt idx="167">
                  <c:v>1.857899999999999</c:v>
                </c:pt>
                <c:pt idx="168">
                  <c:v>1.867899999999999</c:v>
                </c:pt>
                <c:pt idx="169">
                  <c:v>1.877899999999999</c:v>
                </c:pt>
                <c:pt idx="170">
                  <c:v>1.887899999999999</c:v>
                </c:pt>
                <c:pt idx="171">
                  <c:v>1.897899999999999</c:v>
                </c:pt>
                <c:pt idx="172">
                  <c:v>1.907899999999997</c:v>
                </c:pt>
                <c:pt idx="173">
                  <c:v>1.917899999999997</c:v>
                </c:pt>
                <c:pt idx="174">
                  <c:v>1.927899999999997</c:v>
                </c:pt>
                <c:pt idx="175">
                  <c:v>1.9379</c:v>
                </c:pt>
                <c:pt idx="176">
                  <c:v>1.9479</c:v>
                </c:pt>
                <c:pt idx="177">
                  <c:v>1.9579</c:v>
                </c:pt>
                <c:pt idx="178">
                  <c:v>1.9679</c:v>
                </c:pt>
                <c:pt idx="179">
                  <c:v>1.9779</c:v>
                </c:pt>
                <c:pt idx="180">
                  <c:v>1.9879</c:v>
                </c:pt>
                <c:pt idx="181">
                  <c:v>1.9979</c:v>
                </c:pt>
                <c:pt idx="182">
                  <c:v>2.0079</c:v>
                </c:pt>
                <c:pt idx="183">
                  <c:v>2.0179</c:v>
                </c:pt>
                <c:pt idx="184">
                  <c:v>2.0279</c:v>
                </c:pt>
                <c:pt idx="185">
                  <c:v>2.0379</c:v>
                </c:pt>
                <c:pt idx="186">
                  <c:v>2.0479</c:v>
                </c:pt>
                <c:pt idx="187">
                  <c:v>2.0579</c:v>
                </c:pt>
                <c:pt idx="188">
                  <c:v>2.0679</c:v>
                </c:pt>
                <c:pt idx="189">
                  <c:v>2.0779</c:v>
                </c:pt>
                <c:pt idx="190">
                  <c:v>2.0879</c:v>
                </c:pt>
                <c:pt idx="191">
                  <c:v>2.0979</c:v>
                </c:pt>
                <c:pt idx="192">
                  <c:v>2.1079</c:v>
                </c:pt>
                <c:pt idx="193">
                  <c:v>2.1179</c:v>
                </c:pt>
              </c:numCache>
            </c:numRef>
          </c:xVal>
          <c:yVal>
            <c:numRef>
              <c:f>Sheet1!$B$2:$B$195</c:f>
              <c:numCache>
                <c:formatCode>General</c:formatCode>
                <c:ptCount val="194"/>
                <c:pt idx="0">
                  <c:v>0.400705352040887</c:v>
                </c:pt>
                <c:pt idx="1">
                  <c:v>0.397560824764959</c:v>
                </c:pt>
                <c:pt idx="2">
                  <c:v>0.391448814675865</c:v>
                </c:pt>
                <c:pt idx="3">
                  <c:v>0.383309430037597</c:v>
                </c:pt>
                <c:pt idx="4">
                  <c:v>0.373764055027318</c:v>
                </c:pt>
                <c:pt idx="5">
                  <c:v>0.363261986210986</c:v>
                </c:pt>
                <c:pt idx="6">
                  <c:v>0.35215010322284</c:v>
                </c:pt>
                <c:pt idx="7">
                  <c:v>0.340706968000699</c:v>
                </c:pt>
                <c:pt idx="8">
                  <c:v>0.329159835984655</c:v>
                </c:pt>
                <c:pt idx="9">
                  <c:v>0.317693523763065</c:v>
                </c:pt>
                <c:pt idx="10">
                  <c:v>0.306455667030493</c:v>
                </c:pt>
                <c:pt idx="11">
                  <c:v>0.295560651271146</c:v>
                </c:pt>
                <c:pt idx="12">
                  <c:v>0.285093266418671</c:v>
                </c:pt>
                <c:pt idx="13">
                  <c:v>0.275112455281164</c:v>
                </c:pt>
                <c:pt idx="14">
                  <c:v>0.265655172220829</c:v>
                </c:pt>
                <c:pt idx="15">
                  <c:v>0.256740217499013</c:v>
                </c:pt>
                <c:pt idx="16">
                  <c:v>0.24837188032008</c:v>
                </c:pt>
                <c:pt idx="17">
                  <c:v>0.240543252057836</c:v>
                </c:pt>
                <c:pt idx="18">
                  <c:v>0.233239122341968</c:v>
                </c:pt>
                <c:pt idx="19">
                  <c:v>0.226438422342865</c:v>
                </c:pt>
                <c:pt idx="20">
                  <c:v>0.220116221060112</c:v>
                </c:pt>
                <c:pt idx="21">
                  <c:v>0.214245308545104</c:v>
                </c:pt>
                <c:pt idx="22">
                  <c:v>0.208797415748397</c:v>
                </c:pt>
                <c:pt idx="23">
                  <c:v>0.203744126796998</c:v>
                </c:pt>
                <c:pt idx="24">
                  <c:v>0.199057539008342</c:v>
                </c:pt>
                <c:pt idx="25">
                  <c:v>0.19471072147427</c:v>
                </c:pt>
                <c:pt idx="26">
                  <c:v>0.190678016597384</c:v>
                </c:pt>
                <c:pt idx="27">
                  <c:v>0.18693522189475</c:v>
                </c:pt>
                <c:pt idx="28">
                  <c:v>0.183459682536903</c:v>
                </c:pt>
                <c:pt idx="29">
                  <c:v>0.180230318915432</c:v>
                </c:pt>
                <c:pt idx="30">
                  <c:v>0.17722760822235</c:v>
                </c:pt>
                <c:pt idx="31">
                  <c:v>0.174433534611359</c:v>
                </c:pt>
                <c:pt idx="32">
                  <c:v>0.171831518936962</c:v>
                </c:pt>
                <c:pt idx="33">
                  <c:v>0.169406336231714</c:v>
                </c:pt>
                <c:pt idx="34">
                  <c:v>0.167144026869894</c:v>
                </c:pt>
                <c:pt idx="35">
                  <c:v>0.165031805665551</c:v>
                </c:pt>
                <c:pt idx="36">
                  <c:v>0.16305797186305</c:v>
                </c:pt>
                <c:pt idx="37">
                  <c:v>0.16121182201212</c:v>
                </c:pt>
                <c:pt idx="38">
                  <c:v>0.159484175337029</c:v>
                </c:pt>
                <c:pt idx="39">
                  <c:v>0.157870799989097</c:v>
                </c:pt>
                <c:pt idx="40">
                  <c:v>0.156363631593769</c:v>
                </c:pt>
                <c:pt idx="41">
                  <c:v>0.154954267189758</c:v>
                </c:pt>
                <c:pt idx="42">
                  <c:v>0.153635099997069</c:v>
                </c:pt>
                <c:pt idx="43">
                  <c:v>0.15239923193539</c:v>
                </c:pt>
                <c:pt idx="44">
                  <c:v>0.151240397250077</c:v>
                </c:pt>
                <c:pt idx="45">
                  <c:v>0.150152895614107</c:v>
                </c:pt>
                <c:pt idx="46">
                  <c:v>0.149131533353857</c:v>
                </c:pt>
                <c:pt idx="47">
                  <c:v>0.148171571670229</c:v>
                </c:pt>
                <c:pt idx="48">
                  <c:v>0.147268680907162</c:v>
                </c:pt>
                <c:pt idx="49">
                  <c:v>0.146418900066764</c:v>
                </c:pt>
                <c:pt idx="50">
                  <c:v>0.145618600891031</c:v>
                </c:pt>
                <c:pt idx="51">
                  <c:v>0.144864455930081</c:v>
                </c:pt>
                <c:pt idx="52">
                  <c:v>0.144153410099984</c:v>
                </c:pt>
                <c:pt idx="53">
                  <c:v>0.143482655302921</c:v>
                </c:pt>
                <c:pt idx="54">
                  <c:v>0.142849607741037</c:v>
                </c:pt>
                <c:pt idx="55">
                  <c:v>0.142251887604953</c:v>
                </c:pt>
                <c:pt idx="56">
                  <c:v>0.141687300860016</c:v>
                </c:pt>
                <c:pt idx="57">
                  <c:v>0.14115382288932</c:v>
                </c:pt>
                <c:pt idx="58">
                  <c:v>0.140649583783286</c:v>
                </c:pt>
                <c:pt idx="59">
                  <c:v>0.140172855091983</c:v>
                </c:pt>
                <c:pt idx="60">
                  <c:v>0.139722037879159</c:v>
                </c:pt>
                <c:pt idx="61">
                  <c:v>0.139295651936575</c:v>
                </c:pt>
                <c:pt idx="62">
                  <c:v>0.138892326034268</c:v>
                </c:pt>
                <c:pt idx="63">
                  <c:v>0.138510789097156</c:v>
                </c:pt>
                <c:pt idx="64">
                  <c:v>0.138149862211236</c:v>
                </c:pt>
                <c:pt idx="65">
                  <c:v>0.137808451373838</c:v>
                </c:pt>
                <c:pt idx="66">
                  <c:v>0.137485540912231</c:v>
                </c:pt>
                <c:pt idx="67">
                  <c:v>0.13718018750339</c:v>
                </c:pt>
                <c:pt idx="68">
                  <c:v>0.136891514735318</c:v>
                </c:pt>
                <c:pt idx="69">
                  <c:v>0.136618708156887</c:v>
                </c:pt>
                <c:pt idx="70">
                  <c:v>0.136361010768995</c:v>
                </c:pt>
                <c:pt idx="71">
                  <c:v>0.136117718914968</c:v>
                </c:pt>
                <c:pt idx="72">
                  <c:v>0.135888178532656</c:v>
                </c:pt>
                <c:pt idx="73">
                  <c:v>0.135671781734696</c:v>
                </c:pt>
                <c:pt idx="74">
                  <c:v>0.135467963686952</c:v>
                </c:pt>
                <c:pt idx="75">
                  <c:v>0.135276199758301</c:v>
                </c:pt>
                <c:pt idx="76">
                  <c:v>0.135096002917737</c:v>
                </c:pt>
                <c:pt idx="77">
                  <c:v>0.134926921357259</c:v>
                </c:pt>
                <c:pt idx="78">
                  <c:v>0.134768536321226</c:v>
                </c:pt>
                <c:pt idx="79">
                  <c:v>0.134620460124871</c:v>
                </c:pt>
                <c:pt idx="80">
                  <c:v>0.134482334346423</c:v>
                </c:pt>
                <c:pt idx="81">
                  <c:v>0.134353828178892</c:v>
                </c:pt>
                <c:pt idx="82">
                  <c:v>0.134234636929019</c:v>
                </c:pt>
                <c:pt idx="83">
                  <c:v>0.134124480652146</c:v>
                </c:pt>
                <c:pt idx="84">
                  <c:v>0.134023102912991</c:v>
                </c:pt>
                <c:pt idx="85">
                  <c:v>0.133930269663284</c:v>
                </c:pt>
                <c:pt idx="86">
                  <c:v>0.133845768228266</c:v>
                </c:pt>
                <c:pt idx="87">
                  <c:v>0.133769406394848</c:v>
                </c:pt>
                <c:pt idx="88">
                  <c:v>0.133701011595073</c:v>
                </c:pt>
                <c:pt idx="89">
                  <c:v>0.133640430179233</c:v>
                </c:pt>
                <c:pt idx="90">
                  <c:v>0.133587526773659</c:v>
                </c:pt>
                <c:pt idx="91">
                  <c:v>0.133542183718837</c:v>
                </c:pt>
                <c:pt idx="92">
                  <c:v>0.13350430058407</c:v>
                </c:pt>
                <c:pt idx="93">
                  <c:v>0.133473793755453</c:v>
                </c:pt>
                <c:pt idx="94">
                  <c:v>0.133450596094421</c:v>
                </c:pt>
                <c:pt idx="95">
                  <c:v>0.133434656664626</c:v>
                </c:pt>
                <c:pt idx="96">
                  <c:v>0.133425940525357</c:v>
                </c:pt>
                <c:pt idx="97">
                  <c:v>0.13342442859014</c:v>
                </c:pt>
                <c:pt idx="98">
                  <c:v>0.133430117549609</c:v>
                </c:pt>
                <c:pt idx="99">
                  <c:v>0.133443019858141</c:v>
                </c:pt>
                <c:pt idx="100">
                  <c:v>0.133463163784167</c:v>
                </c:pt>
                <c:pt idx="101">
                  <c:v>0.13349059352449</c:v>
                </c:pt>
                <c:pt idx="102">
                  <c:v>0.13352536938335</c:v>
                </c:pt>
                <c:pt idx="103">
                  <c:v>0.133567568017405</c:v>
                </c:pt>
                <c:pt idx="104">
                  <c:v>0.13361728274824</c:v>
                </c:pt>
                <c:pt idx="105">
                  <c:v>0.133674623944447</c:v>
                </c:pt>
                <c:pt idx="106">
                  <c:v>0.133739719475805</c:v>
                </c:pt>
                <c:pt idx="107">
                  <c:v>0.133812715242589</c:v>
                </c:pt>
                <c:pt idx="108">
                  <c:v>0.133893775783543</c:v>
                </c:pt>
                <c:pt idx="109">
                  <c:v>0.133983084966637</c:v>
                </c:pt>
                <c:pt idx="110">
                  <c:v>0.134080846767298</c:v>
                </c:pt>
                <c:pt idx="111">
                  <c:v>0.134187286139491</c:v>
                </c:pt>
                <c:pt idx="112">
                  <c:v>0.134302649985699</c:v>
                </c:pt>
                <c:pt idx="113">
                  <c:v>0.134427208232636</c:v>
                </c:pt>
                <c:pt idx="114">
                  <c:v>0.13456125502035</c:v>
                </c:pt>
                <c:pt idx="115">
                  <c:v>0.134705110013316</c:v>
                </c:pt>
                <c:pt idx="116">
                  <c:v>0.134859119843097</c:v>
                </c:pt>
                <c:pt idx="117">
                  <c:v>0.13502365969331</c:v>
                </c:pt>
                <c:pt idx="118">
                  <c:v>0.135199135038826</c:v>
                </c:pt>
                <c:pt idx="119">
                  <c:v>0.135385983552551</c:v>
                </c:pt>
                <c:pt idx="120">
                  <c:v>0.135584677194617</c:v>
                </c:pt>
                <c:pt idx="121">
                  <c:v>0.135795724500545</c:v>
                </c:pt>
                <c:pt idx="122">
                  <c:v>0.136019673086828</c:v>
                </c:pt>
                <c:pt idx="123">
                  <c:v>0.136257112394489</c:v>
                </c:pt>
                <c:pt idx="124">
                  <c:v>0.13650867669358</c:v>
                </c:pt>
                <c:pt idx="125">
                  <c:v>0.136775048374223</c:v>
                </c:pt>
                <c:pt idx="126">
                  <c:v>0.137056961552811</c:v>
                </c:pt>
                <c:pt idx="127">
                  <c:v>0.137355206025369</c:v>
                </c:pt>
                <c:pt idx="128">
                  <c:v>0.137670631603855</c:v>
                </c:pt>
                <c:pt idx="129">
                  <c:v>0.138004152875537</c:v>
                </c:pt>
                <c:pt idx="130">
                  <c:v>0.13835675443038</c:v>
                </c:pt>
                <c:pt idx="131">
                  <c:v>0.138729496606964</c:v>
                </c:pt>
                <c:pt idx="132">
                  <c:v>0.139123521813672</c:v>
                </c:pt>
                <c:pt idx="133">
                  <c:v>0.139540061489016</c:v>
                </c:pt>
                <c:pt idx="134">
                  <c:v>0.13998044377312</c:v>
                </c:pt>
                <c:pt idx="135">
                  <c:v>0.140446101971579</c:v>
                </c:pt>
                <c:pt idx="136">
                  <c:v>0.14093858390357</c:v>
                </c:pt>
                <c:pt idx="137">
                  <c:v>0.141459562238174</c:v>
                </c:pt>
                <c:pt idx="138">
                  <c:v>0.142010845936834</c:v>
                </c:pt>
                <c:pt idx="139">
                  <c:v>0.142594392935899</c:v>
                </c:pt>
                <c:pt idx="140">
                  <c:v>0.143212324221691</c:v>
                </c:pt>
                <c:pt idx="141">
                  <c:v>0.143866939471943</c:v>
                </c:pt>
                <c:pt idx="142">
                  <c:v>0.144560734462234</c:v>
                </c:pt>
                <c:pt idx="143">
                  <c:v>0.145296420464896</c:v>
                </c:pt>
                <c:pt idx="144">
                  <c:v>0.146076945901535</c:v>
                </c:pt>
                <c:pt idx="145">
                  <c:v>0.146905520549663</c:v>
                </c:pt>
                <c:pt idx="146">
                  <c:v>0.147785642650256</c:v>
                </c:pt>
                <c:pt idx="147">
                  <c:v>0.14872112931766</c:v>
                </c:pt>
                <c:pt idx="148">
                  <c:v>0.149716150718015</c:v>
                </c:pt>
                <c:pt idx="149">
                  <c:v>0.150775268559523</c:v>
                </c:pt>
                <c:pt idx="150">
                  <c:v>0.151903479530308</c:v>
                </c:pt>
                <c:pt idx="151">
                  <c:v>0.153106264431089</c:v>
                </c:pt>
                <c:pt idx="152">
                  <c:v>0.154389643885178</c:v>
                </c:pt>
                <c:pt idx="153">
                  <c:v>0.155760241673835</c:v>
                </c:pt>
                <c:pt idx="154">
                  <c:v>0.157225356949208</c:v>
                </c:pt>
                <c:pt idx="155">
                  <c:v>0.158793046831297</c:v>
                </c:pt>
                <c:pt idx="156">
                  <c:v>0.160472129681763</c:v>
                </c:pt>
                <c:pt idx="157">
                  <c:v>0.162267621319183</c:v>
                </c:pt>
                <c:pt idx="158">
                  <c:v>0.164186578733105</c:v>
                </c:pt>
                <c:pt idx="159">
                  <c:v>0.166239311516144</c:v>
                </c:pt>
                <c:pt idx="160">
                  <c:v>0.16843709116126</c:v>
                </c:pt>
                <c:pt idx="161">
                  <c:v>0.170792236560376</c:v>
                </c:pt>
                <c:pt idx="162">
                  <c:v>0.173318202998742</c:v>
                </c:pt>
                <c:pt idx="163">
                  <c:v>0.176029672980134</c:v>
                </c:pt>
                <c:pt idx="164">
                  <c:v>0.178942646365466</c:v>
                </c:pt>
                <c:pt idx="165">
                  <c:v>0.182074526163243</c:v>
                </c:pt>
                <c:pt idx="166">
                  <c:v>0.185444194793891</c:v>
                </c:pt>
                <c:pt idx="167">
                  <c:v>0.189072073666061</c:v>
                </c:pt>
                <c:pt idx="168">
                  <c:v>0.192980156343318</c:v>
                </c:pt>
                <c:pt idx="169">
                  <c:v>0.197192002329264</c:v>
                </c:pt>
                <c:pt idx="170">
                  <c:v>0.201732674448691</c:v>
                </c:pt>
                <c:pt idx="171">
                  <c:v>0.206628597871671</c:v>
                </c:pt>
                <c:pt idx="172">
                  <c:v>0.211907313003622</c:v>
                </c:pt>
                <c:pt idx="173">
                  <c:v>0.217597087862311</c:v>
                </c:pt>
                <c:pt idx="174">
                  <c:v>0.223726348511278</c:v>
                </c:pt>
                <c:pt idx="175">
                  <c:v>0.230322879276906</c:v>
                </c:pt>
                <c:pt idx="176">
                  <c:v>0.23741273896756</c:v>
                </c:pt>
                <c:pt idx="177">
                  <c:v>0.245018836858876</c:v>
                </c:pt>
                <c:pt idx="178">
                  <c:v>0.253159115189951</c:v>
                </c:pt>
                <c:pt idx="179">
                  <c:v>0.261844296251537</c:v>
                </c:pt>
                <c:pt idx="180">
                  <c:v>0.271075174816965</c:v>
                </c:pt>
                <c:pt idx="181">
                  <c:v>0.280839472608945</c:v>
                </c:pt>
                <c:pt idx="182">
                  <c:v>0.291108319652247</c:v>
                </c:pt>
                <c:pt idx="183">
                  <c:v>0.301832480698024</c:v>
                </c:pt>
                <c:pt idx="184">
                  <c:v>0.312938486543516</c:v>
                </c:pt>
                <c:pt idx="185">
                  <c:v>0.324324829056836</c:v>
                </c:pt>
                <c:pt idx="186">
                  <c:v>0.33585828599413</c:v>
                </c:pt>
                <c:pt idx="187">
                  <c:v>0.347370185594152</c:v>
                </c:pt>
                <c:pt idx="188">
                  <c:v>0.358651896830722</c:v>
                </c:pt>
                <c:pt idx="189">
                  <c:v>0.369447868444623</c:v>
                </c:pt>
                <c:pt idx="190">
                  <c:v>0.379442802415603</c:v>
                </c:pt>
                <c:pt idx="191">
                  <c:v>0.388236258465466</c:v>
                </c:pt>
                <c:pt idx="192">
                  <c:v>0.395291174813012</c:v>
                </c:pt>
                <c:pt idx="193">
                  <c:v>0.3998271326311</c:v>
                </c:pt>
              </c:numCache>
            </c:numRef>
          </c:yVal>
          <c:smooth val="0"/>
          <c:extLst xmlns:c16r2="http://schemas.microsoft.com/office/drawing/2015/06/chart">
            <c:ext xmlns:c16="http://schemas.microsoft.com/office/drawing/2014/chart" uri="{C3380CC4-5D6E-409C-BE32-E72D297353CC}">
              <c16:uniqueId val="{00000000-F87E-42F9-939E-5D4EB88D929C}"/>
            </c:ext>
          </c:extLst>
        </c:ser>
        <c:dLbls>
          <c:showLegendKey val="0"/>
          <c:showVal val="0"/>
          <c:showCatName val="0"/>
          <c:showSerName val="0"/>
          <c:showPercent val="0"/>
          <c:showBubbleSize val="0"/>
        </c:dLbls>
        <c:axId val="1962526576"/>
        <c:axId val="1962528768"/>
      </c:scatterChart>
      <c:valAx>
        <c:axId val="1962526576"/>
        <c:scaling>
          <c:orientation val="minMax"/>
          <c:max val="2.24"/>
          <c:min val="0.0"/>
        </c:scaling>
        <c:delete val="0"/>
        <c:axPos val="b"/>
        <c:title>
          <c:tx>
            <c:rich>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r>
                  <a:rPr lang="en-US" sz="1000" b="0">
                    <a:latin typeface="Times New Roman" panose="02020603050405020304"/>
                    <a:cs typeface="Times New Roman" panose="02020603050405020304"/>
                  </a:rPr>
                  <a:t>Pore</a:t>
                </a:r>
                <a:r>
                  <a:rPr lang="en-US" sz="1000" b="0" baseline="0">
                    <a:latin typeface="Times New Roman" panose="02020603050405020304"/>
                    <a:cs typeface="Times New Roman" panose="02020603050405020304"/>
                  </a:rPr>
                  <a:t> </a:t>
                </a:r>
                <a:r>
                  <a:rPr lang="en-US" sz="1000" b="0">
                    <a:latin typeface="Times New Roman" panose="02020603050405020304"/>
                    <a:cs typeface="Times New Roman" panose="02020603050405020304"/>
                  </a:rPr>
                  <a:t>Width, nm</a:t>
                </a:r>
              </a:p>
            </c:rich>
          </c:tx>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528768"/>
        <c:crosses val="autoZero"/>
        <c:crossBetween val="midCat"/>
      </c:valAx>
      <c:valAx>
        <c:axId val="1962528768"/>
        <c:scaling>
          <c:orientation val="minMax"/>
          <c:min val="0.1"/>
        </c:scaling>
        <c:delete val="0"/>
        <c:axPos val="l"/>
        <c:title>
          <c:tx>
            <c:rich>
              <a:bodyPr rot="-54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r>
                  <a:rPr lang="en-US" sz="1000" b="0">
                    <a:latin typeface="Times New Roman" panose="02020603050405020304"/>
                    <a:cs typeface="Times New Roman" panose="02020603050405020304"/>
                  </a:rPr>
                  <a:t>Density,</a:t>
                </a:r>
                <a:r>
                  <a:rPr lang="en-US" sz="1000" b="0" baseline="0">
                    <a:latin typeface="Times New Roman" panose="02020603050405020304"/>
                    <a:cs typeface="Times New Roman" panose="02020603050405020304"/>
                  </a:rPr>
                  <a:t> g/cm</a:t>
                </a:r>
                <a:r>
                  <a:rPr lang="en-US" sz="1000" b="0" baseline="30000">
                    <a:latin typeface="Times New Roman" panose="02020603050405020304"/>
                    <a:cs typeface="Times New Roman" panose="02020603050405020304"/>
                  </a:rPr>
                  <a:t>3</a:t>
                </a:r>
              </a:p>
            </c:rich>
          </c:tx>
          <c:overlay val="0"/>
        </c:title>
        <c:numFmt formatCode="#,##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526576"/>
        <c:crosses val="autoZero"/>
        <c:crossBetween val="midCat"/>
      </c:valAx>
      <c:spPr>
        <a:ln>
          <a:solidFill>
            <a:schemeClr val="tx1"/>
          </a:solidFill>
        </a:ln>
      </c:spPr>
    </c:plotArea>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0805562579013906"/>
          <c:y val="0.0944414543657596"/>
          <c:w val="0.840575768736872"/>
          <c:h val="0.737009406298064"/>
        </c:manualLayout>
      </c:layout>
      <c:scatterChart>
        <c:scatterStyle val="lineMarker"/>
        <c:varyColors val="0"/>
        <c:ser>
          <c:idx val="1"/>
          <c:order val="0"/>
          <c:tx>
            <c:strRef>
              <c:f>SLD-PR</c:f>
              <c:strCache>
                <c:ptCount val="1"/>
                <c:pt idx="0">
                  <c:v>SLD-PR</c:v>
                </c:pt>
              </c:strCache>
            </c:strRef>
          </c:tx>
          <c:spPr>
            <a:ln w="28575" cap="rnd" cmpd="sng" algn="ctr">
              <a:solidFill>
                <a:schemeClr val="tx1"/>
              </a:solidFill>
              <a:prstDash val="solid"/>
              <a:round/>
            </a:ln>
          </c:spPr>
          <c:marker>
            <c:symbol val="none"/>
          </c:marker>
          <c:xVal>
            <c:numRef>
              <c:f>'MD Comparison'!$J$3:$J$14</c:f>
              <c:numCache>
                <c:formatCode>General</c:formatCode>
                <c:ptCount val="12"/>
                <c:pt idx="0">
                  <c:v>0.0</c:v>
                </c:pt>
                <c:pt idx="1">
                  <c:v>0.373</c:v>
                </c:pt>
                <c:pt idx="2">
                  <c:v>0.373</c:v>
                </c:pt>
                <c:pt idx="3">
                  <c:v>0.746</c:v>
                </c:pt>
                <c:pt idx="4">
                  <c:v>0.746</c:v>
                </c:pt>
                <c:pt idx="5">
                  <c:v>1.119</c:v>
                </c:pt>
                <c:pt idx="6">
                  <c:v>1.119</c:v>
                </c:pt>
                <c:pt idx="7">
                  <c:v>1.492</c:v>
                </c:pt>
                <c:pt idx="8">
                  <c:v>1.492</c:v>
                </c:pt>
                <c:pt idx="9">
                  <c:v>1.865</c:v>
                </c:pt>
                <c:pt idx="10">
                  <c:v>1.865</c:v>
                </c:pt>
                <c:pt idx="11">
                  <c:v>2.238</c:v>
                </c:pt>
              </c:numCache>
            </c:numRef>
          </c:xVal>
          <c:yVal>
            <c:numRef>
              <c:f>'MD Comparison'!$F$3:$F$14</c:f>
              <c:numCache>
                <c:formatCode>General</c:formatCode>
                <c:ptCount val="12"/>
                <c:pt idx="0">
                  <c:v>0.312</c:v>
                </c:pt>
                <c:pt idx="1">
                  <c:v>0.312</c:v>
                </c:pt>
                <c:pt idx="2">
                  <c:v>0.168</c:v>
                </c:pt>
                <c:pt idx="3">
                  <c:v>0.168</c:v>
                </c:pt>
                <c:pt idx="4">
                  <c:v>0.138</c:v>
                </c:pt>
                <c:pt idx="5">
                  <c:v>0.138</c:v>
                </c:pt>
                <c:pt idx="6">
                  <c:v>0.138</c:v>
                </c:pt>
                <c:pt idx="7">
                  <c:v>0.138</c:v>
                </c:pt>
                <c:pt idx="8">
                  <c:v>0.168</c:v>
                </c:pt>
                <c:pt idx="9">
                  <c:v>0.168</c:v>
                </c:pt>
                <c:pt idx="10">
                  <c:v>0.312</c:v>
                </c:pt>
                <c:pt idx="11">
                  <c:v>0.312</c:v>
                </c:pt>
              </c:numCache>
            </c:numRef>
          </c:yVal>
          <c:smooth val="0"/>
          <c:extLst xmlns:c16r2="http://schemas.microsoft.com/office/drawing/2015/06/chart">
            <c:ext xmlns:c16="http://schemas.microsoft.com/office/drawing/2014/chart" uri="{C3380CC4-5D6E-409C-BE32-E72D297353CC}">
              <c16:uniqueId val="{00000000-C363-413C-99C0-79271B52F58D}"/>
            </c:ext>
          </c:extLst>
        </c:ser>
        <c:dLbls>
          <c:showLegendKey val="0"/>
          <c:showVal val="0"/>
          <c:showCatName val="0"/>
          <c:showSerName val="0"/>
          <c:showPercent val="0"/>
          <c:showBubbleSize val="0"/>
        </c:dLbls>
        <c:axId val="1962182288"/>
        <c:axId val="1962762224"/>
      </c:scatterChart>
      <c:valAx>
        <c:axId val="1962182288"/>
        <c:scaling>
          <c:orientation val="minMax"/>
          <c:max val="2.24"/>
          <c:min val="0.0"/>
        </c:scaling>
        <c:delete val="0"/>
        <c:axPos val="b"/>
        <c:title>
          <c:tx>
            <c:rich>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r>
                  <a:rPr lang="en-US" sz="1000" b="0">
                    <a:latin typeface="Times New Roman" panose="02020603050405020304"/>
                    <a:cs typeface="Times New Roman" panose="02020603050405020304"/>
                  </a:rPr>
                  <a:t>Pore Width, nm</a:t>
                </a:r>
              </a:p>
            </c:rich>
          </c:tx>
          <c:layout>
            <c:manualLayout>
              <c:xMode val="edge"/>
              <c:yMode val="edge"/>
              <c:x val="0.315860119255005"/>
              <c:y val="0.92387718853083"/>
            </c:manualLayout>
          </c:layout>
          <c:overlay val="0"/>
        </c:title>
        <c:numFmt formatCode="#,##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762224"/>
        <c:crosses val="autoZero"/>
        <c:crossBetween val="midCat"/>
      </c:valAx>
      <c:valAx>
        <c:axId val="1962762224"/>
        <c:scaling>
          <c:orientation val="minMax"/>
          <c:max val="0.45"/>
          <c:min val="0.1"/>
        </c:scaling>
        <c:delete val="1"/>
        <c:axPos val="l"/>
        <c:numFmt formatCode="#,##0.00" sourceLinked="0"/>
        <c:majorTickMark val="in"/>
        <c:minorTickMark val="none"/>
        <c:tickLblPos val="none"/>
        <c:crossAx val="1962182288"/>
        <c:crosses val="autoZero"/>
        <c:crossBetween val="midCat"/>
      </c:valAx>
      <c:spPr>
        <a:ln>
          <a:solidFill>
            <a:schemeClr val="tx1"/>
          </a:solidFill>
        </a:ln>
      </c:spPr>
    </c:plotArea>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4194166447645"/>
          <c:y val="0.0659376131110966"/>
          <c:w val="0.841076587724586"/>
          <c:h val="0.787459612637982"/>
        </c:manualLayout>
      </c:layout>
      <c:scatterChart>
        <c:scatterStyle val="lineMarker"/>
        <c:varyColors val="0"/>
        <c:ser>
          <c:idx val="0"/>
          <c:order val="0"/>
          <c:tx>
            <c:strRef>
              <c:f>Molecular Simulation</c:f>
              <c:strCache>
                <c:ptCount val="1"/>
                <c:pt idx="0">
                  <c:v>Molecular Simulation</c:v>
                </c:pt>
              </c:strCache>
            </c:strRef>
          </c:tx>
          <c:spPr>
            <a:ln w="28575" cap="rnd" cmpd="sng" algn="ctr">
              <a:solidFill>
                <a:schemeClr val="tx1"/>
              </a:solidFill>
              <a:prstDash val="solid"/>
              <a:round/>
            </a:ln>
          </c:spPr>
          <c:marker>
            <c:symbol val="none"/>
          </c:marker>
          <c:xVal>
            <c:numRef>
              <c:f>'MD Comparison'!$E$3:$E$12</c:f>
              <c:numCache>
                <c:formatCode>General</c:formatCode>
                <c:ptCount val="10"/>
                <c:pt idx="0">
                  <c:v>0.0</c:v>
                </c:pt>
                <c:pt idx="1">
                  <c:v>0.373</c:v>
                </c:pt>
                <c:pt idx="2">
                  <c:v>0.373</c:v>
                </c:pt>
                <c:pt idx="3">
                  <c:v>0.746</c:v>
                </c:pt>
                <c:pt idx="4">
                  <c:v>0.746</c:v>
                </c:pt>
                <c:pt idx="5">
                  <c:v>1.119</c:v>
                </c:pt>
                <c:pt idx="6">
                  <c:v>1.119</c:v>
                </c:pt>
                <c:pt idx="7">
                  <c:v>1.492</c:v>
                </c:pt>
                <c:pt idx="8">
                  <c:v>1.492</c:v>
                </c:pt>
                <c:pt idx="9">
                  <c:v>1.865</c:v>
                </c:pt>
              </c:numCache>
            </c:numRef>
          </c:xVal>
          <c:yVal>
            <c:numRef>
              <c:f>'MD Comparison'!$C$3:$C$12</c:f>
              <c:numCache>
                <c:formatCode>General</c:formatCode>
                <c:ptCount val="10"/>
                <c:pt idx="0">
                  <c:v>0.299</c:v>
                </c:pt>
                <c:pt idx="1">
                  <c:v>0.299</c:v>
                </c:pt>
                <c:pt idx="2">
                  <c:v>0.165</c:v>
                </c:pt>
                <c:pt idx="3">
                  <c:v>0.165</c:v>
                </c:pt>
                <c:pt idx="4">
                  <c:v>0.132</c:v>
                </c:pt>
                <c:pt idx="5">
                  <c:v>0.132</c:v>
                </c:pt>
                <c:pt idx="6">
                  <c:v>0.125</c:v>
                </c:pt>
                <c:pt idx="7">
                  <c:v>0.125</c:v>
                </c:pt>
                <c:pt idx="8">
                  <c:v>0.124</c:v>
                </c:pt>
                <c:pt idx="9">
                  <c:v>0.124</c:v>
                </c:pt>
              </c:numCache>
            </c:numRef>
          </c:yVal>
          <c:smooth val="0"/>
          <c:extLst xmlns:c16r2="http://schemas.microsoft.com/office/drawing/2015/06/chart">
            <c:ext xmlns:c16="http://schemas.microsoft.com/office/drawing/2014/chart" uri="{C3380CC4-5D6E-409C-BE32-E72D297353CC}">
              <c16:uniqueId val="{00000000-F449-47F9-9A32-64BC2D32B68A}"/>
            </c:ext>
          </c:extLst>
        </c:ser>
        <c:ser>
          <c:idx val="1"/>
          <c:order val="1"/>
          <c:tx>
            <c:strRef>
              <c:f>SLD-PR</c:f>
              <c:strCache>
                <c:ptCount val="1"/>
                <c:pt idx="0">
                  <c:v>SLD-PR</c:v>
                </c:pt>
              </c:strCache>
            </c:strRef>
          </c:tx>
          <c:spPr>
            <a:ln w="28575" cap="rnd" cmpd="sng" algn="ctr">
              <a:solidFill>
                <a:schemeClr val="tx1"/>
              </a:solidFill>
              <a:prstDash val="lgDash"/>
              <a:round/>
            </a:ln>
          </c:spPr>
          <c:marker>
            <c:symbol val="none"/>
          </c:marker>
          <c:xVal>
            <c:numRef>
              <c:f>'MD Comparison'!$E$3:$E$12</c:f>
              <c:numCache>
                <c:formatCode>General</c:formatCode>
                <c:ptCount val="10"/>
                <c:pt idx="0">
                  <c:v>0.0</c:v>
                </c:pt>
                <c:pt idx="1">
                  <c:v>0.373</c:v>
                </c:pt>
                <c:pt idx="2">
                  <c:v>0.373</c:v>
                </c:pt>
                <c:pt idx="3">
                  <c:v>0.746</c:v>
                </c:pt>
                <c:pt idx="4">
                  <c:v>0.746</c:v>
                </c:pt>
                <c:pt idx="5">
                  <c:v>1.119</c:v>
                </c:pt>
                <c:pt idx="6">
                  <c:v>1.119</c:v>
                </c:pt>
                <c:pt idx="7">
                  <c:v>1.492</c:v>
                </c:pt>
                <c:pt idx="8">
                  <c:v>1.492</c:v>
                </c:pt>
                <c:pt idx="9">
                  <c:v>1.865</c:v>
                </c:pt>
              </c:numCache>
            </c:numRef>
          </c:xVal>
          <c:yVal>
            <c:numRef>
              <c:f>'MD Comparison'!$A$3:$A$12</c:f>
              <c:numCache>
                <c:formatCode>General</c:formatCode>
                <c:ptCount val="10"/>
                <c:pt idx="0">
                  <c:v>0.3117</c:v>
                </c:pt>
                <c:pt idx="1">
                  <c:v>0.3117</c:v>
                </c:pt>
                <c:pt idx="2">
                  <c:v>0.166</c:v>
                </c:pt>
                <c:pt idx="3">
                  <c:v>0.166</c:v>
                </c:pt>
                <c:pt idx="4">
                  <c:v>0.1338</c:v>
                </c:pt>
                <c:pt idx="5">
                  <c:v>0.1338</c:v>
                </c:pt>
                <c:pt idx="6">
                  <c:v>0.1287</c:v>
                </c:pt>
                <c:pt idx="7">
                  <c:v>0.1287</c:v>
                </c:pt>
                <c:pt idx="8">
                  <c:v>0.1275</c:v>
                </c:pt>
                <c:pt idx="9">
                  <c:v>0.1275</c:v>
                </c:pt>
              </c:numCache>
            </c:numRef>
          </c:yVal>
          <c:smooth val="0"/>
          <c:extLst xmlns:c16r2="http://schemas.microsoft.com/office/drawing/2015/06/chart">
            <c:ext xmlns:c16="http://schemas.microsoft.com/office/drawing/2014/chart" uri="{C3380CC4-5D6E-409C-BE32-E72D297353CC}">
              <c16:uniqueId val="{00000001-F449-47F9-9A32-64BC2D32B68A}"/>
            </c:ext>
          </c:extLst>
        </c:ser>
        <c:dLbls>
          <c:showLegendKey val="0"/>
          <c:showVal val="0"/>
          <c:showCatName val="0"/>
          <c:showSerName val="0"/>
          <c:showPercent val="0"/>
          <c:showBubbleSize val="0"/>
        </c:dLbls>
        <c:axId val="1961890784"/>
        <c:axId val="1961893488"/>
      </c:scatterChart>
      <c:valAx>
        <c:axId val="1961890784"/>
        <c:scaling>
          <c:orientation val="minMax"/>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Pore Half Width, nm</a:t>
                </a:r>
              </a:p>
            </c:rich>
          </c:tx>
          <c:overlay val="0"/>
        </c:title>
        <c:numFmt formatCode="#,##0.0" sourceLinked="0"/>
        <c:majorTickMark val="none"/>
        <c:minorTickMark val="none"/>
        <c:tickLblPos val="low"/>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crossAx val="1961893488"/>
        <c:crosses val="autoZero"/>
        <c:crossBetween val="midCat"/>
      </c:valAx>
      <c:valAx>
        <c:axId val="1961893488"/>
        <c:scaling>
          <c:orientation val="minMax"/>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Density,</a:t>
                </a:r>
                <a:r>
                  <a:rPr lang="en-US" sz="1200" b="0" baseline="0">
                    <a:latin typeface="Times New Roman" panose="02020603050405020304"/>
                    <a:cs typeface="Times New Roman" panose="02020603050405020304"/>
                  </a:rPr>
                  <a:t> g/cm</a:t>
                </a:r>
                <a:r>
                  <a:rPr lang="en-US" sz="1200" b="0" baseline="30000">
                    <a:latin typeface="Times New Roman" panose="02020603050405020304"/>
                    <a:cs typeface="Times New Roman" panose="02020603050405020304"/>
                  </a:rPr>
                  <a:t>3</a:t>
                </a:r>
              </a:p>
            </c:rich>
          </c:tx>
          <c:overlay val="0"/>
        </c:title>
        <c:numFmt formatCode="#,##0.00"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crossAx val="1961890784"/>
        <c:crosses val="autoZero"/>
        <c:crossBetween val="midCat"/>
      </c:valAx>
      <c:spPr>
        <a:ln>
          <a:solidFill>
            <a:schemeClr val="tx1"/>
          </a:solidFill>
        </a:ln>
      </c:spPr>
    </c:plotArea>
    <c:legend>
      <c:legendPos val="r"/>
      <c:layout>
        <c:manualLayout>
          <c:xMode val="edge"/>
          <c:yMode val="edge"/>
          <c:x val="0.527116605127748"/>
          <c:y val="0.0851001904716697"/>
          <c:w val="0.408238800658392"/>
          <c:h val="0.172258900205092"/>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06793562880911"/>
          <c:y val="0.0508660625803117"/>
          <c:w val="0.83847720835743"/>
          <c:h val="0.82382007244381"/>
        </c:manualLayout>
      </c:layout>
      <c:scatterChart>
        <c:scatterStyle val="lineMarker"/>
        <c:varyColors val="0"/>
        <c:ser>
          <c:idx val="0"/>
          <c:order val="0"/>
          <c:tx>
            <c:strRef>
              <c:f>Molecular Simulation</c:f>
              <c:strCache>
                <c:ptCount val="1"/>
                <c:pt idx="0">
                  <c:v>Molecular Simulation</c:v>
                </c:pt>
              </c:strCache>
            </c:strRef>
          </c:tx>
          <c:spPr>
            <a:ln w="28575" cap="rnd" cmpd="sng" algn="ctr">
              <a:solidFill>
                <a:schemeClr val="tx1"/>
              </a:solidFill>
              <a:prstDash val="solid"/>
              <a:round/>
            </a:ln>
          </c:spPr>
          <c:marker>
            <c:symbol val="none"/>
          </c:marker>
          <c:xVal>
            <c:numRef>
              <c:f>'MD Comparison'!$J$3:$J$8</c:f>
              <c:numCache>
                <c:formatCode>General</c:formatCode>
                <c:ptCount val="6"/>
                <c:pt idx="0">
                  <c:v>0.0</c:v>
                </c:pt>
                <c:pt idx="1">
                  <c:v>0.373</c:v>
                </c:pt>
                <c:pt idx="2">
                  <c:v>0.373</c:v>
                </c:pt>
                <c:pt idx="3">
                  <c:v>0.746</c:v>
                </c:pt>
                <c:pt idx="4">
                  <c:v>0.746</c:v>
                </c:pt>
                <c:pt idx="5">
                  <c:v>1.119</c:v>
                </c:pt>
              </c:numCache>
            </c:numRef>
          </c:xVal>
          <c:yVal>
            <c:numRef>
              <c:f>'MD Comparison'!$H$3:$H$8</c:f>
              <c:numCache>
                <c:formatCode>General</c:formatCode>
                <c:ptCount val="6"/>
                <c:pt idx="0">
                  <c:v>0.292</c:v>
                </c:pt>
                <c:pt idx="1">
                  <c:v>0.292</c:v>
                </c:pt>
                <c:pt idx="2">
                  <c:v>0.171</c:v>
                </c:pt>
                <c:pt idx="3">
                  <c:v>0.171</c:v>
                </c:pt>
                <c:pt idx="4">
                  <c:v>0.135</c:v>
                </c:pt>
                <c:pt idx="5">
                  <c:v>0.135</c:v>
                </c:pt>
              </c:numCache>
            </c:numRef>
          </c:yVal>
          <c:smooth val="0"/>
          <c:extLst xmlns:c16r2="http://schemas.microsoft.com/office/drawing/2015/06/chart">
            <c:ext xmlns:c16="http://schemas.microsoft.com/office/drawing/2014/chart" uri="{C3380CC4-5D6E-409C-BE32-E72D297353CC}">
              <c16:uniqueId val="{00000000-8A2E-4A16-8C8D-ABD5033A2985}"/>
            </c:ext>
          </c:extLst>
        </c:ser>
        <c:ser>
          <c:idx val="1"/>
          <c:order val="1"/>
          <c:tx>
            <c:strRef>
              <c:f>SLD-PR</c:f>
              <c:strCache>
                <c:ptCount val="1"/>
                <c:pt idx="0">
                  <c:v>SLD-PR</c:v>
                </c:pt>
              </c:strCache>
            </c:strRef>
          </c:tx>
          <c:spPr>
            <a:ln w="28575" cap="rnd" cmpd="sng" algn="ctr">
              <a:solidFill>
                <a:schemeClr val="tx1"/>
              </a:solidFill>
              <a:prstDash val="lgDash"/>
              <a:round/>
            </a:ln>
          </c:spPr>
          <c:marker>
            <c:symbol val="none"/>
          </c:marker>
          <c:xVal>
            <c:numRef>
              <c:f>'MD Comparison'!$J$3:$J$8</c:f>
              <c:numCache>
                <c:formatCode>General</c:formatCode>
                <c:ptCount val="6"/>
                <c:pt idx="0">
                  <c:v>0.0</c:v>
                </c:pt>
                <c:pt idx="1">
                  <c:v>0.373</c:v>
                </c:pt>
                <c:pt idx="2">
                  <c:v>0.373</c:v>
                </c:pt>
                <c:pt idx="3">
                  <c:v>0.746</c:v>
                </c:pt>
                <c:pt idx="4">
                  <c:v>0.746</c:v>
                </c:pt>
                <c:pt idx="5">
                  <c:v>1.119</c:v>
                </c:pt>
              </c:numCache>
            </c:numRef>
          </c:xVal>
          <c:yVal>
            <c:numRef>
              <c:f>'MD Comparison'!$F$3:$F$8</c:f>
              <c:numCache>
                <c:formatCode>General</c:formatCode>
                <c:ptCount val="6"/>
                <c:pt idx="0">
                  <c:v>0.312</c:v>
                </c:pt>
                <c:pt idx="1">
                  <c:v>0.312</c:v>
                </c:pt>
                <c:pt idx="2">
                  <c:v>0.168</c:v>
                </c:pt>
                <c:pt idx="3">
                  <c:v>0.168</c:v>
                </c:pt>
                <c:pt idx="4">
                  <c:v>0.138</c:v>
                </c:pt>
                <c:pt idx="5">
                  <c:v>0.138</c:v>
                </c:pt>
              </c:numCache>
            </c:numRef>
          </c:yVal>
          <c:smooth val="0"/>
          <c:extLst xmlns:c16r2="http://schemas.microsoft.com/office/drawing/2015/06/chart">
            <c:ext xmlns:c16="http://schemas.microsoft.com/office/drawing/2014/chart" uri="{C3380CC4-5D6E-409C-BE32-E72D297353CC}">
              <c16:uniqueId val="{00000001-8A2E-4A16-8C8D-ABD5033A2985}"/>
            </c:ext>
          </c:extLst>
        </c:ser>
        <c:dLbls>
          <c:showLegendKey val="0"/>
          <c:showVal val="0"/>
          <c:showCatName val="0"/>
          <c:showSerName val="0"/>
          <c:showPercent val="0"/>
          <c:showBubbleSize val="0"/>
        </c:dLbls>
        <c:axId val="1962575808"/>
        <c:axId val="1962579840"/>
      </c:scatterChart>
      <c:valAx>
        <c:axId val="1962575808"/>
        <c:scaling>
          <c:orientation val="minMax"/>
        </c:scaling>
        <c:delete val="0"/>
        <c:axPos val="b"/>
        <c:title>
          <c:tx>
            <c:rich>
              <a:bodyPr rot="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Pore Half</a:t>
                </a:r>
                <a:r>
                  <a:rPr lang="en-US" sz="1200" b="0" baseline="0">
                    <a:latin typeface="Times New Roman" panose="02020603050405020304"/>
                    <a:cs typeface="Times New Roman" panose="02020603050405020304"/>
                  </a:rPr>
                  <a:t> </a:t>
                </a:r>
                <a:r>
                  <a:rPr lang="en-US" sz="1200" b="0">
                    <a:latin typeface="Times New Roman" panose="02020603050405020304"/>
                    <a:cs typeface="Times New Roman" panose="02020603050405020304"/>
                  </a:rPr>
                  <a:t>Width, nm</a:t>
                </a:r>
              </a:p>
            </c:rich>
          </c:tx>
          <c:overlay val="0"/>
        </c:title>
        <c:numFmt formatCode="#,##0.0"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crossAx val="1962579840"/>
        <c:crosses val="autoZero"/>
        <c:crossBetween val="midCat"/>
      </c:valAx>
      <c:valAx>
        <c:axId val="1962579840"/>
        <c:scaling>
          <c:orientation val="minMax"/>
        </c:scaling>
        <c:delete val="0"/>
        <c:axPos val="l"/>
        <c:title>
          <c:tx>
            <c:rich>
              <a:bodyPr rot="-5400000" spcFirstLastPara="0" vertOverflow="ellipsis" vert="horz" wrap="square" anchor="ctr" anchorCtr="1"/>
              <a:lstStyle/>
              <a:p>
                <a:pPr>
                  <a:defRPr lang="zh-CN" sz="1200" b="0" i="0" u="none" strike="noStrike" kern="1200" baseline="0">
                    <a:solidFill>
                      <a:schemeClr val="tx1"/>
                    </a:solidFill>
                    <a:latin typeface="Times New Roman" panose="02020603050405020304"/>
                    <a:ea typeface="+mn-ea"/>
                    <a:cs typeface="Times New Roman" panose="02020603050405020304"/>
                  </a:defRPr>
                </a:pPr>
                <a:r>
                  <a:rPr lang="en-US" sz="1200" b="0">
                    <a:latin typeface="Times New Roman" panose="02020603050405020304"/>
                    <a:cs typeface="Times New Roman" panose="02020603050405020304"/>
                  </a:rPr>
                  <a:t>Density,</a:t>
                </a:r>
                <a:r>
                  <a:rPr lang="en-US" sz="1200" b="0" baseline="0">
                    <a:latin typeface="Times New Roman" panose="02020603050405020304"/>
                    <a:cs typeface="Times New Roman" panose="02020603050405020304"/>
                  </a:rPr>
                  <a:t> g/cm</a:t>
                </a:r>
                <a:r>
                  <a:rPr lang="en-US" sz="1200" b="0" baseline="30000">
                    <a:latin typeface="Times New Roman" panose="02020603050405020304"/>
                    <a:cs typeface="Times New Roman" panose="02020603050405020304"/>
                  </a:rPr>
                  <a:t>3</a:t>
                </a:r>
              </a:p>
            </c:rich>
          </c:tx>
          <c:overlay val="0"/>
        </c:title>
        <c:numFmt formatCode="#,##0.00"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crossAx val="1962575808"/>
        <c:crosses val="autoZero"/>
        <c:crossBetween val="midCat"/>
      </c:valAx>
      <c:spPr>
        <a:ln>
          <a:solidFill>
            <a:schemeClr val="tx1"/>
          </a:solidFill>
        </a:ln>
      </c:spPr>
    </c:plotArea>
    <c:legend>
      <c:legendPos val="r"/>
      <c:layout>
        <c:manualLayout>
          <c:xMode val="edge"/>
          <c:yMode val="edge"/>
          <c:x val="0.527923840028471"/>
          <c:y val="0.0700285835351768"/>
          <c:w val="0.404376677491585"/>
          <c:h val="0.177875445265526"/>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Times New Roman" panose="02020603050405020304"/>
              <a:ea typeface="+mn-ea"/>
              <a:cs typeface="Times New Roman" panose="02020603050405020304"/>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64655074365704"/>
          <c:y val="0.0601851851851852"/>
          <c:w val="0.794122703412073"/>
          <c:h val="0.808580489938757"/>
        </c:manualLayout>
      </c:layout>
      <c:scatterChart>
        <c:scatterStyle val="smoothMarker"/>
        <c:varyColors val="0"/>
        <c:ser>
          <c:idx val="0"/>
          <c:order val="0"/>
          <c:spPr>
            <a:ln w="28575" cap="rnd" cmpd="sng" algn="ctr">
              <a:solidFill>
                <a:schemeClr val="tx1"/>
              </a:solidFill>
              <a:prstDash val="solid"/>
              <a:round/>
            </a:ln>
          </c:spPr>
          <c:marker>
            <c:spPr>
              <a:solidFill>
                <a:schemeClr val="tx1"/>
              </a:solidFill>
              <a:ln w="9525" cap="flat" cmpd="sng" algn="ctr">
                <a:solidFill>
                  <a:schemeClr val="tx1"/>
                </a:solidFill>
                <a:prstDash val="solid"/>
                <a:round/>
              </a:ln>
            </c:spPr>
          </c:marker>
          <c:xVal>
            <c:numRef>
              <c:f>Sheet1!$A$2:$A$13</c:f>
              <c:numCache>
                <c:formatCode>General</c:formatCode>
                <c:ptCount val="12"/>
                <c:pt idx="0">
                  <c:v>1000.0</c:v>
                </c:pt>
                <c:pt idx="1">
                  <c:v>100.0</c:v>
                </c:pt>
                <c:pt idx="2">
                  <c:v>50.0</c:v>
                </c:pt>
                <c:pt idx="3">
                  <c:v>30.0</c:v>
                </c:pt>
                <c:pt idx="4">
                  <c:v>15.0</c:v>
                </c:pt>
                <c:pt idx="5">
                  <c:v>10.0</c:v>
                </c:pt>
                <c:pt idx="6">
                  <c:v>8.0</c:v>
                </c:pt>
                <c:pt idx="7">
                  <c:v>6.0</c:v>
                </c:pt>
                <c:pt idx="8">
                  <c:v>5.0</c:v>
                </c:pt>
                <c:pt idx="9">
                  <c:v>4.0</c:v>
                </c:pt>
                <c:pt idx="10">
                  <c:v>3.0</c:v>
                </c:pt>
                <c:pt idx="11">
                  <c:v>2.0</c:v>
                </c:pt>
              </c:numCache>
            </c:numRef>
          </c:xVal>
          <c:yVal>
            <c:numRef>
              <c:f>Sheet1!$H$2:$H$13</c:f>
              <c:numCache>
                <c:formatCode>General</c:formatCode>
                <c:ptCount val="12"/>
                <c:pt idx="0">
                  <c:v>0.4011</c:v>
                </c:pt>
                <c:pt idx="1">
                  <c:v>0.4012</c:v>
                </c:pt>
                <c:pt idx="2">
                  <c:v>0.4012</c:v>
                </c:pt>
                <c:pt idx="3">
                  <c:v>0.4014</c:v>
                </c:pt>
                <c:pt idx="4">
                  <c:v>0.4018</c:v>
                </c:pt>
                <c:pt idx="5">
                  <c:v>0.4022</c:v>
                </c:pt>
                <c:pt idx="6">
                  <c:v>0.4026</c:v>
                </c:pt>
                <c:pt idx="7">
                  <c:v>0.4033</c:v>
                </c:pt>
                <c:pt idx="8">
                  <c:v>0.4039</c:v>
                </c:pt>
                <c:pt idx="9">
                  <c:v>0.4047</c:v>
                </c:pt>
                <c:pt idx="10">
                  <c:v>0.4062</c:v>
                </c:pt>
                <c:pt idx="11">
                  <c:v>0.4088</c:v>
                </c:pt>
              </c:numCache>
            </c:numRef>
          </c:yVal>
          <c:smooth val="1"/>
          <c:extLst xmlns:c16r2="http://schemas.microsoft.com/office/drawing/2015/06/chart">
            <c:ext xmlns:c16="http://schemas.microsoft.com/office/drawing/2014/chart" uri="{C3380CC4-5D6E-409C-BE32-E72D297353CC}">
              <c16:uniqueId val="{00000000-A17F-4F42-9448-EE1CF54BAE0F}"/>
            </c:ext>
          </c:extLst>
        </c:ser>
        <c:dLbls>
          <c:showLegendKey val="0"/>
          <c:showVal val="0"/>
          <c:showCatName val="0"/>
          <c:showSerName val="0"/>
          <c:showPercent val="0"/>
          <c:showBubbleSize val="0"/>
        </c:dLbls>
        <c:axId val="1962633152"/>
        <c:axId val="1962162384"/>
      </c:scatterChart>
      <c:valAx>
        <c:axId val="1962633152"/>
        <c:scaling>
          <c:logBase val="10.0"/>
          <c:orientation val="maxMin"/>
        </c:scaling>
        <c:delete val="0"/>
        <c:axPos val="b"/>
        <c:title>
          <c:tx>
            <c:rich>
              <a:bodyPr rot="0" spcFirstLastPara="0" vertOverflow="ellipsis" vert="horz" wrap="square" anchor="ctr" anchorCtr="1"/>
              <a:lstStyle/>
              <a:p>
                <a:pPr>
                  <a:defRPr lang="zh-CN" sz="1100" b="0" i="0" u="none" strike="noStrike" kern="1200" baseline="0">
                    <a:solidFill>
                      <a:schemeClr val="tx1"/>
                    </a:solidFill>
                    <a:latin typeface="+mn-lt"/>
                    <a:ea typeface="+mn-ea"/>
                    <a:cs typeface="+mn-cs"/>
                  </a:defRPr>
                </a:pPr>
                <a:r>
                  <a:rPr lang="en-US" sz="1100" b="0"/>
                  <a:t>Pore Diameter,</a:t>
                </a:r>
                <a:r>
                  <a:rPr lang="en-US" sz="1100" b="0" baseline="0"/>
                  <a:t> nm</a:t>
                </a:r>
                <a:endParaRPr lang="en-US" sz="1100" b="0"/>
              </a:p>
            </c:rich>
          </c:tx>
          <c:overlay val="0"/>
        </c:title>
        <c:numFmt formatCode="General" sourceLinked="1"/>
        <c:majorTickMark val="in"/>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162384"/>
        <c:crosses val="autoZero"/>
        <c:crossBetween val="midCat"/>
      </c:valAx>
      <c:valAx>
        <c:axId val="1962162384"/>
        <c:scaling>
          <c:orientation val="minMax"/>
        </c:scaling>
        <c:delete val="0"/>
        <c:axPos val="l"/>
        <c:title>
          <c:tx>
            <c:rich>
              <a:bodyPr rot="-5400000" spcFirstLastPara="0" vertOverflow="ellipsis" vert="horz" wrap="square" anchor="ctr" anchorCtr="1"/>
              <a:lstStyle/>
              <a:p>
                <a:pPr>
                  <a:defRPr lang="zh-CN" sz="1100" b="0" i="0" u="none" strike="noStrike" kern="1200" baseline="0">
                    <a:solidFill>
                      <a:schemeClr val="tx1"/>
                    </a:solidFill>
                    <a:latin typeface="+mn-lt"/>
                    <a:ea typeface="+mn-ea"/>
                    <a:cs typeface="+mn-cs"/>
                  </a:defRPr>
                </a:pPr>
                <a:r>
                  <a:rPr lang="en-US" sz="1100" b="0"/>
                  <a:t>Gas</a:t>
                </a:r>
                <a:r>
                  <a:rPr lang="en-US" sz="1100" b="0" baseline="0"/>
                  <a:t> Fraction</a:t>
                </a:r>
                <a:endParaRPr lang="en-US" sz="1100" b="0"/>
              </a:p>
            </c:rich>
          </c:tx>
          <c:overlay val="0"/>
        </c:title>
        <c:numFmt formatCode="#,##0.0000" sourceLinked="0"/>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62633152"/>
        <c:crosses val="max"/>
        <c:crossBetween val="midCat"/>
      </c:valAx>
      <c:spPr>
        <a:ln>
          <a:solidFill>
            <a:schemeClr val="tx1"/>
          </a:solidFill>
        </a:ln>
      </c:spPr>
    </c:plotArea>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30950131233596"/>
          <c:y val="0.0601851851851852"/>
          <c:w val="0.841716535433071"/>
          <c:h val="0.785432341790607"/>
        </c:manualLayout>
      </c:layout>
      <c:scatterChart>
        <c:scatterStyle val="lineMarker"/>
        <c:varyColors val="0"/>
        <c:ser>
          <c:idx val="0"/>
          <c:order val="0"/>
          <c:tx>
            <c:strRef>
              <c:f>Methane</c:f>
              <c:strCache>
                <c:ptCount val="1"/>
                <c:pt idx="0">
                  <c:v>Methane</c:v>
                </c:pt>
              </c:strCache>
            </c:strRef>
          </c:tx>
          <c:spPr>
            <a:ln w="28575" cap="rnd" cmpd="sng" algn="ctr">
              <a:solidFill>
                <a:schemeClr val="tx1"/>
              </a:solidFill>
              <a:prstDash val="solid"/>
              <a:round/>
            </a:ln>
          </c:spPr>
          <c:marker>
            <c:spPr>
              <a:solidFill>
                <a:schemeClr val="tx1"/>
              </a:solidFill>
              <a:ln w="9525" cap="flat" cmpd="sng" algn="ctr">
                <a:solidFill>
                  <a:schemeClr val="tx1"/>
                </a:solidFill>
                <a:prstDash val="solid"/>
                <a:round/>
              </a:ln>
            </c:spPr>
          </c:marker>
          <c:xVal>
            <c:numRef>
              <c:f>Sheet1!$A$2:$A$13</c:f>
              <c:numCache>
                <c:formatCode>General</c:formatCode>
                <c:ptCount val="12"/>
                <c:pt idx="0">
                  <c:v>1000.0</c:v>
                </c:pt>
                <c:pt idx="1">
                  <c:v>100.0</c:v>
                </c:pt>
                <c:pt idx="2">
                  <c:v>50.0</c:v>
                </c:pt>
                <c:pt idx="3">
                  <c:v>30.0</c:v>
                </c:pt>
                <c:pt idx="4">
                  <c:v>15.0</c:v>
                </c:pt>
                <c:pt idx="5">
                  <c:v>10.0</c:v>
                </c:pt>
                <c:pt idx="6">
                  <c:v>8.0</c:v>
                </c:pt>
                <c:pt idx="7">
                  <c:v>6.0</c:v>
                </c:pt>
                <c:pt idx="8">
                  <c:v>5.0</c:v>
                </c:pt>
                <c:pt idx="9">
                  <c:v>4.0</c:v>
                </c:pt>
                <c:pt idx="10">
                  <c:v>3.0</c:v>
                </c:pt>
                <c:pt idx="11">
                  <c:v>2.0</c:v>
                </c:pt>
              </c:numCache>
            </c:numRef>
          </c:xVal>
          <c:yVal>
            <c:numRef>
              <c:f>Sheet1!$L$2:$L$13</c:f>
              <c:numCache>
                <c:formatCode>General</c:formatCode>
                <c:ptCount val="12"/>
                <c:pt idx="0">
                  <c:v>3.98342312474099</c:v>
                </c:pt>
                <c:pt idx="1">
                  <c:v>3.98342312474099</c:v>
                </c:pt>
                <c:pt idx="2">
                  <c:v>3.98259428097804</c:v>
                </c:pt>
                <c:pt idx="3">
                  <c:v>3.981765437215078</c:v>
                </c:pt>
                <c:pt idx="4">
                  <c:v>3.97680198840099</c:v>
                </c:pt>
                <c:pt idx="5">
                  <c:v>3.97307373653687</c:v>
                </c:pt>
                <c:pt idx="6">
                  <c:v>3.968115942028991</c:v>
                </c:pt>
                <c:pt idx="7">
                  <c:v>3.96067880794702</c:v>
                </c:pt>
                <c:pt idx="8">
                  <c:v>3.9520264681555</c:v>
                </c:pt>
                <c:pt idx="9">
                  <c:v>3.9347915806851</c:v>
                </c:pt>
                <c:pt idx="10">
                  <c:v>3.899753492193918</c:v>
                </c:pt>
                <c:pt idx="11">
                  <c:v>3.77800161160354</c:v>
                </c:pt>
              </c:numCache>
            </c:numRef>
          </c:yVal>
          <c:smooth val="0"/>
          <c:extLst xmlns:c16r2="http://schemas.microsoft.com/office/drawing/2015/06/chart">
            <c:ext xmlns:c16="http://schemas.microsoft.com/office/drawing/2014/chart" uri="{C3380CC4-5D6E-409C-BE32-E72D297353CC}">
              <c16:uniqueId val="{00000000-7954-4AAB-B304-97C097FE6564}"/>
            </c:ext>
          </c:extLst>
        </c:ser>
        <c:ser>
          <c:idx val="1"/>
          <c:order val="1"/>
          <c:tx>
            <c:strRef>
              <c:f>n-Butane</c:f>
              <c:strCache>
                <c:ptCount val="1"/>
                <c:pt idx="0">
                  <c:v>n-Butane</c:v>
                </c:pt>
              </c:strCache>
            </c:strRef>
          </c:tx>
          <c:spPr>
            <a:ln w="28575" cap="rnd" cmpd="sng" algn="ctr">
              <a:solidFill>
                <a:schemeClr val="tx1"/>
              </a:solidFill>
              <a:prstDash val="dash"/>
              <a:round/>
            </a:ln>
          </c:spPr>
          <c:marker>
            <c:spPr>
              <a:solidFill>
                <a:schemeClr val="tx1"/>
              </a:solidFill>
              <a:ln w="9525" cap="flat" cmpd="sng" algn="ctr">
                <a:solidFill>
                  <a:schemeClr val="tx1"/>
                </a:solidFill>
                <a:prstDash val="solid"/>
                <a:round/>
              </a:ln>
            </c:spPr>
          </c:marker>
          <c:xVal>
            <c:numRef>
              <c:f>Sheet1!$A$2:$A$13</c:f>
              <c:numCache>
                <c:formatCode>General</c:formatCode>
                <c:ptCount val="12"/>
                <c:pt idx="0">
                  <c:v>1000.0</c:v>
                </c:pt>
                <c:pt idx="1">
                  <c:v>100.0</c:v>
                </c:pt>
                <c:pt idx="2">
                  <c:v>50.0</c:v>
                </c:pt>
                <c:pt idx="3">
                  <c:v>30.0</c:v>
                </c:pt>
                <c:pt idx="4">
                  <c:v>15.0</c:v>
                </c:pt>
                <c:pt idx="5">
                  <c:v>10.0</c:v>
                </c:pt>
                <c:pt idx="6">
                  <c:v>8.0</c:v>
                </c:pt>
                <c:pt idx="7">
                  <c:v>6.0</c:v>
                </c:pt>
                <c:pt idx="8">
                  <c:v>5.0</c:v>
                </c:pt>
                <c:pt idx="9">
                  <c:v>4.0</c:v>
                </c:pt>
                <c:pt idx="10">
                  <c:v>3.0</c:v>
                </c:pt>
                <c:pt idx="11">
                  <c:v>2.0</c:v>
                </c:pt>
              </c:numCache>
            </c:numRef>
          </c:xVal>
          <c:yVal>
            <c:numRef>
              <c:f>Sheet1!$M$2:$M$13</c:f>
              <c:numCache>
                <c:formatCode>General</c:formatCode>
                <c:ptCount val="12"/>
                <c:pt idx="0">
                  <c:v>0.242084432717678</c:v>
                </c:pt>
                <c:pt idx="1">
                  <c:v>0.242084432717678</c:v>
                </c:pt>
                <c:pt idx="2">
                  <c:v>0.243564356435644</c:v>
                </c:pt>
                <c:pt idx="3">
                  <c:v>0.245046235138705</c:v>
                </c:pt>
                <c:pt idx="4">
                  <c:v>0.249668874172185</c:v>
                </c:pt>
                <c:pt idx="5">
                  <c:v>0.254980079681275</c:v>
                </c:pt>
                <c:pt idx="6">
                  <c:v>0.260146373918829</c:v>
                </c:pt>
                <c:pt idx="7">
                  <c:v>0.268716577540107</c:v>
                </c:pt>
                <c:pt idx="8">
                  <c:v>0.277181208053691</c:v>
                </c:pt>
                <c:pt idx="9">
                  <c:v>0.289864864864865</c:v>
                </c:pt>
                <c:pt idx="10">
                  <c:v>0.315537303216975</c:v>
                </c:pt>
                <c:pt idx="11">
                  <c:v>0.380042462845011</c:v>
                </c:pt>
              </c:numCache>
            </c:numRef>
          </c:yVal>
          <c:smooth val="0"/>
          <c:extLst xmlns:c16r2="http://schemas.microsoft.com/office/drawing/2015/06/chart">
            <c:ext xmlns:c16="http://schemas.microsoft.com/office/drawing/2014/chart" uri="{C3380CC4-5D6E-409C-BE32-E72D297353CC}">
              <c16:uniqueId val="{00000001-7954-4AAB-B304-97C097FE6564}"/>
            </c:ext>
          </c:extLst>
        </c:ser>
        <c:ser>
          <c:idx val="2"/>
          <c:order val="2"/>
          <c:tx>
            <c:strRef>
              <c:f>Decane</c:f>
              <c:strCache>
                <c:ptCount val="1"/>
                <c:pt idx="0">
                  <c:v>Decane</c:v>
                </c:pt>
              </c:strCache>
            </c:strRef>
          </c:tx>
          <c:spPr>
            <a:ln w="28575" cap="rnd" cmpd="sng" algn="ctr">
              <a:solidFill>
                <a:schemeClr val="tx1"/>
              </a:solidFill>
              <a:prstDash val="sysDot"/>
              <a:round/>
            </a:ln>
          </c:spPr>
          <c:marker>
            <c:spPr>
              <a:solidFill>
                <a:schemeClr val="tx1"/>
              </a:solidFill>
              <a:ln w="9525" cap="flat" cmpd="sng" algn="ctr">
                <a:solidFill>
                  <a:schemeClr val="tx1"/>
                </a:solidFill>
                <a:prstDash val="solid"/>
                <a:round/>
              </a:ln>
            </c:spPr>
          </c:marker>
          <c:xVal>
            <c:numRef>
              <c:f>Sheet1!$A$2:$A$13</c:f>
              <c:numCache>
                <c:formatCode>General</c:formatCode>
                <c:ptCount val="12"/>
                <c:pt idx="0">
                  <c:v>1000.0</c:v>
                </c:pt>
                <c:pt idx="1">
                  <c:v>100.0</c:v>
                </c:pt>
                <c:pt idx="2">
                  <c:v>50.0</c:v>
                </c:pt>
                <c:pt idx="3">
                  <c:v>30.0</c:v>
                </c:pt>
                <c:pt idx="4">
                  <c:v>15.0</c:v>
                </c:pt>
                <c:pt idx="5">
                  <c:v>10.0</c:v>
                </c:pt>
                <c:pt idx="6">
                  <c:v>8.0</c:v>
                </c:pt>
                <c:pt idx="7">
                  <c:v>6.0</c:v>
                </c:pt>
                <c:pt idx="8">
                  <c:v>5.0</c:v>
                </c:pt>
                <c:pt idx="9">
                  <c:v>4.0</c:v>
                </c:pt>
                <c:pt idx="10">
                  <c:v>3.0</c:v>
                </c:pt>
                <c:pt idx="11">
                  <c:v>2.0</c:v>
                </c:pt>
              </c:numCache>
            </c:numRef>
          </c:xVal>
          <c:yVal>
            <c:numRef>
              <c:f>Sheet1!$N$2:$N$13</c:f>
              <c:numCache>
                <c:formatCode>General</c:formatCode>
                <c:ptCount val="12"/>
                <c:pt idx="0">
                  <c:v>0.00345906769889639</c:v>
                </c:pt>
                <c:pt idx="1">
                  <c:v>0.00345906769889639</c:v>
                </c:pt>
                <c:pt idx="2">
                  <c:v>0.00345849802371541</c:v>
                </c:pt>
                <c:pt idx="3">
                  <c:v>0.00362259179976947</c:v>
                </c:pt>
                <c:pt idx="4">
                  <c:v>0.00378538512179065</c:v>
                </c:pt>
                <c:pt idx="5">
                  <c:v>0.00411184210526317</c:v>
                </c:pt>
                <c:pt idx="6">
                  <c:v>0.00427420680585237</c:v>
                </c:pt>
                <c:pt idx="7">
                  <c:v>0.0047634691195795</c:v>
                </c:pt>
                <c:pt idx="8">
                  <c:v>0.00508947627647348</c:v>
                </c:pt>
                <c:pt idx="9">
                  <c:v>0.00590454321797605</c:v>
                </c:pt>
                <c:pt idx="10">
                  <c:v>0.00769986893840105</c:v>
                </c:pt>
                <c:pt idx="11">
                  <c:v>0.0140868140868141</c:v>
                </c:pt>
              </c:numCache>
            </c:numRef>
          </c:yVal>
          <c:smooth val="0"/>
          <c:extLst xmlns:c16r2="http://schemas.microsoft.com/office/drawing/2015/06/chart">
            <c:ext xmlns:c16="http://schemas.microsoft.com/office/drawing/2014/chart" uri="{C3380CC4-5D6E-409C-BE32-E72D297353CC}">
              <c16:uniqueId val="{00000002-7954-4AAB-B304-97C097FE6564}"/>
            </c:ext>
          </c:extLst>
        </c:ser>
        <c:dLbls>
          <c:showLegendKey val="0"/>
          <c:showVal val="0"/>
          <c:showCatName val="0"/>
          <c:showSerName val="0"/>
          <c:showPercent val="0"/>
          <c:showBubbleSize val="0"/>
        </c:dLbls>
        <c:axId val="1916202944"/>
        <c:axId val="1914704800"/>
      </c:scatterChart>
      <c:valAx>
        <c:axId val="1916202944"/>
        <c:scaling>
          <c:logBase val="10.0"/>
          <c:orientation val="maxMin"/>
        </c:scaling>
        <c:delete val="0"/>
        <c:axPos val="b"/>
        <c:title>
          <c:tx>
            <c:rich>
              <a:bodyPr rot="0" spcFirstLastPara="0" vertOverflow="ellipsis" vert="horz" wrap="square" anchor="ctr" anchorCtr="1"/>
              <a:lstStyle/>
              <a:p>
                <a:pPr>
                  <a:defRPr lang="zh-CN" sz="1100" b="0" i="0" u="none" strike="noStrike" kern="1200" baseline="0">
                    <a:solidFill>
                      <a:schemeClr val="tx1"/>
                    </a:solidFill>
                    <a:latin typeface="+mn-lt"/>
                    <a:ea typeface="+mn-ea"/>
                    <a:cs typeface="+mn-cs"/>
                  </a:defRPr>
                </a:pPr>
                <a:r>
                  <a:rPr lang="en-US" sz="1100" b="0"/>
                  <a:t>Pore Diameter, nm</a:t>
                </a:r>
              </a:p>
            </c:rich>
          </c:tx>
          <c:overlay val="0"/>
        </c:title>
        <c:numFmt formatCode="General" sourceLinked="1"/>
        <c:majorTickMark val="in"/>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4704800"/>
        <c:crossesAt val="0.0001"/>
        <c:crossBetween val="midCat"/>
      </c:valAx>
      <c:valAx>
        <c:axId val="1914704800"/>
        <c:scaling>
          <c:logBase val="10.0"/>
          <c:orientation val="minMax"/>
        </c:scaling>
        <c:delete val="0"/>
        <c:axPos val="l"/>
        <c:title>
          <c:tx>
            <c:rich>
              <a:bodyPr rot="-5400000" spcFirstLastPara="0" vertOverflow="ellipsis" vert="horz" wrap="square" anchor="ctr" anchorCtr="1"/>
              <a:lstStyle/>
              <a:p>
                <a:pPr>
                  <a:defRPr lang="zh-CN" sz="1100" b="0" i="0" u="none" strike="noStrike" kern="1200" baseline="0">
                    <a:solidFill>
                      <a:schemeClr val="tx1"/>
                    </a:solidFill>
                    <a:latin typeface="+mn-lt"/>
                    <a:ea typeface="+mn-ea"/>
                    <a:cs typeface="+mn-cs"/>
                  </a:defRPr>
                </a:pPr>
                <a:r>
                  <a:rPr lang="en-US" sz="1100" b="0"/>
                  <a:t>K-value, dimensionless</a:t>
                </a:r>
              </a:p>
            </c:rich>
          </c:tx>
          <c:layout>
            <c:manualLayout>
              <c:xMode val="edge"/>
              <c:yMode val="edge"/>
              <c:x val="0.00555555555555555"/>
              <c:y val="0.195830417031204"/>
            </c:manualLayout>
          </c:layout>
          <c:overlay val="0"/>
        </c:title>
        <c:numFmt formatCode="General" sourceLinked="1"/>
        <c:majorTickMark val="in"/>
        <c:minorTickMark val="in"/>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6202944"/>
        <c:crosses val="max"/>
        <c:crossBetween val="midCat"/>
      </c:valAx>
      <c:spPr>
        <a:ln>
          <a:solidFill>
            <a:schemeClr val="tx1"/>
          </a:solidFill>
        </a:ln>
      </c:spPr>
    </c:plotArea>
    <c:legend>
      <c:legendPos val="r"/>
      <c:layout>
        <c:manualLayout>
          <c:xMode val="edge"/>
          <c:yMode val="edge"/>
          <c:x val="0.150339238845144"/>
          <c:y val="0.40683143773695"/>
          <c:w val="0.213549650043745"/>
          <c:h val="0.278929352580927"/>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2678166288536"/>
          <c:y val="0.0279369643264763"/>
          <c:w val="0.837654588727255"/>
          <c:h val="0.866762170135267"/>
        </c:manualLayout>
      </c:layout>
      <c:scatterChart>
        <c:scatterStyle val="smoothMarker"/>
        <c:varyColors val="0"/>
        <c:ser>
          <c:idx val="0"/>
          <c:order val="0"/>
          <c:tx>
            <c:strRef>
              <c:f>Bulk</c:f>
              <c:strCache>
                <c:ptCount val="1"/>
                <c:pt idx="0">
                  <c:v>Bulk</c:v>
                </c:pt>
              </c:strCache>
            </c:strRef>
          </c:tx>
          <c:spPr>
            <a:ln w="28575" cap="rnd" cmpd="sng" algn="ctr">
              <a:solidFill>
                <a:schemeClr val="accent1">
                  <a:shade val="95000"/>
                  <a:satMod val="105000"/>
                </a:schemeClr>
              </a:solidFill>
              <a:prstDash val="solid"/>
              <a:round/>
            </a:ln>
          </c:spPr>
          <c:xVal>
            <c:numRef>
              <c:f>Sheet1!$A$3:$A$57</c:f>
              <c:numCache>
                <c:formatCode>General</c:formatCode>
                <c:ptCount val="55"/>
                <c:pt idx="0">
                  <c:v>-99.66999999999997</c:v>
                </c:pt>
                <c:pt idx="1">
                  <c:v>-79.7315</c:v>
                </c:pt>
                <c:pt idx="2">
                  <c:v>-59.79310000000003</c:v>
                </c:pt>
                <c:pt idx="3">
                  <c:v>-39.8546</c:v>
                </c:pt>
                <c:pt idx="4">
                  <c:v>-19.9162</c:v>
                </c:pt>
                <c:pt idx="5">
                  <c:v>0.0223</c:v>
                </c:pt>
                <c:pt idx="6">
                  <c:v>19.96079999999978</c:v>
                </c:pt>
                <c:pt idx="7">
                  <c:v>39.8992</c:v>
                </c:pt>
                <c:pt idx="8">
                  <c:v>59.8377</c:v>
                </c:pt>
                <c:pt idx="9">
                  <c:v>79.7762</c:v>
                </c:pt>
                <c:pt idx="10">
                  <c:v>99.7146000000001</c:v>
                </c:pt>
                <c:pt idx="11">
                  <c:v>119.6531</c:v>
                </c:pt>
                <c:pt idx="12">
                  <c:v>139.5915</c:v>
                </c:pt>
                <c:pt idx="13">
                  <c:v>159.53</c:v>
                </c:pt>
                <c:pt idx="14">
                  <c:v>179.4685</c:v>
                </c:pt>
                <c:pt idx="15">
                  <c:v>199.4069</c:v>
                </c:pt>
                <c:pt idx="16">
                  <c:v>219.3454</c:v>
                </c:pt>
                <c:pt idx="17">
                  <c:v>239.2838</c:v>
                </c:pt>
                <c:pt idx="18">
                  <c:v>259.2222999999996</c:v>
                </c:pt>
                <c:pt idx="19">
                  <c:v>279.1608</c:v>
                </c:pt>
                <c:pt idx="20">
                  <c:v>299.0992</c:v>
                </c:pt>
                <c:pt idx="21">
                  <c:v>319.0376999999995</c:v>
                </c:pt>
                <c:pt idx="22">
                  <c:v>338.976199999993</c:v>
                </c:pt>
                <c:pt idx="23">
                  <c:v>358.9146</c:v>
                </c:pt>
                <c:pt idx="24">
                  <c:v>378.8530999999999</c:v>
                </c:pt>
                <c:pt idx="25">
                  <c:v>398.7914999999986</c:v>
                </c:pt>
                <c:pt idx="26">
                  <c:v>418.7299999999996</c:v>
                </c:pt>
                <c:pt idx="27">
                  <c:v>438.6685</c:v>
                </c:pt>
                <c:pt idx="28">
                  <c:v>458.6069</c:v>
                </c:pt>
                <c:pt idx="29">
                  <c:v>478.5453999999995</c:v>
                </c:pt>
                <c:pt idx="30">
                  <c:v>498.4837999999966</c:v>
                </c:pt>
                <c:pt idx="31">
                  <c:v>518.4222999999905</c:v>
                </c:pt>
                <c:pt idx="32">
                  <c:v>538.3607999999979</c:v>
                </c:pt>
                <c:pt idx="33">
                  <c:v>558.2992</c:v>
                </c:pt>
                <c:pt idx="34">
                  <c:v>566.3299999999979</c:v>
                </c:pt>
                <c:pt idx="35">
                  <c:v>551.4499999999979</c:v>
                </c:pt>
                <c:pt idx="36">
                  <c:v>536.57</c:v>
                </c:pt>
                <c:pt idx="37">
                  <c:v>506.81</c:v>
                </c:pt>
                <c:pt idx="38">
                  <c:v>454.7299999999996</c:v>
                </c:pt>
                <c:pt idx="39">
                  <c:v>424.9699999999999</c:v>
                </c:pt>
                <c:pt idx="40">
                  <c:v>395.21</c:v>
                </c:pt>
                <c:pt idx="41">
                  <c:v>365.45</c:v>
                </c:pt>
                <c:pt idx="42">
                  <c:v>335.69</c:v>
                </c:pt>
                <c:pt idx="43">
                  <c:v>305.9299999999989</c:v>
                </c:pt>
                <c:pt idx="44">
                  <c:v>276.17</c:v>
                </c:pt>
                <c:pt idx="45">
                  <c:v>246.41</c:v>
                </c:pt>
                <c:pt idx="46">
                  <c:v>216.65</c:v>
                </c:pt>
                <c:pt idx="47">
                  <c:v>186.89</c:v>
                </c:pt>
                <c:pt idx="48">
                  <c:v>157.13</c:v>
                </c:pt>
                <c:pt idx="49">
                  <c:v>127.37</c:v>
                </c:pt>
                <c:pt idx="50">
                  <c:v>97.61</c:v>
                </c:pt>
                <c:pt idx="51">
                  <c:v>67.85</c:v>
                </c:pt>
                <c:pt idx="52">
                  <c:v>38.09</c:v>
                </c:pt>
                <c:pt idx="53">
                  <c:v>8.33</c:v>
                </c:pt>
                <c:pt idx="54">
                  <c:v>-21.43</c:v>
                </c:pt>
              </c:numCache>
            </c:numRef>
          </c:xVal>
          <c:yVal>
            <c:numRef>
              <c:f>Sheet1!$B$3:$B$57</c:f>
              <c:numCache>
                <c:formatCode>General</c:formatCode>
                <c:ptCount val="55"/>
                <c:pt idx="0">
                  <c:v>660.0</c:v>
                </c:pt>
                <c:pt idx="1">
                  <c:v>860.0</c:v>
                </c:pt>
                <c:pt idx="2">
                  <c:v>1080.0</c:v>
                </c:pt>
                <c:pt idx="3">
                  <c:v>1300.0</c:v>
                </c:pt>
                <c:pt idx="4">
                  <c:v>1520.0</c:v>
                </c:pt>
                <c:pt idx="5">
                  <c:v>1720.0</c:v>
                </c:pt>
                <c:pt idx="6">
                  <c:v>1900.0</c:v>
                </c:pt>
                <c:pt idx="7">
                  <c:v>2060.0</c:v>
                </c:pt>
                <c:pt idx="8">
                  <c:v>2200.0</c:v>
                </c:pt>
                <c:pt idx="9">
                  <c:v>2320.0</c:v>
                </c:pt>
                <c:pt idx="10">
                  <c:v>2440.0</c:v>
                </c:pt>
                <c:pt idx="11">
                  <c:v>2520.0</c:v>
                </c:pt>
                <c:pt idx="12">
                  <c:v>2600.0</c:v>
                </c:pt>
                <c:pt idx="13">
                  <c:v>2680.0</c:v>
                </c:pt>
                <c:pt idx="14">
                  <c:v>2720.0</c:v>
                </c:pt>
                <c:pt idx="15">
                  <c:v>2760.0</c:v>
                </c:pt>
                <c:pt idx="16">
                  <c:v>2780.0</c:v>
                </c:pt>
                <c:pt idx="17">
                  <c:v>2800.0</c:v>
                </c:pt>
                <c:pt idx="18">
                  <c:v>2800.0</c:v>
                </c:pt>
                <c:pt idx="19">
                  <c:v>2800.0</c:v>
                </c:pt>
                <c:pt idx="20">
                  <c:v>2780.0</c:v>
                </c:pt>
                <c:pt idx="21">
                  <c:v>2760.0</c:v>
                </c:pt>
                <c:pt idx="22">
                  <c:v>2720.0</c:v>
                </c:pt>
                <c:pt idx="23">
                  <c:v>2660.0</c:v>
                </c:pt>
                <c:pt idx="24">
                  <c:v>2600.0</c:v>
                </c:pt>
                <c:pt idx="25">
                  <c:v>2540.0</c:v>
                </c:pt>
                <c:pt idx="26">
                  <c:v>2460.0</c:v>
                </c:pt>
                <c:pt idx="27">
                  <c:v>2360.0</c:v>
                </c:pt>
                <c:pt idx="28">
                  <c:v>2260.0</c:v>
                </c:pt>
                <c:pt idx="29">
                  <c:v>2140.0</c:v>
                </c:pt>
                <c:pt idx="30">
                  <c:v>2000.0</c:v>
                </c:pt>
                <c:pt idx="31">
                  <c:v>1840.0</c:v>
                </c:pt>
                <c:pt idx="32">
                  <c:v>1620.0</c:v>
                </c:pt>
                <c:pt idx="33">
                  <c:v>1300.0</c:v>
                </c:pt>
                <c:pt idx="34">
                  <c:v>1100.0</c:v>
                </c:pt>
                <c:pt idx="35">
                  <c:v>660.0</c:v>
                </c:pt>
                <c:pt idx="36">
                  <c:v>520.0</c:v>
                </c:pt>
                <c:pt idx="37">
                  <c:v>340.0</c:v>
                </c:pt>
                <c:pt idx="38">
                  <c:v>180.0</c:v>
                </c:pt>
                <c:pt idx="39">
                  <c:v>120.0</c:v>
                </c:pt>
                <c:pt idx="40">
                  <c:v>80.0</c:v>
                </c:pt>
                <c:pt idx="41">
                  <c:v>40.0</c:v>
                </c:pt>
                <c:pt idx="42">
                  <c:v>20.0</c:v>
                </c:pt>
                <c:pt idx="43">
                  <c:v>20.0</c:v>
                </c:pt>
                <c:pt idx="44">
                  <c:v>0.0</c:v>
                </c:pt>
                <c:pt idx="45">
                  <c:v>0.0</c:v>
                </c:pt>
                <c:pt idx="46">
                  <c:v>0.0</c:v>
                </c:pt>
                <c:pt idx="47">
                  <c:v>0.0</c:v>
                </c:pt>
                <c:pt idx="48">
                  <c:v>0.0</c:v>
                </c:pt>
                <c:pt idx="49">
                  <c:v>0.0</c:v>
                </c:pt>
                <c:pt idx="50">
                  <c:v>0.0</c:v>
                </c:pt>
                <c:pt idx="51">
                  <c:v>0.0</c:v>
                </c:pt>
                <c:pt idx="52">
                  <c:v>0.0</c:v>
                </c:pt>
                <c:pt idx="53">
                  <c:v>0.0</c:v>
                </c:pt>
                <c:pt idx="54">
                  <c:v>0.0</c:v>
                </c:pt>
              </c:numCache>
            </c:numRef>
          </c:yVal>
          <c:smooth val="1"/>
          <c:extLst xmlns:c16r2="http://schemas.microsoft.com/office/drawing/2015/06/chart">
            <c:ext xmlns:c16="http://schemas.microsoft.com/office/drawing/2014/chart" uri="{C3380CC4-5D6E-409C-BE32-E72D297353CC}">
              <c16:uniqueId val="{00000000-87C7-45A4-984B-BC14803F5338}"/>
            </c:ext>
          </c:extLst>
        </c:ser>
        <c:ser>
          <c:idx val="1"/>
          <c:order val="1"/>
          <c:tx>
            <c:strRef>
              <c:f>100 nm</c:f>
              <c:strCache>
                <c:ptCount val="1"/>
                <c:pt idx="0">
                  <c:v>100 nm</c:v>
                </c:pt>
              </c:strCache>
            </c:strRef>
          </c:tx>
          <c:spPr>
            <a:ln w="28575" cap="rnd" cmpd="sng" algn="ctr">
              <a:solidFill>
                <a:schemeClr val="accent2">
                  <a:shade val="95000"/>
                  <a:satMod val="105000"/>
                </a:schemeClr>
              </a:solidFill>
              <a:prstDash val="solid"/>
              <a:round/>
            </a:ln>
          </c:spPr>
          <c:xVal>
            <c:numRef>
              <c:f>Sheet1!$C$3:$C$73</c:f>
              <c:numCache>
                <c:formatCode>General</c:formatCode>
                <c:ptCount val="71"/>
                <c:pt idx="0">
                  <c:v>-99.66999999999997</c:v>
                </c:pt>
                <c:pt idx="1">
                  <c:v>-82.27</c:v>
                </c:pt>
                <c:pt idx="2">
                  <c:v>-64.87</c:v>
                </c:pt>
                <c:pt idx="3">
                  <c:v>-47.47</c:v>
                </c:pt>
                <c:pt idx="4">
                  <c:v>-30.07</c:v>
                </c:pt>
                <c:pt idx="5">
                  <c:v>-12.67</c:v>
                </c:pt>
                <c:pt idx="6">
                  <c:v>4.73</c:v>
                </c:pt>
                <c:pt idx="7">
                  <c:v>22.13000000000001</c:v>
                </c:pt>
                <c:pt idx="8">
                  <c:v>39.53</c:v>
                </c:pt>
                <c:pt idx="9">
                  <c:v>56.93</c:v>
                </c:pt>
                <c:pt idx="10">
                  <c:v>74.33</c:v>
                </c:pt>
                <c:pt idx="11">
                  <c:v>91.73</c:v>
                </c:pt>
                <c:pt idx="12">
                  <c:v>109.13</c:v>
                </c:pt>
                <c:pt idx="13">
                  <c:v>126.53</c:v>
                </c:pt>
                <c:pt idx="14">
                  <c:v>143.93</c:v>
                </c:pt>
                <c:pt idx="15">
                  <c:v>161.33</c:v>
                </c:pt>
                <c:pt idx="16">
                  <c:v>178.73</c:v>
                </c:pt>
                <c:pt idx="17">
                  <c:v>196.13</c:v>
                </c:pt>
                <c:pt idx="18">
                  <c:v>213.53</c:v>
                </c:pt>
                <c:pt idx="19">
                  <c:v>230.93</c:v>
                </c:pt>
                <c:pt idx="20">
                  <c:v>248.33</c:v>
                </c:pt>
                <c:pt idx="21">
                  <c:v>265.7299999999996</c:v>
                </c:pt>
                <c:pt idx="22">
                  <c:v>283.13</c:v>
                </c:pt>
                <c:pt idx="23">
                  <c:v>300.5299999999995</c:v>
                </c:pt>
                <c:pt idx="24">
                  <c:v>317.9299999999989</c:v>
                </c:pt>
                <c:pt idx="25">
                  <c:v>335.33</c:v>
                </c:pt>
                <c:pt idx="26">
                  <c:v>352.7299999999996</c:v>
                </c:pt>
                <c:pt idx="27">
                  <c:v>370.13</c:v>
                </c:pt>
                <c:pt idx="28">
                  <c:v>387.53</c:v>
                </c:pt>
                <c:pt idx="29">
                  <c:v>404.9299999999989</c:v>
                </c:pt>
                <c:pt idx="30">
                  <c:v>422.33</c:v>
                </c:pt>
                <c:pt idx="31">
                  <c:v>439.7299999999996</c:v>
                </c:pt>
                <c:pt idx="32">
                  <c:v>457.13</c:v>
                </c:pt>
                <c:pt idx="33">
                  <c:v>474.53</c:v>
                </c:pt>
                <c:pt idx="34">
                  <c:v>491.9299999999989</c:v>
                </c:pt>
                <c:pt idx="35">
                  <c:v>509.33</c:v>
                </c:pt>
                <c:pt idx="36">
                  <c:v>526.73</c:v>
                </c:pt>
                <c:pt idx="37">
                  <c:v>544.13</c:v>
                </c:pt>
                <c:pt idx="38">
                  <c:v>561.53</c:v>
                </c:pt>
                <c:pt idx="39">
                  <c:v>557.3299999999979</c:v>
                </c:pt>
                <c:pt idx="40">
                  <c:v>538.88</c:v>
                </c:pt>
                <c:pt idx="41">
                  <c:v>520.4299999999984</c:v>
                </c:pt>
                <c:pt idx="42">
                  <c:v>501.9799999999996</c:v>
                </c:pt>
                <c:pt idx="43">
                  <c:v>483.53</c:v>
                </c:pt>
                <c:pt idx="44">
                  <c:v>465.08</c:v>
                </c:pt>
                <c:pt idx="45">
                  <c:v>446.63</c:v>
                </c:pt>
                <c:pt idx="46">
                  <c:v>428.18</c:v>
                </c:pt>
                <c:pt idx="47">
                  <c:v>409.7299999999996</c:v>
                </c:pt>
                <c:pt idx="48">
                  <c:v>391.28</c:v>
                </c:pt>
                <c:pt idx="49">
                  <c:v>372.83</c:v>
                </c:pt>
                <c:pt idx="50">
                  <c:v>354.38</c:v>
                </c:pt>
                <c:pt idx="51">
                  <c:v>335.9299999999989</c:v>
                </c:pt>
                <c:pt idx="52">
                  <c:v>317.4799999999996</c:v>
                </c:pt>
                <c:pt idx="53">
                  <c:v>299.0299999999995</c:v>
                </c:pt>
                <c:pt idx="54">
                  <c:v>280.58</c:v>
                </c:pt>
                <c:pt idx="55">
                  <c:v>262.13</c:v>
                </c:pt>
                <c:pt idx="56">
                  <c:v>243.68</c:v>
                </c:pt>
                <c:pt idx="57">
                  <c:v>225.23</c:v>
                </c:pt>
                <c:pt idx="58">
                  <c:v>206.78</c:v>
                </c:pt>
                <c:pt idx="59">
                  <c:v>188.33</c:v>
                </c:pt>
                <c:pt idx="60">
                  <c:v>169.8800000000001</c:v>
                </c:pt>
                <c:pt idx="61">
                  <c:v>151.43</c:v>
                </c:pt>
                <c:pt idx="62">
                  <c:v>132.98</c:v>
                </c:pt>
                <c:pt idx="63">
                  <c:v>114.53</c:v>
                </c:pt>
                <c:pt idx="64">
                  <c:v>96.08</c:v>
                </c:pt>
                <c:pt idx="65">
                  <c:v>77.63</c:v>
                </c:pt>
                <c:pt idx="66">
                  <c:v>59.18</c:v>
                </c:pt>
                <c:pt idx="67">
                  <c:v>40.73000000000001</c:v>
                </c:pt>
                <c:pt idx="68">
                  <c:v>22.27999999999999</c:v>
                </c:pt>
                <c:pt idx="69">
                  <c:v>3.829999999999999</c:v>
                </c:pt>
                <c:pt idx="70">
                  <c:v>-14.62</c:v>
                </c:pt>
              </c:numCache>
            </c:numRef>
          </c:xVal>
          <c:yVal>
            <c:numRef>
              <c:f>Sheet1!$D$3:$D$73</c:f>
              <c:numCache>
                <c:formatCode>General</c:formatCode>
                <c:ptCount val="71"/>
                <c:pt idx="0">
                  <c:v>660.0</c:v>
                </c:pt>
                <c:pt idx="1">
                  <c:v>840.0</c:v>
                </c:pt>
                <c:pt idx="2">
                  <c:v>1020.0</c:v>
                </c:pt>
                <c:pt idx="3">
                  <c:v>1220.0</c:v>
                </c:pt>
                <c:pt idx="4">
                  <c:v>1420.0</c:v>
                </c:pt>
                <c:pt idx="5">
                  <c:v>1600.0</c:v>
                </c:pt>
                <c:pt idx="6">
                  <c:v>1760.0</c:v>
                </c:pt>
                <c:pt idx="7">
                  <c:v>1920.0</c:v>
                </c:pt>
                <c:pt idx="8">
                  <c:v>2060.0</c:v>
                </c:pt>
                <c:pt idx="9">
                  <c:v>2180.0</c:v>
                </c:pt>
                <c:pt idx="10">
                  <c:v>2280.0</c:v>
                </c:pt>
                <c:pt idx="11">
                  <c:v>2400.0</c:v>
                </c:pt>
                <c:pt idx="12">
                  <c:v>2480.0</c:v>
                </c:pt>
                <c:pt idx="13">
                  <c:v>2560.0</c:v>
                </c:pt>
                <c:pt idx="14">
                  <c:v>2620.0</c:v>
                </c:pt>
                <c:pt idx="15">
                  <c:v>2680.0</c:v>
                </c:pt>
                <c:pt idx="16">
                  <c:v>2720.0</c:v>
                </c:pt>
                <c:pt idx="17">
                  <c:v>2760.0</c:v>
                </c:pt>
                <c:pt idx="18">
                  <c:v>2780.0</c:v>
                </c:pt>
                <c:pt idx="19">
                  <c:v>2800.0</c:v>
                </c:pt>
                <c:pt idx="20">
                  <c:v>2800.0</c:v>
                </c:pt>
                <c:pt idx="21">
                  <c:v>2800.0</c:v>
                </c:pt>
                <c:pt idx="22">
                  <c:v>2800.0</c:v>
                </c:pt>
                <c:pt idx="23">
                  <c:v>2780.0</c:v>
                </c:pt>
                <c:pt idx="24">
                  <c:v>2760.0</c:v>
                </c:pt>
                <c:pt idx="25">
                  <c:v>2720.0</c:v>
                </c:pt>
                <c:pt idx="26">
                  <c:v>2680.0</c:v>
                </c:pt>
                <c:pt idx="27">
                  <c:v>2640.0</c:v>
                </c:pt>
                <c:pt idx="28">
                  <c:v>2580.0</c:v>
                </c:pt>
                <c:pt idx="29">
                  <c:v>2520.0</c:v>
                </c:pt>
                <c:pt idx="30">
                  <c:v>2440.0</c:v>
                </c:pt>
                <c:pt idx="31">
                  <c:v>2360.0</c:v>
                </c:pt>
                <c:pt idx="32">
                  <c:v>2260.0</c:v>
                </c:pt>
                <c:pt idx="33">
                  <c:v>2160.0</c:v>
                </c:pt>
                <c:pt idx="34">
                  <c:v>2040.0</c:v>
                </c:pt>
                <c:pt idx="35">
                  <c:v>1900.0</c:v>
                </c:pt>
                <c:pt idx="36">
                  <c:v>1740.0</c:v>
                </c:pt>
                <c:pt idx="37">
                  <c:v>1520.0</c:v>
                </c:pt>
                <c:pt idx="38">
                  <c:v>1160.0</c:v>
                </c:pt>
                <c:pt idx="39">
                  <c:v>760.0</c:v>
                </c:pt>
                <c:pt idx="40">
                  <c:v>540.0</c:v>
                </c:pt>
                <c:pt idx="41">
                  <c:v>400.0</c:v>
                </c:pt>
                <c:pt idx="42">
                  <c:v>320.0</c:v>
                </c:pt>
                <c:pt idx="43">
                  <c:v>260.0</c:v>
                </c:pt>
                <c:pt idx="44">
                  <c:v>200.0</c:v>
                </c:pt>
                <c:pt idx="45">
                  <c:v>160.0</c:v>
                </c:pt>
                <c:pt idx="46">
                  <c:v>120.0</c:v>
                </c:pt>
                <c:pt idx="47">
                  <c:v>100.0</c:v>
                </c:pt>
                <c:pt idx="48">
                  <c:v>80.0</c:v>
                </c:pt>
                <c:pt idx="49">
                  <c:v>60.0</c:v>
                </c:pt>
                <c:pt idx="50">
                  <c:v>40.0</c:v>
                </c:pt>
                <c:pt idx="51">
                  <c:v>20.0</c:v>
                </c:pt>
                <c:pt idx="52">
                  <c:v>20.0</c:v>
                </c:pt>
                <c:pt idx="53">
                  <c:v>20.0</c:v>
                </c:pt>
                <c:pt idx="54">
                  <c:v>0.0</c:v>
                </c:pt>
                <c:pt idx="55">
                  <c:v>0.0</c:v>
                </c:pt>
                <c:pt idx="56">
                  <c:v>0.0</c:v>
                </c:pt>
                <c:pt idx="57">
                  <c:v>0.0</c:v>
                </c:pt>
                <c:pt idx="58">
                  <c:v>0.0</c:v>
                </c:pt>
                <c:pt idx="59">
                  <c:v>0.0</c:v>
                </c:pt>
                <c:pt idx="60">
                  <c:v>0.0</c:v>
                </c:pt>
                <c:pt idx="61">
                  <c:v>0.0</c:v>
                </c:pt>
                <c:pt idx="62">
                  <c:v>0.0</c:v>
                </c:pt>
                <c:pt idx="63">
                  <c:v>0.0</c:v>
                </c:pt>
                <c:pt idx="64">
                  <c:v>0.0</c:v>
                </c:pt>
                <c:pt idx="65">
                  <c:v>0.0</c:v>
                </c:pt>
                <c:pt idx="66">
                  <c:v>0.0</c:v>
                </c:pt>
                <c:pt idx="67">
                  <c:v>0.0</c:v>
                </c:pt>
                <c:pt idx="68">
                  <c:v>0.0</c:v>
                </c:pt>
                <c:pt idx="69">
                  <c:v>0.0</c:v>
                </c:pt>
                <c:pt idx="70">
                  <c:v>0.0</c:v>
                </c:pt>
              </c:numCache>
            </c:numRef>
          </c:yVal>
          <c:smooth val="1"/>
          <c:extLst xmlns:c16r2="http://schemas.microsoft.com/office/drawing/2015/06/chart">
            <c:ext xmlns:c16="http://schemas.microsoft.com/office/drawing/2014/chart" uri="{C3380CC4-5D6E-409C-BE32-E72D297353CC}">
              <c16:uniqueId val="{00000001-87C7-45A4-984B-BC14803F5338}"/>
            </c:ext>
          </c:extLst>
        </c:ser>
        <c:ser>
          <c:idx val="2"/>
          <c:order val="2"/>
          <c:tx>
            <c:strRef>
              <c:f>10 nm</c:f>
              <c:strCache>
                <c:ptCount val="1"/>
                <c:pt idx="0">
                  <c:v>10 nm</c:v>
                </c:pt>
              </c:strCache>
            </c:strRef>
          </c:tx>
          <c:spPr>
            <a:ln w="28575" cap="rnd" cmpd="sng" algn="ctr">
              <a:solidFill>
                <a:schemeClr val="accent3">
                  <a:shade val="95000"/>
                  <a:satMod val="105000"/>
                </a:schemeClr>
              </a:solidFill>
              <a:prstDash val="solid"/>
              <a:round/>
            </a:ln>
          </c:spPr>
          <c:xVal>
            <c:numRef>
              <c:f>Sheet1!$E$3:$E$72</c:f>
              <c:numCache>
                <c:formatCode>General</c:formatCode>
                <c:ptCount val="70"/>
                <c:pt idx="0">
                  <c:v>-99.66999999999997</c:v>
                </c:pt>
                <c:pt idx="1">
                  <c:v>-82.63</c:v>
                </c:pt>
                <c:pt idx="2">
                  <c:v>-65.59</c:v>
                </c:pt>
                <c:pt idx="3">
                  <c:v>-48.55</c:v>
                </c:pt>
                <c:pt idx="4">
                  <c:v>-31.51</c:v>
                </c:pt>
                <c:pt idx="5">
                  <c:v>-14.47</c:v>
                </c:pt>
                <c:pt idx="6">
                  <c:v>2.57</c:v>
                </c:pt>
                <c:pt idx="7">
                  <c:v>19.61000000000001</c:v>
                </c:pt>
                <c:pt idx="8">
                  <c:v>36.65</c:v>
                </c:pt>
                <c:pt idx="9">
                  <c:v>53.69000000000001</c:v>
                </c:pt>
                <c:pt idx="10">
                  <c:v>70.73</c:v>
                </c:pt>
                <c:pt idx="11">
                  <c:v>87.77</c:v>
                </c:pt>
                <c:pt idx="12">
                  <c:v>104.81</c:v>
                </c:pt>
                <c:pt idx="13">
                  <c:v>121.85</c:v>
                </c:pt>
                <c:pt idx="14">
                  <c:v>138.89</c:v>
                </c:pt>
                <c:pt idx="15">
                  <c:v>155.93</c:v>
                </c:pt>
                <c:pt idx="16">
                  <c:v>172.97</c:v>
                </c:pt>
                <c:pt idx="17">
                  <c:v>190.01</c:v>
                </c:pt>
                <c:pt idx="18">
                  <c:v>207.05</c:v>
                </c:pt>
                <c:pt idx="19">
                  <c:v>224.09</c:v>
                </c:pt>
                <c:pt idx="20">
                  <c:v>241.13</c:v>
                </c:pt>
                <c:pt idx="21">
                  <c:v>258.17</c:v>
                </c:pt>
                <c:pt idx="22">
                  <c:v>275.2099999999998</c:v>
                </c:pt>
                <c:pt idx="23">
                  <c:v>292.25</c:v>
                </c:pt>
                <c:pt idx="24">
                  <c:v>309.2899999999996</c:v>
                </c:pt>
                <c:pt idx="25">
                  <c:v>326.33</c:v>
                </c:pt>
                <c:pt idx="26">
                  <c:v>343.37</c:v>
                </c:pt>
                <c:pt idx="27">
                  <c:v>360.4099999999999</c:v>
                </c:pt>
                <c:pt idx="28">
                  <c:v>377.45</c:v>
                </c:pt>
                <c:pt idx="29">
                  <c:v>394.4899999999996</c:v>
                </c:pt>
                <c:pt idx="30">
                  <c:v>411.53</c:v>
                </c:pt>
                <c:pt idx="31">
                  <c:v>428.57</c:v>
                </c:pt>
                <c:pt idx="32">
                  <c:v>445.61</c:v>
                </c:pt>
                <c:pt idx="33">
                  <c:v>462.6500000000001</c:v>
                </c:pt>
                <c:pt idx="34">
                  <c:v>479.69</c:v>
                </c:pt>
                <c:pt idx="35">
                  <c:v>496.7299999999996</c:v>
                </c:pt>
                <c:pt idx="36">
                  <c:v>513.7700000000005</c:v>
                </c:pt>
                <c:pt idx="37">
                  <c:v>530.8099999999979</c:v>
                </c:pt>
                <c:pt idx="38">
                  <c:v>547.8499999999979</c:v>
                </c:pt>
                <c:pt idx="39">
                  <c:v>530.03</c:v>
                </c:pt>
                <c:pt idx="40">
                  <c:v>511.7299999999996</c:v>
                </c:pt>
                <c:pt idx="41">
                  <c:v>493.4299999999989</c:v>
                </c:pt>
                <c:pt idx="42">
                  <c:v>475.13</c:v>
                </c:pt>
                <c:pt idx="43">
                  <c:v>456.83</c:v>
                </c:pt>
                <c:pt idx="44">
                  <c:v>438.53</c:v>
                </c:pt>
                <c:pt idx="45">
                  <c:v>420.2299999999996</c:v>
                </c:pt>
                <c:pt idx="46">
                  <c:v>401.9299999999989</c:v>
                </c:pt>
                <c:pt idx="47">
                  <c:v>383.63</c:v>
                </c:pt>
                <c:pt idx="48">
                  <c:v>365.33</c:v>
                </c:pt>
                <c:pt idx="49">
                  <c:v>347.03</c:v>
                </c:pt>
                <c:pt idx="50">
                  <c:v>328.7299999999996</c:v>
                </c:pt>
                <c:pt idx="51">
                  <c:v>310.4299999999989</c:v>
                </c:pt>
                <c:pt idx="52">
                  <c:v>292.13</c:v>
                </c:pt>
                <c:pt idx="53">
                  <c:v>273.83</c:v>
                </c:pt>
                <c:pt idx="54">
                  <c:v>255.53</c:v>
                </c:pt>
                <c:pt idx="55">
                  <c:v>237.23</c:v>
                </c:pt>
                <c:pt idx="56">
                  <c:v>218.93</c:v>
                </c:pt>
                <c:pt idx="57">
                  <c:v>200.63</c:v>
                </c:pt>
                <c:pt idx="58">
                  <c:v>182.33</c:v>
                </c:pt>
                <c:pt idx="59">
                  <c:v>164.03</c:v>
                </c:pt>
                <c:pt idx="60">
                  <c:v>145.73</c:v>
                </c:pt>
                <c:pt idx="61">
                  <c:v>127.43</c:v>
                </c:pt>
                <c:pt idx="62">
                  <c:v>109.13</c:v>
                </c:pt>
                <c:pt idx="63">
                  <c:v>90.83</c:v>
                </c:pt>
                <c:pt idx="64">
                  <c:v>72.53</c:v>
                </c:pt>
                <c:pt idx="65">
                  <c:v>54.23000000000001</c:v>
                </c:pt>
                <c:pt idx="66">
                  <c:v>35.93</c:v>
                </c:pt>
                <c:pt idx="67">
                  <c:v>17.63000000000001</c:v>
                </c:pt>
                <c:pt idx="68">
                  <c:v>-0.67</c:v>
                </c:pt>
                <c:pt idx="69">
                  <c:v>-18.97</c:v>
                </c:pt>
              </c:numCache>
            </c:numRef>
          </c:xVal>
          <c:yVal>
            <c:numRef>
              <c:f>Sheet1!$F$3:$F$72</c:f>
              <c:numCache>
                <c:formatCode>General</c:formatCode>
                <c:ptCount val="70"/>
                <c:pt idx="0">
                  <c:v>680.0</c:v>
                </c:pt>
                <c:pt idx="1">
                  <c:v>860.0</c:v>
                </c:pt>
                <c:pt idx="2">
                  <c:v>1060.0</c:v>
                </c:pt>
                <c:pt idx="3">
                  <c:v>1240.0</c:v>
                </c:pt>
                <c:pt idx="4">
                  <c:v>1440.0</c:v>
                </c:pt>
                <c:pt idx="5">
                  <c:v>1600.0</c:v>
                </c:pt>
                <c:pt idx="6">
                  <c:v>1760.0</c:v>
                </c:pt>
                <c:pt idx="7">
                  <c:v>1920.0</c:v>
                </c:pt>
                <c:pt idx="8">
                  <c:v>2040.0</c:v>
                </c:pt>
                <c:pt idx="9">
                  <c:v>2160.0</c:v>
                </c:pt>
                <c:pt idx="10">
                  <c:v>2280.0</c:v>
                </c:pt>
                <c:pt idx="11">
                  <c:v>2380.0</c:v>
                </c:pt>
                <c:pt idx="12">
                  <c:v>2460.0</c:v>
                </c:pt>
                <c:pt idx="13">
                  <c:v>2520.0</c:v>
                </c:pt>
                <c:pt idx="14">
                  <c:v>2600.0</c:v>
                </c:pt>
                <c:pt idx="15">
                  <c:v>2640.0</c:v>
                </c:pt>
                <c:pt idx="16">
                  <c:v>2680.0</c:v>
                </c:pt>
                <c:pt idx="17">
                  <c:v>2720.0</c:v>
                </c:pt>
                <c:pt idx="18">
                  <c:v>2740.0</c:v>
                </c:pt>
                <c:pt idx="19">
                  <c:v>2760.0</c:v>
                </c:pt>
                <c:pt idx="20">
                  <c:v>2760.0</c:v>
                </c:pt>
                <c:pt idx="21">
                  <c:v>2760.0</c:v>
                </c:pt>
                <c:pt idx="22">
                  <c:v>2760.0</c:v>
                </c:pt>
                <c:pt idx="23">
                  <c:v>2740.0</c:v>
                </c:pt>
                <c:pt idx="24">
                  <c:v>2720.0</c:v>
                </c:pt>
                <c:pt idx="25">
                  <c:v>2680.0</c:v>
                </c:pt>
                <c:pt idx="26">
                  <c:v>2640.0</c:v>
                </c:pt>
                <c:pt idx="27">
                  <c:v>2580.0</c:v>
                </c:pt>
                <c:pt idx="28">
                  <c:v>2540.0</c:v>
                </c:pt>
                <c:pt idx="29">
                  <c:v>2460.0</c:v>
                </c:pt>
                <c:pt idx="30">
                  <c:v>2400.0</c:v>
                </c:pt>
                <c:pt idx="31">
                  <c:v>2320.0</c:v>
                </c:pt>
                <c:pt idx="32">
                  <c:v>2220.0</c:v>
                </c:pt>
                <c:pt idx="33">
                  <c:v>2120.0</c:v>
                </c:pt>
                <c:pt idx="34">
                  <c:v>2000.0</c:v>
                </c:pt>
                <c:pt idx="35">
                  <c:v>1860.0</c:v>
                </c:pt>
                <c:pt idx="36">
                  <c:v>1700.0</c:v>
                </c:pt>
                <c:pt idx="37">
                  <c:v>1480.0</c:v>
                </c:pt>
                <c:pt idx="38">
                  <c:v>1060.0</c:v>
                </c:pt>
                <c:pt idx="39">
                  <c:v>580.0</c:v>
                </c:pt>
                <c:pt idx="40">
                  <c:v>440.0</c:v>
                </c:pt>
                <c:pt idx="41">
                  <c:v>340.0</c:v>
                </c:pt>
                <c:pt idx="42">
                  <c:v>260.0</c:v>
                </c:pt>
                <c:pt idx="43">
                  <c:v>200.0</c:v>
                </c:pt>
                <c:pt idx="44">
                  <c:v>160.0</c:v>
                </c:pt>
                <c:pt idx="45">
                  <c:v>120.0</c:v>
                </c:pt>
                <c:pt idx="46">
                  <c:v>100.0</c:v>
                </c:pt>
                <c:pt idx="47">
                  <c:v>80.0</c:v>
                </c:pt>
                <c:pt idx="48">
                  <c:v>60.0</c:v>
                </c:pt>
                <c:pt idx="49">
                  <c:v>40.0</c:v>
                </c:pt>
                <c:pt idx="50">
                  <c:v>20.0</c:v>
                </c:pt>
                <c:pt idx="51">
                  <c:v>20.0</c:v>
                </c:pt>
                <c:pt idx="52">
                  <c:v>20.0</c:v>
                </c:pt>
                <c:pt idx="53">
                  <c:v>0.0</c:v>
                </c:pt>
                <c:pt idx="54">
                  <c:v>0.0</c:v>
                </c:pt>
                <c:pt idx="55">
                  <c:v>0.0</c:v>
                </c:pt>
                <c:pt idx="56">
                  <c:v>0.0</c:v>
                </c:pt>
                <c:pt idx="57">
                  <c:v>0.0</c:v>
                </c:pt>
                <c:pt idx="58">
                  <c:v>0.0</c:v>
                </c:pt>
                <c:pt idx="59">
                  <c:v>0.0</c:v>
                </c:pt>
                <c:pt idx="60">
                  <c:v>0.0</c:v>
                </c:pt>
                <c:pt idx="61">
                  <c:v>0.0</c:v>
                </c:pt>
                <c:pt idx="62">
                  <c:v>0.0</c:v>
                </c:pt>
                <c:pt idx="63">
                  <c:v>0.0</c:v>
                </c:pt>
                <c:pt idx="64">
                  <c:v>0.0</c:v>
                </c:pt>
                <c:pt idx="65">
                  <c:v>0.0</c:v>
                </c:pt>
                <c:pt idx="66">
                  <c:v>0.0</c:v>
                </c:pt>
                <c:pt idx="67">
                  <c:v>0.0</c:v>
                </c:pt>
                <c:pt idx="68">
                  <c:v>0.0</c:v>
                </c:pt>
                <c:pt idx="69">
                  <c:v>0.0</c:v>
                </c:pt>
              </c:numCache>
            </c:numRef>
          </c:yVal>
          <c:smooth val="1"/>
          <c:extLst xmlns:c16r2="http://schemas.microsoft.com/office/drawing/2015/06/chart">
            <c:ext xmlns:c16="http://schemas.microsoft.com/office/drawing/2014/chart" uri="{C3380CC4-5D6E-409C-BE32-E72D297353CC}">
              <c16:uniqueId val="{00000002-87C7-45A4-984B-BC14803F5338}"/>
            </c:ext>
          </c:extLst>
        </c:ser>
        <c:ser>
          <c:idx val="3"/>
          <c:order val="3"/>
          <c:tx>
            <c:strRef>
              <c:f>5 nm</c:f>
              <c:strCache>
                <c:ptCount val="1"/>
                <c:pt idx="0">
                  <c:v>5 nm</c:v>
                </c:pt>
              </c:strCache>
            </c:strRef>
          </c:tx>
          <c:spPr>
            <a:ln w="28575" cap="rnd" cmpd="sng" algn="ctr">
              <a:solidFill>
                <a:schemeClr val="accent4">
                  <a:shade val="95000"/>
                  <a:satMod val="105000"/>
                </a:schemeClr>
              </a:solidFill>
              <a:prstDash val="solid"/>
              <a:round/>
            </a:ln>
          </c:spPr>
          <c:xVal>
            <c:numRef>
              <c:f>Sheet1!$G$3:$G$71</c:f>
              <c:numCache>
                <c:formatCode>General</c:formatCode>
                <c:ptCount val="69"/>
                <c:pt idx="0">
                  <c:v>-99.66999999999997</c:v>
                </c:pt>
                <c:pt idx="1">
                  <c:v>-82.87</c:v>
                </c:pt>
                <c:pt idx="2">
                  <c:v>-66.07</c:v>
                </c:pt>
                <c:pt idx="3">
                  <c:v>-49.27</c:v>
                </c:pt>
                <c:pt idx="4">
                  <c:v>-32.47</c:v>
                </c:pt>
                <c:pt idx="5">
                  <c:v>-15.67</c:v>
                </c:pt>
                <c:pt idx="6">
                  <c:v>1.129999999999999</c:v>
                </c:pt>
                <c:pt idx="7">
                  <c:v>17.93</c:v>
                </c:pt>
                <c:pt idx="8">
                  <c:v>34.73000000000001</c:v>
                </c:pt>
                <c:pt idx="9">
                  <c:v>51.53</c:v>
                </c:pt>
                <c:pt idx="10">
                  <c:v>68.33</c:v>
                </c:pt>
                <c:pt idx="11">
                  <c:v>85.13</c:v>
                </c:pt>
                <c:pt idx="12">
                  <c:v>101.93</c:v>
                </c:pt>
                <c:pt idx="13">
                  <c:v>118.73</c:v>
                </c:pt>
                <c:pt idx="14">
                  <c:v>135.53</c:v>
                </c:pt>
                <c:pt idx="15">
                  <c:v>152.33</c:v>
                </c:pt>
                <c:pt idx="16">
                  <c:v>169.13</c:v>
                </c:pt>
                <c:pt idx="17">
                  <c:v>185.93</c:v>
                </c:pt>
                <c:pt idx="18">
                  <c:v>202.73</c:v>
                </c:pt>
                <c:pt idx="19">
                  <c:v>219.53</c:v>
                </c:pt>
                <c:pt idx="20">
                  <c:v>236.33</c:v>
                </c:pt>
                <c:pt idx="21">
                  <c:v>253.13</c:v>
                </c:pt>
                <c:pt idx="22">
                  <c:v>269.9299999999989</c:v>
                </c:pt>
                <c:pt idx="23">
                  <c:v>286.7299999999996</c:v>
                </c:pt>
                <c:pt idx="24">
                  <c:v>303.5299999999995</c:v>
                </c:pt>
                <c:pt idx="25">
                  <c:v>320.33</c:v>
                </c:pt>
                <c:pt idx="26">
                  <c:v>337.13</c:v>
                </c:pt>
                <c:pt idx="27">
                  <c:v>353.9299999999989</c:v>
                </c:pt>
                <c:pt idx="28">
                  <c:v>370.7299999999996</c:v>
                </c:pt>
                <c:pt idx="29">
                  <c:v>387.53</c:v>
                </c:pt>
                <c:pt idx="30">
                  <c:v>404.33</c:v>
                </c:pt>
                <c:pt idx="31">
                  <c:v>421.13</c:v>
                </c:pt>
                <c:pt idx="32">
                  <c:v>437.9299999999989</c:v>
                </c:pt>
                <c:pt idx="33">
                  <c:v>454.7299999999996</c:v>
                </c:pt>
                <c:pt idx="34">
                  <c:v>471.53</c:v>
                </c:pt>
                <c:pt idx="35">
                  <c:v>488.33</c:v>
                </c:pt>
                <c:pt idx="36">
                  <c:v>505.13</c:v>
                </c:pt>
                <c:pt idx="37">
                  <c:v>521.9299999999984</c:v>
                </c:pt>
                <c:pt idx="38">
                  <c:v>521.3299999999979</c:v>
                </c:pt>
                <c:pt idx="39">
                  <c:v>503.4799999999996</c:v>
                </c:pt>
                <c:pt idx="40">
                  <c:v>485.63</c:v>
                </c:pt>
                <c:pt idx="41">
                  <c:v>467.78</c:v>
                </c:pt>
                <c:pt idx="42">
                  <c:v>449.9299999999989</c:v>
                </c:pt>
                <c:pt idx="43">
                  <c:v>432.08</c:v>
                </c:pt>
                <c:pt idx="44">
                  <c:v>414.2299999999996</c:v>
                </c:pt>
                <c:pt idx="45">
                  <c:v>396.38</c:v>
                </c:pt>
                <c:pt idx="46">
                  <c:v>378.53</c:v>
                </c:pt>
                <c:pt idx="47">
                  <c:v>360.68</c:v>
                </c:pt>
                <c:pt idx="48">
                  <c:v>342.83</c:v>
                </c:pt>
                <c:pt idx="49">
                  <c:v>324.9799999999996</c:v>
                </c:pt>
                <c:pt idx="50">
                  <c:v>307.13</c:v>
                </c:pt>
                <c:pt idx="51">
                  <c:v>289.2799999999995</c:v>
                </c:pt>
                <c:pt idx="52">
                  <c:v>271.4299999999989</c:v>
                </c:pt>
                <c:pt idx="53">
                  <c:v>253.58</c:v>
                </c:pt>
                <c:pt idx="54">
                  <c:v>235.73</c:v>
                </c:pt>
                <c:pt idx="55">
                  <c:v>217.8800000000001</c:v>
                </c:pt>
                <c:pt idx="56">
                  <c:v>200.03</c:v>
                </c:pt>
                <c:pt idx="57">
                  <c:v>182.18</c:v>
                </c:pt>
                <c:pt idx="58">
                  <c:v>164.33</c:v>
                </c:pt>
                <c:pt idx="59">
                  <c:v>146.48</c:v>
                </c:pt>
                <c:pt idx="60">
                  <c:v>128.63</c:v>
                </c:pt>
                <c:pt idx="61">
                  <c:v>110.78</c:v>
                </c:pt>
                <c:pt idx="62">
                  <c:v>92.93</c:v>
                </c:pt>
                <c:pt idx="63">
                  <c:v>75.08</c:v>
                </c:pt>
                <c:pt idx="64">
                  <c:v>57.23000000000001</c:v>
                </c:pt>
                <c:pt idx="65">
                  <c:v>39.38</c:v>
                </c:pt>
                <c:pt idx="66">
                  <c:v>21.53</c:v>
                </c:pt>
                <c:pt idx="67">
                  <c:v>3.68</c:v>
                </c:pt>
                <c:pt idx="68">
                  <c:v>-14.17</c:v>
                </c:pt>
              </c:numCache>
            </c:numRef>
          </c:xVal>
          <c:yVal>
            <c:numRef>
              <c:f>Sheet1!$H$3:$H$71</c:f>
              <c:numCache>
                <c:formatCode>General</c:formatCode>
                <c:ptCount val="69"/>
                <c:pt idx="0">
                  <c:v>720.0</c:v>
                </c:pt>
                <c:pt idx="1">
                  <c:v>920.0</c:v>
                </c:pt>
                <c:pt idx="2">
                  <c:v>1100.0</c:v>
                </c:pt>
                <c:pt idx="3">
                  <c:v>1300.0</c:v>
                </c:pt>
                <c:pt idx="4">
                  <c:v>1460.0</c:v>
                </c:pt>
                <c:pt idx="5">
                  <c:v>1640.0</c:v>
                </c:pt>
                <c:pt idx="6">
                  <c:v>1780.0</c:v>
                </c:pt>
                <c:pt idx="7">
                  <c:v>1920.0</c:v>
                </c:pt>
                <c:pt idx="8">
                  <c:v>2060.0</c:v>
                </c:pt>
                <c:pt idx="9">
                  <c:v>2160.0</c:v>
                </c:pt>
                <c:pt idx="10">
                  <c:v>2260.0</c:v>
                </c:pt>
                <c:pt idx="11">
                  <c:v>2360.0</c:v>
                </c:pt>
                <c:pt idx="12">
                  <c:v>2440.0</c:v>
                </c:pt>
                <c:pt idx="13">
                  <c:v>2500.0</c:v>
                </c:pt>
                <c:pt idx="14">
                  <c:v>2560.0</c:v>
                </c:pt>
                <c:pt idx="15">
                  <c:v>2600.0</c:v>
                </c:pt>
                <c:pt idx="16">
                  <c:v>2640.0</c:v>
                </c:pt>
                <c:pt idx="17">
                  <c:v>2680.0</c:v>
                </c:pt>
                <c:pt idx="18">
                  <c:v>2700.0</c:v>
                </c:pt>
                <c:pt idx="19">
                  <c:v>2700.0</c:v>
                </c:pt>
                <c:pt idx="20">
                  <c:v>2700.0</c:v>
                </c:pt>
                <c:pt idx="21">
                  <c:v>2700.0</c:v>
                </c:pt>
                <c:pt idx="22">
                  <c:v>2680.0</c:v>
                </c:pt>
                <c:pt idx="23">
                  <c:v>2660.0</c:v>
                </c:pt>
                <c:pt idx="24">
                  <c:v>2620.0</c:v>
                </c:pt>
                <c:pt idx="25">
                  <c:v>2600.0</c:v>
                </c:pt>
                <c:pt idx="26">
                  <c:v>2540.0</c:v>
                </c:pt>
                <c:pt idx="27">
                  <c:v>2500.0</c:v>
                </c:pt>
                <c:pt idx="28">
                  <c:v>2420.0</c:v>
                </c:pt>
                <c:pt idx="29">
                  <c:v>2360.0</c:v>
                </c:pt>
                <c:pt idx="30">
                  <c:v>2280.0</c:v>
                </c:pt>
                <c:pt idx="31">
                  <c:v>2180.0</c:v>
                </c:pt>
                <c:pt idx="32">
                  <c:v>2080.0</c:v>
                </c:pt>
                <c:pt idx="33">
                  <c:v>1980.0</c:v>
                </c:pt>
                <c:pt idx="34">
                  <c:v>1840.0</c:v>
                </c:pt>
                <c:pt idx="35">
                  <c:v>1680.0</c:v>
                </c:pt>
                <c:pt idx="36">
                  <c:v>1480.0</c:v>
                </c:pt>
                <c:pt idx="37">
                  <c:v>1140.0</c:v>
                </c:pt>
                <c:pt idx="38">
                  <c:v>800.0</c:v>
                </c:pt>
                <c:pt idx="39">
                  <c:v>540.0</c:v>
                </c:pt>
                <c:pt idx="40">
                  <c:v>400.0</c:v>
                </c:pt>
                <c:pt idx="41">
                  <c:v>320.0</c:v>
                </c:pt>
                <c:pt idx="42">
                  <c:v>240.0</c:v>
                </c:pt>
                <c:pt idx="43">
                  <c:v>200.0</c:v>
                </c:pt>
                <c:pt idx="44">
                  <c:v>160.0</c:v>
                </c:pt>
                <c:pt idx="45">
                  <c:v>120.0</c:v>
                </c:pt>
                <c:pt idx="46">
                  <c:v>80.0</c:v>
                </c:pt>
                <c:pt idx="47">
                  <c:v>60.0</c:v>
                </c:pt>
                <c:pt idx="48">
                  <c:v>60.0</c:v>
                </c:pt>
                <c:pt idx="49">
                  <c:v>40.0</c:v>
                </c:pt>
                <c:pt idx="50">
                  <c:v>20.0</c:v>
                </c:pt>
                <c:pt idx="51">
                  <c:v>20.0</c:v>
                </c:pt>
                <c:pt idx="52">
                  <c:v>0.0</c:v>
                </c:pt>
                <c:pt idx="53">
                  <c:v>0.0</c:v>
                </c:pt>
                <c:pt idx="54">
                  <c:v>0.0</c:v>
                </c:pt>
                <c:pt idx="55">
                  <c:v>0.0</c:v>
                </c:pt>
                <c:pt idx="56">
                  <c:v>0.0</c:v>
                </c:pt>
                <c:pt idx="57">
                  <c:v>0.0</c:v>
                </c:pt>
                <c:pt idx="58">
                  <c:v>0.0</c:v>
                </c:pt>
                <c:pt idx="59">
                  <c:v>0.0</c:v>
                </c:pt>
                <c:pt idx="60">
                  <c:v>0.0</c:v>
                </c:pt>
                <c:pt idx="61">
                  <c:v>0.0</c:v>
                </c:pt>
                <c:pt idx="62">
                  <c:v>0.0</c:v>
                </c:pt>
                <c:pt idx="63">
                  <c:v>0.0</c:v>
                </c:pt>
                <c:pt idx="64">
                  <c:v>0.0</c:v>
                </c:pt>
                <c:pt idx="65">
                  <c:v>0.0</c:v>
                </c:pt>
                <c:pt idx="66">
                  <c:v>0.0</c:v>
                </c:pt>
                <c:pt idx="67">
                  <c:v>0.0</c:v>
                </c:pt>
                <c:pt idx="68">
                  <c:v>0.0</c:v>
                </c:pt>
              </c:numCache>
            </c:numRef>
          </c:yVal>
          <c:smooth val="1"/>
          <c:extLst xmlns:c16r2="http://schemas.microsoft.com/office/drawing/2015/06/chart">
            <c:ext xmlns:c16="http://schemas.microsoft.com/office/drawing/2014/chart" uri="{C3380CC4-5D6E-409C-BE32-E72D297353CC}">
              <c16:uniqueId val="{00000003-87C7-45A4-984B-BC14803F5338}"/>
            </c:ext>
          </c:extLst>
        </c:ser>
        <c:ser>
          <c:idx val="4"/>
          <c:order val="4"/>
          <c:tx>
            <c:strRef>
              <c:f>2 nm</c:f>
              <c:strCache>
                <c:ptCount val="1"/>
                <c:pt idx="0">
                  <c:v>2 nm</c:v>
                </c:pt>
              </c:strCache>
            </c:strRef>
          </c:tx>
          <c:spPr>
            <a:ln w="28575" cap="rnd" cmpd="sng" algn="ctr">
              <a:solidFill>
                <a:schemeClr val="accent5">
                  <a:shade val="95000"/>
                  <a:satMod val="105000"/>
                </a:schemeClr>
              </a:solidFill>
              <a:prstDash val="solid"/>
              <a:round/>
            </a:ln>
          </c:spPr>
          <c:xVal>
            <c:numRef>
              <c:f>Sheet1!$I$3:$I$65</c:f>
              <c:numCache>
                <c:formatCode>General</c:formatCode>
                <c:ptCount val="63"/>
                <c:pt idx="0">
                  <c:v>-99.66999999999997</c:v>
                </c:pt>
                <c:pt idx="1">
                  <c:v>-84.07</c:v>
                </c:pt>
                <c:pt idx="2">
                  <c:v>-68.47</c:v>
                </c:pt>
                <c:pt idx="3">
                  <c:v>-52.87</c:v>
                </c:pt>
                <c:pt idx="4">
                  <c:v>-37.27</c:v>
                </c:pt>
                <c:pt idx="5">
                  <c:v>-21.67</c:v>
                </c:pt>
                <c:pt idx="6">
                  <c:v>-6.07</c:v>
                </c:pt>
                <c:pt idx="7">
                  <c:v>9.530000000000001</c:v>
                </c:pt>
                <c:pt idx="8">
                  <c:v>25.13000000000001</c:v>
                </c:pt>
                <c:pt idx="9">
                  <c:v>40.73000000000001</c:v>
                </c:pt>
                <c:pt idx="10">
                  <c:v>56.33</c:v>
                </c:pt>
                <c:pt idx="11">
                  <c:v>71.93</c:v>
                </c:pt>
                <c:pt idx="12">
                  <c:v>87.53</c:v>
                </c:pt>
                <c:pt idx="13">
                  <c:v>103.13</c:v>
                </c:pt>
                <c:pt idx="14">
                  <c:v>118.73</c:v>
                </c:pt>
                <c:pt idx="15">
                  <c:v>134.33</c:v>
                </c:pt>
                <c:pt idx="16">
                  <c:v>149.93</c:v>
                </c:pt>
                <c:pt idx="17">
                  <c:v>165.53</c:v>
                </c:pt>
                <c:pt idx="18">
                  <c:v>181.13</c:v>
                </c:pt>
                <c:pt idx="19">
                  <c:v>196.73</c:v>
                </c:pt>
                <c:pt idx="20">
                  <c:v>212.33</c:v>
                </c:pt>
                <c:pt idx="21">
                  <c:v>227.93</c:v>
                </c:pt>
                <c:pt idx="22">
                  <c:v>243.53</c:v>
                </c:pt>
                <c:pt idx="23">
                  <c:v>259.13</c:v>
                </c:pt>
                <c:pt idx="24">
                  <c:v>274.7299999999996</c:v>
                </c:pt>
                <c:pt idx="25">
                  <c:v>290.33</c:v>
                </c:pt>
                <c:pt idx="26">
                  <c:v>305.9299999999989</c:v>
                </c:pt>
                <c:pt idx="27">
                  <c:v>321.5299999999995</c:v>
                </c:pt>
                <c:pt idx="28">
                  <c:v>337.13</c:v>
                </c:pt>
                <c:pt idx="29">
                  <c:v>352.7299999999996</c:v>
                </c:pt>
                <c:pt idx="30">
                  <c:v>368.33</c:v>
                </c:pt>
                <c:pt idx="31">
                  <c:v>383.9299999999989</c:v>
                </c:pt>
                <c:pt idx="32">
                  <c:v>399.53</c:v>
                </c:pt>
                <c:pt idx="33">
                  <c:v>415.13</c:v>
                </c:pt>
                <c:pt idx="34">
                  <c:v>430.7299999999996</c:v>
                </c:pt>
                <c:pt idx="35">
                  <c:v>422.33</c:v>
                </c:pt>
                <c:pt idx="36">
                  <c:v>406.13</c:v>
                </c:pt>
                <c:pt idx="37">
                  <c:v>389.9299999999989</c:v>
                </c:pt>
                <c:pt idx="38">
                  <c:v>373.7299999999996</c:v>
                </c:pt>
                <c:pt idx="39">
                  <c:v>357.53</c:v>
                </c:pt>
                <c:pt idx="40">
                  <c:v>341.33</c:v>
                </c:pt>
                <c:pt idx="41">
                  <c:v>325.13</c:v>
                </c:pt>
                <c:pt idx="42">
                  <c:v>308.9299999999989</c:v>
                </c:pt>
                <c:pt idx="43">
                  <c:v>292.7299999999996</c:v>
                </c:pt>
                <c:pt idx="44">
                  <c:v>276.5299999999995</c:v>
                </c:pt>
                <c:pt idx="45">
                  <c:v>260.33</c:v>
                </c:pt>
                <c:pt idx="46">
                  <c:v>244.13</c:v>
                </c:pt>
                <c:pt idx="47">
                  <c:v>227.93</c:v>
                </c:pt>
                <c:pt idx="48">
                  <c:v>211.73</c:v>
                </c:pt>
                <c:pt idx="49">
                  <c:v>195.53</c:v>
                </c:pt>
                <c:pt idx="50">
                  <c:v>179.33</c:v>
                </c:pt>
                <c:pt idx="51">
                  <c:v>163.13</c:v>
                </c:pt>
                <c:pt idx="52">
                  <c:v>146.93</c:v>
                </c:pt>
                <c:pt idx="53">
                  <c:v>130.73</c:v>
                </c:pt>
                <c:pt idx="54">
                  <c:v>114.53</c:v>
                </c:pt>
                <c:pt idx="55">
                  <c:v>98.33</c:v>
                </c:pt>
                <c:pt idx="56">
                  <c:v>82.13</c:v>
                </c:pt>
                <c:pt idx="57">
                  <c:v>65.93</c:v>
                </c:pt>
                <c:pt idx="58">
                  <c:v>49.73000000000001</c:v>
                </c:pt>
                <c:pt idx="59">
                  <c:v>33.53</c:v>
                </c:pt>
                <c:pt idx="60">
                  <c:v>17.32999999999999</c:v>
                </c:pt>
                <c:pt idx="61">
                  <c:v>1.129999999999999</c:v>
                </c:pt>
                <c:pt idx="62">
                  <c:v>-15.07</c:v>
                </c:pt>
              </c:numCache>
            </c:numRef>
          </c:xVal>
          <c:yVal>
            <c:numRef>
              <c:f>Sheet1!$J$3:$J$65</c:f>
              <c:numCache>
                <c:formatCode>General</c:formatCode>
                <c:ptCount val="63"/>
                <c:pt idx="0">
                  <c:v>940.0</c:v>
                </c:pt>
                <c:pt idx="1">
                  <c:v>1120.0</c:v>
                </c:pt>
                <c:pt idx="2">
                  <c:v>1280.0</c:v>
                </c:pt>
                <c:pt idx="3">
                  <c:v>1440.0</c:v>
                </c:pt>
                <c:pt idx="4">
                  <c:v>1580.0</c:v>
                </c:pt>
                <c:pt idx="5">
                  <c:v>1720.0</c:v>
                </c:pt>
                <c:pt idx="6">
                  <c:v>1840.0</c:v>
                </c:pt>
                <c:pt idx="7">
                  <c:v>1960.0</c:v>
                </c:pt>
                <c:pt idx="8">
                  <c:v>2060.0</c:v>
                </c:pt>
                <c:pt idx="9">
                  <c:v>2140.0</c:v>
                </c:pt>
                <c:pt idx="10">
                  <c:v>2220.0</c:v>
                </c:pt>
                <c:pt idx="11">
                  <c:v>2280.0</c:v>
                </c:pt>
                <c:pt idx="12">
                  <c:v>2340.0</c:v>
                </c:pt>
                <c:pt idx="13">
                  <c:v>2380.0</c:v>
                </c:pt>
                <c:pt idx="14">
                  <c:v>2420.0</c:v>
                </c:pt>
                <c:pt idx="15">
                  <c:v>2440.0</c:v>
                </c:pt>
                <c:pt idx="16">
                  <c:v>2460.0</c:v>
                </c:pt>
                <c:pt idx="17">
                  <c:v>2460.0</c:v>
                </c:pt>
                <c:pt idx="18">
                  <c:v>2460.0</c:v>
                </c:pt>
                <c:pt idx="19">
                  <c:v>2440.0</c:v>
                </c:pt>
                <c:pt idx="20">
                  <c:v>2440.0</c:v>
                </c:pt>
                <c:pt idx="21">
                  <c:v>2400.0</c:v>
                </c:pt>
                <c:pt idx="22">
                  <c:v>2380.0</c:v>
                </c:pt>
                <c:pt idx="23">
                  <c:v>2340.0</c:v>
                </c:pt>
                <c:pt idx="24">
                  <c:v>2280.0</c:v>
                </c:pt>
                <c:pt idx="25">
                  <c:v>2220.0</c:v>
                </c:pt>
                <c:pt idx="26">
                  <c:v>2160.0</c:v>
                </c:pt>
                <c:pt idx="27">
                  <c:v>2100.0</c:v>
                </c:pt>
                <c:pt idx="28">
                  <c:v>2000.0</c:v>
                </c:pt>
                <c:pt idx="29">
                  <c:v>1920.0</c:v>
                </c:pt>
                <c:pt idx="30">
                  <c:v>1800.0</c:v>
                </c:pt>
                <c:pt idx="31">
                  <c:v>1680.0</c:v>
                </c:pt>
                <c:pt idx="32">
                  <c:v>1540.0</c:v>
                </c:pt>
                <c:pt idx="33">
                  <c:v>1320.0</c:v>
                </c:pt>
                <c:pt idx="34">
                  <c:v>960.0</c:v>
                </c:pt>
                <c:pt idx="35">
                  <c:v>580.0</c:v>
                </c:pt>
                <c:pt idx="36">
                  <c:v>420.0</c:v>
                </c:pt>
                <c:pt idx="37">
                  <c:v>320.0</c:v>
                </c:pt>
                <c:pt idx="38">
                  <c:v>240.0</c:v>
                </c:pt>
                <c:pt idx="39">
                  <c:v>200.0</c:v>
                </c:pt>
                <c:pt idx="40">
                  <c:v>140.0</c:v>
                </c:pt>
                <c:pt idx="41">
                  <c:v>120.0</c:v>
                </c:pt>
                <c:pt idx="42">
                  <c:v>80.0</c:v>
                </c:pt>
                <c:pt idx="43">
                  <c:v>60.0</c:v>
                </c:pt>
                <c:pt idx="44">
                  <c:v>40.0</c:v>
                </c:pt>
                <c:pt idx="45">
                  <c:v>40.0</c:v>
                </c:pt>
                <c:pt idx="46">
                  <c:v>20.0</c:v>
                </c:pt>
                <c:pt idx="47">
                  <c:v>20.0</c:v>
                </c:pt>
                <c:pt idx="48">
                  <c:v>0.0</c:v>
                </c:pt>
                <c:pt idx="49">
                  <c:v>0.0</c:v>
                </c:pt>
                <c:pt idx="50">
                  <c:v>0.0</c:v>
                </c:pt>
                <c:pt idx="51">
                  <c:v>0.0</c:v>
                </c:pt>
                <c:pt idx="52">
                  <c:v>0.0</c:v>
                </c:pt>
                <c:pt idx="53">
                  <c:v>0.0</c:v>
                </c:pt>
                <c:pt idx="54">
                  <c:v>0.0</c:v>
                </c:pt>
                <c:pt idx="55">
                  <c:v>0.0</c:v>
                </c:pt>
                <c:pt idx="56">
                  <c:v>0.0</c:v>
                </c:pt>
                <c:pt idx="57">
                  <c:v>0.0</c:v>
                </c:pt>
                <c:pt idx="58">
                  <c:v>0.0</c:v>
                </c:pt>
                <c:pt idx="59">
                  <c:v>0.0</c:v>
                </c:pt>
                <c:pt idx="60">
                  <c:v>0.0</c:v>
                </c:pt>
                <c:pt idx="61">
                  <c:v>0.0</c:v>
                </c:pt>
                <c:pt idx="62">
                  <c:v>0.0</c:v>
                </c:pt>
              </c:numCache>
            </c:numRef>
          </c:yVal>
          <c:smooth val="1"/>
          <c:extLst xmlns:c16r2="http://schemas.microsoft.com/office/drawing/2015/06/chart">
            <c:ext xmlns:c16="http://schemas.microsoft.com/office/drawing/2014/chart" uri="{C3380CC4-5D6E-409C-BE32-E72D297353CC}">
              <c16:uniqueId val="{00000004-87C7-45A4-984B-BC14803F5338}"/>
            </c:ext>
          </c:extLst>
        </c:ser>
        <c:dLbls>
          <c:showLegendKey val="0"/>
          <c:showVal val="0"/>
          <c:showCatName val="0"/>
          <c:showSerName val="0"/>
          <c:showPercent val="0"/>
          <c:showBubbleSize val="0"/>
        </c:dLbls>
        <c:axId val="1915832368"/>
        <c:axId val="1955070896"/>
      </c:scatterChart>
      <c:valAx>
        <c:axId val="1915832368"/>
        <c:scaling>
          <c:orientation val="minMax"/>
          <c:min val="-100.0"/>
        </c:scaling>
        <c:delete val="0"/>
        <c:axPos val="b"/>
        <c:title>
          <c:tx>
            <c:rich>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r>
                  <a:rPr lang="en-US" b="0"/>
                  <a:t>Temperature, </a:t>
                </a:r>
                <a:r>
                  <a:rPr lang="en-US" sz="1000" b="0" i="0" u="none" strike="noStrike" baseline="0">
                    <a:effectLst/>
                  </a:rPr>
                  <a:t>°F </a:t>
                </a:r>
                <a:endParaRPr lang="en-US" b="0"/>
              </a:p>
            </c:rich>
          </c:tx>
          <c:layout>
            <c:manualLayout>
              <c:xMode val="edge"/>
              <c:yMode val="edge"/>
              <c:x val="0.421641513128483"/>
              <c:y val="0.93854853911404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55070896"/>
        <c:crosses val="autoZero"/>
        <c:crossBetween val="midCat"/>
      </c:valAx>
      <c:valAx>
        <c:axId val="1955070896"/>
        <c:scaling>
          <c:orientation val="minMax"/>
          <c:min val="0.0"/>
        </c:scaling>
        <c:delete val="0"/>
        <c:axPos val="l"/>
        <c:title>
          <c:tx>
            <c:rich>
              <a:bodyPr rot="-54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r>
                  <a:rPr lang="en-US" b="0"/>
                  <a:t>Pressure, psi</a:t>
                </a:r>
              </a:p>
            </c:rich>
          </c:tx>
          <c:layout>
            <c:manualLayout>
              <c:xMode val="edge"/>
              <c:yMode val="edge"/>
              <c:x val="0.010635325034536"/>
              <c:y val="0.3885279558888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1915832368"/>
        <c:crossesAt val="-100.0"/>
        <c:crossBetween val="midCat"/>
      </c:valAx>
      <c:spPr>
        <a:ln>
          <a:solidFill>
            <a:schemeClr val="tx1"/>
          </a:solidFill>
        </a:ln>
      </c:spPr>
    </c:plotArea>
    <c:legend>
      <c:legendPos val="r"/>
      <c:layout>
        <c:manualLayout>
          <c:xMode val="edge"/>
          <c:yMode val="edge"/>
          <c:x val="0.244746111618923"/>
          <c:y val="0.525342515474049"/>
          <c:w val="0.198302489731156"/>
          <c:h val="0.237082199359573"/>
        </c:manualLayout>
      </c:layout>
      <c:overlay val="0"/>
      <c:spPr>
        <a:ln>
          <a:solidFill>
            <a:schemeClr val="tx1"/>
          </a:solid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0C3658" w:rsidRDefault="000C3658">
          <w:r>
            <w:rPr>
              <w:rStyle w:val="1"/>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0C3658" w:rsidRDefault="000C3658">
          <w:pPr>
            <w:pStyle w:val="4560A0E964BD401C92999EB205E293AB"/>
          </w:pPr>
          <w:r>
            <w:rPr>
              <w:rStyle w:val="1"/>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0C3658" w:rsidRDefault="000C3658">
          <w:pPr>
            <w:pStyle w:val="C062FEE9CF144A928363900CFCE29497"/>
          </w:pPr>
          <w:r>
            <w:rPr>
              <w:rStyle w:val="1"/>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0C3658" w:rsidRDefault="000C3658">
          <w:pPr>
            <w:pStyle w:val="6D39F422706D4B8B985B3284341ED3DD"/>
          </w:pPr>
          <w:r>
            <w:rPr>
              <w:rStyle w:val="1"/>
            </w:rPr>
            <w:t>Click here to enter text.</w:t>
          </w:r>
        </w:p>
      </w:docPartBody>
    </w:docPart>
    <w:docPart>
      <w:docPartPr>
        <w:name w:val="BCDC86ED8B944D7A93BFFA70D9D02C06"/>
        <w:category>
          <w:name w:val="常规"/>
          <w:gallery w:val="placeholder"/>
        </w:category>
        <w:types>
          <w:type w:val="bbPlcHdr"/>
        </w:types>
        <w:behaviors>
          <w:behavior w:val="content"/>
        </w:behaviors>
        <w:guid w:val="{5E9F7191-F257-4DF1-B2F4-D3E8181CDEBD}"/>
      </w:docPartPr>
      <w:docPartBody>
        <w:p w:rsidR="000C3658" w:rsidRDefault="000C3658">
          <w:pPr>
            <w:pStyle w:val="BCDC86ED8B944D7A93BFFA70D9D02C06"/>
          </w:pPr>
          <w:r>
            <w:rPr>
              <w:rStyle w:val="1"/>
            </w:rPr>
            <w:t>Choose an item.</w:t>
          </w:r>
        </w:p>
      </w:docPartBody>
    </w:docPart>
    <w:docPart>
      <w:docPartPr>
        <w:name w:val="FA45921CA9A647B2A6D163E739FF6D48"/>
        <w:category>
          <w:name w:val="常规"/>
          <w:gallery w:val="placeholder"/>
        </w:category>
        <w:types>
          <w:type w:val="bbPlcHdr"/>
        </w:types>
        <w:behaviors>
          <w:behavior w:val="content"/>
        </w:behaviors>
        <w:guid w:val="{552F16CF-3C53-4B82-B172-B565938AE5FB}"/>
      </w:docPartPr>
      <w:docPartBody>
        <w:p w:rsidR="000C3658" w:rsidRDefault="000C3658">
          <w:pPr>
            <w:pStyle w:val="FA45921CA9A647B2A6D163E739FF6D48"/>
          </w:pPr>
          <w:r>
            <w:rPr>
              <w:rStyle w:val="1"/>
            </w:rPr>
            <w:t>Choose an item.</w:t>
          </w:r>
        </w:p>
      </w:docPartBody>
    </w:docPart>
    <w:docPart>
      <w:docPartPr>
        <w:name w:val="81DCD41CD87E475486BF757C0F4FC7E8"/>
        <w:category>
          <w:name w:val="常规"/>
          <w:gallery w:val="placeholder"/>
        </w:category>
        <w:types>
          <w:type w:val="bbPlcHdr"/>
        </w:types>
        <w:behaviors>
          <w:behavior w:val="content"/>
        </w:behaviors>
        <w:guid w:val="{F2C51B76-9F03-4596-816D-0FF3346CAAB2}"/>
      </w:docPartPr>
      <w:docPartBody>
        <w:p w:rsidR="000C3658" w:rsidRDefault="000C3658">
          <w:pPr>
            <w:pStyle w:val="81DCD41CD87E475486BF757C0F4FC7E8"/>
          </w:pPr>
          <w:r>
            <w:rPr>
              <w:rStyle w:val="1"/>
            </w:rPr>
            <w:t>Click here to enter text.</w:t>
          </w:r>
        </w:p>
      </w:docPartBody>
    </w:docPart>
    <w:docPart>
      <w:docPartPr>
        <w:name w:val="45CC04C27BCF40FD9A8927898C705D03"/>
        <w:category>
          <w:name w:val="常规"/>
          <w:gallery w:val="placeholder"/>
        </w:category>
        <w:types>
          <w:type w:val="bbPlcHdr"/>
        </w:types>
        <w:behaviors>
          <w:behavior w:val="content"/>
        </w:behaviors>
        <w:guid w:val="{64D039E8-64C6-4B32-97B7-0AEC94C727B0}"/>
      </w:docPartPr>
      <w:docPartBody>
        <w:p w:rsidR="000C3658" w:rsidRDefault="000C3658">
          <w:pPr>
            <w:pStyle w:val="45CC04C27BCF40FD9A8927898C705D03"/>
          </w:pPr>
          <w:r>
            <w:rPr>
              <w:rStyle w:val="1"/>
            </w:rPr>
            <w:t>Choose an item.</w:t>
          </w:r>
        </w:p>
      </w:docPartBody>
    </w:docPart>
    <w:docPart>
      <w:docPartPr>
        <w:name w:val="B214B4CFC25C4402926552C3DB706B07"/>
        <w:category>
          <w:name w:val="常规"/>
          <w:gallery w:val="placeholder"/>
        </w:category>
        <w:types>
          <w:type w:val="bbPlcHdr"/>
        </w:types>
        <w:behaviors>
          <w:behavior w:val="content"/>
        </w:behaviors>
        <w:guid w:val="{33959F5C-4637-4038-8059-EDCBA92DDEC3}"/>
      </w:docPartPr>
      <w:docPartBody>
        <w:p w:rsidR="000C3658" w:rsidRDefault="000C3658">
          <w:pPr>
            <w:pStyle w:val="B214B4CFC25C4402926552C3DB706B07"/>
          </w:pPr>
          <w:r>
            <w:rPr>
              <w:rStyle w:val="1"/>
            </w:rPr>
            <w:t>Choose an item.</w:t>
          </w:r>
        </w:p>
      </w:docPartBody>
    </w:docPart>
    <w:docPart>
      <w:docPartPr>
        <w:name w:val="F256EDC39A6D42B7881136720F54321E"/>
        <w:category>
          <w:name w:val="常规"/>
          <w:gallery w:val="placeholder"/>
        </w:category>
        <w:types>
          <w:type w:val="bbPlcHdr"/>
        </w:types>
        <w:behaviors>
          <w:behavior w:val="content"/>
        </w:behaviors>
        <w:guid w:val="{E643EDBB-821A-4B98-96AD-42FFD121FB57}"/>
      </w:docPartPr>
      <w:docPartBody>
        <w:p w:rsidR="000C3658" w:rsidRDefault="000C3658">
          <w:pPr>
            <w:pStyle w:val="F256EDC39A6D42B7881136720F54321E"/>
          </w:pPr>
          <w:r>
            <w:rPr>
              <w:rStyle w:val="1"/>
            </w:rPr>
            <w:t>Click here to enter text.</w:t>
          </w:r>
        </w:p>
      </w:docPartBody>
    </w:docPart>
    <w:docPart>
      <w:docPartPr>
        <w:name w:val="04A784F8E8054075BBB3A7628661F653"/>
        <w:category>
          <w:name w:val="常规"/>
          <w:gallery w:val="placeholder"/>
        </w:category>
        <w:types>
          <w:type w:val="bbPlcHdr"/>
        </w:types>
        <w:behaviors>
          <w:behavior w:val="content"/>
        </w:behaviors>
        <w:guid w:val="{82771823-D6E2-49D3-930A-86AFD0A112D9}"/>
      </w:docPartPr>
      <w:docPartBody>
        <w:p w:rsidR="000C3658" w:rsidRDefault="000C3658">
          <w:pPr>
            <w:pStyle w:val="04A784F8E8054075BBB3A7628661F653"/>
          </w:pPr>
          <w:r>
            <w:rPr>
              <w:rStyle w:val="1"/>
            </w:rPr>
            <w:t>Choose an item.</w:t>
          </w:r>
        </w:p>
      </w:docPartBody>
    </w:docPart>
    <w:docPart>
      <w:docPartPr>
        <w:name w:val="3A018647A6DD4FAFB14F7723EDD3D2A5"/>
        <w:category>
          <w:name w:val="常规"/>
          <w:gallery w:val="placeholder"/>
        </w:category>
        <w:types>
          <w:type w:val="bbPlcHdr"/>
        </w:types>
        <w:behaviors>
          <w:behavior w:val="content"/>
        </w:behaviors>
        <w:guid w:val="{B0EABA6E-850A-437C-82DD-AC273A3971B5}"/>
      </w:docPartPr>
      <w:docPartBody>
        <w:p w:rsidR="000C3658" w:rsidRDefault="000C3658">
          <w:pPr>
            <w:pStyle w:val="3A018647A6DD4FAFB14F7723EDD3D2A5"/>
          </w:pPr>
          <w:r>
            <w:rPr>
              <w:rStyle w:val="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DengXian">
    <w:panose1 w:val="02010600030101010101"/>
    <w:charset w:val="86"/>
    <w:family w:val="script"/>
    <w:pitch w:val="variable"/>
    <w:sig w:usb0="A00002BF" w:usb1="38CF7CFA" w:usb2="00000016" w:usb3="00000000" w:csb0="0004000F" w:csb1="00000000"/>
  </w:font>
  <w:font w:name="DengXian Light">
    <w:panose1 w:val="02010600030101010101"/>
    <w:charset w:val="86"/>
    <w:family w:val="script"/>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720"/>
  <w:characterSpacingControl w:val="doNotCompress"/>
  <w:compat>
    <w:useFELayout/>
    <w:compatSetting w:name="compatibilityMode" w:uri="http://schemas.microsoft.com/office/word" w:val="12"/>
  </w:compat>
  <w:rsids>
    <w:rsidRoot w:val="00045235"/>
    <w:rsid w:val="00045235"/>
    <w:rsid w:val="000B159D"/>
    <w:rsid w:val="000B42B1"/>
    <w:rsid w:val="000C3658"/>
    <w:rsid w:val="00100196"/>
    <w:rsid w:val="00111C8A"/>
    <w:rsid w:val="00116D27"/>
    <w:rsid w:val="00117FB3"/>
    <w:rsid w:val="00140729"/>
    <w:rsid w:val="00151A9E"/>
    <w:rsid w:val="00152C3C"/>
    <w:rsid w:val="00157C89"/>
    <w:rsid w:val="0018768E"/>
    <w:rsid w:val="001924A2"/>
    <w:rsid w:val="001D26AE"/>
    <w:rsid w:val="001D601D"/>
    <w:rsid w:val="001F1822"/>
    <w:rsid w:val="002716F7"/>
    <w:rsid w:val="002F2904"/>
    <w:rsid w:val="00303490"/>
    <w:rsid w:val="003153C5"/>
    <w:rsid w:val="00327900"/>
    <w:rsid w:val="00390D36"/>
    <w:rsid w:val="003D7A74"/>
    <w:rsid w:val="00407A70"/>
    <w:rsid w:val="004367AB"/>
    <w:rsid w:val="0048416A"/>
    <w:rsid w:val="004F10EE"/>
    <w:rsid w:val="00503DD5"/>
    <w:rsid w:val="0053599A"/>
    <w:rsid w:val="00551802"/>
    <w:rsid w:val="0056012A"/>
    <w:rsid w:val="005B1FE0"/>
    <w:rsid w:val="005C08FC"/>
    <w:rsid w:val="005E49AD"/>
    <w:rsid w:val="0061145B"/>
    <w:rsid w:val="00617A9D"/>
    <w:rsid w:val="00627070"/>
    <w:rsid w:val="00644375"/>
    <w:rsid w:val="006644D7"/>
    <w:rsid w:val="006949B0"/>
    <w:rsid w:val="006C6F5B"/>
    <w:rsid w:val="006F7A7C"/>
    <w:rsid w:val="00704463"/>
    <w:rsid w:val="00713126"/>
    <w:rsid w:val="007332C0"/>
    <w:rsid w:val="007624C0"/>
    <w:rsid w:val="007C48F4"/>
    <w:rsid w:val="007D11E5"/>
    <w:rsid w:val="00802D72"/>
    <w:rsid w:val="0086030F"/>
    <w:rsid w:val="008809FC"/>
    <w:rsid w:val="008B7CFD"/>
    <w:rsid w:val="008C0287"/>
    <w:rsid w:val="008C532B"/>
    <w:rsid w:val="008D1845"/>
    <w:rsid w:val="008E61DB"/>
    <w:rsid w:val="00933AE4"/>
    <w:rsid w:val="00943536"/>
    <w:rsid w:val="00974B6B"/>
    <w:rsid w:val="009A504D"/>
    <w:rsid w:val="009A7815"/>
    <w:rsid w:val="009F4E57"/>
    <w:rsid w:val="00A1317D"/>
    <w:rsid w:val="00A4381C"/>
    <w:rsid w:val="00A470F8"/>
    <w:rsid w:val="00AB2E0A"/>
    <w:rsid w:val="00AB78D9"/>
    <w:rsid w:val="00AD7AA9"/>
    <w:rsid w:val="00B12DA6"/>
    <w:rsid w:val="00B3153C"/>
    <w:rsid w:val="00B521A5"/>
    <w:rsid w:val="00B64896"/>
    <w:rsid w:val="00B87AAF"/>
    <w:rsid w:val="00BC3A40"/>
    <w:rsid w:val="00BD2162"/>
    <w:rsid w:val="00C13465"/>
    <w:rsid w:val="00C20FD5"/>
    <w:rsid w:val="00C25FF4"/>
    <w:rsid w:val="00C31975"/>
    <w:rsid w:val="00C3197C"/>
    <w:rsid w:val="00C97C89"/>
    <w:rsid w:val="00CA3B6F"/>
    <w:rsid w:val="00CF3C54"/>
    <w:rsid w:val="00D01312"/>
    <w:rsid w:val="00D43BB6"/>
    <w:rsid w:val="00D81330"/>
    <w:rsid w:val="00D87B3C"/>
    <w:rsid w:val="00DD1DF4"/>
    <w:rsid w:val="00DF20E4"/>
    <w:rsid w:val="00E13256"/>
    <w:rsid w:val="00E148FB"/>
    <w:rsid w:val="00E407AD"/>
    <w:rsid w:val="00E5448F"/>
    <w:rsid w:val="00E56BE4"/>
    <w:rsid w:val="00E637F6"/>
    <w:rsid w:val="00E95379"/>
    <w:rsid w:val="00ED3309"/>
    <w:rsid w:val="00F312E7"/>
    <w:rsid w:val="00F60D1C"/>
    <w:rsid w:val="00F649D3"/>
    <w:rsid w:val="00F94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82">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7A7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占位符文本1"/>
    <w:basedOn w:val="DefaultParagraphFont"/>
    <w:uiPriority w:val="99"/>
    <w:semiHidden/>
    <w:qFormat/>
    <w:rsid w:val="003D7A74"/>
    <w:rPr>
      <w:color w:val="808080"/>
    </w:rPr>
  </w:style>
  <w:style w:type="paragraph" w:customStyle="1" w:styleId="E658672FC1F44AB08F45DACA61AD7E6E">
    <w:name w:val="E658672FC1F44AB08F45DACA61AD7E6E"/>
    <w:qFormat/>
    <w:rsid w:val="003D7A74"/>
    <w:pPr>
      <w:spacing w:after="200" w:line="276" w:lineRule="auto"/>
    </w:pPr>
    <w:rPr>
      <w:sz w:val="22"/>
      <w:szCs w:val="22"/>
      <w:lang w:eastAsia="en-US"/>
    </w:rPr>
  </w:style>
  <w:style w:type="paragraph" w:customStyle="1" w:styleId="73CDC4085887474DA176B67478C41122">
    <w:name w:val="73CDC4085887474DA176B67478C41122"/>
    <w:qFormat/>
    <w:rsid w:val="003D7A74"/>
    <w:pPr>
      <w:spacing w:after="200" w:line="276" w:lineRule="auto"/>
    </w:pPr>
    <w:rPr>
      <w:sz w:val="22"/>
      <w:szCs w:val="22"/>
      <w:lang w:eastAsia="en-US"/>
    </w:rPr>
  </w:style>
  <w:style w:type="paragraph" w:customStyle="1" w:styleId="4560A0E964BD401C92999EB205E293AB">
    <w:name w:val="4560A0E964BD401C92999EB205E293AB"/>
    <w:qFormat/>
    <w:rsid w:val="003D7A74"/>
    <w:pPr>
      <w:spacing w:after="200" w:line="276" w:lineRule="auto"/>
    </w:pPr>
    <w:rPr>
      <w:sz w:val="22"/>
      <w:szCs w:val="22"/>
      <w:lang w:eastAsia="en-US"/>
    </w:rPr>
  </w:style>
  <w:style w:type="paragraph" w:customStyle="1" w:styleId="FB6BC100256848A5A97B47EF9500A1F0">
    <w:name w:val="FB6BC100256848A5A97B47EF9500A1F0"/>
    <w:qFormat/>
    <w:rsid w:val="003D7A74"/>
    <w:pPr>
      <w:spacing w:after="200" w:line="276" w:lineRule="auto"/>
    </w:pPr>
    <w:rPr>
      <w:sz w:val="22"/>
      <w:szCs w:val="22"/>
      <w:lang w:eastAsia="en-US"/>
    </w:rPr>
  </w:style>
  <w:style w:type="paragraph" w:customStyle="1" w:styleId="CE9C1C39675E4525B35945EBFC950E59">
    <w:name w:val="CE9C1C39675E4525B35945EBFC950E59"/>
    <w:qFormat/>
    <w:rsid w:val="003D7A74"/>
    <w:pPr>
      <w:spacing w:after="200" w:line="276" w:lineRule="auto"/>
    </w:pPr>
    <w:rPr>
      <w:sz w:val="22"/>
      <w:szCs w:val="22"/>
      <w:lang w:eastAsia="en-US"/>
    </w:rPr>
  </w:style>
  <w:style w:type="paragraph" w:customStyle="1" w:styleId="F1348A9CCA98413EB7CFEB8DB5BCAA0A">
    <w:name w:val="F1348A9CCA98413EB7CFEB8DB5BCAA0A"/>
    <w:qFormat/>
    <w:rsid w:val="003D7A74"/>
    <w:pPr>
      <w:spacing w:after="200" w:line="276" w:lineRule="auto"/>
    </w:pPr>
    <w:rPr>
      <w:sz w:val="22"/>
      <w:szCs w:val="22"/>
      <w:lang w:eastAsia="en-US"/>
    </w:rPr>
  </w:style>
  <w:style w:type="paragraph" w:customStyle="1" w:styleId="C062FEE9CF144A928363900CFCE29497">
    <w:name w:val="C062FEE9CF144A928363900CFCE29497"/>
    <w:qFormat/>
    <w:rsid w:val="003D7A74"/>
    <w:pPr>
      <w:spacing w:after="200" w:line="276" w:lineRule="auto"/>
    </w:pPr>
    <w:rPr>
      <w:sz w:val="22"/>
      <w:szCs w:val="22"/>
      <w:lang w:eastAsia="en-US"/>
    </w:rPr>
  </w:style>
  <w:style w:type="paragraph" w:customStyle="1" w:styleId="381AB8B910934348B8DBC9A4958B8D7B">
    <w:name w:val="381AB8B910934348B8DBC9A4958B8D7B"/>
    <w:qFormat/>
    <w:rsid w:val="003D7A74"/>
    <w:pPr>
      <w:spacing w:after="200" w:line="276" w:lineRule="auto"/>
    </w:pPr>
    <w:rPr>
      <w:sz w:val="22"/>
      <w:szCs w:val="22"/>
      <w:lang w:eastAsia="en-US"/>
    </w:rPr>
  </w:style>
  <w:style w:type="paragraph" w:customStyle="1" w:styleId="6D39F422706D4B8B985B3284341ED3DD">
    <w:name w:val="6D39F422706D4B8B985B3284341ED3DD"/>
    <w:qFormat/>
    <w:rsid w:val="003D7A74"/>
    <w:pPr>
      <w:spacing w:after="200" w:line="276" w:lineRule="auto"/>
    </w:pPr>
    <w:rPr>
      <w:sz w:val="22"/>
      <w:szCs w:val="22"/>
      <w:lang w:eastAsia="en-US"/>
    </w:rPr>
  </w:style>
  <w:style w:type="paragraph" w:customStyle="1" w:styleId="2DCAA8C8C1B74D6EAF7A754B2BB601F6">
    <w:name w:val="2DCAA8C8C1B74D6EAF7A754B2BB601F6"/>
    <w:qFormat/>
    <w:rsid w:val="003D7A74"/>
    <w:pPr>
      <w:spacing w:after="200" w:line="276" w:lineRule="auto"/>
    </w:pPr>
    <w:rPr>
      <w:sz w:val="22"/>
      <w:szCs w:val="22"/>
      <w:lang w:eastAsia="en-US"/>
    </w:rPr>
  </w:style>
  <w:style w:type="paragraph" w:customStyle="1" w:styleId="DA806E397DC842508EF4DF85269E45AE">
    <w:name w:val="DA806E397DC842508EF4DF85269E45AE"/>
    <w:qFormat/>
    <w:rsid w:val="003D7A74"/>
    <w:pPr>
      <w:spacing w:after="200" w:line="276" w:lineRule="auto"/>
    </w:pPr>
    <w:rPr>
      <w:sz w:val="22"/>
      <w:szCs w:val="22"/>
      <w:lang w:eastAsia="en-US"/>
    </w:rPr>
  </w:style>
  <w:style w:type="paragraph" w:customStyle="1" w:styleId="9473ECB0C550424D8A298F9501EE09A1">
    <w:name w:val="9473ECB0C550424D8A298F9501EE09A1"/>
    <w:qFormat/>
    <w:rsid w:val="003D7A74"/>
    <w:pPr>
      <w:spacing w:after="200" w:line="276" w:lineRule="auto"/>
    </w:pPr>
    <w:rPr>
      <w:sz w:val="22"/>
      <w:szCs w:val="22"/>
      <w:lang w:eastAsia="en-US"/>
    </w:rPr>
  </w:style>
  <w:style w:type="paragraph" w:customStyle="1" w:styleId="E76CD3450AB7403A9E1149A692198555">
    <w:name w:val="E76CD3450AB7403A9E1149A692198555"/>
    <w:qFormat/>
    <w:rsid w:val="003D7A74"/>
    <w:pPr>
      <w:spacing w:after="200" w:line="276" w:lineRule="auto"/>
    </w:pPr>
    <w:rPr>
      <w:sz w:val="22"/>
      <w:szCs w:val="22"/>
      <w:lang w:eastAsia="en-US"/>
    </w:rPr>
  </w:style>
  <w:style w:type="paragraph" w:customStyle="1" w:styleId="680FFDE1F351404FB4052132ABF2F721">
    <w:name w:val="680FFDE1F351404FB4052132ABF2F721"/>
    <w:qFormat/>
    <w:rsid w:val="003D7A74"/>
    <w:pPr>
      <w:spacing w:after="200" w:line="276" w:lineRule="auto"/>
    </w:pPr>
    <w:rPr>
      <w:sz w:val="22"/>
      <w:szCs w:val="22"/>
      <w:lang w:eastAsia="en-US"/>
    </w:rPr>
  </w:style>
  <w:style w:type="paragraph" w:customStyle="1" w:styleId="FB6BC100256848A5A97B47EF9500A1F01">
    <w:name w:val="FB6BC100256848A5A97B47EF9500A1F01"/>
    <w:qFormat/>
    <w:rsid w:val="003D7A74"/>
    <w:rPr>
      <w:rFonts w:eastAsia="Times New Roman" w:cs="Times New Roman"/>
      <w:sz w:val="24"/>
      <w:szCs w:val="32"/>
      <w:lang w:eastAsia="en-US" w:bidi="en-US"/>
    </w:rPr>
  </w:style>
  <w:style w:type="paragraph" w:customStyle="1" w:styleId="F125963F9970834B9B821E5D8CE9A45A">
    <w:name w:val="F125963F9970834B9B821E5D8CE9A45A"/>
    <w:qFormat/>
    <w:rsid w:val="003D7A74"/>
    <w:rPr>
      <w:sz w:val="24"/>
      <w:szCs w:val="24"/>
      <w:lang w:eastAsia="ja-JP"/>
    </w:rPr>
  </w:style>
  <w:style w:type="paragraph" w:customStyle="1" w:styleId="D84A659870A9544790FD98A42242C8D3">
    <w:name w:val="D84A659870A9544790FD98A42242C8D3"/>
    <w:qFormat/>
    <w:rsid w:val="003D7A74"/>
    <w:rPr>
      <w:sz w:val="24"/>
      <w:szCs w:val="24"/>
      <w:lang w:eastAsia="ja-JP"/>
    </w:rPr>
  </w:style>
  <w:style w:type="paragraph" w:customStyle="1" w:styleId="97A08B99C48445DAA1C186C286C6B419">
    <w:name w:val="97A08B99C48445DAA1C186C286C6B419"/>
    <w:qFormat/>
    <w:rsid w:val="003D7A74"/>
    <w:pPr>
      <w:widowControl w:val="0"/>
      <w:jc w:val="both"/>
    </w:pPr>
    <w:rPr>
      <w:kern w:val="2"/>
      <w:sz w:val="21"/>
      <w:szCs w:val="22"/>
    </w:rPr>
  </w:style>
  <w:style w:type="paragraph" w:customStyle="1" w:styleId="9C1C4616FC00417D95D2B028BB5DE81D">
    <w:name w:val="9C1C4616FC00417D95D2B028BB5DE81D"/>
    <w:qFormat/>
    <w:rsid w:val="003D7A74"/>
    <w:pPr>
      <w:widowControl w:val="0"/>
      <w:jc w:val="both"/>
    </w:pPr>
    <w:rPr>
      <w:kern w:val="2"/>
      <w:sz w:val="21"/>
      <w:szCs w:val="22"/>
    </w:rPr>
  </w:style>
  <w:style w:type="paragraph" w:customStyle="1" w:styleId="7C477388E1E7437ABC7473E6A9656086">
    <w:name w:val="7C477388E1E7437ABC7473E6A9656086"/>
    <w:qFormat/>
    <w:rsid w:val="003D7A74"/>
    <w:pPr>
      <w:widowControl w:val="0"/>
      <w:jc w:val="both"/>
    </w:pPr>
    <w:rPr>
      <w:kern w:val="2"/>
      <w:sz w:val="21"/>
      <w:szCs w:val="22"/>
    </w:rPr>
  </w:style>
  <w:style w:type="paragraph" w:customStyle="1" w:styleId="3FECD09B594B49FAAB87A1A16C5A303F">
    <w:name w:val="3FECD09B594B49FAAB87A1A16C5A303F"/>
    <w:qFormat/>
    <w:rsid w:val="003D7A74"/>
    <w:pPr>
      <w:widowControl w:val="0"/>
      <w:jc w:val="both"/>
    </w:pPr>
    <w:rPr>
      <w:kern w:val="2"/>
      <w:sz w:val="21"/>
      <w:szCs w:val="22"/>
    </w:rPr>
  </w:style>
  <w:style w:type="paragraph" w:customStyle="1" w:styleId="1D895D36028A426E970AE2475193E15A">
    <w:name w:val="1D895D36028A426E970AE2475193E15A"/>
    <w:qFormat/>
    <w:rsid w:val="003D7A74"/>
    <w:pPr>
      <w:widowControl w:val="0"/>
      <w:jc w:val="both"/>
    </w:pPr>
    <w:rPr>
      <w:kern w:val="2"/>
      <w:sz w:val="21"/>
      <w:szCs w:val="22"/>
    </w:rPr>
  </w:style>
  <w:style w:type="paragraph" w:customStyle="1" w:styleId="BCDC86ED8B944D7A93BFFA70D9D02C06">
    <w:name w:val="BCDC86ED8B944D7A93BFFA70D9D02C06"/>
    <w:qFormat/>
    <w:rsid w:val="003D7A74"/>
    <w:pPr>
      <w:widowControl w:val="0"/>
      <w:jc w:val="both"/>
    </w:pPr>
    <w:rPr>
      <w:kern w:val="2"/>
      <w:sz w:val="21"/>
      <w:szCs w:val="22"/>
    </w:rPr>
  </w:style>
  <w:style w:type="paragraph" w:customStyle="1" w:styleId="FA45921CA9A647B2A6D163E739FF6D48">
    <w:name w:val="FA45921CA9A647B2A6D163E739FF6D48"/>
    <w:qFormat/>
    <w:rsid w:val="003D7A74"/>
    <w:pPr>
      <w:widowControl w:val="0"/>
      <w:jc w:val="both"/>
    </w:pPr>
    <w:rPr>
      <w:kern w:val="2"/>
      <w:sz w:val="21"/>
      <w:szCs w:val="22"/>
    </w:rPr>
  </w:style>
  <w:style w:type="paragraph" w:customStyle="1" w:styleId="81DCD41CD87E475486BF757C0F4FC7E8">
    <w:name w:val="81DCD41CD87E475486BF757C0F4FC7E8"/>
    <w:qFormat/>
    <w:rsid w:val="003D7A74"/>
    <w:pPr>
      <w:widowControl w:val="0"/>
      <w:jc w:val="both"/>
    </w:pPr>
    <w:rPr>
      <w:kern w:val="2"/>
      <w:sz w:val="21"/>
      <w:szCs w:val="22"/>
    </w:rPr>
  </w:style>
  <w:style w:type="paragraph" w:customStyle="1" w:styleId="45CC04C27BCF40FD9A8927898C705D03">
    <w:name w:val="45CC04C27BCF40FD9A8927898C705D03"/>
    <w:qFormat/>
    <w:rsid w:val="003D7A74"/>
    <w:pPr>
      <w:widowControl w:val="0"/>
      <w:jc w:val="both"/>
    </w:pPr>
    <w:rPr>
      <w:kern w:val="2"/>
      <w:sz w:val="21"/>
      <w:szCs w:val="22"/>
    </w:rPr>
  </w:style>
  <w:style w:type="paragraph" w:customStyle="1" w:styleId="5E9940CCFB104FFF8C534779BE23E36A">
    <w:name w:val="5E9940CCFB104FFF8C534779BE23E36A"/>
    <w:qFormat/>
    <w:rsid w:val="003D7A74"/>
    <w:pPr>
      <w:widowControl w:val="0"/>
      <w:jc w:val="both"/>
    </w:pPr>
    <w:rPr>
      <w:kern w:val="2"/>
      <w:sz w:val="21"/>
      <w:szCs w:val="22"/>
    </w:rPr>
  </w:style>
  <w:style w:type="paragraph" w:customStyle="1" w:styleId="819FF95FC286421380D0FCC1D83AB8D6">
    <w:name w:val="819FF95FC286421380D0FCC1D83AB8D6"/>
    <w:qFormat/>
    <w:rsid w:val="003D7A74"/>
    <w:pPr>
      <w:widowControl w:val="0"/>
      <w:jc w:val="both"/>
    </w:pPr>
    <w:rPr>
      <w:kern w:val="2"/>
      <w:sz w:val="21"/>
      <w:szCs w:val="22"/>
    </w:rPr>
  </w:style>
  <w:style w:type="paragraph" w:customStyle="1" w:styleId="D4BF842047AB4223AAFC7FBC404F13E0">
    <w:name w:val="D4BF842047AB4223AAFC7FBC404F13E0"/>
    <w:qFormat/>
    <w:rsid w:val="003D7A74"/>
    <w:pPr>
      <w:widowControl w:val="0"/>
      <w:jc w:val="both"/>
    </w:pPr>
    <w:rPr>
      <w:kern w:val="2"/>
      <w:sz w:val="21"/>
      <w:szCs w:val="22"/>
    </w:rPr>
  </w:style>
  <w:style w:type="paragraph" w:customStyle="1" w:styleId="E80D77FFC59C4259A28E3644451E8634">
    <w:name w:val="E80D77FFC59C4259A28E3644451E8634"/>
    <w:qFormat/>
    <w:rsid w:val="003D7A74"/>
    <w:pPr>
      <w:widowControl w:val="0"/>
      <w:jc w:val="both"/>
    </w:pPr>
    <w:rPr>
      <w:kern w:val="2"/>
      <w:sz w:val="21"/>
      <w:szCs w:val="22"/>
    </w:rPr>
  </w:style>
  <w:style w:type="paragraph" w:customStyle="1" w:styleId="455EC753213D41DC8B09033FE7C63D8F">
    <w:name w:val="455EC753213D41DC8B09033FE7C63D8F"/>
    <w:qFormat/>
    <w:rsid w:val="003D7A74"/>
    <w:pPr>
      <w:widowControl w:val="0"/>
      <w:jc w:val="both"/>
    </w:pPr>
    <w:rPr>
      <w:kern w:val="2"/>
      <w:sz w:val="21"/>
      <w:szCs w:val="22"/>
    </w:rPr>
  </w:style>
  <w:style w:type="paragraph" w:customStyle="1" w:styleId="6F0BC7CA484B4FC7B863A5AC4F9C72D9">
    <w:name w:val="6F0BC7CA484B4FC7B863A5AC4F9C72D9"/>
    <w:qFormat/>
    <w:rsid w:val="003D7A74"/>
    <w:pPr>
      <w:widowControl w:val="0"/>
      <w:jc w:val="both"/>
    </w:pPr>
    <w:rPr>
      <w:kern w:val="2"/>
      <w:sz w:val="21"/>
      <w:szCs w:val="22"/>
    </w:rPr>
  </w:style>
  <w:style w:type="paragraph" w:customStyle="1" w:styleId="2F91DF87DFF941F68118F205F7F4F8B9">
    <w:name w:val="2F91DF87DFF941F68118F205F7F4F8B9"/>
    <w:qFormat/>
    <w:rsid w:val="003D7A74"/>
    <w:pPr>
      <w:widowControl w:val="0"/>
      <w:jc w:val="both"/>
    </w:pPr>
    <w:rPr>
      <w:kern w:val="2"/>
      <w:sz w:val="21"/>
      <w:szCs w:val="22"/>
    </w:rPr>
  </w:style>
  <w:style w:type="paragraph" w:customStyle="1" w:styleId="2E2FD0176F3A4C61BC8A16BEAE6FE8B1">
    <w:name w:val="2E2FD0176F3A4C61BC8A16BEAE6FE8B1"/>
    <w:qFormat/>
    <w:rsid w:val="003D7A74"/>
    <w:pPr>
      <w:widowControl w:val="0"/>
      <w:jc w:val="both"/>
    </w:pPr>
    <w:rPr>
      <w:kern w:val="2"/>
      <w:sz w:val="21"/>
      <w:szCs w:val="22"/>
    </w:rPr>
  </w:style>
  <w:style w:type="paragraph" w:customStyle="1" w:styleId="2AE1F16C9B224921A433C9FDD926A990">
    <w:name w:val="2AE1F16C9B224921A433C9FDD926A990"/>
    <w:qFormat/>
    <w:rsid w:val="003D7A74"/>
    <w:pPr>
      <w:widowControl w:val="0"/>
      <w:jc w:val="both"/>
    </w:pPr>
    <w:rPr>
      <w:kern w:val="2"/>
      <w:sz w:val="21"/>
      <w:szCs w:val="22"/>
    </w:rPr>
  </w:style>
  <w:style w:type="paragraph" w:customStyle="1" w:styleId="B214B4CFC25C4402926552C3DB706B07">
    <w:name w:val="B214B4CFC25C4402926552C3DB706B07"/>
    <w:qFormat/>
    <w:rsid w:val="003D7A74"/>
    <w:pPr>
      <w:widowControl w:val="0"/>
      <w:jc w:val="both"/>
    </w:pPr>
    <w:rPr>
      <w:kern w:val="2"/>
      <w:sz w:val="21"/>
      <w:szCs w:val="22"/>
    </w:rPr>
  </w:style>
  <w:style w:type="paragraph" w:customStyle="1" w:styleId="F256EDC39A6D42B7881136720F54321E">
    <w:name w:val="F256EDC39A6D42B7881136720F54321E"/>
    <w:qFormat/>
    <w:rsid w:val="003D7A74"/>
    <w:pPr>
      <w:widowControl w:val="0"/>
      <w:jc w:val="both"/>
    </w:pPr>
    <w:rPr>
      <w:kern w:val="2"/>
      <w:sz w:val="21"/>
      <w:szCs w:val="22"/>
    </w:rPr>
  </w:style>
  <w:style w:type="paragraph" w:customStyle="1" w:styleId="04A784F8E8054075BBB3A7628661F653">
    <w:name w:val="04A784F8E8054075BBB3A7628661F653"/>
    <w:qFormat/>
    <w:rsid w:val="003D7A74"/>
    <w:pPr>
      <w:widowControl w:val="0"/>
      <w:jc w:val="both"/>
    </w:pPr>
    <w:rPr>
      <w:kern w:val="2"/>
      <w:sz w:val="21"/>
      <w:szCs w:val="22"/>
    </w:rPr>
  </w:style>
  <w:style w:type="paragraph" w:customStyle="1" w:styleId="3A018647A6DD4FAFB14F7723EDD3D2A5">
    <w:name w:val="3A018647A6DD4FAFB14F7723EDD3D2A5"/>
    <w:qFormat/>
    <w:rsid w:val="003D7A74"/>
    <w:pPr>
      <w:widowControl w:val="0"/>
      <w:jc w:val="both"/>
    </w:pPr>
    <w:rPr>
      <w:kern w:val="2"/>
      <w:sz w:val="21"/>
      <w:szCs w:val="22"/>
    </w:rPr>
  </w:style>
  <w:style w:type="character" w:styleId="PlaceholderText">
    <w:name w:val="Placeholder Text"/>
    <w:basedOn w:val="DefaultParagraphFont"/>
    <w:uiPriority w:val="99"/>
    <w:semiHidden/>
    <w:rsid w:val="006443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6F4C50-E85A-9E44-BE07-A5F3F7F1E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48</Pages>
  <Words>30208</Words>
  <Characters>172191</Characters>
  <Application>Microsoft Macintosh Word</Application>
  <DocSecurity>0</DocSecurity>
  <Lines>1434</Lines>
  <Paragraphs>403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201996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Ma, Yixin</cp:lastModifiedBy>
  <cp:revision>16</cp:revision>
  <cp:lastPrinted>2018-03-07T22:00:00Z</cp:lastPrinted>
  <dcterms:created xsi:type="dcterms:W3CDTF">2018-03-06T20:52:00Z</dcterms:created>
  <dcterms:modified xsi:type="dcterms:W3CDTF">2018-03-07T22:00:00Z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