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6.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55916" w14:textId="77777777" w:rsidR="0000584A" w:rsidRDefault="0000584A"/>
    <w:p w14:paraId="2A1793B6" w14:textId="77777777" w:rsidR="004B32B5" w:rsidRDefault="004B32B5"/>
    <w:p w14:paraId="658A6430" w14:textId="77777777" w:rsidR="004B32B5" w:rsidRDefault="004B32B5" w:rsidP="004B32B5">
      <w:pPr>
        <w:jc w:val="center"/>
      </w:pPr>
      <w:r>
        <w:t>UNIVERSITY OF OKLAHOMA</w:t>
      </w:r>
    </w:p>
    <w:p w14:paraId="093272B0" w14:textId="7E092B37" w:rsidR="004B32B5" w:rsidRDefault="004B32B5" w:rsidP="004B32B5">
      <w:pPr>
        <w:jc w:val="center"/>
      </w:pPr>
      <w:r>
        <w:t>GRA</w:t>
      </w:r>
      <w:r w:rsidR="00174312">
        <w:t>D</w:t>
      </w:r>
      <w:r>
        <w:t>UATE COLLEGE</w:t>
      </w:r>
    </w:p>
    <w:p w14:paraId="6F6676F8" w14:textId="77777777" w:rsidR="004B32B5" w:rsidRDefault="004B32B5" w:rsidP="004B32B5">
      <w:pPr>
        <w:jc w:val="center"/>
      </w:pPr>
    </w:p>
    <w:p w14:paraId="48EEE84D" w14:textId="77777777" w:rsidR="004B32B5" w:rsidRDefault="004B32B5" w:rsidP="004B32B5">
      <w:pPr>
        <w:jc w:val="center"/>
      </w:pPr>
    </w:p>
    <w:p w14:paraId="47A31002" w14:textId="1570E986" w:rsidR="00766044" w:rsidRPr="00322D35" w:rsidRDefault="00766044" w:rsidP="00BC7F0E">
      <w:pPr>
        <w:pStyle w:val="TOCHeading"/>
        <w:spacing w:line="480" w:lineRule="auto"/>
        <w:rPr>
          <w:b w:val="0"/>
          <w:bCs/>
        </w:rPr>
      </w:pPr>
      <w:r w:rsidRPr="00322D35">
        <w:rPr>
          <w:b w:val="0"/>
          <w:bCs/>
        </w:rPr>
        <w:t>APPROACHES TO LEARNING: CONCEPTUALIZATION AND MEASUREMENT OF A KEY SCHOOL READINESS INDICATOR</w:t>
      </w:r>
    </w:p>
    <w:p w14:paraId="19096E30" w14:textId="77777777" w:rsidR="007A5A24" w:rsidRDefault="007A5A24" w:rsidP="00BC7F0E">
      <w:pPr>
        <w:contextualSpacing/>
        <w:jc w:val="center"/>
      </w:pPr>
    </w:p>
    <w:p w14:paraId="19D4DA51" w14:textId="77777777" w:rsidR="004B32B5" w:rsidRDefault="004B32B5" w:rsidP="004B32B5">
      <w:pPr>
        <w:jc w:val="center"/>
      </w:pPr>
    </w:p>
    <w:p w14:paraId="15C815B8" w14:textId="77777777" w:rsidR="00304CCF" w:rsidRDefault="00304CCF" w:rsidP="004B32B5">
      <w:pPr>
        <w:jc w:val="center"/>
      </w:pPr>
    </w:p>
    <w:p w14:paraId="37F5E17A" w14:textId="77777777" w:rsidR="004B32B5" w:rsidRDefault="004B32B5" w:rsidP="004B32B5">
      <w:pPr>
        <w:jc w:val="center"/>
      </w:pPr>
      <w:r>
        <w:t>A DISSERTATION</w:t>
      </w:r>
    </w:p>
    <w:p w14:paraId="6ED7D08C" w14:textId="77777777" w:rsidR="004B32B5" w:rsidRDefault="004B32B5" w:rsidP="004B32B5">
      <w:pPr>
        <w:jc w:val="center"/>
      </w:pPr>
      <w:r>
        <w:t>SUBMITTED TO THE GRADUATE FACULTY</w:t>
      </w:r>
    </w:p>
    <w:p w14:paraId="686872C8" w14:textId="77777777" w:rsidR="004B32B5" w:rsidRDefault="005A78EA" w:rsidP="004B32B5">
      <w:pPr>
        <w:jc w:val="center"/>
      </w:pPr>
      <w:r>
        <w:t>in partial fulfillment of the requirements for the</w:t>
      </w:r>
    </w:p>
    <w:p w14:paraId="0A086077" w14:textId="77777777" w:rsidR="005A78EA" w:rsidRDefault="005A78EA" w:rsidP="004B32B5">
      <w:pPr>
        <w:jc w:val="center"/>
      </w:pPr>
      <w:r>
        <w:t>Degree of</w:t>
      </w:r>
    </w:p>
    <w:p w14:paraId="7E6967BB" w14:textId="77777777" w:rsidR="005A78EA" w:rsidRDefault="005A78EA" w:rsidP="004B32B5">
      <w:pPr>
        <w:jc w:val="center"/>
      </w:pPr>
      <w:r>
        <w:t>DOCTOR OF PHILOSOPHY</w:t>
      </w:r>
    </w:p>
    <w:p w14:paraId="2CBD5B1C" w14:textId="77777777" w:rsidR="005A78EA" w:rsidRDefault="005A78EA" w:rsidP="004B32B5">
      <w:pPr>
        <w:jc w:val="center"/>
      </w:pPr>
    </w:p>
    <w:p w14:paraId="775D037B" w14:textId="77777777" w:rsidR="00304CCF" w:rsidRDefault="00304CCF" w:rsidP="004B32B5">
      <w:pPr>
        <w:jc w:val="center"/>
      </w:pPr>
    </w:p>
    <w:p w14:paraId="465B7C5F" w14:textId="77777777" w:rsidR="00304CCF" w:rsidRDefault="00304CCF" w:rsidP="004B32B5">
      <w:pPr>
        <w:jc w:val="center"/>
      </w:pPr>
    </w:p>
    <w:p w14:paraId="3EBF1790" w14:textId="77777777" w:rsidR="005A78EA" w:rsidRDefault="005A78EA" w:rsidP="004B32B5">
      <w:pPr>
        <w:jc w:val="center"/>
      </w:pPr>
      <w:r>
        <w:t>BY</w:t>
      </w:r>
    </w:p>
    <w:p w14:paraId="43F7BAFD" w14:textId="52DB1C27" w:rsidR="005A78EA" w:rsidRDefault="00766044" w:rsidP="005A78EA">
      <w:pPr>
        <w:spacing w:line="240" w:lineRule="auto"/>
        <w:jc w:val="center"/>
      </w:pPr>
      <w:r>
        <w:t>AMBER H. BEISLY</w:t>
      </w:r>
    </w:p>
    <w:p w14:paraId="11CD6749" w14:textId="77777777" w:rsidR="005A78EA" w:rsidRDefault="005A78EA" w:rsidP="005A78EA">
      <w:pPr>
        <w:spacing w:line="240" w:lineRule="auto"/>
        <w:jc w:val="center"/>
      </w:pPr>
      <w:r>
        <w:t>Norman, Oklahoma</w:t>
      </w:r>
    </w:p>
    <w:p w14:paraId="10001A2A" w14:textId="32F0D465" w:rsidR="005A78EA" w:rsidRDefault="00766044" w:rsidP="005A78EA">
      <w:pPr>
        <w:spacing w:line="240" w:lineRule="auto"/>
        <w:jc w:val="center"/>
      </w:pPr>
      <w:r>
        <w:t>2020</w:t>
      </w:r>
    </w:p>
    <w:p w14:paraId="6EF86B09" w14:textId="77777777" w:rsidR="005A78EA" w:rsidRDefault="005A78EA" w:rsidP="004B32B5">
      <w:pPr>
        <w:jc w:val="center"/>
      </w:pPr>
    </w:p>
    <w:p w14:paraId="4B2F37CC" w14:textId="77777777" w:rsidR="00304CCF" w:rsidRDefault="00304CCF" w:rsidP="005A78EA">
      <w:pPr>
        <w:spacing w:line="240" w:lineRule="auto"/>
        <w:jc w:val="center"/>
      </w:pPr>
    </w:p>
    <w:p w14:paraId="6D7C6CF1" w14:textId="77777777" w:rsidR="00304CCF" w:rsidRDefault="00304CCF" w:rsidP="005A78EA">
      <w:pPr>
        <w:spacing w:line="240" w:lineRule="auto"/>
        <w:jc w:val="center"/>
      </w:pPr>
    </w:p>
    <w:p w14:paraId="596C3F9A" w14:textId="77777777" w:rsidR="00304CCF" w:rsidRDefault="00304CCF" w:rsidP="005A78EA">
      <w:pPr>
        <w:spacing w:line="240" w:lineRule="auto"/>
        <w:jc w:val="center"/>
      </w:pPr>
    </w:p>
    <w:p w14:paraId="28D0E012" w14:textId="77777777" w:rsidR="00304CCF" w:rsidRDefault="00304CCF" w:rsidP="005A78EA">
      <w:pPr>
        <w:spacing w:line="240" w:lineRule="auto"/>
        <w:jc w:val="center"/>
      </w:pPr>
    </w:p>
    <w:p w14:paraId="52AB69DF" w14:textId="16B5055C" w:rsidR="00766044" w:rsidRPr="00322D35" w:rsidRDefault="00766044" w:rsidP="00BC7F0E">
      <w:pPr>
        <w:pStyle w:val="TOCHeading"/>
        <w:spacing w:line="240" w:lineRule="auto"/>
        <w:rPr>
          <w:b w:val="0"/>
          <w:bCs/>
        </w:rPr>
      </w:pPr>
      <w:r w:rsidRPr="00322D35">
        <w:rPr>
          <w:b w:val="0"/>
          <w:bCs/>
        </w:rPr>
        <w:t>APPROACHES TO LEARNING: CONCEPTUALIZATION AND MEASUREMENT OF A KEY SCHOOL READINESS INDICATOR</w:t>
      </w:r>
    </w:p>
    <w:p w14:paraId="1F004163" w14:textId="77777777" w:rsidR="007A5A24" w:rsidRDefault="007A5A24" w:rsidP="005A78EA">
      <w:pPr>
        <w:spacing w:line="240" w:lineRule="auto"/>
        <w:jc w:val="center"/>
      </w:pPr>
    </w:p>
    <w:p w14:paraId="67D940F7" w14:textId="77777777" w:rsidR="005A78EA" w:rsidRDefault="005A78EA" w:rsidP="004B32B5">
      <w:pPr>
        <w:jc w:val="center"/>
      </w:pPr>
    </w:p>
    <w:p w14:paraId="149E20F2" w14:textId="77777777" w:rsidR="005A78EA" w:rsidRDefault="005A78EA" w:rsidP="005A78EA">
      <w:pPr>
        <w:spacing w:line="240" w:lineRule="auto"/>
        <w:jc w:val="center"/>
      </w:pPr>
      <w:r>
        <w:t>A DISSERTATION APPROVED FOR THE</w:t>
      </w:r>
    </w:p>
    <w:p w14:paraId="116295E5" w14:textId="77777777" w:rsidR="005A78EA" w:rsidRDefault="005A78EA" w:rsidP="00C1674E">
      <w:pPr>
        <w:spacing w:line="240" w:lineRule="auto"/>
        <w:ind w:right="90"/>
        <w:jc w:val="center"/>
      </w:pPr>
      <w:r>
        <w:t>DEPARTMENT OF INSTRUCTIONAL LEADERSHIP AND ACADEMIC CURRICULUM</w:t>
      </w:r>
    </w:p>
    <w:p w14:paraId="0E1D2B97" w14:textId="77777777" w:rsidR="005A78EA" w:rsidRDefault="005A78EA" w:rsidP="004B32B5">
      <w:pPr>
        <w:jc w:val="center"/>
      </w:pPr>
    </w:p>
    <w:p w14:paraId="68D60C7F" w14:textId="161DB2F2" w:rsidR="005A78EA" w:rsidRDefault="005A78EA" w:rsidP="004B32B5">
      <w:pPr>
        <w:jc w:val="center"/>
      </w:pPr>
    </w:p>
    <w:p w14:paraId="76AA4FF5" w14:textId="2D5C91CB" w:rsidR="005A78EA" w:rsidRDefault="005A78EA" w:rsidP="004B32B5">
      <w:pPr>
        <w:jc w:val="center"/>
      </w:pPr>
      <w:r>
        <w:t>BY</w:t>
      </w:r>
      <w:r w:rsidR="005045A3">
        <w:t xml:space="preserve"> THE COMMITTEE CONSISTING OF: </w:t>
      </w:r>
    </w:p>
    <w:p w14:paraId="7ECA5273" w14:textId="77777777" w:rsidR="00BC6CB6" w:rsidRDefault="00BC6CB6" w:rsidP="00BC6CB6">
      <w:pPr>
        <w:jc w:val="right"/>
      </w:pPr>
    </w:p>
    <w:p w14:paraId="32CA0E13" w14:textId="77777777" w:rsidR="00BC6CB6" w:rsidRDefault="00BC6CB6" w:rsidP="00BC6CB6">
      <w:pPr>
        <w:jc w:val="right"/>
      </w:pPr>
    </w:p>
    <w:p w14:paraId="0C8AB1F7" w14:textId="77777777" w:rsidR="00BC6CB6" w:rsidRDefault="00BC6CB6" w:rsidP="00BC6CB6">
      <w:pPr>
        <w:jc w:val="right"/>
      </w:pPr>
    </w:p>
    <w:p w14:paraId="2D24B14B" w14:textId="290455D1" w:rsidR="00BC6CB6" w:rsidRDefault="00766044" w:rsidP="001B072F">
      <w:pPr>
        <w:jc w:val="right"/>
      </w:pPr>
      <w:r>
        <w:t>Dr. Diane Horm</w:t>
      </w:r>
      <w:r w:rsidR="00BC6CB6">
        <w:t>, Chair</w:t>
      </w:r>
    </w:p>
    <w:p w14:paraId="69EBA59C" w14:textId="77777777" w:rsidR="001B072F" w:rsidRDefault="001B072F" w:rsidP="001B072F">
      <w:pPr>
        <w:jc w:val="right"/>
      </w:pPr>
    </w:p>
    <w:p w14:paraId="328FB3B8" w14:textId="7C126CFA" w:rsidR="00BC6CB6" w:rsidRDefault="00766044" w:rsidP="001B072F">
      <w:pPr>
        <w:jc w:val="right"/>
      </w:pPr>
      <w:r>
        <w:t>Dr. Libby Ethridge</w:t>
      </w:r>
    </w:p>
    <w:p w14:paraId="391FAA6F" w14:textId="77777777" w:rsidR="001B072F" w:rsidRDefault="001B072F" w:rsidP="001B072F">
      <w:pPr>
        <w:jc w:val="right"/>
      </w:pPr>
    </w:p>
    <w:p w14:paraId="439CA63A" w14:textId="6BA1CC18" w:rsidR="001B072F" w:rsidRPr="00BC6CB6" w:rsidRDefault="001B072F" w:rsidP="001B072F">
      <w:pPr>
        <w:jc w:val="right"/>
      </w:pPr>
      <w:r>
        <w:t xml:space="preserve">Dr. Claudette Grinnell-Davis </w:t>
      </w:r>
    </w:p>
    <w:p w14:paraId="0B88041C" w14:textId="77777777" w:rsidR="001B072F" w:rsidRDefault="001B072F" w:rsidP="001B072F">
      <w:pPr>
        <w:jc w:val="right"/>
      </w:pPr>
    </w:p>
    <w:p w14:paraId="2DCFEA56" w14:textId="71169CBD" w:rsidR="00BC6CB6" w:rsidRDefault="00766044" w:rsidP="001B072F">
      <w:pPr>
        <w:jc w:val="right"/>
      </w:pPr>
      <w:r>
        <w:t xml:space="preserve">Dr. Kyong-Ah Kwon </w:t>
      </w:r>
    </w:p>
    <w:p w14:paraId="64C49E2E" w14:textId="77777777" w:rsidR="00766044" w:rsidRDefault="00766044" w:rsidP="001B072F">
      <w:pPr>
        <w:jc w:val="right"/>
      </w:pPr>
    </w:p>
    <w:p w14:paraId="0453D4D4" w14:textId="77777777" w:rsidR="00766044" w:rsidRDefault="00766044" w:rsidP="001B072F">
      <w:pPr>
        <w:jc w:val="right"/>
      </w:pPr>
      <w:r>
        <w:t>Dr. Vickie Lake</w:t>
      </w:r>
    </w:p>
    <w:p w14:paraId="133B1973" w14:textId="77777777" w:rsidR="00304CCF" w:rsidRDefault="00304CCF" w:rsidP="005A78EA">
      <w:pPr>
        <w:spacing w:line="240" w:lineRule="auto"/>
        <w:jc w:val="center"/>
      </w:pPr>
    </w:p>
    <w:p w14:paraId="5D4C0EF7" w14:textId="77777777" w:rsidR="00BC6CB6" w:rsidRDefault="00BC6CB6" w:rsidP="005A78EA">
      <w:pPr>
        <w:spacing w:line="240" w:lineRule="auto"/>
        <w:jc w:val="center"/>
      </w:pPr>
    </w:p>
    <w:p w14:paraId="49E710CB" w14:textId="77777777" w:rsidR="00BC6CB6" w:rsidRDefault="00BC6CB6" w:rsidP="005A78EA">
      <w:pPr>
        <w:spacing w:line="240" w:lineRule="auto"/>
        <w:jc w:val="center"/>
      </w:pPr>
    </w:p>
    <w:p w14:paraId="407C0746" w14:textId="77777777" w:rsidR="00BC6CB6" w:rsidRDefault="00BC6CB6" w:rsidP="005A78EA">
      <w:pPr>
        <w:spacing w:line="240" w:lineRule="auto"/>
        <w:jc w:val="center"/>
      </w:pPr>
    </w:p>
    <w:p w14:paraId="712FE5DD" w14:textId="77777777" w:rsidR="00BC6CB6" w:rsidRDefault="00BC6CB6" w:rsidP="005A78EA">
      <w:pPr>
        <w:spacing w:line="240" w:lineRule="auto"/>
        <w:jc w:val="center"/>
      </w:pPr>
    </w:p>
    <w:p w14:paraId="55923C88" w14:textId="40B5ABFB" w:rsidR="00BC6CB6" w:rsidRDefault="00BC6CB6" w:rsidP="005A78EA">
      <w:pPr>
        <w:spacing w:line="240" w:lineRule="auto"/>
        <w:jc w:val="center"/>
      </w:pPr>
    </w:p>
    <w:p w14:paraId="662900F3" w14:textId="77777777" w:rsidR="00BC6CB6" w:rsidRDefault="00BC6CB6" w:rsidP="005A78EA">
      <w:pPr>
        <w:spacing w:line="240" w:lineRule="auto"/>
        <w:jc w:val="center"/>
      </w:pPr>
    </w:p>
    <w:p w14:paraId="4E16586C" w14:textId="77777777" w:rsidR="00BC6CB6" w:rsidRDefault="00BC6CB6" w:rsidP="005A78EA">
      <w:pPr>
        <w:spacing w:line="240" w:lineRule="auto"/>
        <w:jc w:val="center"/>
      </w:pPr>
    </w:p>
    <w:p w14:paraId="4A4B0186" w14:textId="77777777" w:rsidR="00BC6CB6" w:rsidRDefault="00BC6CB6" w:rsidP="005A78EA">
      <w:pPr>
        <w:spacing w:line="240" w:lineRule="auto"/>
        <w:jc w:val="center"/>
      </w:pPr>
    </w:p>
    <w:p w14:paraId="3A8646CD" w14:textId="77777777" w:rsidR="00BC6CB6" w:rsidRDefault="00BC6CB6" w:rsidP="005A78EA">
      <w:pPr>
        <w:spacing w:line="240" w:lineRule="auto"/>
        <w:jc w:val="center"/>
      </w:pPr>
    </w:p>
    <w:p w14:paraId="4C56E723" w14:textId="77777777" w:rsidR="00BC6CB6" w:rsidRDefault="00BC6CB6" w:rsidP="005A78EA">
      <w:pPr>
        <w:spacing w:line="240" w:lineRule="auto"/>
        <w:jc w:val="center"/>
      </w:pPr>
    </w:p>
    <w:p w14:paraId="3CEDFA30" w14:textId="77777777" w:rsidR="00BC6CB6" w:rsidRDefault="00BC6CB6" w:rsidP="005A78EA">
      <w:pPr>
        <w:spacing w:line="240" w:lineRule="auto"/>
        <w:jc w:val="center"/>
      </w:pPr>
    </w:p>
    <w:p w14:paraId="10A3E06D" w14:textId="77777777" w:rsidR="00BC6CB6" w:rsidRDefault="00BC6CB6" w:rsidP="005A78EA">
      <w:pPr>
        <w:spacing w:line="240" w:lineRule="auto"/>
        <w:jc w:val="center"/>
      </w:pPr>
    </w:p>
    <w:p w14:paraId="79E57908" w14:textId="77777777" w:rsidR="00BC6CB6" w:rsidRDefault="00BC6CB6" w:rsidP="005A78EA">
      <w:pPr>
        <w:spacing w:line="240" w:lineRule="auto"/>
        <w:jc w:val="center"/>
      </w:pPr>
    </w:p>
    <w:p w14:paraId="73611406" w14:textId="77777777" w:rsidR="00BC6CB6" w:rsidRDefault="00BC6CB6" w:rsidP="005A78EA">
      <w:pPr>
        <w:spacing w:line="240" w:lineRule="auto"/>
        <w:jc w:val="center"/>
      </w:pPr>
    </w:p>
    <w:p w14:paraId="6E4A2E93" w14:textId="77777777" w:rsidR="00BC6CB6" w:rsidRDefault="00BC6CB6" w:rsidP="005A78EA">
      <w:pPr>
        <w:spacing w:line="240" w:lineRule="auto"/>
        <w:jc w:val="center"/>
      </w:pPr>
    </w:p>
    <w:p w14:paraId="2EE9BC1C" w14:textId="77777777" w:rsidR="00BC6CB6" w:rsidRDefault="00BC6CB6" w:rsidP="005A78EA">
      <w:pPr>
        <w:spacing w:line="240" w:lineRule="auto"/>
        <w:jc w:val="center"/>
      </w:pPr>
    </w:p>
    <w:p w14:paraId="57E237A4" w14:textId="77777777" w:rsidR="00BC6CB6" w:rsidRDefault="00BC6CB6" w:rsidP="005A78EA">
      <w:pPr>
        <w:spacing w:line="240" w:lineRule="auto"/>
        <w:jc w:val="center"/>
      </w:pPr>
    </w:p>
    <w:p w14:paraId="1C7D74A2" w14:textId="77777777" w:rsidR="00BC6CB6" w:rsidRDefault="00BC6CB6" w:rsidP="005A78EA">
      <w:pPr>
        <w:spacing w:line="240" w:lineRule="auto"/>
        <w:jc w:val="center"/>
      </w:pPr>
    </w:p>
    <w:p w14:paraId="13F02D77" w14:textId="77777777" w:rsidR="00BC6CB6" w:rsidRDefault="00BC6CB6" w:rsidP="005A78EA">
      <w:pPr>
        <w:spacing w:line="240" w:lineRule="auto"/>
        <w:jc w:val="center"/>
      </w:pPr>
    </w:p>
    <w:p w14:paraId="000CF411" w14:textId="77777777" w:rsidR="00BC6CB6" w:rsidRDefault="00BC6CB6" w:rsidP="005A78EA">
      <w:pPr>
        <w:spacing w:line="240" w:lineRule="auto"/>
        <w:jc w:val="center"/>
      </w:pPr>
    </w:p>
    <w:p w14:paraId="0BFBEEBF" w14:textId="77777777" w:rsidR="00BC6CB6" w:rsidRDefault="00BC6CB6" w:rsidP="005A78EA">
      <w:pPr>
        <w:spacing w:line="240" w:lineRule="auto"/>
        <w:jc w:val="center"/>
      </w:pPr>
    </w:p>
    <w:p w14:paraId="5B02BC33" w14:textId="77777777" w:rsidR="00BC6CB6" w:rsidRDefault="00BC6CB6" w:rsidP="005A78EA">
      <w:pPr>
        <w:spacing w:line="240" w:lineRule="auto"/>
        <w:jc w:val="center"/>
      </w:pPr>
    </w:p>
    <w:p w14:paraId="12FADB79" w14:textId="77777777" w:rsidR="00BC6CB6" w:rsidRDefault="00BC6CB6" w:rsidP="005A78EA">
      <w:pPr>
        <w:spacing w:line="240" w:lineRule="auto"/>
        <w:jc w:val="center"/>
      </w:pPr>
    </w:p>
    <w:p w14:paraId="3CC26449" w14:textId="77777777" w:rsidR="00BC6CB6" w:rsidRDefault="00BC6CB6" w:rsidP="005A78EA">
      <w:pPr>
        <w:spacing w:line="240" w:lineRule="auto"/>
        <w:jc w:val="center"/>
      </w:pPr>
    </w:p>
    <w:p w14:paraId="088E0842" w14:textId="77777777" w:rsidR="00BC6CB6" w:rsidRDefault="00BC6CB6" w:rsidP="005A78EA">
      <w:pPr>
        <w:spacing w:line="240" w:lineRule="auto"/>
        <w:jc w:val="center"/>
      </w:pPr>
    </w:p>
    <w:p w14:paraId="4BDF873F" w14:textId="77777777" w:rsidR="00BC6CB6" w:rsidRDefault="00BC6CB6" w:rsidP="005A78EA">
      <w:pPr>
        <w:spacing w:line="240" w:lineRule="auto"/>
        <w:jc w:val="center"/>
      </w:pPr>
    </w:p>
    <w:p w14:paraId="5954495D" w14:textId="77777777" w:rsidR="00BC6CB6" w:rsidRDefault="00BC6CB6" w:rsidP="005A78EA">
      <w:pPr>
        <w:spacing w:line="240" w:lineRule="auto"/>
        <w:jc w:val="center"/>
      </w:pPr>
    </w:p>
    <w:p w14:paraId="118F4796" w14:textId="77777777" w:rsidR="00BC6CB6" w:rsidRDefault="00BC6CB6" w:rsidP="005A78EA">
      <w:pPr>
        <w:spacing w:line="240" w:lineRule="auto"/>
        <w:jc w:val="center"/>
      </w:pPr>
    </w:p>
    <w:p w14:paraId="40B9EDF4" w14:textId="77777777" w:rsidR="00BC6CB6" w:rsidRDefault="00BC6CB6" w:rsidP="005A78EA">
      <w:pPr>
        <w:spacing w:line="240" w:lineRule="auto"/>
        <w:jc w:val="center"/>
      </w:pPr>
    </w:p>
    <w:p w14:paraId="37EA86C7" w14:textId="77777777" w:rsidR="00BC6CB6" w:rsidRDefault="00BC6CB6" w:rsidP="005A78EA">
      <w:pPr>
        <w:spacing w:line="240" w:lineRule="auto"/>
        <w:jc w:val="center"/>
      </w:pPr>
    </w:p>
    <w:p w14:paraId="3B4151AA" w14:textId="77777777" w:rsidR="00BC6CB6" w:rsidRDefault="00BC6CB6" w:rsidP="005A78EA">
      <w:pPr>
        <w:spacing w:line="240" w:lineRule="auto"/>
        <w:jc w:val="center"/>
      </w:pPr>
    </w:p>
    <w:p w14:paraId="53E6CAA3" w14:textId="77777777" w:rsidR="00BC6CB6" w:rsidRDefault="00BC6CB6" w:rsidP="005A78EA">
      <w:pPr>
        <w:spacing w:line="240" w:lineRule="auto"/>
        <w:jc w:val="center"/>
      </w:pPr>
    </w:p>
    <w:p w14:paraId="57F8ADEC" w14:textId="77777777" w:rsidR="00BC6CB6" w:rsidRDefault="00BC6CB6" w:rsidP="005A78EA">
      <w:pPr>
        <w:spacing w:line="240" w:lineRule="auto"/>
        <w:jc w:val="center"/>
      </w:pPr>
    </w:p>
    <w:p w14:paraId="7A352759" w14:textId="77777777" w:rsidR="00BC6CB6" w:rsidRDefault="00BC6CB6" w:rsidP="005A78EA">
      <w:pPr>
        <w:spacing w:line="240" w:lineRule="auto"/>
        <w:jc w:val="center"/>
      </w:pPr>
    </w:p>
    <w:p w14:paraId="643381C2" w14:textId="77777777" w:rsidR="00BC6CB6" w:rsidRDefault="00BC6CB6" w:rsidP="005A78EA">
      <w:pPr>
        <w:spacing w:line="240" w:lineRule="auto"/>
        <w:jc w:val="center"/>
      </w:pPr>
    </w:p>
    <w:p w14:paraId="2705D635" w14:textId="77777777" w:rsidR="00BC6CB6" w:rsidRDefault="00BC6CB6" w:rsidP="005A78EA">
      <w:pPr>
        <w:spacing w:line="240" w:lineRule="auto"/>
        <w:jc w:val="center"/>
      </w:pPr>
    </w:p>
    <w:p w14:paraId="25F763DB" w14:textId="77777777" w:rsidR="00BC6CB6" w:rsidRDefault="00BC6CB6" w:rsidP="005A78EA">
      <w:pPr>
        <w:spacing w:line="240" w:lineRule="auto"/>
        <w:jc w:val="center"/>
      </w:pPr>
    </w:p>
    <w:p w14:paraId="1EBE8FAB" w14:textId="77777777" w:rsidR="00BC6CB6" w:rsidRDefault="00BC6CB6" w:rsidP="005A78EA">
      <w:pPr>
        <w:spacing w:line="240" w:lineRule="auto"/>
        <w:jc w:val="center"/>
      </w:pPr>
    </w:p>
    <w:p w14:paraId="0F9A5510" w14:textId="77777777" w:rsidR="00BC6CB6" w:rsidRDefault="00BC6CB6" w:rsidP="005A78EA">
      <w:pPr>
        <w:spacing w:line="240" w:lineRule="auto"/>
        <w:jc w:val="center"/>
      </w:pPr>
    </w:p>
    <w:p w14:paraId="2EBDF44C" w14:textId="77777777" w:rsidR="000F7F06" w:rsidRDefault="000F7F06" w:rsidP="005A78EA">
      <w:pPr>
        <w:spacing w:line="240" w:lineRule="auto"/>
        <w:jc w:val="center"/>
      </w:pPr>
    </w:p>
    <w:p w14:paraId="03FB9BBA" w14:textId="77777777" w:rsidR="000F7F06" w:rsidRDefault="000F7F06" w:rsidP="005A78EA">
      <w:pPr>
        <w:spacing w:line="240" w:lineRule="auto"/>
        <w:jc w:val="center"/>
      </w:pPr>
    </w:p>
    <w:p w14:paraId="6691DED2" w14:textId="77777777" w:rsidR="00BC6CB6" w:rsidRDefault="00BC6CB6" w:rsidP="005A78EA">
      <w:pPr>
        <w:spacing w:line="240" w:lineRule="auto"/>
        <w:jc w:val="center"/>
      </w:pPr>
    </w:p>
    <w:p w14:paraId="6F621AFF" w14:textId="77777777" w:rsidR="00BC6CB6" w:rsidRDefault="00BC6CB6" w:rsidP="005A78EA">
      <w:pPr>
        <w:spacing w:line="240" w:lineRule="auto"/>
        <w:jc w:val="center"/>
      </w:pPr>
    </w:p>
    <w:p w14:paraId="21B28D1E" w14:textId="77777777" w:rsidR="00BC6CB6" w:rsidRDefault="00BC6CB6" w:rsidP="005A78EA">
      <w:pPr>
        <w:spacing w:line="240" w:lineRule="auto"/>
        <w:jc w:val="center"/>
      </w:pPr>
    </w:p>
    <w:p w14:paraId="59DC81B4" w14:textId="37D13F40" w:rsidR="005A78EA" w:rsidRDefault="00452EEA" w:rsidP="005A78EA">
      <w:pPr>
        <w:spacing w:line="240" w:lineRule="auto"/>
        <w:jc w:val="center"/>
      </w:pPr>
      <w:r>
        <w:t>©</w:t>
      </w:r>
      <w:r w:rsidR="005A78EA">
        <w:t xml:space="preserve">Copyright by </w:t>
      </w:r>
      <w:r w:rsidR="00766044">
        <w:t xml:space="preserve">AMBER H. BEISLY </w:t>
      </w:r>
      <w:r w:rsidR="00E226A6">
        <w:t>2020</w:t>
      </w:r>
    </w:p>
    <w:p w14:paraId="7B68AD01" w14:textId="77777777" w:rsidR="005A78EA" w:rsidRDefault="005A78EA" w:rsidP="005A78EA">
      <w:pPr>
        <w:spacing w:line="240" w:lineRule="auto"/>
        <w:jc w:val="center"/>
      </w:pPr>
      <w:r>
        <w:t>All Rights Reserved.</w:t>
      </w:r>
    </w:p>
    <w:p w14:paraId="5A198EC7" w14:textId="2611D9EC" w:rsidR="00C32F4E" w:rsidRDefault="00E13E2D" w:rsidP="005A78EA">
      <w:pPr>
        <w:spacing w:line="240" w:lineRule="auto"/>
        <w:jc w:val="center"/>
      </w:pPr>
      <w:r>
        <w:t xml:space="preserve"> </w:t>
      </w:r>
    </w:p>
    <w:p w14:paraId="4D184EF1" w14:textId="77777777" w:rsidR="00942262" w:rsidRDefault="00942262" w:rsidP="005A78EA">
      <w:pPr>
        <w:spacing w:line="240" w:lineRule="auto"/>
        <w:jc w:val="center"/>
        <w:sectPr w:rsidR="00942262" w:rsidSect="00497BF4">
          <w:headerReference w:type="default" r:id="rId11"/>
          <w:footerReference w:type="default" r:id="rId12"/>
          <w:pgSz w:w="12240" w:h="15840"/>
          <w:pgMar w:top="1440" w:right="1440" w:bottom="1440" w:left="1440" w:header="720" w:footer="720" w:gutter="0"/>
          <w:pgNumType w:fmt="lowerRoman" w:start="4"/>
          <w:cols w:space="720"/>
          <w:docGrid w:linePitch="360"/>
        </w:sectPr>
      </w:pPr>
    </w:p>
    <w:p w14:paraId="79C1FEAA" w14:textId="717453A3" w:rsidR="009C1B83" w:rsidRDefault="00452EEA" w:rsidP="005A78EA">
      <w:pPr>
        <w:spacing w:line="240" w:lineRule="auto"/>
        <w:jc w:val="center"/>
      </w:pPr>
      <w:r>
        <w:lastRenderedPageBreak/>
        <w:t>DEDICATION</w:t>
      </w:r>
    </w:p>
    <w:p w14:paraId="2253B0FA" w14:textId="77777777" w:rsidR="006778C4" w:rsidRDefault="006778C4" w:rsidP="005A78EA">
      <w:pPr>
        <w:spacing w:line="240" w:lineRule="auto"/>
        <w:jc w:val="center"/>
      </w:pPr>
    </w:p>
    <w:p w14:paraId="4B70D384" w14:textId="77777777" w:rsidR="00483062" w:rsidRDefault="00483062" w:rsidP="00F20EAA">
      <w:pPr>
        <w:jc w:val="center"/>
        <w:rPr>
          <w:color w:val="auto"/>
        </w:rPr>
      </w:pPr>
    </w:p>
    <w:p w14:paraId="78D10B2B" w14:textId="13EB783F" w:rsidR="00F20EAA" w:rsidRDefault="00F20EAA" w:rsidP="00F20EAA">
      <w:pPr>
        <w:jc w:val="center"/>
        <w:rPr>
          <w:color w:val="auto"/>
        </w:rPr>
      </w:pPr>
      <w:r w:rsidRPr="00F20EAA">
        <w:rPr>
          <w:color w:val="auto"/>
        </w:rPr>
        <w:t>Imagination is more important than knowledge. Knowledge is limited. Imagination encircles the world.</w:t>
      </w:r>
    </w:p>
    <w:p w14:paraId="1AB583B2" w14:textId="77777777" w:rsidR="00F20EAA" w:rsidRDefault="00F20EAA" w:rsidP="00F20EAA">
      <w:pPr>
        <w:jc w:val="center"/>
        <w:rPr>
          <w:color w:val="auto"/>
        </w:rPr>
      </w:pPr>
      <w:r>
        <w:rPr>
          <w:color w:val="auto"/>
        </w:rPr>
        <w:t xml:space="preserve">-Albert Einstein </w:t>
      </w:r>
    </w:p>
    <w:p w14:paraId="0C83DC15" w14:textId="77777777" w:rsidR="00F20EAA" w:rsidRDefault="00F20EAA" w:rsidP="00F20EAA">
      <w:pPr>
        <w:jc w:val="center"/>
        <w:rPr>
          <w:color w:val="auto"/>
        </w:rPr>
      </w:pPr>
    </w:p>
    <w:p w14:paraId="41709FBC" w14:textId="54084849" w:rsidR="00C2497B" w:rsidRDefault="00F20EAA" w:rsidP="00483062">
      <w:pPr>
        <w:ind w:firstLine="720"/>
        <w:rPr>
          <w:color w:val="auto"/>
        </w:rPr>
      </w:pPr>
      <w:r>
        <w:rPr>
          <w:color w:val="auto"/>
        </w:rPr>
        <w:t xml:space="preserve">This is dedicated to Ricardo, Colin, </w:t>
      </w:r>
      <w:r w:rsidR="00C2497B">
        <w:rPr>
          <w:color w:val="auto"/>
        </w:rPr>
        <w:t>Dejon</w:t>
      </w:r>
      <w:r>
        <w:rPr>
          <w:color w:val="auto"/>
        </w:rPr>
        <w:t xml:space="preserve">, </w:t>
      </w:r>
      <w:proofErr w:type="spellStart"/>
      <w:r>
        <w:rPr>
          <w:color w:val="auto"/>
        </w:rPr>
        <w:t>Keymontee</w:t>
      </w:r>
      <w:proofErr w:type="spellEnd"/>
      <w:r>
        <w:rPr>
          <w:color w:val="auto"/>
        </w:rPr>
        <w:t>, Ella, and Yu</w:t>
      </w:r>
      <w:r w:rsidR="00C2497B">
        <w:rPr>
          <w:color w:val="auto"/>
        </w:rPr>
        <w:t xml:space="preserve">ri, who showed me </w:t>
      </w:r>
      <w:r w:rsidR="00C1674E">
        <w:rPr>
          <w:color w:val="auto"/>
        </w:rPr>
        <w:t>the multiple ways t</w:t>
      </w:r>
      <w:r w:rsidR="00C2497B">
        <w:rPr>
          <w:color w:val="auto"/>
        </w:rPr>
        <w:t xml:space="preserve">o approach a task and whose solution was always more inventive than I had imagined. Although I was your teacher, you taught me so much about how to think, learn, and play. </w:t>
      </w:r>
    </w:p>
    <w:p w14:paraId="7FB92BFA" w14:textId="5CCA01FB" w:rsidR="00295E8B" w:rsidRPr="00F20EAA" w:rsidRDefault="00C2497B" w:rsidP="00F20EAA">
      <w:pPr>
        <w:rPr>
          <w:color w:val="333333"/>
          <w:shd w:val="clear" w:color="auto" w:fill="FFFFFF"/>
        </w:rPr>
      </w:pPr>
      <w:r>
        <w:rPr>
          <w:color w:val="auto"/>
        </w:rPr>
        <w:tab/>
        <w:t>And to Ellie, Carly</w:t>
      </w:r>
      <w:r w:rsidR="00C1674E">
        <w:rPr>
          <w:color w:val="auto"/>
        </w:rPr>
        <w:t>,</w:t>
      </w:r>
      <w:r>
        <w:rPr>
          <w:color w:val="auto"/>
        </w:rPr>
        <w:t xml:space="preserve"> and Delaney, who can </w:t>
      </w:r>
      <w:r w:rsidR="00BC7F0E">
        <w:rPr>
          <w:color w:val="auto"/>
        </w:rPr>
        <w:t xml:space="preserve">find over </w:t>
      </w:r>
      <w:r w:rsidR="00266FF4">
        <w:rPr>
          <w:color w:val="auto"/>
        </w:rPr>
        <w:t xml:space="preserve">a hundred </w:t>
      </w:r>
      <w:r w:rsidR="00BC7F0E">
        <w:rPr>
          <w:color w:val="auto"/>
        </w:rPr>
        <w:t xml:space="preserve">different ways to play with a </w:t>
      </w:r>
      <w:proofErr w:type="spellStart"/>
      <w:r w:rsidR="00BC7F0E">
        <w:rPr>
          <w:color w:val="auto"/>
        </w:rPr>
        <w:t>CanCarrier</w:t>
      </w:r>
      <w:proofErr w:type="spellEnd"/>
      <w:r w:rsidR="00BC7F0E">
        <w:rPr>
          <w:color w:val="auto"/>
        </w:rPr>
        <w:t>.</w:t>
      </w:r>
      <w:r w:rsidR="00266FF4">
        <w:rPr>
          <w:color w:val="auto"/>
        </w:rPr>
        <w:t xml:space="preserve"> </w:t>
      </w:r>
      <w:r w:rsidR="00295E8B" w:rsidRPr="00F20EAA">
        <w:rPr>
          <w:i/>
          <w:color w:val="333333"/>
        </w:rPr>
        <w:br/>
      </w:r>
    </w:p>
    <w:p w14:paraId="038019CD" w14:textId="69278579" w:rsidR="00C32F4E" w:rsidRDefault="00C32F4E" w:rsidP="009C1B83">
      <w:pPr>
        <w:spacing w:line="240" w:lineRule="auto"/>
        <w:jc w:val="center"/>
        <w:rPr>
          <w:b/>
        </w:rPr>
      </w:pPr>
    </w:p>
    <w:p w14:paraId="2C3850D8" w14:textId="77777777" w:rsidR="00E13E2D" w:rsidRDefault="00E13E2D" w:rsidP="009C1B83">
      <w:pPr>
        <w:spacing w:line="240" w:lineRule="auto"/>
        <w:jc w:val="center"/>
        <w:rPr>
          <w:b/>
        </w:rPr>
      </w:pPr>
    </w:p>
    <w:p w14:paraId="6546576C" w14:textId="77777777" w:rsidR="00C32F4E" w:rsidRDefault="00C32F4E" w:rsidP="009C1B83">
      <w:pPr>
        <w:spacing w:line="240" w:lineRule="auto"/>
        <w:jc w:val="center"/>
        <w:rPr>
          <w:b/>
        </w:rPr>
      </w:pPr>
    </w:p>
    <w:p w14:paraId="20B78F72" w14:textId="77777777" w:rsidR="00C32F4E" w:rsidRDefault="00C32F4E" w:rsidP="009C1B83">
      <w:pPr>
        <w:spacing w:line="240" w:lineRule="auto"/>
        <w:jc w:val="center"/>
        <w:rPr>
          <w:b/>
        </w:rPr>
      </w:pPr>
    </w:p>
    <w:p w14:paraId="48CCEFB2" w14:textId="77777777" w:rsidR="00C32F4E" w:rsidRDefault="00C32F4E" w:rsidP="009C1B83">
      <w:pPr>
        <w:spacing w:line="240" w:lineRule="auto"/>
        <w:jc w:val="center"/>
        <w:rPr>
          <w:b/>
        </w:rPr>
      </w:pPr>
    </w:p>
    <w:p w14:paraId="1C1C62A7" w14:textId="77777777" w:rsidR="00C32F4E" w:rsidRDefault="00C32F4E" w:rsidP="009C1B83">
      <w:pPr>
        <w:spacing w:line="240" w:lineRule="auto"/>
        <w:jc w:val="center"/>
        <w:rPr>
          <w:b/>
        </w:rPr>
      </w:pPr>
    </w:p>
    <w:p w14:paraId="357067D7" w14:textId="77777777" w:rsidR="00C32F4E" w:rsidRDefault="00C32F4E" w:rsidP="009C1B83">
      <w:pPr>
        <w:spacing w:line="240" w:lineRule="auto"/>
        <w:jc w:val="center"/>
        <w:rPr>
          <w:b/>
        </w:rPr>
      </w:pPr>
    </w:p>
    <w:p w14:paraId="72EF7DC7" w14:textId="77777777" w:rsidR="00C32F4E" w:rsidRDefault="00C32F4E" w:rsidP="009C1B83">
      <w:pPr>
        <w:spacing w:line="240" w:lineRule="auto"/>
        <w:jc w:val="center"/>
        <w:rPr>
          <w:b/>
        </w:rPr>
      </w:pPr>
    </w:p>
    <w:p w14:paraId="21C27033" w14:textId="77777777" w:rsidR="00C32F4E" w:rsidRDefault="00C32F4E" w:rsidP="009C1B83">
      <w:pPr>
        <w:spacing w:line="240" w:lineRule="auto"/>
        <w:jc w:val="center"/>
        <w:rPr>
          <w:b/>
        </w:rPr>
      </w:pPr>
    </w:p>
    <w:p w14:paraId="199AC955" w14:textId="77777777" w:rsidR="00C32F4E" w:rsidRDefault="00C32F4E" w:rsidP="009C1B83">
      <w:pPr>
        <w:spacing w:line="240" w:lineRule="auto"/>
        <w:jc w:val="center"/>
        <w:rPr>
          <w:b/>
        </w:rPr>
      </w:pPr>
    </w:p>
    <w:p w14:paraId="150CB165" w14:textId="77777777" w:rsidR="00C32F4E" w:rsidRDefault="00C32F4E" w:rsidP="009C1B83">
      <w:pPr>
        <w:spacing w:line="240" w:lineRule="auto"/>
        <w:jc w:val="center"/>
        <w:rPr>
          <w:b/>
        </w:rPr>
      </w:pPr>
    </w:p>
    <w:p w14:paraId="0975A75C" w14:textId="77777777" w:rsidR="00C32F4E" w:rsidRDefault="00C32F4E" w:rsidP="009C1B83">
      <w:pPr>
        <w:spacing w:line="240" w:lineRule="auto"/>
        <w:jc w:val="center"/>
        <w:rPr>
          <w:b/>
        </w:rPr>
      </w:pPr>
    </w:p>
    <w:p w14:paraId="43F2DEF6" w14:textId="77777777" w:rsidR="00C32F4E" w:rsidRDefault="00C32F4E" w:rsidP="009C1B83">
      <w:pPr>
        <w:spacing w:line="240" w:lineRule="auto"/>
        <w:jc w:val="center"/>
        <w:rPr>
          <w:b/>
        </w:rPr>
      </w:pPr>
    </w:p>
    <w:p w14:paraId="2657BDBB" w14:textId="77777777" w:rsidR="00C32F4E" w:rsidRDefault="00C32F4E" w:rsidP="009C1B83">
      <w:pPr>
        <w:spacing w:line="240" w:lineRule="auto"/>
        <w:jc w:val="center"/>
        <w:rPr>
          <w:b/>
        </w:rPr>
      </w:pPr>
    </w:p>
    <w:p w14:paraId="690964F8" w14:textId="77777777" w:rsidR="00C32F4E" w:rsidRDefault="00C32F4E" w:rsidP="009C1B83">
      <w:pPr>
        <w:spacing w:line="240" w:lineRule="auto"/>
        <w:jc w:val="center"/>
        <w:rPr>
          <w:b/>
        </w:rPr>
      </w:pPr>
    </w:p>
    <w:p w14:paraId="6F99141C" w14:textId="77777777" w:rsidR="00C32F4E" w:rsidRDefault="00C32F4E" w:rsidP="009C1B83">
      <w:pPr>
        <w:spacing w:line="240" w:lineRule="auto"/>
        <w:jc w:val="center"/>
        <w:rPr>
          <w:b/>
        </w:rPr>
      </w:pPr>
    </w:p>
    <w:p w14:paraId="0A81EC3B" w14:textId="77777777" w:rsidR="00C32F4E" w:rsidRDefault="00C32F4E" w:rsidP="009C1B83">
      <w:pPr>
        <w:spacing w:line="240" w:lineRule="auto"/>
        <w:jc w:val="center"/>
        <w:rPr>
          <w:b/>
        </w:rPr>
      </w:pPr>
    </w:p>
    <w:p w14:paraId="6643ED37" w14:textId="77777777" w:rsidR="00C32F4E" w:rsidRDefault="00C32F4E" w:rsidP="009C1B83">
      <w:pPr>
        <w:spacing w:line="240" w:lineRule="auto"/>
        <w:jc w:val="center"/>
        <w:rPr>
          <w:b/>
        </w:rPr>
      </w:pPr>
    </w:p>
    <w:p w14:paraId="28BDF815" w14:textId="77777777" w:rsidR="00EC7621" w:rsidRDefault="00EC7621" w:rsidP="009C1B83">
      <w:pPr>
        <w:spacing w:line="240" w:lineRule="auto"/>
        <w:jc w:val="center"/>
        <w:rPr>
          <w:b/>
        </w:rPr>
        <w:sectPr w:rsidR="00EC7621" w:rsidSect="00497BF4">
          <w:footerReference w:type="default" r:id="rId13"/>
          <w:pgSz w:w="12240" w:h="15840"/>
          <w:pgMar w:top="1440" w:right="1440" w:bottom="1440" w:left="1440" w:header="720" w:footer="720" w:gutter="0"/>
          <w:pgNumType w:fmt="lowerRoman" w:start="4"/>
          <w:cols w:space="720"/>
          <w:docGrid w:linePitch="360"/>
        </w:sectPr>
      </w:pPr>
    </w:p>
    <w:p w14:paraId="0A31ECE5" w14:textId="57C946F3" w:rsidR="00452EEA" w:rsidRDefault="00452EEA" w:rsidP="009C1B83">
      <w:pPr>
        <w:spacing w:line="240" w:lineRule="auto"/>
        <w:jc w:val="center"/>
        <w:rPr>
          <w:b/>
          <w:sz w:val="28"/>
          <w:szCs w:val="28"/>
        </w:rPr>
      </w:pPr>
      <w:r w:rsidRPr="005045A3">
        <w:rPr>
          <w:b/>
        </w:rPr>
        <w:lastRenderedPageBreak/>
        <w:t>Acknowledgments</w:t>
      </w:r>
    </w:p>
    <w:p w14:paraId="3859CEC1" w14:textId="605E3064" w:rsidR="00295E8B" w:rsidRDefault="00295E8B" w:rsidP="00295E8B">
      <w:pPr>
        <w:spacing w:line="240" w:lineRule="auto"/>
        <w:rPr>
          <w:sz w:val="28"/>
          <w:szCs w:val="28"/>
        </w:rPr>
      </w:pPr>
    </w:p>
    <w:p w14:paraId="57284343" w14:textId="017698BE" w:rsidR="00AC063D" w:rsidRDefault="00AC063D" w:rsidP="00483062">
      <w:pPr>
        <w:spacing w:line="240" w:lineRule="auto"/>
        <w:ind w:firstLine="720"/>
        <w:rPr>
          <w:bCs/>
        </w:rPr>
      </w:pPr>
      <w:r>
        <w:rPr>
          <w:bCs/>
        </w:rPr>
        <w:t xml:space="preserve">A few years </w:t>
      </w:r>
      <w:r w:rsidR="005B7391">
        <w:rPr>
          <w:bCs/>
        </w:rPr>
        <w:t>ago,</w:t>
      </w:r>
      <w:r>
        <w:rPr>
          <w:bCs/>
        </w:rPr>
        <w:t xml:space="preserve"> </w:t>
      </w:r>
      <w:r w:rsidR="00C1674E">
        <w:rPr>
          <w:bCs/>
        </w:rPr>
        <w:t>*</w:t>
      </w:r>
      <w:r>
        <w:rPr>
          <w:bCs/>
        </w:rPr>
        <w:t>ahe</w:t>
      </w:r>
      <w:r w:rsidR="00C1674E">
        <w:rPr>
          <w:bCs/>
        </w:rPr>
        <w:t xml:space="preserve">m, </w:t>
      </w:r>
      <w:r>
        <w:rPr>
          <w:bCs/>
        </w:rPr>
        <w:t>as a senior in college, I wrote a list of things I wanted to accomplish after graduation. Among the</w:t>
      </w:r>
      <w:r w:rsidR="00C1674E">
        <w:rPr>
          <w:bCs/>
        </w:rPr>
        <w:t xml:space="preserve">m </w:t>
      </w:r>
      <w:r>
        <w:rPr>
          <w:bCs/>
        </w:rPr>
        <w:t>was “get a Ph</w:t>
      </w:r>
      <w:r w:rsidR="00174312">
        <w:rPr>
          <w:bCs/>
        </w:rPr>
        <w:t>.D.</w:t>
      </w:r>
      <w:r>
        <w:rPr>
          <w:bCs/>
        </w:rPr>
        <w:t>,” which I distinctly remember giggling at when I wrote it. It seemed like a dream so far removed as to not be possible.</w:t>
      </w:r>
      <w:r w:rsidR="007C1CBE">
        <w:rPr>
          <w:bCs/>
        </w:rPr>
        <w:t xml:space="preserve"> </w:t>
      </w:r>
      <w:r>
        <w:rPr>
          <w:bCs/>
        </w:rPr>
        <w:t xml:space="preserve">Hiking the Appalachian trail, another item on my wish list, seemed more possible because the steps necessary to do that seemed much more tangible. </w:t>
      </w:r>
    </w:p>
    <w:p w14:paraId="128FBA26" w14:textId="77777777" w:rsidR="006330DF" w:rsidRDefault="006330DF" w:rsidP="006330DF">
      <w:pPr>
        <w:spacing w:line="240" w:lineRule="auto"/>
        <w:rPr>
          <w:bCs/>
        </w:rPr>
      </w:pPr>
    </w:p>
    <w:p w14:paraId="4DC1EA8F" w14:textId="556A0E9C" w:rsidR="00AC063D" w:rsidRDefault="00AC063D" w:rsidP="00483062">
      <w:pPr>
        <w:spacing w:line="240" w:lineRule="auto"/>
        <w:ind w:firstLine="720"/>
        <w:rPr>
          <w:bCs/>
        </w:rPr>
      </w:pPr>
      <w:r>
        <w:rPr>
          <w:bCs/>
        </w:rPr>
        <w:t xml:space="preserve">Yet, here I am, 17 years later, completing my dissertation without hiking boots. </w:t>
      </w:r>
      <w:r w:rsidR="00174312">
        <w:rPr>
          <w:bCs/>
        </w:rPr>
        <w:t>Many people</w:t>
      </w:r>
      <w:r>
        <w:rPr>
          <w:bCs/>
        </w:rPr>
        <w:t xml:space="preserve"> helped me go from a bold idea in the back of my mind to this writing. First, my parents, who constantly encouraged me, made sure I was doing alright and offered to help wherever it was needed. Dad, your advice to not sweat the small stuff, was ever present in the back of my mind as I tackled obstacles and setbacks along the way. Mom, your support made it possible for me to go back to school in the first place, and I am grateful for your willingness to watch Delaney so that I </w:t>
      </w:r>
      <w:r w:rsidR="00EF1FD1">
        <w:rPr>
          <w:bCs/>
        </w:rPr>
        <w:t xml:space="preserve">could </w:t>
      </w:r>
      <w:r>
        <w:rPr>
          <w:bCs/>
        </w:rPr>
        <w:t xml:space="preserve">go out and do the activities that “would help my CV.” </w:t>
      </w:r>
      <w:r w:rsidR="001F4A87">
        <w:rPr>
          <w:bCs/>
        </w:rPr>
        <w:t xml:space="preserve">I am also eternally grateful for the support and love I received from my grandparents, Papa </w:t>
      </w:r>
      <w:proofErr w:type="gramStart"/>
      <w:r w:rsidR="001F4A87">
        <w:rPr>
          <w:bCs/>
        </w:rPr>
        <w:t>Ed</w:t>
      </w:r>
      <w:proofErr w:type="gramEnd"/>
      <w:r w:rsidR="001F4A87">
        <w:rPr>
          <w:bCs/>
        </w:rPr>
        <w:t xml:space="preserve"> and Grandma Dot. Although you </w:t>
      </w:r>
      <w:r w:rsidR="00EF1FD1">
        <w:rPr>
          <w:bCs/>
        </w:rPr>
        <w:t>cannot</w:t>
      </w:r>
      <w:r w:rsidR="001F4A87">
        <w:rPr>
          <w:bCs/>
        </w:rPr>
        <w:t xml:space="preserve"> be here to watch me defend my dissertation, I know that you are cheering me on. </w:t>
      </w:r>
    </w:p>
    <w:p w14:paraId="1CFD012A" w14:textId="77777777" w:rsidR="006330DF" w:rsidRDefault="006330DF" w:rsidP="006330DF">
      <w:pPr>
        <w:spacing w:line="240" w:lineRule="auto"/>
        <w:rPr>
          <w:bCs/>
        </w:rPr>
      </w:pPr>
    </w:p>
    <w:p w14:paraId="4E918235" w14:textId="04A36CFB" w:rsidR="001F4A87" w:rsidRDefault="001F4A87" w:rsidP="00483062">
      <w:pPr>
        <w:spacing w:line="240" w:lineRule="auto"/>
        <w:ind w:firstLine="720"/>
        <w:rPr>
          <w:bCs/>
        </w:rPr>
      </w:pPr>
      <w:r>
        <w:rPr>
          <w:bCs/>
        </w:rPr>
        <w:t xml:space="preserve">I am so thankful for my daughters, who sacrificed time with their mom so that she could write papers, attend class, and work. Ellie, thank you for always listening to me practice my presentations, </w:t>
      </w:r>
      <w:r w:rsidR="00EF1FD1">
        <w:rPr>
          <w:bCs/>
        </w:rPr>
        <w:t xml:space="preserve">nodding at the correct times, </w:t>
      </w:r>
      <w:r>
        <w:rPr>
          <w:bCs/>
        </w:rPr>
        <w:t xml:space="preserve">even though you may not understand it. Carly, thank you for writing me secret notes of encouragement and telling me how much you love me. Delaney, thank you for helping me with my work and doing your own research alongside me. </w:t>
      </w:r>
    </w:p>
    <w:p w14:paraId="30D7139B" w14:textId="77777777" w:rsidR="006330DF" w:rsidRDefault="006330DF" w:rsidP="006330DF">
      <w:pPr>
        <w:spacing w:line="240" w:lineRule="auto"/>
        <w:rPr>
          <w:bCs/>
        </w:rPr>
      </w:pPr>
    </w:p>
    <w:p w14:paraId="381734EC" w14:textId="60BF64F7" w:rsidR="001F4A87" w:rsidRDefault="001F4A87" w:rsidP="00483062">
      <w:pPr>
        <w:spacing w:line="240" w:lineRule="auto"/>
        <w:ind w:firstLine="720"/>
        <w:rPr>
          <w:bCs/>
        </w:rPr>
      </w:pPr>
      <w:r>
        <w:rPr>
          <w:bCs/>
        </w:rPr>
        <w:t xml:space="preserve">Brian, </w:t>
      </w:r>
      <w:r w:rsidR="008A5E0F">
        <w:rPr>
          <w:bCs/>
        </w:rPr>
        <w:t xml:space="preserve">love of my life, </w:t>
      </w:r>
      <w:r>
        <w:rPr>
          <w:bCs/>
        </w:rPr>
        <w:t>I remember the day when I told you that I wanted to quit teaching and go back to work. Without missing a beat</w:t>
      </w:r>
      <w:r w:rsidR="00174312">
        <w:rPr>
          <w:bCs/>
        </w:rPr>
        <w:t>,</w:t>
      </w:r>
      <w:r>
        <w:rPr>
          <w:bCs/>
        </w:rPr>
        <w:t xml:space="preserve"> you said, “We will make it work.” And we have. You have been incredibly supportive whenever and exactly how I needed it—watching the children so I could sneak away to finish my papers, </w:t>
      </w:r>
      <w:r w:rsidR="00C1674E">
        <w:rPr>
          <w:bCs/>
        </w:rPr>
        <w:t xml:space="preserve">plying me with ice cream or coffee, </w:t>
      </w:r>
      <w:r>
        <w:rPr>
          <w:bCs/>
        </w:rPr>
        <w:t xml:space="preserve">listening to me give presentations or just talk about my research, </w:t>
      </w:r>
      <w:r w:rsidR="00C1674E">
        <w:rPr>
          <w:bCs/>
        </w:rPr>
        <w:t xml:space="preserve">and </w:t>
      </w:r>
      <w:r>
        <w:rPr>
          <w:bCs/>
        </w:rPr>
        <w:t>rearranging your schedule so that I could do what I needed to do. Thank you for everything you have done along the way so that I could pursue my dreams.</w:t>
      </w:r>
    </w:p>
    <w:p w14:paraId="2BD7B2BB" w14:textId="77777777" w:rsidR="006330DF" w:rsidRDefault="006330DF" w:rsidP="006330DF">
      <w:pPr>
        <w:spacing w:line="240" w:lineRule="auto"/>
        <w:rPr>
          <w:bCs/>
        </w:rPr>
      </w:pPr>
    </w:p>
    <w:p w14:paraId="6A57DABD" w14:textId="258ADE7E" w:rsidR="001F4A87" w:rsidRDefault="001F4A87" w:rsidP="00483062">
      <w:pPr>
        <w:spacing w:line="240" w:lineRule="auto"/>
        <w:ind w:firstLine="720"/>
        <w:rPr>
          <w:bCs/>
        </w:rPr>
      </w:pPr>
      <w:r>
        <w:rPr>
          <w:bCs/>
        </w:rPr>
        <w:t>I would also like to thank the faculty at OU-Tulsa. You are f</w:t>
      </w:r>
      <w:r w:rsidR="00C1674E">
        <w:rPr>
          <w:bCs/>
        </w:rPr>
        <w:t xml:space="preserve">ive </w:t>
      </w:r>
      <w:r>
        <w:rPr>
          <w:bCs/>
        </w:rPr>
        <w:t>incredibly inspiring women.</w:t>
      </w:r>
      <w:r w:rsidR="007C1CBE">
        <w:rPr>
          <w:bCs/>
        </w:rPr>
        <w:t xml:space="preserve"> </w:t>
      </w:r>
      <w:r>
        <w:rPr>
          <w:bCs/>
        </w:rPr>
        <w:t>Each of you has shaped my journey in such important ways</w:t>
      </w:r>
      <w:r w:rsidR="00483062">
        <w:rPr>
          <w:bCs/>
        </w:rPr>
        <w:t xml:space="preserve"> and taught me about much more than just how to write a dissertation:</w:t>
      </w:r>
      <w:r>
        <w:rPr>
          <w:bCs/>
        </w:rPr>
        <w:t xml:space="preserve"> </w:t>
      </w:r>
    </w:p>
    <w:p w14:paraId="40D92D39" w14:textId="77777777" w:rsidR="005B7391" w:rsidRDefault="005B7391" w:rsidP="006330DF">
      <w:pPr>
        <w:spacing w:line="240" w:lineRule="auto"/>
        <w:ind w:firstLine="720"/>
        <w:rPr>
          <w:bCs/>
        </w:rPr>
      </w:pPr>
    </w:p>
    <w:p w14:paraId="57CD9285" w14:textId="67CD648D" w:rsidR="00AC063D" w:rsidRDefault="001F4A87" w:rsidP="006330DF">
      <w:pPr>
        <w:spacing w:line="240" w:lineRule="auto"/>
        <w:ind w:firstLine="720"/>
        <w:rPr>
          <w:bCs/>
        </w:rPr>
      </w:pPr>
      <w:r>
        <w:rPr>
          <w:bCs/>
        </w:rPr>
        <w:t>Dr. Kwon, thank you for helping me develop my skills as a researcher. I learned so much from working with you about crafting research questions, finding the gap, and writing a good discussion section. You also encouraged</w:t>
      </w:r>
      <w:r w:rsidR="00483062">
        <w:rPr>
          <w:bCs/>
        </w:rPr>
        <w:t xml:space="preserve"> me, w</w:t>
      </w:r>
      <w:r>
        <w:rPr>
          <w:bCs/>
        </w:rPr>
        <w:t xml:space="preserve">ith just a gentle nudge, to present at national conferences and meet the famous people in my field. </w:t>
      </w:r>
    </w:p>
    <w:p w14:paraId="7DF45B5F" w14:textId="77777777" w:rsidR="006330DF" w:rsidRDefault="006330DF" w:rsidP="006330DF">
      <w:pPr>
        <w:spacing w:line="240" w:lineRule="auto"/>
        <w:ind w:firstLine="720"/>
        <w:rPr>
          <w:bCs/>
        </w:rPr>
      </w:pPr>
    </w:p>
    <w:p w14:paraId="3D80E721" w14:textId="1BB19D29" w:rsidR="001F4A87" w:rsidRDefault="001F4A87" w:rsidP="006330DF">
      <w:pPr>
        <w:spacing w:line="240" w:lineRule="auto"/>
        <w:rPr>
          <w:bCs/>
        </w:rPr>
      </w:pPr>
      <w:r>
        <w:rPr>
          <w:bCs/>
        </w:rPr>
        <w:tab/>
        <w:t xml:space="preserve">Dr. Lake, thank you for helping me </w:t>
      </w:r>
      <w:r w:rsidR="00890B07">
        <w:rPr>
          <w:bCs/>
        </w:rPr>
        <w:t xml:space="preserve">learn to think more critically. I am so grateful for the times that I </w:t>
      </w:r>
      <w:r w:rsidR="00483062">
        <w:rPr>
          <w:bCs/>
        </w:rPr>
        <w:t xml:space="preserve">was </w:t>
      </w:r>
      <w:r w:rsidR="00890B07">
        <w:rPr>
          <w:bCs/>
        </w:rPr>
        <w:t>able to ask you for advice or how to navigate situations</w:t>
      </w:r>
      <w:r w:rsidR="00EC00CB">
        <w:rPr>
          <w:bCs/>
        </w:rPr>
        <w:t xml:space="preserve"> and receive honest </w:t>
      </w:r>
      <w:r w:rsidR="00EC00CB">
        <w:rPr>
          <w:bCs/>
        </w:rPr>
        <w:lastRenderedPageBreak/>
        <w:t>answers</w:t>
      </w:r>
      <w:r w:rsidR="00890B07">
        <w:rPr>
          <w:bCs/>
        </w:rPr>
        <w:t>. I am also thankful for the many ways in which you encourage me to develop my quantitative skills</w:t>
      </w:r>
      <w:r w:rsidR="00483062">
        <w:rPr>
          <w:bCs/>
        </w:rPr>
        <w:t xml:space="preserve"> and push me to do more. </w:t>
      </w:r>
    </w:p>
    <w:p w14:paraId="7EF1D618" w14:textId="77777777" w:rsidR="006330DF" w:rsidRDefault="006330DF" w:rsidP="006330DF">
      <w:pPr>
        <w:spacing w:line="240" w:lineRule="auto"/>
        <w:rPr>
          <w:bCs/>
        </w:rPr>
      </w:pPr>
    </w:p>
    <w:p w14:paraId="6A9B2593" w14:textId="6E70F6E5" w:rsidR="00890B07" w:rsidRDefault="00890B07" w:rsidP="006330DF">
      <w:pPr>
        <w:spacing w:line="240" w:lineRule="auto"/>
        <w:rPr>
          <w:bCs/>
        </w:rPr>
      </w:pPr>
      <w:r>
        <w:rPr>
          <w:bCs/>
        </w:rPr>
        <w:tab/>
        <w:t xml:space="preserve">Dr. Ethridge, thank you for your </w:t>
      </w:r>
      <w:r w:rsidR="00483062">
        <w:rPr>
          <w:bCs/>
        </w:rPr>
        <w:t xml:space="preserve">constant </w:t>
      </w:r>
      <w:r>
        <w:rPr>
          <w:bCs/>
        </w:rPr>
        <w:t xml:space="preserve">care and concern. I was always </w:t>
      </w:r>
      <w:r w:rsidR="00483062">
        <w:rPr>
          <w:bCs/>
        </w:rPr>
        <w:t xml:space="preserve">appreciative </w:t>
      </w:r>
      <w:r w:rsidR="00174312">
        <w:rPr>
          <w:bCs/>
        </w:rPr>
        <w:t>of</w:t>
      </w:r>
      <w:r>
        <w:rPr>
          <w:bCs/>
        </w:rPr>
        <w:t xml:space="preserve"> the many ways in which you check in on me and make sure I am doing okay. </w:t>
      </w:r>
      <w:r w:rsidR="00483062">
        <w:rPr>
          <w:bCs/>
        </w:rPr>
        <w:t>I have enjoyed learning about how to be a wonderful professor</w:t>
      </w:r>
      <w:r w:rsidR="00BF5C5D">
        <w:rPr>
          <w:bCs/>
        </w:rPr>
        <w:t xml:space="preserve"> and how to find my voice</w:t>
      </w:r>
      <w:r w:rsidR="00483062">
        <w:rPr>
          <w:bCs/>
        </w:rPr>
        <w:t xml:space="preserve">. I have learned </w:t>
      </w:r>
      <w:r w:rsidR="00174312">
        <w:rPr>
          <w:bCs/>
        </w:rPr>
        <w:t>valuable</w:t>
      </w:r>
      <w:r w:rsidR="00483062">
        <w:rPr>
          <w:bCs/>
        </w:rPr>
        <w:t xml:space="preserve"> lessons about how to advocate for myself</w:t>
      </w:r>
      <w:r w:rsidR="00BF5C5D">
        <w:rPr>
          <w:bCs/>
        </w:rPr>
        <w:t xml:space="preserve">, remain poised through tough times, </w:t>
      </w:r>
      <w:r w:rsidR="00483062">
        <w:rPr>
          <w:bCs/>
        </w:rPr>
        <w:t xml:space="preserve">and how to teach others about </w:t>
      </w:r>
      <w:r w:rsidR="00BF5C5D">
        <w:rPr>
          <w:bCs/>
        </w:rPr>
        <w:t xml:space="preserve">defending </w:t>
      </w:r>
      <w:r w:rsidR="00F11535">
        <w:rPr>
          <w:bCs/>
        </w:rPr>
        <w:t>their</w:t>
      </w:r>
      <w:r w:rsidR="00BF5C5D">
        <w:rPr>
          <w:bCs/>
        </w:rPr>
        <w:t xml:space="preserve"> principl</w:t>
      </w:r>
      <w:r w:rsidR="00EC00CB">
        <w:rPr>
          <w:bCs/>
        </w:rPr>
        <w:t>e</w:t>
      </w:r>
      <w:r w:rsidR="00BF5C5D">
        <w:rPr>
          <w:bCs/>
        </w:rPr>
        <w:t>s</w:t>
      </w:r>
      <w:r w:rsidR="00483062">
        <w:rPr>
          <w:bCs/>
        </w:rPr>
        <w:t>.</w:t>
      </w:r>
      <w:r w:rsidR="007C1CBE">
        <w:rPr>
          <w:bCs/>
        </w:rPr>
        <w:t xml:space="preserve"> </w:t>
      </w:r>
    </w:p>
    <w:p w14:paraId="20B0792A" w14:textId="77777777" w:rsidR="006330DF" w:rsidRDefault="006330DF" w:rsidP="006330DF">
      <w:pPr>
        <w:spacing w:line="240" w:lineRule="auto"/>
        <w:rPr>
          <w:bCs/>
        </w:rPr>
      </w:pPr>
    </w:p>
    <w:p w14:paraId="36EF63C7" w14:textId="70E11629" w:rsidR="0018096C" w:rsidRDefault="0018096C" w:rsidP="006330DF">
      <w:pPr>
        <w:spacing w:line="240" w:lineRule="auto"/>
        <w:rPr>
          <w:bCs/>
        </w:rPr>
      </w:pPr>
      <w:r>
        <w:rPr>
          <w:bCs/>
        </w:rPr>
        <w:tab/>
        <w:t xml:space="preserve">Dr. </w:t>
      </w:r>
      <w:r w:rsidR="0010640D">
        <w:rPr>
          <w:bCs/>
        </w:rPr>
        <w:t>Grinnell</w:t>
      </w:r>
      <w:r>
        <w:rPr>
          <w:bCs/>
        </w:rPr>
        <w:t xml:space="preserve">-Davis, thank you for your time. I learned much from our frequent meetings about statistics, data management, and data analysis. </w:t>
      </w:r>
      <w:proofErr w:type="gramStart"/>
      <w:r>
        <w:rPr>
          <w:bCs/>
        </w:rPr>
        <w:t>But,</w:t>
      </w:r>
      <w:proofErr w:type="gramEnd"/>
      <w:r>
        <w:rPr>
          <w:bCs/>
        </w:rPr>
        <w:t xml:space="preserve"> I also learned</w:t>
      </w:r>
      <w:r w:rsidR="00483062">
        <w:rPr>
          <w:bCs/>
        </w:rPr>
        <w:t xml:space="preserve"> not </w:t>
      </w:r>
      <w:r>
        <w:rPr>
          <w:bCs/>
        </w:rPr>
        <w:t>to take a number at face value</w:t>
      </w:r>
      <w:r w:rsidR="00483062">
        <w:rPr>
          <w:bCs/>
        </w:rPr>
        <w:t>.</w:t>
      </w:r>
      <w:r>
        <w:rPr>
          <w:bCs/>
        </w:rPr>
        <w:t xml:space="preserve"> I am incredibly grateful for your help and support along the way. You taught me how to dig through the data and weed out the garbage before just jumping in. </w:t>
      </w:r>
    </w:p>
    <w:p w14:paraId="2046821E" w14:textId="77777777" w:rsidR="005B7391" w:rsidRDefault="005B7391" w:rsidP="006330DF">
      <w:pPr>
        <w:spacing w:line="240" w:lineRule="auto"/>
        <w:rPr>
          <w:bCs/>
        </w:rPr>
      </w:pPr>
    </w:p>
    <w:p w14:paraId="24F38124" w14:textId="2A2D2CDD" w:rsidR="00890B07" w:rsidRDefault="00890B07" w:rsidP="006330DF">
      <w:pPr>
        <w:spacing w:line="240" w:lineRule="auto"/>
        <w:rPr>
          <w:bCs/>
        </w:rPr>
      </w:pPr>
      <w:r>
        <w:rPr>
          <w:bCs/>
        </w:rPr>
        <w:tab/>
        <w:t xml:space="preserve">Dr. Horm, thank you for EVERYTHING! One of the things I appreciate most about you is that you always asked, “what can I do? What do you need?” You read through countless drafts, pushed my thinking about topics, and helped me flush out what I was really trying to say. Your flexibility to meet me wherever I needed was what I needed to get the job done. </w:t>
      </w:r>
      <w:r w:rsidR="00483062">
        <w:rPr>
          <w:bCs/>
        </w:rPr>
        <w:t xml:space="preserve">I also value your advice about how to present myself as a researcher and how to shape my career path. I really enjoyed listening to your stories and experiences. </w:t>
      </w:r>
    </w:p>
    <w:p w14:paraId="172F2D35" w14:textId="77777777" w:rsidR="006330DF" w:rsidRDefault="006330DF" w:rsidP="006330DF">
      <w:pPr>
        <w:spacing w:line="240" w:lineRule="auto"/>
        <w:rPr>
          <w:bCs/>
        </w:rPr>
      </w:pPr>
    </w:p>
    <w:p w14:paraId="79979AC6" w14:textId="1A02A920" w:rsidR="00AC063D" w:rsidRDefault="00AC063D" w:rsidP="006330DF">
      <w:pPr>
        <w:spacing w:line="240" w:lineRule="auto"/>
        <w:rPr>
          <w:bCs/>
        </w:rPr>
      </w:pPr>
      <w:r>
        <w:rPr>
          <w:bCs/>
        </w:rPr>
        <w:tab/>
        <w:t>I want to thank the E</w:t>
      </w:r>
      <w:r w:rsidR="00890B07">
        <w:rPr>
          <w:bCs/>
        </w:rPr>
        <w:t>arly Childhood Education Institute for the use of their data and their support in understanding and navigating the data along the way. Thank you to Shinyoung for your leadership style and encouragement of my own approaches to learning. You taught me so much about data management, statistics, analysis, and where to go to find the answers to my questions. Thank you to Dr. Castle for helping me understand the nuances of the data. Thank you for also being available at a moment’s notice to talk through the quirks in the data.</w:t>
      </w:r>
      <w:r w:rsidR="007C1CBE">
        <w:rPr>
          <w:bCs/>
        </w:rPr>
        <w:t xml:space="preserve"> </w:t>
      </w:r>
      <w:r w:rsidR="00890B07">
        <w:rPr>
          <w:bCs/>
        </w:rPr>
        <w:t xml:space="preserve">Thank you also to the data collectors who worked tirelessly to collect and enter the data which I was able to </w:t>
      </w:r>
      <w:r w:rsidR="00F11535">
        <w:rPr>
          <w:bCs/>
        </w:rPr>
        <w:t xml:space="preserve">seamlessly </w:t>
      </w:r>
      <w:r w:rsidR="00890B07">
        <w:rPr>
          <w:bCs/>
        </w:rPr>
        <w:t xml:space="preserve">use. </w:t>
      </w:r>
    </w:p>
    <w:p w14:paraId="458A92C9" w14:textId="77777777" w:rsidR="00EC00CB" w:rsidRDefault="00EC00CB" w:rsidP="00EC00CB">
      <w:pPr>
        <w:spacing w:line="240" w:lineRule="auto"/>
        <w:ind w:firstLine="720"/>
        <w:rPr>
          <w:bCs/>
        </w:rPr>
      </w:pPr>
    </w:p>
    <w:p w14:paraId="4B6F7D0F" w14:textId="03476506" w:rsidR="007A5A24" w:rsidRDefault="00AC063D" w:rsidP="00EC00CB">
      <w:pPr>
        <w:spacing w:line="240" w:lineRule="auto"/>
        <w:ind w:firstLine="720"/>
        <w:rPr>
          <w:bCs/>
        </w:rPr>
      </w:pPr>
      <w:r>
        <w:rPr>
          <w:bCs/>
        </w:rPr>
        <w:t>I want to thank the OWLS.</w:t>
      </w:r>
      <w:r w:rsidR="00890B07">
        <w:rPr>
          <w:bCs/>
        </w:rPr>
        <w:t xml:space="preserve"> Knowing that I would see you every week and have to say something about my progress kept me motivated </w:t>
      </w:r>
      <w:r w:rsidR="00781E57">
        <w:rPr>
          <w:bCs/>
        </w:rPr>
        <w:t>to keep working throughout the week. Thank you for listening to me talk through my research, challenging my findings, and reading through drafts of my papers.</w:t>
      </w:r>
      <w:r w:rsidR="007C1CBE">
        <w:rPr>
          <w:bCs/>
        </w:rPr>
        <w:t xml:space="preserve"> </w:t>
      </w:r>
    </w:p>
    <w:p w14:paraId="001C7BB8" w14:textId="77777777" w:rsidR="006330DF" w:rsidRDefault="006330DF" w:rsidP="006330DF">
      <w:pPr>
        <w:spacing w:line="240" w:lineRule="auto"/>
        <w:ind w:firstLine="720"/>
        <w:rPr>
          <w:bCs/>
        </w:rPr>
      </w:pPr>
    </w:p>
    <w:p w14:paraId="7C4409B9" w14:textId="4CEA697E" w:rsidR="007A5A24" w:rsidRDefault="0010640D" w:rsidP="003D0BBE">
      <w:pPr>
        <w:spacing w:line="240" w:lineRule="auto"/>
        <w:ind w:firstLine="720"/>
        <w:rPr>
          <w:bCs/>
        </w:rPr>
      </w:pPr>
      <w:r>
        <w:rPr>
          <w:bCs/>
        </w:rPr>
        <w:t xml:space="preserve">And, I might be remiss without thanking Zeus and Apollo. Thank you for never eating my homework. </w:t>
      </w:r>
    </w:p>
    <w:p w14:paraId="57DDF5BE" w14:textId="7929543C" w:rsidR="003D0BBE" w:rsidRDefault="003D0BBE" w:rsidP="003D0BBE">
      <w:pPr>
        <w:spacing w:line="240" w:lineRule="auto"/>
        <w:ind w:firstLine="720"/>
        <w:rPr>
          <w:bCs/>
        </w:rPr>
      </w:pPr>
    </w:p>
    <w:p w14:paraId="41917650" w14:textId="377DB881" w:rsidR="003D0BBE" w:rsidRPr="003D0BBE" w:rsidRDefault="003D0BBE" w:rsidP="003D0BBE">
      <w:pPr>
        <w:spacing w:line="240" w:lineRule="auto"/>
        <w:ind w:firstLine="720"/>
        <w:rPr>
          <w:bCs/>
        </w:rPr>
      </w:pPr>
      <w:r>
        <w:rPr>
          <w:bCs/>
        </w:rPr>
        <w:t xml:space="preserve">Brian, should we buy some hiking boots now? </w:t>
      </w:r>
    </w:p>
    <w:p w14:paraId="5935E5FB" w14:textId="77777777" w:rsidR="007A5A24" w:rsidRDefault="007A5A24" w:rsidP="007A5A24">
      <w:pPr>
        <w:rPr>
          <w:b/>
          <w:sz w:val="28"/>
          <w:szCs w:val="28"/>
        </w:rPr>
      </w:pPr>
    </w:p>
    <w:p w14:paraId="03C4BE0E" w14:textId="77777777" w:rsidR="007A5A24" w:rsidRDefault="007A5A24" w:rsidP="007A5A24">
      <w:pPr>
        <w:rPr>
          <w:b/>
          <w:sz w:val="28"/>
          <w:szCs w:val="28"/>
        </w:rPr>
      </w:pPr>
    </w:p>
    <w:p w14:paraId="2DBBD9D5" w14:textId="12B23166" w:rsidR="001B072F" w:rsidRDefault="001B072F">
      <w:pPr>
        <w:rPr>
          <w:b/>
          <w:sz w:val="28"/>
          <w:szCs w:val="28"/>
        </w:rPr>
      </w:pPr>
      <w:r>
        <w:rPr>
          <w:b/>
          <w:sz w:val="28"/>
          <w:szCs w:val="28"/>
        </w:rPr>
        <w:br w:type="page"/>
      </w:r>
    </w:p>
    <w:p w14:paraId="5924E830" w14:textId="77777777" w:rsidR="00304CCF" w:rsidRPr="00B82FAD" w:rsidRDefault="00304CCF" w:rsidP="00304CCF">
      <w:pPr>
        <w:spacing w:line="240" w:lineRule="auto"/>
        <w:jc w:val="center"/>
        <w:rPr>
          <w:sz w:val="28"/>
          <w:szCs w:val="28"/>
        </w:rPr>
      </w:pPr>
      <w:r w:rsidRPr="00B82FAD">
        <w:rPr>
          <w:sz w:val="28"/>
          <w:szCs w:val="28"/>
        </w:rPr>
        <w:lastRenderedPageBreak/>
        <w:t>Table of Contents</w:t>
      </w:r>
    </w:p>
    <w:p w14:paraId="786B48EB" w14:textId="2D27A8ED" w:rsidR="001D5DB1" w:rsidRDefault="00A949EC">
      <w:pPr>
        <w:pStyle w:val="TOC1"/>
        <w:tabs>
          <w:tab w:val="right" w:leader="dot" w:pos="9350"/>
        </w:tabs>
        <w:rPr>
          <w:rFonts w:asciiTheme="minorHAnsi" w:eastAsiaTheme="minorEastAsia" w:hAnsiTheme="minorHAnsi" w:cstheme="minorBidi"/>
          <w:noProof/>
          <w:color w:val="auto"/>
          <w:sz w:val="22"/>
          <w:szCs w:val="22"/>
        </w:rPr>
      </w:pPr>
      <w:r>
        <w:rPr>
          <w:b/>
          <w:sz w:val="28"/>
          <w:szCs w:val="28"/>
        </w:rPr>
        <w:fldChar w:fldCharType="begin"/>
      </w:r>
      <w:r>
        <w:rPr>
          <w:b/>
          <w:sz w:val="28"/>
          <w:szCs w:val="28"/>
        </w:rPr>
        <w:instrText xml:space="preserve"> TOC \o "2-4" \h \z \t "Heading 1,1" </w:instrText>
      </w:r>
      <w:r>
        <w:rPr>
          <w:b/>
          <w:sz w:val="28"/>
          <w:szCs w:val="28"/>
        </w:rPr>
        <w:fldChar w:fldCharType="separate"/>
      </w:r>
      <w:hyperlink w:anchor="_Toc46265452" w:history="1">
        <w:r w:rsidR="001D5DB1" w:rsidRPr="0008224A">
          <w:rPr>
            <w:rStyle w:val="Hyperlink"/>
            <w:noProof/>
          </w:rPr>
          <w:t>List of Tables</w:t>
        </w:r>
        <w:r w:rsidR="001D5DB1">
          <w:rPr>
            <w:noProof/>
            <w:webHidden/>
          </w:rPr>
          <w:tab/>
        </w:r>
        <w:r w:rsidR="001D5DB1">
          <w:rPr>
            <w:noProof/>
            <w:webHidden/>
          </w:rPr>
          <w:fldChar w:fldCharType="begin"/>
        </w:r>
        <w:r w:rsidR="001D5DB1">
          <w:rPr>
            <w:noProof/>
            <w:webHidden/>
          </w:rPr>
          <w:instrText xml:space="preserve"> PAGEREF _Toc46265452 \h </w:instrText>
        </w:r>
        <w:r w:rsidR="001D5DB1">
          <w:rPr>
            <w:noProof/>
            <w:webHidden/>
          </w:rPr>
        </w:r>
        <w:r w:rsidR="001D5DB1">
          <w:rPr>
            <w:noProof/>
            <w:webHidden/>
          </w:rPr>
          <w:fldChar w:fldCharType="separate"/>
        </w:r>
        <w:r w:rsidR="00DD2E33">
          <w:rPr>
            <w:noProof/>
            <w:webHidden/>
          </w:rPr>
          <w:t>xii</w:t>
        </w:r>
        <w:r w:rsidR="001D5DB1">
          <w:rPr>
            <w:noProof/>
            <w:webHidden/>
          </w:rPr>
          <w:fldChar w:fldCharType="end"/>
        </w:r>
      </w:hyperlink>
    </w:p>
    <w:p w14:paraId="46D959CE" w14:textId="0D49B167"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53" w:history="1">
        <w:r w:rsidR="001D5DB1" w:rsidRPr="0008224A">
          <w:rPr>
            <w:rStyle w:val="Hyperlink"/>
            <w:noProof/>
          </w:rPr>
          <w:t>List of Figures</w:t>
        </w:r>
        <w:r w:rsidR="001D5DB1">
          <w:rPr>
            <w:noProof/>
            <w:webHidden/>
          </w:rPr>
          <w:tab/>
        </w:r>
        <w:r w:rsidR="001D5DB1">
          <w:rPr>
            <w:noProof/>
            <w:webHidden/>
          </w:rPr>
          <w:fldChar w:fldCharType="begin"/>
        </w:r>
        <w:r w:rsidR="001D5DB1">
          <w:rPr>
            <w:noProof/>
            <w:webHidden/>
          </w:rPr>
          <w:instrText xml:space="preserve"> PAGEREF _Toc46265453 \h </w:instrText>
        </w:r>
        <w:r w:rsidR="001D5DB1">
          <w:rPr>
            <w:noProof/>
            <w:webHidden/>
          </w:rPr>
        </w:r>
        <w:r w:rsidR="001D5DB1">
          <w:rPr>
            <w:noProof/>
            <w:webHidden/>
          </w:rPr>
          <w:fldChar w:fldCharType="separate"/>
        </w:r>
        <w:r w:rsidR="00DD2E33">
          <w:rPr>
            <w:noProof/>
            <w:webHidden/>
          </w:rPr>
          <w:t>xiii</w:t>
        </w:r>
        <w:r w:rsidR="001D5DB1">
          <w:rPr>
            <w:noProof/>
            <w:webHidden/>
          </w:rPr>
          <w:fldChar w:fldCharType="end"/>
        </w:r>
      </w:hyperlink>
    </w:p>
    <w:p w14:paraId="1B57062F" w14:textId="397E831B"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54" w:history="1">
        <w:r w:rsidR="001D5DB1" w:rsidRPr="0008224A">
          <w:rPr>
            <w:rStyle w:val="Hyperlink"/>
            <w:noProof/>
          </w:rPr>
          <w:t>PROLOGUE</w:t>
        </w:r>
        <w:r w:rsidR="001D5DB1">
          <w:rPr>
            <w:noProof/>
            <w:webHidden/>
          </w:rPr>
          <w:tab/>
        </w:r>
        <w:r w:rsidR="001D5DB1">
          <w:rPr>
            <w:noProof/>
            <w:webHidden/>
          </w:rPr>
          <w:fldChar w:fldCharType="begin"/>
        </w:r>
        <w:r w:rsidR="001D5DB1">
          <w:rPr>
            <w:noProof/>
            <w:webHidden/>
          </w:rPr>
          <w:instrText xml:space="preserve"> PAGEREF _Toc46265454 \h </w:instrText>
        </w:r>
        <w:r w:rsidR="001D5DB1">
          <w:rPr>
            <w:noProof/>
            <w:webHidden/>
          </w:rPr>
        </w:r>
        <w:r w:rsidR="001D5DB1">
          <w:rPr>
            <w:noProof/>
            <w:webHidden/>
          </w:rPr>
          <w:fldChar w:fldCharType="separate"/>
        </w:r>
        <w:r w:rsidR="00DD2E33">
          <w:rPr>
            <w:noProof/>
            <w:webHidden/>
          </w:rPr>
          <w:t>xiv</w:t>
        </w:r>
        <w:r w:rsidR="001D5DB1">
          <w:rPr>
            <w:noProof/>
            <w:webHidden/>
          </w:rPr>
          <w:fldChar w:fldCharType="end"/>
        </w:r>
      </w:hyperlink>
    </w:p>
    <w:p w14:paraId="74950473" w14:textId="3D318043"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55" w:history="1">
        <w:r w:rsidR="001D5DB1" w:rsidRPr="0008224A">
          <w:rPr>
            <w:rStyle w:val="Hyperlink"/>
            <w:bCs/>
            <w:noProof/>
          </w:rPr>
          <w:t>Dissertation Abstract</w:t>
        </w:r>
        <w:r w:rsidR="001D5DB1">
          <w:rPr>
            <w:noProof/>
            <w:webHidden/>
          </w:rPr>
          <w:tab/>
        </w:r>
        <w:r w:rsidR="001D5DB1">
          <w:rPr>
            <w:noProof/>
            <w:webHidden/>
          </w:rPr>
          <w:fldChar w:fldCharType="begin"/>
        </w:r>
        <w:r w:rsidR="001D5DB1">
          <w:rPr>
            <w:noProof/>
            <w:webHidden/>
          </w:rPr>
          <w:instrText xml:space="preserve"> PAGEREF _Toc46265455 \h </w:instrText>
        </w:r>
        <w:r w:rsidR="001D5DB1">
          <w:rPr>
            <w:noProof/>
            <w:webHidden/>
          </w:rPr>
        </w:r>
        <w:r w:rsidR="001D5DB1">
          <w:rPr>
            <w:noProof/>
            <w:webHidden/>
          </w:rPr>
          <w:fldChar w:fldCharType="separate"/>
        </w:r>
        <w:r w:rsidR="00DD2E33">
          <w:rPr>
            <w:noProof/>
            <w:webHidden/>
          </w:rPr>
          <w:t>xv</w:t>
        </w:r>
        <w:r w:rsidR="001D5DB1">
          <w:rPr>
            <w:noProof/>
            <w:webHidden/>
          </w:rPr>
          <w:fldChar w:fldCharType="end"/>
        </w:r>
      </w:hyperlink>
    </w:p>
    <w:p w14:paraId="13D8A5A4" w14:textId="36D30942"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56" w:history="1">
        <w:r w:rsidR="001D5DB1" w:rsidRPr="0008224A">
          <w:rPr>
            <w:rStyle w:val="Hyperlink"/>
            <w:bCs/>
            <w:noProof/>
          </w:rPr>
          <w:t>MANUSCRIPT I</w:t>
        </w:r>
        <w:r w:rsidR="001D5DB1">
          <w:rPr>
            <w:noProof/>
            <w:webHidden/>
          </w:rPr>
          <w:tab/>
        </w:r>
        <w:r w:rsidR="001D5DB1">
          <w:rPr>
            <w:noProof/>
            <w:webHidden/>
          </w:rPr>
          <w:fldChar w:fldCharType="begin"/>
        </w:r>
        <w:r w:rsidR="001D5DB1">
          <w:rPr>
            <w:noProof/>
            <w:webHidden/>
          </w:rPr>
          <w:instrText xml:space="preserve"> PAGEREF _Toc46265456 \h </w:instrText>
        </w:r>
        <w:r w:rsidR="001D5DB1">
          <w:rPr>
            <w:noProof/>
            <w:webHidden/>
          </w:rPr>
        </w:r>
        <w:r w:rsidR="001D5DB1">
          <w:rPr>
            <w:noProof/>
            <w:webHidden/>
          </w:rPr>
          <w:fldChar w:fldCharType="separate"/>
        </w:r>
        <w:r w:rsidR="00DD2E33">
          <w:rPr>
            <w:noProof/>
            <w:webHidden/>
          </w:rPr>
          <w:t>1</w:t>
        </w:r>
        <w:r w:rsidR="001D5DB1">
          <w:rPr>
            <w:noProof/>
            <w:webHidden/>
          </w:rPr>
          <w:fldChar w:fldCharType="end"/>
        </w:r>
      </w:hyperlink>
    </w:p>
    <w:p w14:paraId="795753C6" w14:textId="0D311E06"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57" w:history="1">
        <w:r w:rsidR="001D5DB1" w:rsidRPr="0008224A">
          <w:rPr>
            <w:rStyle w:val="Hyperlink"/>
            <w:bCs/>
            <w:noProof/>
          </w:rPr>
          <w:t>Abstract</w:t>
        </w:r>
        <w:r w:rsidR="001D5DB1">
          <w:rPr>
            <w:noProof/>
            <w:webHidden/>
          </w:rPr>
          <w:tab/>
        </w:r>
        <w:r w:rsidR="001D5DB1">
          <w:rPr>
            <w:noProof/>
            <w:webHidden/>
          </w:rPr>
          <w:fldChar w:fldCharType="begin"/>
        </w:r>
        <w:r w:rsidR="001D5DB1">
          <w:rPr>
            <w:noProof/>
            <w:webHidden/>
          </w:rPr>
          <w:instrText xml:space="preserve"> PAGEREF _Toc46265457 \h </w:instrText>
        </w:r>
        <w:r w:rsidR="001D5DB1">
          <w:rPr>
            <w:noProof/>
            <w:webHidden/>
          </w:rPr>
        </w:r>
        <w:r w:rsidR="001D5DB1">
          <w:rPr>
            <w:noProof/>
            <w:webHidden/>
          </w:rPr>
          <w:fldChar w:fldCharType="separate"/>
        </w:r>
        <w:r w:rsidR="00DD2E33">
          <w:rPr>
            <w:noProof/>
            <w:webHidden/>
          </w:rPr>
          <w:t>2</w:t>
        </w:r>
        <w:r w:rsidR="001D5DB1">
          <w:rPr>
            <w:noProof/>
            <w:webHidden/>
          </w:rPr>
          <w:fldChar w:fldCharType="end"/>
        </w:r>
      </w:hyperlink>
    </w:p>
    <w:p w14:paraId="2635D2E9" w14:textId="4DC6190D"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58" w:history="1">
        <w:r w:rsidR="001D5DB1" w:rsidRPr="0008224A">
          <w:rPr>
            <w:rStyle w:val="Hyperlink"/>
            <w:noProof/>
          </w:rPr>
          <w:t>Analysis of the Research</w:t>
        </w:r>
        <w:r w:rsidR="001D5DB1">
          <w:rPr>
            <w:noProof/>
            <w:webHidden/>
          </w:rPr>
          <w:tab/>
        </w:r>
        <w:r w:rsidR="001D5DB1">
          <w:rPr>
            <w:noProof/>
            <w:webHidden/>
          </w:rPr>
          <w:fldChar w:fldCharType="begin"/>
        </w:r>
        <w:r w:rsidR="001D5DB1">
          <w:rPr>
            <w:noProof/>
            <w:webHidden/>
          </w:rPr>
          <w:instrText xml:space="preserve"> PAGEREF _Toc46265458 \h </w:instrText>
        </w:r>
        <w:r w:rsidR="001D5DB1">
          <w:rPr>
            <w:noProof/>
            <w:webHidden/>
          </w:rPr>
        </w:r>
        <w:r w:rsidR="001D5DB1">
          <w:rPr>
            <w:noProof/>
            <w:webHidden/>
          </w:rPr>
          <w:fldChar w:fldCharType="separate"/>
        </w:r>
        <w:r w:rsidR="00DD2E33">
          <w:rPr>
            <w:noProof/>
            <w:webHidden/>
          </w:rPr>
          <w:t>5</w:t>
        </w:r>
        <w:r w:rsidR="001D5DB1">
          <w:rPr>
            <w:noProof/>
            <w:webHidden/>
          </w:rPr>
          <w:fldChar w:fldCharType="end"/>
        </w:r>
      </w:hyperlink>
    </w:p>
    <w:p w14:paraId="79E8F168" w14:textId="67D15400"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59" w:history="1">
        <w:r w:rsidR="001D5DB1" w:rsidRPr="0008224A">
          <w:rPr>
            <w:rStyle w:val="Hyperlink"/>
            <w:noProof/>
          </w:rPr>
          <w:t>Inconsistency of Term and Operationalization of Approaches to Learning</w:t>
        </w:r>
        <w:r w:rsidR="001D5DB1">
          <w:rPr>
            <w:noProof/>
            <w:webHidden/>
          </w:rPr>
          <w:tab/>
        </w:r>
        <w:r w:rsidR="001D5DB1">
          <w:rPr>
            <w:noProof/>
            <w:webHidden/>
          </w:rPr>
          <w:fldChar w:fldCharType="begin"/>
        </w:r>
        <w:r w:rsidR="001D5DB1">
          <w:rPr>
            <w:noProof/>
            <w:webHidden/>
          </w:rPr>
          <w:instrText xml:space="preserve"> PAGEREF _Toc46265459 \h </w:instrText>
        </w:r>
        <w:r w:rsidR="001D5DB1">
          <w:rPr>
            <w:noProof/>
            <w:webHidden/>
          </w:rPr>
        </w:r>
        <w:r w:rsidR="001D5DB1">
          <w:rPr>
            <w:noProof/>
            <w:webHidden/>
          </w:rPr>
          <w:fldChar w:fldCharType="separate"/>
        </w:r>
        <w:r w:rsidR="00DD2E33">
          <w:rPr>
            <w:noProof/>
            <w:webHidden/>
          </w:rPr>
          <w:t>7</w:t>
        </w:r>
        <w:r w:rsidR="001D5DB1">
          <w:rPr>
            <w:noProof/>
            <w:webHidden/>
          </w:rPr>
          <w:fldChar w:fldCharType="end"/>
        </w:r>
      </w:hyperlink>
    </w:p>
    <w:p w14:paraId="78822EE5" w14:textId="33C3A9F6"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60" w:history="1">
        <w:r w:rsidR="001D5DB1" w:rsidRPr="0008224A">
          <w:rPr>
            <w:rStyle w:val="Hyperlink"/>
          </w:rPr>
          <w:t>NEGP’s Definition of Approaches to Learning</w:t>
        </w:r>
        <w:r w:rsidR="001D5DB1">
          <w:rPr>
            <w:webHidden/>
          </w:rPr>
          <w:tab/>
        </w:r>
        <w:r w:rsidR="001D5DB1">
          <w:rPr>
            <w:webHidden/>
          </w:rPr>
          <w:fldChar w:fldCharType="begin"/>
        </w:r>
        <w:r w:rsidR="001D5DB1">
          <w:rPr>
            <w:webHidden/>
          </w:rPr>
          <w:instrText xml:space="preserve"> PAGEREF _Toc46265460 \h </w:instrText>
        </w:r>
        <w:r w:rsidR="001D5DB1">
          <w:rPr>
            <w:webHidden/>
          </w:rPr>
        </w:r>
        <w:r w:rsidR="001D5DB1">
          <w:rPr>
            <w:webHidden/>
          </w:rPr>
          <w:fldChar w:fldCharType="separate"/>
        </w:r>
        <w:r w:rsidR="00DD2E33">
          <w:rPr>
            <w:webHidden/>
          </w:rPr>
          <w:t>7</w:t>
        </w:r>
        <w:r w:rsidR="001D5DB1">
          <w:rPr>
            <w:webHidden/>
          </w:rPr>
          <w:fldChar w:fldCharType="end"/>
        </w:r>
      </w:hyperlink>
    </w:p>
    <w:p w14:paraId="354DFACF" w14:textId="6CDEE3C4"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61" w:history="1">
        <w:r w:rsidR="001D5DB1" w:rsidRPr="0008224A">
          <w:rPr>
            <w:rStyle w:val="Hyperlink"/>
          </w:rPr>
          <w:t>Inconsistency of Term Use</w:t>
        </w:r>
        <w:r w:rsidR="001D5DB1">
          <w:rPr>
            <w:webHidden/>
          </w:rPr>
          <w:tab/>
        </w:r>
        <w:r w:rsidR="001D5DB1">
          <w:rPr>
            <w:webHidden/>
          </w:rPr>
          <w:fldChar w:fldCharType="begin"/>
        </w:r>
        <w:r w:rsidR="001D5DB1">
          <w:rPr>
            <w:webHidden/>
          </w:rPr>
          <w:instrText xml:space="preserve"> PAGEREF _Toc46265461 \h </w:instrText>
        </w:r>
        <w:r w:rsidR="001D5DB1">
          <w:rPr>
            <w:webHidden/>
          </w:rPr>
        </w:r>
        <w:r w:rsidR="001D5DB1">
          <w:rPr>
            <w:webHidden/>
          </w:rPr>
          <w:fldChar w:fldCharType="separate"/>
        </w:r>
        <w:r w:rsidR="00DD2E33">
          <w:rPr>
            <w:webHidden/>
          </w:rPr>
          <w:t>8</w:t>
        </w:r>
        <w:r w:rsidR="001D5DB1">
          <w:rPr>
            <w:webHidden/>
          </w:rPr>
          <w:fldChar w:fldCharType="end"/>
        </w:r>
      </w:hyperlink>
    </w:p>
    <w:p w14:paraId="0B9B952B" w14:textId="79F9A0A1"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62" w:history="1">
        <w:r w:rsidR="001D5DB1" w:rsidRPr="0008224A">
          <w:rPr>
            <w:rStyle w:val="Hyperlink"/>
          </w:rPr>
          <w:t>Inconsistency Across Operationalization</w:t>
        </w:r>
        <w:r w:rsidR="001D5DB1">
          <w:rPr>
            <w:webHidden/>
          </w:rPr>
          <w:tab/>
        </w:r>
        <w:r w:rsidR="001D5DB1">
          <w:rPr>
            <w:webHidden/>
          </w:rPr>
          <w:fldChar w:fldCharType="begin"/>
        </w:r>
        <w:r w:rsidR="001D5DB1">
          <w:rPr>
            <w:webHidden/>
          </w:rPr>
          <w:instrText xml:space="preserve"> PAGEREF _Toc46265462 \h </w:instrText>
        </w:r>
        <w:r w:rsidR="001D5DB1">
          <w:rPr>
            <w:webHidden/>
          </w:rPr>
        </w:r>
        <w:r w:rsidR="001D5DB1">
          <w:rPr>
            <w:webHidden/>
          </w:rPr>
          <w:fldChar w:fldCharType="separate"/>
        </w:r>
        <w:r w:rsidR="00DD2E33">
          <w:rPr>
            <w:webHidden/>
          </w:rPr>
          <w:t>9</w:t>
        </w:r>
        <w:r w:rsidR="001D5DB1">
          <w:rPr>
            <w:webHidden/>
          </w:rPr>
          <w:fldChar w:fldCharType="end"/>
        </w:r>
      </w:hyperlink>
    </w:p>
    <w:p w14:paraId="6AB64E69" w14:textId="56CD4D91"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63" w:history="1">
        <w:r w:rsidR="001D5DB1" w:rsidRPr="0008224A">
          <w:rPr>
            <w:rStyle w:val="Hyperlink"/>
            <w:noProof/>
          </w:rPr>
          <w:t>A New Conceptualization of Approaches to Learning</w:t>
        </w:r>
        <w:r w:rsidR="001D5DB1">
          <w:rPr>
            <w:noProof/>
            <w:webHidden/>
          </w:rPr>
          <w:tab/>
        </w:r>
        <w:r w:rsidR="001D5DB1">
          <w:rPr>
            <w:noProof/>
            <w:webHidden/>
          </w:rPr>
          <w:fldChar w:fldCharType="begin"/>
        </w:r>
        <w:r w:rsidR="001D5DB1">
          <w:rPr>
            <w:noProof/>
            <w:webHidden/>
          </w:rPr>
          <w:instrText xml:space="preserve"> PAGEREF _Toc46265463 \h </w:instrText>
        </w:r>
        <w:r w:rsidR="001D5DB1">
          <w:rPr>
            <w:noProof/>
            <w:webHidden/>
          </w:rPr>
        </w:r>
        <w:r w:rsidR="001D5DB1">
          <w:rPr>
            <w:noProof/>
            <w:webHidden/>
          </w:rPr>
          <w:fldChar w:fldCharType="separate"/>
        </w:r>
        <w:r w:rsidR="00DD2E33">
          <w:rPr>
            <w:noProof/>
            <w:webHidden/>
          </w:rPr>
          <w:t>14</w:t>
        </w:r>
        <w:r w:rsidR="001D5DB1">
          <w:rPr>
            <w:noProof/>
            <w:webHidden/>
          </w:rPr>
          <w:fldChar w:fldCharType="end"/>
        </w:r>
      </w:hyperlink>
    </w:p>
    <w:p w14:paraId="6EEB1065" w14:textId="15735438"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64" w:history="1">
        <w:r w:rsidR="001D5DB1" w:rsidRPr="0008224A">
          <w:rPr>
            <w:rStyle w:val="Hyperlink"/>
            <w:noProof/>
          </w:rPr>
          <w:t>The Jingle Issue: Areas of Misalignment across Operationalization and Measurement</w:t>
        </w:r>
        <w:r w:rsidR="001D5DB1">
          <w:rPr>
            <w:noProof/>
            <w:webHidden/>
          </w:rPr>
          <w:tab/>
        </w:r>
        <w:r w:rsidR="001D5DB1">
          <w:rPr>
            <w:noProof/>
            <w:webHidden/>
          </w:rPr>
          <w:fldChar w:fldCharType="begin"/>
        </w:r>
        <w:r w:rsidR="001D5DB1">
          <w:rPr>
            <w:noProof/>
            <w:webHidden/>
          </w:rPr>
          <w:instrText xml:space="preserve"> PAGEREF _Toc46265464 \h </w:instrText>
        </w:r>
        <w:r w:rsidR="001D5DB1">
          <w:rPr>
            <w:noProof/>
            <w:webHidden/>
          </w:rPr>
        </w:r>
        <w:r w:rsidR="001D5DB1">
          <w:rPr>
            <w:noProof/>
            <w:webHidden/>
          </w:rPr>
          <w:fldChar w:fldCharType="separate"/>
        </w:r>
        <w:r w:rsidR="00DD2E33">
          <w:rPr>
            <w:noProof/>
            <w:webHidden/>
          </w:rPr>
          <w:t>19</w:t>
        </w:r>
        <w:r w:rsidR="001D5DB1">
          <w:rPr>
            <w:noProof/>
            <w:webHidden/>
          </w:rPr>
          <w:fldChar w:fldCharType="end"/>
        </w:r>
      </w:hyperlink>
    </w:p>
    <w:p w14:paraId="4AE0F55E" w14:textId="7797AB3A"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65" w:history="1">
        <w:r w:rsidR="001D5DB1" w:rsidRPr="0008224A">
          <w:rPr>
            <w:rStyle w:val="Hyperlink"/>
            <w:noProof/>
          </w:rPr>
          <w:t>The Jangle Issue: Inconsistencies Across Measurement</w:t>
        </w:r>
        <w:r w:rsidR="001D5DB1">
          <w:rPr>
            <w:noProof/>
            <w:webHidden/>
          </w:rPr>
          <w:tab/>
        </w:r>
        <w:r w:rsidR="001D5DB1">
          <w:rPr>
            <w:noProof/>
            <w:webHidden/>
          </w:rPr>
          <w:fldChar w:fldCharType="begin"/>
        </w:r>
        <w:r w:rsidR="001D5DB1">
          <w:rPr>
            <w:noProof/>
            <w:webHidden/>
          </w:rPr>
          <w:instrText xml:space="preserve"> PAGEREF _Toc46265465 \h </w:instrText>
        </w:r>
        <w:r w:rsidR="001D5DB1">
          <w:rPr>
            <w:noProof/>
            <w:webHidden/>
          </w:rPr>
        </w:r>
        <w:r w:rsidR="001D5DB1">
          <w:rPr>
            <w:noProof/>
            <w:webHidden/>
          </w:rPr>
          <w:fldChar w:fldCharType="separate"/>
        </w:r>
        <w:r w:rsidR="00DD2E33">
          <w:rPr>
            <w:noProof/>
            <w:webHidden/>
          </w:rPr>
          <w:t>28</w:t>
        </w:r>
        <w:r w:rsidR="001D5DB1">
          <w:rPr>
            <w:noProof/>
            <w:webHidden/>
          </w:rPr>
          <w:fldChar w:fldCharType="end"/>
        </w:r>
      </w:hyperlink>
    </w:p>
    <w:p w14:paraId="3331E899" w14:textId="095F4AE1"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66" w:history="1">
        <w:r w:rsidR="001D5DB1" w:rsidRPr="0008224A">
          <w:rPr>
            <w:rStyle w:val="Hyperlink"/>
          </w:rPr>
          <w:t>Adjustment</w:t>
        </w:r>
        <w:r w:rsidR="001D5DB1">
          <w:rPr>
            <w:webHidden/>
          </w:rPr>
          <w:tab/>
        </w:r>
        <w:r w:rsidR="001D5DB1">
          <w:rPr>
            <w:webHidden/>
          </w:rPr>
          <w:fldChar w:fldCharType="begin"/>
        </w:r>
        <w:r w:rsidR="001D5DB1">
          <w:rPr>
            <w:webHidden/>
          </w:rPr>
          <w:instrText xml:space="preserve"> PAGEREF _Toc46265466 \h </w:instrText>
        </w:r>
        <w:r w:rsidR="001D5DB1">
          <w:rPr>
            <w:webHidden/>
          </w:rPr>
        </w:r>
        <w:r w:rsidR="001D5DB1">
          <w:rPr>
            <w:webHidden/>
          </w:rPr>
          <w:fldChar w:fldCharType="separate"/>
        </w:r>
        <w:r w:rsidR="00DD2E33">
          <w:rPr>
            <w:webHidden/>
          </w:rPr>
          <w:t>28</w:t>
        </w:r>
        <w:r w:rsidR="001D5DB1">
          <w:rPr>
            <w:webHidden/>
          </w:rPr>
          <w:fldChar w:fldCharType="end"/>
        </w:r>
      </w:hyperlink>
    </w:p>
    <w:p w14:paraId="1CB4FA12" w14:textId="18631987"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67" w:history="1">
        <w:r w:rsidR="001D5DB1" w:rsidRPr="0008224A">
          <w:rPr>
            <w:rStyle w:val="Hyperlink"/>
          </w:rPr>
          <w:t>Behavioral Engagement in Learning</w:t>
        </w:r>
        <w:r w:rsidR="001D5DB1">
          <w:rPr>
            <w:webHidden/>
          </w:rPr>
          <w:tab/>
        </w:r>
        <w:r w:rsidR="001D5DB1">
          <w:rPr>
            <w:webHidden/>
          </w:rPr>
          <w:fldChar w:fldCharType="begin"/>
        </w:r>
        <w:r w:rsidR="001D5DB1">
          <w:rPr>
            <w:webHidden/>
          </w:rPr>
          <w:instrText xml:space="preserve"> PAGEREF _Toc46265467 \h </w:instrText>
        </w:r>
        <w:r w:rsidR="001D5DB1">
          <w:rPr>
            <w:webHidden/>
          </w:rPr>
        </w:r>
        <w:r w:rsidR="001D5DB1">
          <w:rPr>
            <w:webHidden/>
          </w:rPr>
          <w:fldChar w:fldCharType="separate"/>
        </w:r>
        <w:r w:rsidR="00DD2E33">
          <w:rPr>
            <w:webHidden/>
          </w:rPr>
          <w:t>30</w:t>
        </w:r>
        <w:r w:rsidR="001D5DB1">
          <w:rPr>
            <w:webHidden/>
          </w:rPr>
          <w:fldChar w:fldCharType="end"/>
        </w:r>
      </w:hyperlink>
    </w:p>
    <w:p w14:paraId="65EA38C3" w14:textId="18E8C39A"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68" w:history="1">
        <w:r w:rsidR="001D5DB1" w:rsidRPr="0008224A">
          <w:rPr>
            <w:rStyle w:val="Hyperlink"/>
          </w:rPr>
          <w:t>Classroom Behavior/Participation</w:t>
        </w:r>
        <w:r w:rsidR="001D5DB1">
          <w:rPr>
            <w:webHidden/>
          </w:rPr>
          <w:tab/>
        </w:r>
        <w:r w:rsidR="001D5DB1">
          <w:rPr>
            <w:webHidden/>
          </w:rPr>
          <w:fldChar w:fldCharType="begin"/>
        </w:r>
        <w:r w:rsidR="001D5DB1">
          <w:rPr>
            <w:webHidden/>
          </w:rPr>
          <w:instrText xml:space="preserve"> PAGEREF _Toc46265468 \h </w:instrText>
        </w:r>
        <w:r w:rsidR="001D5DB1">
          <w:rPr>
            <w:webHidden/>
          </w:rPr>
        </w:r>
        <w:r w:rsidR="001D5DB1">
          <w:rPr>
            <w:webHidden/>
          </w:rPr>
          <w:fldChar w:fldCharType="separate"/>
        </w:r>
        <w:r w:rsidR="00DD2E33">
          <w:rPr>
            <w:webHidden/>
          </w:rPr>
          <w:t>32</w:t>
        </w:r>
        <w:r w:rsidR="001D5DB1">
          <w:rPr>
            <w:webHidden/>
          </w:rPr>
          <w:fldChar w:fldCharType="end"/>
        </w:r>
      </w:hyperlink>
    </w:p>
    <w:p w14:paraId="659081D4" w14:textId="3323DA20"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69" w:history="1">
        <w:r w:rsidR="001D5DB1" w:rsidRPr="0008224A">
          <w:rPr>
            <w:rStyle w:val="Hyperlink"/>
            <w:noProof/>
          </w:rPr>
          <w:t>Can Approach to Learning be Defined?</w:t>
        </w:r>
        <w:r w:rsidR="001D5DB1">
          <w:rPr>
            <w:noProof/>
            <w:webHidden/>
          </w:rPr>
          <w:tab/>
        </w:r>
        <w:r w:rsidR="001D5DB1">
          <w:rPr>
            <w:noProof/>
            <w:webHidden/>
          </w:rPr>
          <w:fldChar w:fldCharType="begin"/>
        </w:r>
        <w:r w:rsidR="001D5DB1">
          <w:rPr>
            <w:noProof/>
            <w:webHidden/>
          </w:rPr>
          <w:instrText xml:space="preserve"> PAGEREF _Toc46265469 \h </w:instrText>
        </w:r>
        <w:r w:rsidR="001D5DB1">
          <w:rPr>
            <w:noProof/>
            <w:webHidden/>
          </w:rPr>
        </w:r>
        <w:r w:rsidR="001D5DB1">
          <w:rPr>
            <w:noProof/>
            <w:webHidden/>
          </w:rPr>
          <w:fldChar w:fldCharType="separate"/>
        </w:r>
        <w:r w:rsidR="00DD2E33">
          <w:rPr>
            <w:noProof/>
            <w:webHidden/>
          </w:rPr>
          <w:t>33</w:t>
        </w:r>
        <w:r w:rsidR="001D5DB1">
          <w:rPr>
            <w:noProof/>
            <w:webHidden/>
          </w:rPr>
          <w:fldChar w:fldCharType="end"/>
        </w:r>
      </w:hyperlink>
    </w:p>
    <w:p w14:paraId="73D19EEB" w14:textId="0F4D3F71"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70" w:history="1">
        <w:r w:rsidR="001D5DB1" w:rsidRPr="0008224A">
          <w:rPr>
            <w:rStyle w:val="Hyperlink"/>
            <w:bCs/>
            <w:noProof/>
          </w:rPr>
          <w:t>References</w:t>
        </w:r>
        <w:r w:rsidR="001D5DB1">
          <w:rPr>
            <w:noProof/>
            <w:webHidden/>
          </w:rPr>
          <w:tab/>
        </w:r>
        <w:r w:rsidR="001D5DB1">
          <w:rPr>
            <w:noProof/>
            <w:webHidden/>
          </w:rPr>
          <w:fldChar w:fldCharType="begin"/>
        </w:r>
        <w:r w:rsidR="001D5DB1">
          <w:rPr>
            <w:noProof/>
            <w:webHidden/>
          </w:rPr>
          <w:instrText xml:space="preserve"> PAGEREF _Toc46265470 \h </w:instrText>
        </w:r>
        <w:r w:rsidR="001D5DB1">
          <w:rPr>
            <w:noProof/>
            <w:webHidden/>
          </w:rPr>
        </w:r>
        <w:r w:rsidR="001D5DB1">
          <w:rPr>
            <w:noProof/>
            <w:webHidden/>
          </w:rPr>
          <w:fldChar w:fldCharType="separate"/>
        </w:r>
        <w:r w:rsidR="00DD2E33">
          <w:rPr>
            <w:noProof/>
            <w:webHidden/>
          </w:rPr>
          <w:t>36</w:t>
        </w:r>
        <w:r w:rsidR="001D5DB1">
          <w:rPr>
            <w:noProof/>
            <w:webHidden/>
          </w:rPr>
          <w:fldChar w:fldCharType="end"/>
        </w:r>
      </w:hyperlink>
    </w:p>
    <w:p w14:paraId="4BCA95B5" w14:textId="28C3EACB"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71" w:history="1">
        <w:r w:rsidR="001D5DB1" w:rsidRPr="0008224A">
          <w:rPr>
            <w:rStyle w:val="Hyperlink"/>
            <w:noProof/>
          </w:rPr>
          <w:t>Appendix A</w:t>
        </w:r>
        <w:r w:rsidR="001D5DB1">
          <w:rPr>
            <w:noProof/>
            <w:webHidden/>
          </w:rPr>
          <w:tab/>
        </w:r>
        <w:r w:rsidR="001D5DB1">
          <w:rPr>
            <w:noProof/>
            <w:webHidden/>
          </w:rPr>
          <w:fldChar w:fldCharType="begin"/>
        </w:r>
        <w:r w:rsidR="001D5DB1">
          <w:rPr>
            <w:noProof/>
            <w:webHidden/>
          </w:rPr>
          <w:instrText xml:space="preserve"> PAGEREF _Toc46265471 \h </w:instrText>
        </w:r>
        <w:r w:rsidR="001D5DB1">
          <w:rPr>
            <w:noProof/>
            <w:webHidden/>
          </w:rPr>
        </w:r>
        <w:r w:rsidR="001D5DB1">
          <w:rPr>
            <w:noProof/>
            <w:webHidden/>
          </w:rPr>
          <w:fldChar w:fldCharType="separate"/>
        </w:r>
        <w:r w:rsidR="00DD2E33">
          <w:rPr>
            <w:noProof/>
            <w:webHidden/>
          </w:rPr>
          <w:t>45</w:t>
        </w:r>
        <w:r w:rsidR="001D5DB1">
          <w:rPr>
            <w:noProof/>
            <w:webHidden/>
          </w:rPr>
          <w:fldChar w:fldCharType="end"/>
        </w:r>
      </w:hyperlink>
    </w:p>
    <w:p w14:paraId="35DE0FCE" w14:textId="563AAE5B"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72" w:history="1">
        <w:r w:rsidR="001D5DB1" w:rsidRPr="0008224A">
          <w:rPr>
            <w:rStyle w:val="Hyperlink"/>
            <w:bCs/>
            <w:noProof/>
          </w:rPr>
          <w:t>MANUSCRIPT II</w:t>
        </w:r>
        <w:r w:rsidR="001D5DB1">
          <w:rPr>
            <w:noProof/>
            <w:webHidden/>
          </w:rPr>
          <w:tab/>
        </w:r>
        <w:r w:rsidR="001D5DB1">
          <w:rPr>
            <w:noProof/>
            <w:webHidden/>
          </w:rPr>
          <w:fldChar w:fldCharType="begin"/>
        </w:r>
        <w:r w:rsidR="001D5DB1">
          <w:rPr>
            <w:noProof/>
            <w:webHidden/>
          </w:rPr>
          <w:instrText xml:space="preserve"> PAGEREF _Toc46265472 \h </w:instrText>
        </w:r>
        <w:r w:rsidR="001D5DB1">
          <w:rPr>
            <w:noProof/>
            <w:webHidden/>
          </w:rPr>
        </w:r>
        <w:r w:rsidR="001D5DB1">
          <w:rPr>
            <w:noProof/>
            <w:webHidden/>
          </w:rPr>
          <w:fldChar w:fldCharType="separate"/>
        </w:r>
        <w:r w:rsidR="00DD2E33">
          <w:rPr>
            <w:noProof/>
            <w:webHidden/>
          </w:rPr>
          <w:t>59</w:t>
        </w:r>
        <w:r w:rsidR="001D5DB1">
          <w:rPr>
            <w:noProof/>
            <w:webHidden/>
          </w:rPr>
          <w:fldChar w:fldCharType="end"/>
        </w:r>
      </w:hyperlink>
    </w:p>
    <w:p w14:paraId="23111D84" w14:textId="775C54E3"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73" w:history="1">
        <w:r w:rsidR="001D5DB1" w:rsidRPr="0008224A">
          <w:rPr>
            <w:rStyle w:val="Hyperlink"/>
            <w:bCs/>
            <w:noProof/>
          </w:rPr>
          <w:t>Abstract</w:t>
        </w:r>
        <w:r w:rsidR="001D5DB1">
          <w:rPr>
            <w:noProof/>
            <w:webHidden/>
          </w:rPr>
          <w:tab/>
        </w:r>
        <w:r w:rsidR="001D5DB1">
          <w:rPr>
            <w:noProof/>
            <w:webHidden/>
          </w:rPr>
          <w:fldChar w:fldCharType="begin"/>
        </w:r>
        <w:r w:rsidR="001D5DB1">
          <w:rPr>
            <w:noProof/>
            <w:webHidden/>
          </w:rPr>
          <w:instrText xml:space="preserve"> PAGEREF _Toc46265473 \h </w:instrText>
        </w:r>
        <w:r w:rsidR="001D5DB1">
          <w:rPr>
            <w:noProof/>
            <w:webHidden/>
          </w:rPr>
        </w:r>
        <w:r w:rsidR="001D5DB1">
          <w:rPr>
            <w:noProof/>
            <w:webHidden/>
          </w:rPr>
          <w:fldChar w:fldCharType="separate"/>
        </w:r>
        <w:r w:rsidR="00DD2E33">
          <w:rPr>
            <w:noProof/>
            <w:webHidden/>
          </w:rPr>
          <w:t>60</w:t>
        </w:r>
        <w:r w:rsidR="001D5DB1">
          <w:rPr>
            <w:noProof/>
            <w:webHidden/>
          </w:rPr>
          <w:fldChar w:fldCharType="end"/>
        </w:r>
      </w:hyperlink>
    </w:p>
    <w:p w14:paraId="62A615F6" w14:textId="6B1DDE11"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74" w:history="1">
        <w:r w:rsidR="001D5DB1" w:rsidRPr="0008224A">
          <w:rPr>
            <w:rStyle w:val="Hyperlink"/>
            <w:noProof/>
          </w:rPr>
          <w:t>What is Approaches to Learning?</w:t>
        </w:r>
        <w:r w:rsidR="001D5DB1">
          <w:rPr>
            <w:noProof/>
            <w:webHidden/>
          </w:rPr>
          <w:tab/>
        </w:r>
        <w:r w:rsidR="001D5DB1">
          <w:rPr>
            <w:noProof/>
            <w:webHidden/>
          </w:rPr>
          <w:fldChar w:fldCharType="begin"/>
        </w:r>
        <w:r w:rsidR="001D5DB1">
          <w:rPr>
            <w:noProof/>
            <w:webHidden/>
          </w:rPr>
          <w:instrText xml:space="preserve"> PAGEREF _Toc46265474 \h </w:instrText>
        </w:r>
        <w:r w:rsidR="001D5DB1">
          <w:rPr>
            <w:noProof/>
            <w:webHidden/>
          </w:rPr>
        </w:r>
        <w:r w:rsidR="001D5DB1">
          <w:rPr>
            <w:noProof/>
            <w:webHidden/>
          </w:rPr>
          <w:fldChar w:fldCharType="separate"/>
        </w:r>
        <w:r w:rsidR="00DD2E33">
          <w:rPr>
            <w:noProof/>
            <w:webHidden/>
          </w:rPr>
          <w:t>63</w:t>
        </w:r>
        <w:r w:rsidR="001D5DB1">
          <w:rPr>
            <w:noProof/>
            <w:webHidden/>
          </w:rPr>
          <w:fldChar w:fldCharType="end"/>
        </w:r>
      </w:hyperlink>
    </w:p>
    <w:p w14:paraId="18A56360" w14:textId="2BD42F43"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75" w:history="1">
        <w:r w:rsidR="001D5DB1" w:rsidRPr="0008224A">
          <w:rPr>
            <w:rStyle w:val="Hyperlink"/>
            <w:noProof/>
          </w:rPr>
          <w:t>Play as a Leading Activity</w:t>
        </w:r>
        <w:r w:rsidR="001D5DB1">
          <w:rPr>
            <w:noProof/>
            <w:webHidden/>
          </w:rPr>
          <w:tab/>
        </w:r>
        <w:r w:rsidR="001D5DB1">
          <w:rPr>
            <w:noProof/>
            <w:webHidden/>
          </w:rPr>
          <w:fldChar w:fldCharType="begin"/>
        </w:r>
        <w:r w:rsidR="001D5DB1">
          <w:rPr>
            <w:noProof/>
            <w:webHidden/>
          </w:rPr>
          <w:instrText xml:space="preserve"> PAGEREF _Toc46265475 \h </w:instrText>
        </w:r>
        <w:r w:rsidR="001D5DB1">
          <w:rPr>
            <w:noProof/>
            <w:webHidden/>
          </w:rPr>
        </w:r>
        <w:r w:rsidR="001D5DB1">
          <w:rPr>
            <w:noProof/>
            <w:webHidden/>
          </w:rPr>
          <w:fldChar w:fldCharType="separate"/>
        </w:r>
        <w:r w:rsidR="00DD2E33">
          <w:rPr>
            <w:noProof/>
            <w:webHidden/>
          </w:rPr>
          <w:t>67</w:t>
        </w:r>
        <w:r w:rsidR="001D5DB1">
          <w:rPr>
            <w:noProof/>
            <w:webHidden/>
          </w:rPr>
          <w:fldChar w:fldCharType="end"/>
        </w:r>
      </w:hyperlink>
    </w:p>
    <w:p w14:paraId="1BE207A9" w14:textId="7F02252E"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76" w:history="1">
        <w:r w:rsidR="001D5DB1" w:rsidRPr="0008224A">
          <w:rPr>
            <w:rStyle w:val="Hyperlink"/>
            <w:noProof/>
          </w:rPr>
          <w:t>The Development of Working Theories Through Exploration</w:t>
        </w:r>
        <w:r w:rsidR="001D5DB1">
          <w:rPr>
            <w:noProof/>
            <w:webHidden/>
          </w:rPr>
          <w:tab/>
        </w:r>
        <w:r w:rsidR="001D5DB1">
          <w:rPr>
            <w:noProof/>
            <w:webHidden/>
          </w:rPr>
          <w:fldChar w:fldCharType="begin"/>
        </w:r>
        <w:r w:rsidR="001D5DB1">
          <w:rPr>
            <w:noProof/>
            <w:webHidden/>
          </w:rPr>
          <w:instrText xml:space="preserve"> PAGEREF _Toc46265476 \h </w:instrText>
        </w:r>
        <w:r w:rsidR="001D5DB1">
          <w:rPr>
            <w:noProof/>
            <w:webHidden/>
          </w:rPr>
        </w:r>
        <w:r w:rsidR="001D5DB1">
          <w:rPr>
            <w:noProof/>
            <w:webHidden/>
          </w:rPr>
          <w:fldChar w:fldCharType="separate"/>
        </w:r>
        <w:r w:rsidR="00DD2E33">
          <w:rPr>
            <w:noProof/>
            <w:webHidden/>
          </w:rPr>
          <w:t>70</w:t>
        </w:r>
        <w:r w:rsidR="001D5DB1">
          <w:rPr>
            <w:noProof/>
            <w:webHidden/>
          </w:rPr>
          <w:fldChar w:fldCharType="end"/>
        </w:r>
      </w:hyperlink>
    </w:p>
    <w:p w14:paraId="494C9132" w14:textId="79337E38"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77" w:history="1">
        <w:r w:rsidR="001D5DB1" w:rsidRPr="0008224A">
          <w:rPr>
            <w:rStyle w:val="Hyperlink"/>
            <w:noProof/>
          </w:rPr>
          <w:t>The Development of Symbolic Representation Through Dramatizing</w:t>
        </w:r>
        <w:r w:rsidR="001D5DB1">
          <w:rPr>
            <w:noProof/>
            <w:webHidden/>
          </w:rPr>
          <w:tab/>
        </w:r>
        <w:r w:rsidR="001D5DB1">
          <w:rPr>
            <w:noProof/>
            <w:webHidden/>
          </w:rPr>
          <w:fldChar w:fldCharType="begin"/>
        </w:r>
        <w:r w:rsidR="001D5DB1">
          <w:rPr>
            <w:noProof/>
            <w:webHidden/>
          </w:rPr>
          <w:instrText xml:space="preserve"> PAGEREF _Toc46265477 \h </w:instrText>
        </w:r>
        <w:r w:rsidR="001D5DB1">
          <w:rPr>
            <w:noProof/>
            <w:webHidden/>
          </w:rPr>
        </w:r>
        <w:r w:rsidR="001D5DB1">
          <w:rPr>
            <w:noProof/>
            <w:webHidden/>
          </w:rPr>
          <w:fldChar w:fldCharType="separate"/>
        </w:r>
        <w:r w:rsidR="00DD2E33">
          <w:rPr>
            <w:noProof/>
            <w:webHidden/>
          </w:rPr>
          <w:t>72</w:t>
        </w:r>
        <w:r w:rsidR="001D5DB1">
          <w:rPr>
            <w:noProof/>
            <w:webHidden/>
          </w:rPr>
          <w:fldChar w:fldCharType="end"/>
        </w:r>
      </w:hyperlink>
    </w:p>
    <w:p w14:paraId="196B0ADA" w14:textId="04049964"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78" w:history="1">
        <w:r w:rsidR="001D5DB1" w:rsidRPr="0008224A">
          <w:rPr>
            <w:rStyle w:val="Hyperlink"/>
            <w:noProof/>
          </w:rPr>
          <w:t>Approaches to Learning as a Bridge Between Play and Learning</w:t>
        </w:r>
        <w:r w:rsidR="001D5DB1">
          <w:rPr>
            <w:noProof/>
            <w:webHidden/>
          </w:rPr>
          <w:tab/>
        </w:r>
        <w:r w:rsidR="001D5DB1">
          <w:rPr>
            <w:noProof/>
            <w:webHidden/>
          </w:rPr>
          <w:fldChar w:fldCharType="begin"/>
        </w:r>
        <w:r w:rsidR="001D5DB1">
          <w:rPr>
            <w:noProof/>
            <w:webHidden/>
          </w:rPr>
          <w:instrText xml:space="preserve"> PAGEREF _Toc46265478 \h </w:instrText>
        </w:r>
        <w:r w:rsidR="001D5DB1">
          <w:rPr>
            <w:noProof/>
            <w:webHidden/>
          </w:rPr>
        </w:r>
        <w:r w:rsidR="001D5DB1">
          <w:rPr>
            <w:noProof/>
            <w:webHidden/>
          </w:rPr>
          <w:fldChar w:fldCharType="separate"/>
        </w:r>
        <w:r w:rsidR="00DD2E33">
          <w:rPr>
            <w:noProof/>
            <w:webHidden/>
          </w:rPr>
          <w:t>75</w:t>
        </w:r>
        <w:r w:rsidR="001D5DB1">
          <w:rPr>
            <w:noProof/>
            <w:webHidden/>
          </w:rPr>
          <w:fldChar w:fldCharType="end"/>
        </w:r>
      </w:hyperlink>
    </w:p>
    <w:p w14:paraId="3A8BFEF3" w14:textId="2E2CD72D"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79" w:history="1">
        <w:r w:rsidR="001D5DB1" w:rsidRPr="0008224A">
          <w:rPr>
            <w:rStyle w:val="Hyperlink"/>
          </w:rPr>
          <w:t>Problem Solving, Flexibility and Curiosity</w:t>
        </w:r>
        <w:r w:rsidR="001D5DB1">
          <w:rPr>
            <w:webHidden/>
          </w:rPr>
          <w:tab/>
        </w:r>
        <w:r w:rsidR="001D5DB1">
          <w:rPr>
            <w:webHidden/>
          </w:rPr>
          <w:fldChar w:fldCharType="begin"/>
        </w:r>
        <w:r w:rsidR="001D5DB1">
          <w:rPr>
            <w:webHidden/>
          </w:rPr>
          <w:instrText xml:space="preserve"> PAGEREF _Toc46265479 \h </w:instrText>
        </w:r>
        <w:r w:rsidR="001D5DB1">
          <w:rPr>
            <w:webHidden/>
          </w:rPr>
        </w:r>
        <w:r w:rsidR="001D5DB1">
          <w:rPr>
            <w:webHidden/>
          </w:rPr>
          <w:fldChar w:fldCharType="separate"/>
        </w:r>
        <w:r w:rsidR="00DD2E33">
          <w:rPr>
            <w:webHidden/>
          </w:rPr>
          <w:t>76</w:t>
        </w:r>
        <w:r w:rsidR="001D5DB1">
          <w:rPr>
            <w:webHidden/>
          </w:rPr>
          <w:fldChar w:fldCharType="end"/>
        </w:r>
      </w:hyperlink>
    </w:p>
    <w:p w14:paraId="27C07B22" w14:textId="3CE84154"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80" w:history="1">
        <w:r w:rsidR="001D5DB1" w:rsidRPr="0008224A">
          <w:rPr>
            <w:rStyle w:val="Hyperlink"/>
          </w:rPr>
          <w:t>Imagination and Creativity</w:t>
        </w:r>
        <w:r w:rsidR="001D5DB1">
          <w:rPr>
            <w:webHidden/>
          </w:rPr>
          <w:tab/>
        </w:r>
        <w:r w:rsidR="001D5DB1">
          <w:rPr>
            <w:webHidden/>
          </w:rPr>
          <w:fldChar w:fldCharType="begin"/>
        </w:r>
        <w:r w:rsidR="001D5DB1">
          <w:rPr>
            <w:webHidden/>
          </w:rPr>
          <w:instrText xml:space="preserve"> PAGEREF _Toc46265480 \h </w:instrText>
        </w:r>
        <w:r w:rsidR="001D5DB1">
          <w:rPr>
            <w:webHidden/>
          </w:rPr>
        </w:r>
        <w:r w:rsidR="001D5DB1">
          <w:rPr>
            <w:webHidden/>
          </w:rPr>
          <w:fldChar w:fldCharType="separate"/>
        </w:r>
        <w:r w:rsidR="00DD2E33">
          <w:rPr>
            <w:webHidden/>
          </w:rPr>
          <w:t>77</w:t>
        </w:r>
        <w:r w:rsidR="001D5DB1">
          <w:rPr>
            <w:webHidden/>
          </w:rPr>
          <w:fldChar w:fldCharType="end"/>
        </w:r>
      </w:hyperlink>
    </w:p>
    <w:p w14:paraId="1E408C70" w14:textId="35B8FE1C"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81" w:history="1">
        <w:r w:rsidR="001D5DB1" w:rsidRPr="0008224A">
          <w:rPr>
            <w:rStyle w:val="Hyperlink"/>
            <w:noProof/>
          </w:rPr>
          <w:t>Amplifying Approaches to Learning</w:t>
        </w:r>
        <w:r w:rsidR="001D5DB1">
          <w:rPr>
            <w:noProof/>
            <w:webHidden/>
          </w:rPr>
          <w:tab/>
        </w:r>
        <w:r w:rsidR="001D5DB1">
          <w:rPr>
            <w:noProof/>
            <w:webHidden/>
          </w:rPr>
          <w:fldChar w:fldCharType="begin"/>
        </w:r>
        <w:r w:rsidR="001D5DB1">
          <w:rPr>
            <w:noProof/>
            <w:webHidden/>
          </w:rPr>
          <w:instrText xml:space="preserve"> PAGEREF _Toc46265481 \h </w:instrText>
        </w:r>
        <w:r w:rsidR="001D5DB1">
          <w:rPr>
            <w:noProof/>
            <w:webHidden/>
          </w:rPr>
        </w:r>
        <w:r w:rsidR="001D5DB1">
          <w:rPr>
            <w:noProof/>
            <w:webHidden/>
          </w:rPr>
          <w:fldChar w:fldCharType="separate"/>
        </w:r>
        <w:r w:rsidR="00DD2E33">
          <w:rPr>
            <w:noProof/>
            <w:webHidden/>
          </w:rPr>
          <w:t>79</w:t>
        </w:r>
        <w:r w:rsidR="001D5DB1">
          <w:rPr>
            <w:noProof/>
            <w:webHidden/>
          </w:rPr>
          <w:fldChar w:fldCharType="end"/>
        </w:r>
      </w:hyperlink>
    </w:p>
    <w:p w14:paraId="2D586A4C" w14:textId="4BB22016"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82" w:history="1">
        <w:r w:rsidR="001D5DB1" w:rsidRPr="0008224A">
          <w:rPr>
            <w:rStyle w:val="Hyperlink"/>
          </w:rPr>
          <w:t>Using Scientific Inquiry to support AtL</w:t>
        </w:r>
        <w:r w:rsidR="001D5DB1">
          <w:rPr>
            <w:webHidden/>
          </w:rPr>
          <w:tab/>
        </w:r>
        <w:r w:rsidR="001D5DB1">
          <w:rPr>
            <w:webHidden/>
          </w:rPr>
          <w:fldChar w:fldCharType="begin"/>
        </w:r>
        <w:r w:rsidR="001D5DB1">
          <w:rPr>
            <w:webHidden/>
          </w:rPr>
          <w:instrText xml:space="preserve"> PAGEREF _Toc46265482 \h </w:instrText>
        </w:r>
        <w:r w:rsidR="001D5DB1">
          <w:rPr>
            <w:webHidden/>
          </w:rPr>
        </w:r>
        <w:r w:rsidR="001D5DB1">
          <w:rPr>
            <w:webHidden/>
          </w:rPr>
          <w:fldChar w:fldCharType="separate"/>
        </w:r>
        <w:r w:rsidR="00DD2E33">
          <w:rPr>
            <w:webHidden/>
          </w:rPr>
          <w:t>80</w:t>
        </w:r>
        <w:r w:rsidR="001D5DB1">
          <w:rPr>
            <w:webHidden/>
          </w:rPr>
          <w:fldChar w:fldCharType="end"/>
        </w:r>
      </w:hyperlink>
    </w:p>
    <w:p w14:paraId="33F2B5A2" w14:textId="12A6A460"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83" w:history="1">
        <w:r w:rsidR="001D5DB1" w:rsidRPr="0008224A">
          <w:rPr>
            <w:rStyle w:val="Hyperlink"/>
          </w:rPr>
          <w:t>Enacting Roles in the Classroom</w:t>
        </w:r>
        <w:r w:rsidR="001D5DB1">
          <w:rPr>
            <w:webHidden/>
          </w:rPr>
          <w:tab/>
        </w:r>
        <w:r w:rsidR="001D5DB1">
          <w:rPr>
            <w:webHidden/>
          </w:rPr>
          <w:fldChar w:fldCharType="begin"/>
        </w:r>
        <w:r w:rsidR="001D5DB1">
          <w:rPr>
            <w:webHidden/>
          </w:rPr>
          <w:instrText xml:space="preserve"> PAGEREF _Toc46265483 \h </w:instrText>
        </w:r>
        <w:r w:rsidR="001D5DB1">
          <w:rPr>
            <w:webHidden/>
          </w:rPr>
        </w:r>
        <w:r w:rsidR="001D5DB1">
          <w:rPr>
            <w:webHidden/>
          </w:rPr>
          <w:fldChar w:fldCharType="separate"/>
        </w:r>
        <w:r w:rsidR="00DD2E33">
          <w:rPr>
            <w:webHidden/>
          </w:rPr>
          <w:t>81</w:t>
        </w:r>
        <w:r w:rsidR="001D5DB1">
          <w:rPr>
            <w:webHidden/>
          </w:rPr>
          <w:fldChar w:fldCharType="end"/>
        </w:r>
      </w:hyperlink>
    </w:p>
    <w:p w14:paraId="012EE165" w14:textId="3DE99DC0"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84" w:history="1">
        <w:r w:rsidR="001D5DB1" w:rsidRPr="0008224A">
          <w:rPr>
            <w:rStyle w:val="Hyperlink"/>
            <w:noProof/>
          </w:rPr>
          <w:t>Conclusion</w:t>
        </w:r>
        <w:r w:rsidR="001D5DB1">
          <w:rPr>
            <w:noProof/>
            <w:webHidden/>
          </w:rPr>
          <w:tab/>
        </w:r>
        <w:r w:rsidR="001D5DB1">
          <w:rPr>
            <w:noProof/>
            <w:webHidden/>
          </w:rPr>
          <w:fldChar w:fldCharType="begin"/>
        </w:r>
        <w:r w:rsidR="001D5DB1">
          <w:rPr>
            <w:noProof/>
            <w:webHidden/>
          </w:rPr>
          <w:instrText xml:space="preserve"> PAGEREF _Toc46265484 \h </w:instrText>
        </w:r>
        <w:r w:rsidR="001D5DB1">
          <w:rPr>
            <w:noProof/>
            <w:webHidden/>
          </w:rPr>
        </w:r>
        <w:r w:rsidR="001D5DB1">
          <w:rPr>
            <w:noProof/>
            <w:webHidden/>
          </w:rPr>
          <w:fldChar w:fldCharType="separate"/>
        </w:r>
        <w:r w:rsidR="00DD2E33">
          <w:rPr>
            <w:noProof/>
            <w:webHidden/>
          </w:rPr>
          <w:t>83</w:t>
        </w:r>
        <w:r w:rsidR="001D5DB1">
          <w:rPr>
            <w:noProof/>
            <w:webHidden/>
          </w:rPr>
          <w:fldChar w:fldCharType="end"/>
        </w:r>
      </w:hyperlink>
    </w:p>
    <w:p w14:paraId="7E89957D" w14:textId="044B88B1"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85" w:history="1">
        <w:r w:rsidR="001D5DB1" w:rsidRPr="0008224A">
          <w:rPr>
            <w:rStyle w:val="Hyperlink"/>
            <w:bCs/>
            <w:noProof/>
          </w:rPr>
          <w:t>References</w:t>
        </w:r>
        <w:r w:rsidR="001D5DB1">
          <w:rPr>
            <w:noProof/>
            <w:webHidden/>
          </w:rPr>
          <w:tab/>
        </w:r>
        <w:r w:rsidR="001D5DB1">
          <w:rPr>
            <w:noProof/>
            <w:webHidden/>
          </w:rPr>
          <w:fldChar w:fldCharType="begin"/>
        </w:r>
        <w:r w:rsidR="001D5DB1">
          <w:rPr>
            <w:noProof/>
            <w:webHidden/>
          </w:rPr>
          <w:instrText xml:space="preserve"> PAGEREF _Toc46265485 \h </w:instrText>
        </w:r>
        <w:r w:rsidR="001D5DB1">
          <w:rPr>
            <w:noProof/>
            <w:webHidden/>
          </w:rPr>
        </w:r>
        <w:r w:rsidR="001D5DB1">
          <w:rPr>
            <w:noProof/>
            <w:webHidden/>
          </w:rPr>
          <w:fldChar w:fldCharType="separate"/>
        </w:r>
        <w:r w:rsidR="00DD2E33">
          <w:rPr>
            <w:noProof/>
            <w:webHidden/>
          </w:rPr>
          <w:t>86</w:t>
        </w:r>
        <w:r w:rsidR="001D5DB1">
          <w:rPr>
            <w:noProof/>
            <w:webHidden/>
          </w:rPr>
          <w:fldChar w:fldCharType="end"/>
        </w:r>
      </w:hyperlink>
    </w:p>
    <w:p w14:paraId="7F38C648" w14:textId="458896B7"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86" w:history="1">
        <w:r w:rsidR="001D5DB1" w:rsidRPr="0008224A">
          <w:rPr>
            <w:rStyle w:val="Hyperlink"/>
            <w:bCs/>
            <w:noProof/>
          </w:rPr>
          <w:t>MANUSCRIPT III</w:t>
        </w:r>
        <w:r w:rsidR="001D5DB1">
          <w:rPr>
            <w:noProof/>
            <w:webHidden/>
          </w:rPr>
          <w:tab/>
        </w:r>
        <w:r w:rsidR="001D5DB1">
          <w:rPr>
            <w:noProof/>
            <w:webHidden/>
          </w:rPr>
          <w:fldChar w:fldCharType="begin"/>
        </w:r>
        <w:r w:rsidR="001D5DB1">
          <w:rPr>
            <w:noProof/>
            <w:webHidden/>
          </w:rPr>
          <w:instrText xml:space="preserve"> PAGEREF _Toc46265486 \h </w:instrText>
        </w:r>
        <w:r w:rsidR="001D5DB1">
          <w:rPr>
            <w:noProof/>
            <w:webHidden/>
          </w:rPr>
        </w:r>
        <w:r w:rsidR="001D5DB1">
          <w:rPr>
            <w:noProof/>
            <w:webHidden/>
          </w:rPr>
          <w:fldChar w:fldCharType="separate"/>
        </w:r>
        <w:r w:rsidR="00DD2E33">
          <w:rPr>
            <w:noProof/>
            <w:webHidden/>
          </w:rPr>
          <w:t>93</w:t>
        </w:r>
        <w:r w:rsidR="001D5DB1">
          <w:rPr>
            <w:noProof/>
            <w:webHidden/>
          </w:rPr>
          <w:fldChar w:fldCharType="end"/>
        </w:r>
      </w:hyperlink>
    </w:p>
    <w:p w14:paraId="401BB6DC" w14:textId="46069E2D"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87" w:history="1">
        <w:r w:rsidR="001D5DB1" w:rsidRPr="0008224A">
          <w:rPr>
            <w:rStyle w:val="Hyperlink"/>
            <w:bCs/>
            <w:noProof/>
          </w:rPr>
          <w:t>Abstract</w:t>
        </w:r>
        <w:r w:rsidR="001D5DB1">
          <w:rPr>
            <w:noProof/>
            <w:webHidden/>
          </w:rPr>
          <w:tab/>
        </w:r>
        <w:r w:rsidR="001D5DB1">
          <w:rPr>
            <w:noProof/>
            <w:webHidden/>
          </w:rPr>
          <w:fldChar w:fldCharType="begin"/>
        </w:r>
        <w:r w:rsidR="001D5DB1">
          <w:rPr>
            <w:noProof/>
            <w:webHidden/>
          </w:rPr>
          <w:instrText xml:space="preserve"> PAGEREF _Toc46265487 \h </w:instrText>
        </w:r>
        <w:r w:rsidR="001D5DB1">
          <w:rPr>
            <w:noProof/>
            <w:webHidden/>
          </w:rPr>
        </w:r>
        <w:r w:rsidR="001D5DB1">
          <w:rPr>
            <w:noProof/>
            <w:webHidden/>
          </w:rPr>
          <w:fldChar w:fldCharType="separate"/>
        </w:r>
        <w:r w:rsidR="00DD2E33">
          <w:rPr>
            <w:noProof/>
            <w:webHidden/>
          </w:rPr>
          <w:t>94</w:t>
        </w:r>
        <w:r w:rsidR="001D5DB1">
          <w:rPr>
            <w:noProof/>
            <w:webHidden/>
          </w:rPr>
          <w:fldChar w:fldCharType="end"/>
        </w:r>
      </w:hyperlink>
    </w:p>
    <w:p w14:paraId="0242F5C2" w14:textId="2B422A21"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88" w:history="1">
        <w:r w:rsidR="001D5DB1" w:rsidRPr="0008224A">
          <w:rPr>
            <w:rStyle w:val="Hyperlink"/>
            <w:noProof/>
          </w:rPr>
          <w:t>Review of Literature</w:t>
        </w:r>
        <w:r w:rsidR="001D5DB1">
          <w:rPr>
            <w:noProof/>
            <w:webHidden/>
          </w:rPr>
          <w:tab/>
        </w:r>
        <w:r w:rsidR="001D5DB1">
          <w:rPr>
            <w:noProof/>
            <w:webHidden/>
          </w:rPr>
          <w:fldChar w:fldCharType="begin"/>
        </w:r>
        <w:r w:rsidR="001D5DB1">
          <w:rPr>
            <w:noProof/>
            <w:webHidden/>
          </w:rPr>
          <w:instrText xml:space="preserve"> PAGEREF _Toc46265488 \h </w:instrText>
        </w:r>
        <w:r w:rsidR="001D5DB1">
          <w:rPr>
            <w:noProof/>
            <w:webHidden/>
          </w:rPr>
        </w:r>
        <w:r w:rsidR="001D5DB1">
          <w:rPr>
            <w:noProof/>
            <w:webHidden/>
          </w:rPr>
          <w:fldChar w:fldCharType="separate"/>
        </w:r>
        <w:r w:rsidR="00DD2E33">
          <w:rPr>
            <w:noProof/>
            <w:webHidden/>
          </w:rPr>
          <w:t>96</w:t>
        </w:r>
        <w:r w:rsidR="001D5DB1">
          <w:rPr>
            <w:noProof/>
            <w:webHidden/>
          </w:rPr>
          <w:fldChar w:fldCharType="end"/>
        </w:r>
      </w:hyperlink>
    </w:p>
    <w:p w14:paraId="5DDAD32A" w14:textId="14A30718"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89" w:history="1">
        <w:r w:rsidR="001D5DB1" w:rsidRPr="0008224A">
          <w:rPr>
            <w:rStyle w:val="Hyperlink"/>
          </w:rPr>
          <w:t>Approaches to Learning</w:t>
        </w:r>
        <w:r w:rsidR="001D5DB1">
          <w:rPr>
            <w:webHidden/>
          </w:rPr>
          <w:tab/>
        </w:r>
        <w:r w:rsidR="001D5DB1">
          <w:rPr>
            <w:webHidden/>
          </w:rPr>
          <w:fldChar w:fldCharType="begin"/>
        </w:r>
        <w:r w:rsidR="001D5DB1">
          <w:rPr>
            <w:webHidden/>
          </w:rPr>
          <w:instrText xml:space="preserve"> PAGEREF _Toc46265489 \h </w:instrText>
        </w:r>
        <w:r w:rsidR="001D5DB1">
          <w:rPr>
            <w:webHidden/>
          </w:rPr>
        </w:r>
        <w:r w:rsidR="001D5DB1">
          <w:rPr>
            <w:webHidden/>
          </w:rPr>
          <w:fldChar w:fldCharType="separate"/>
        </w:r>
        <w:r w:rsidR="00DD2E33">
          <w:rPr>
            <w:webHidden/>
          </w:rPr>
          <w:t>96</w:t>
        </w:r>
        <w:r w:rsidR="001D5DB1">
          <w:rPr>
            <w:webHidden/>
          </w:rPr>
          <w:fldChar w:fldCharType="end"/>
        </w:r>
      </w:hyperlink>
    </w:p>
    <w:p w14:paraId="2EE3DB3C" w14:textId="2F679DED"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90" w:history="1">
        <w:r w:rsidR="001D5DB1" w:rsidRPr="0008224A">
          <w:rPr>
            <w:rStyle w:val="Hyperlink"/>
          </w:rPr>
          <w:t>Associations with Other Constructs</w:t>
        </w:r>
        <w:r w:rsidR="001D5DB1">
          <w:rPr>
            <w:webHidden/>
          </w:rPr>
          <w:tab/>
        </w:r>
        <w:r w:rsidR="001D5DB1">
          <w:rPr>
            <w:webHidden/>
          </w:rPr>
          <w:fldChar w:fldCharType="begin"/>
        </w:r>
        <w:r w:rsidR="001D5DB1">
          <w:rPr>
            <w:webHidden/>
          </w:rPr>
          <w:instrText xml:space="preserve"> PAGEREF _Toc46265490 \h </w:instrText>
        </w:r>
        <w:r w:rsidR="001D5DB1">
          <w:rPr>
            <w:webHidden/>
          </w:rPr>
        </w:r>
        <w:r w:rsidR="001D5DB1">
          <w:rPr>
            <w:webHidden/>
          </w:rPr>
          <w:fldChar w:fldCharType="separate"/>
        </w:r>
        <w:r w:rsidR="00DD2E33">
          <w:rPr>
            <w:webHidden/>
          </w:rPr>
          <w:t>99</w:t>
        </w:r>
        <w:r w:rsidR="001D5DB1">
          <w:rPr>
            <w:webHidden/>
          </w:rPr>
          <w:fldChar w:fldCharType="end"/>
        </w:r>
      </w:hyperlink>
    </w:p>
    <w:p w14:paraId="765E69A1" w14:textId="0C9F0E2C"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491" w:history="1">
        <w:r w:rsidR="001D5DB1" w:rsidRPr="0008224A">
          <w:rPr>
            <w:rStyle w:val="Hyperlink"/>
          </w:rPr>
          <w:t>Executive function.</w:t>
        </w:r>
        <w:r w:rsidR="001D5DB1">
          <w:rPr>
            <w:webHidden/>
          </w:rPr>
          <w:tab/>
        </w:r>
        <w:r w:rsidR="001D5DB1">
          <w:rPr>
            <w:webHidden/>
          </w:rPr>
          <w:fldChar w:fldCharType="begin"/>
        </w:r>
        <w:r w:rsidR="001D5DB1">
          <w:rPr>
            <w:webHidden/>
          </w:rPr>
          <w:instrText xml:space="preserve"> PAGEREF _Toc46265491 \h </w:instrText>
        </w:r>
        <w:r w:rsidR="001D5DB1">
          <w:rPr>
            <w:webHidden/>
          </w:rPr>
        </w:r>
        <w:r w:rsidR="001D5DB1">
          <w:rPr>
            <w:webHidden/>
          </w:rPr>
          <w:fldChar w:fldCharType="separate"/>
        </w:r>
        <w:r w:rsidR="00DD2E33">
          <w:rPr>
            <w:webHidden/>
          </w:rPr>
          <w:t>100</w:t>
        </w:r>
        <w:r w:rsidR="001D5DB1">
          <w:rPr>
            <w:webHidden/>
          </w:rPr>
          <w:fldChar w:fldCharType="end"/>
        </w:r>
      </w:hyperlink>
    </w:p>
    <w:p w14:paraId="1F0747B7" w14:textId="5404720E"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492" w:history="1">
        <w:r w:rsidR="001D5DB1" w:rsidRPr="0008224A">
          <w:rPr>
            <w:rStyle w:val="Hyperlink"/>
          </w:rPr>
          <w:t>Social Development.</w:t>
        </w:r>
        <w:r w:rsidR="001D5DB1">
          <w:rPr>
            <w:webHidden/>
          </w:rPr>
          <w:tab/>
        </w:r>
        <w:r w:rsidR="001D5DB1">
          <w:rPr>
            <w:webHidden/>
          </w:rPr>
          <w:fldChar w:fldCharType="begin"/>
        </w:r>
        <w:r w:rsidR="001D5DB1">
          <w:rPr>
            <w:webHidden/>
          </w:rPr>
          <w:instrText xml:space="preserve"> PAGEREF _Toc46265492 \h </w:instrText>
        </w:r>
        <w:r w:rsidR="001D5DB1">
          <w:rPr>
            <w:webHidden/>
          </w:rPr>
        </w:r>
        <w:r w:rsidR="001D5DB1">
          <w:rPr>
            <w:webHidden/>
          </w:rPr>
          <w:fldChar w:fldCharType="separate"/>
        </w:r>
        <w:r w:rsidR="00DD2E33">
          <w:rPr>
            <w:webHidden/>
          </w:rPr>
          <w:t>101</w:t>
        </w:r>
        <w:r w:rsidR="001D5DB1">
          <w:rPr>
            <w:webHidden/>
          </w:rPr>
          <w:fldChar w:fldCharType="end"/>
        </w:r>
      </w:hyperlink>
    </w:p>
    <w:p w14:paraId="755705A1" w14:textId="2464D906"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493" w:history="1">
        <w:r w:rsidR="001D5DB1" w:rsidRPr="0008224A">
          <w:rPr>
            <w:rStyle w:val="Hyperlink"/>
          </w:rPr>
          <w:t>Problem Behaviors</w:t>
        </w:r>
        <w:r w:rsidR="001D5DB1">
          <w:rPr>
            <w:webHidden/>
          </w:rPr>
          <w:tab/>
        </w:r>
        <w:r w:rsidR="001D5DB1">
          <w:rPr>
            <w:webHidden/>
          </w:rPr>
          <w:fldChar w:fldCharType="begin"/>
        </w:r>
        <w:r w:rsidR="001D5DB1">
          <w:rPr>
            <w:webHidden/>
          </w:rPr>
          <w:instrText xml:space="preserve"> PAGEREF _Toc46265493 \h </w:instrText>
        </w:r>
        <w:r w:rsidR="001D5DB1">
          <w:rPr>
            <w:webHidden/>
          </w:rPr>
        </w:r>
        <w:r w:rsidR="001D5DB1">
          <w:rPr>
            <w:webHidden/>
          </w:rPr>
          <w:fldChar w:fldCharType="separate"/>
        </w:r>
        <w:r w:rsidR="00DD2E33">
          <w:rPr>
            <w:webHidden/>
          </w:rPr>
          <w:t>102</w:t>
        </w:r>
        <w:r w:rsidR="001D5DB1">
          <w:rPr>
            <w:webHidden/>
          </w:rPr>
          <w:fldChar w:fldCharType="end"/>
        </w:r>
      </w:hyperlink>
    </w:p>
    <w:p w14:paraId="267FDCA3" w14:textId="6FF694F2"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94" w:history="1">
        <w:r w:rsidR="001D5DB1" w:rsidRPr="0008224A">
          <w:rPr>
            <w:rStyle w:val="Hyperlink"/>
            <w:iCs/>
          </w:rPr>
          <w:t>Person-Centered Approaches</w:t>
        </w:r>
        <w:r w:rsidR="001D5DB1">
          <w:rPr>
            <w:webHidden/>
          </w:rPr>
          <w:tab/>
        </w:r>
        <w:r w:rsidR="001D5DB1">
          <w:rPr>
            <w:webHidden/>
          </w:rPr>
          <w:fldChar w:fldCharType="begin"/>
        </w:r>
        <w:r w:rsidR="001D5DB1">
          <w:rPr>
            <w:webHidden/>
          </w:rPr>
          <w:instrText xml:space="preserve"> PAGEREF _Toc46265494 \h </w:instrText>
        </w:r>
        <w:r w:rsidR="001D5DB1">
          <w:rPr>
            <w:webHidden/>
          </w:rPr>
        </w:r>
        <w:r w:rsidR="001D5DB1">
          <w:rPr>
            <w:webHidden/>
          </w:rPr>
          <w:fldChar w:fldCharType="separate"/>
        </w:r>
        <w:r w:rsidR="00DD2E33">
          <w:rPr>
            <w:webHidden/>
          </w:rPr>
          <w:t>103</w:t>
        </w:r>
        <w:r w:rsidR="001D5DB1">
          <w:rPr>
            <w:webHidden/>
          </w:rPr>
          <w:fldChar w:fldCharType="end"/>
        </w:r>
      </w:hyperlink>
    </w:p>
    <w:p w14:paraId="12402977" w14:textId="135FF3E9"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95" w:history="1">
        <w:r w:rsidR="001D5DB1" w:rsidRPr="0008224A">
          <w:rPr>
            <w:rStyle w:val="Hyperlink"/>
          </w:rPr>
          <w:t>The Current Study</w:t>
        </w:r>
        <w:r w:rsidR="001D5DB1">
          <w:rPr>
            <w:webHidden/>
          </w:rPr>
          <w:tab/>
        </w:r>
        <w:r w:rsidR="001D5DB1">
          <w:rPr>
            <w:webHidden/>
          </w:rPr>
          <w:fldChar w:fldCharType="begin"/>
        </w:r>
        <w:r w:rsidR="001D5DB1">
          <w:rPr>
            <w:webHidden/>
          </w:rPr>
          <w:instrText xml:space="preserve"> PAGEREF _Toc46265495 \h </w:instrText>
        </w:r>
        <w:r w:rsidR="001D5DB1">
          <w:rPr>
            <w:webHidden/>
          </w:rPr>
        </w:r>
        <w:r w:rsidR="001D5DB1">
          <w:rPr>
            <w:webHidden/>
          </w:rPr>
          <w:fldChar w:fldCharType="separate"/>
        </w:r>
        <w:r w:rsidR="00DD2E33">
          <w:rPr>
            <w:webHidden/>
          </w:rPr>
          <w:t>105</w:t>
        </w:r>
        <w:r w:rsidR="001D5DB1">
          <w:rPr>
            <w:webHidden/>
          </w:rPr>
          <w:fldChar w:fldCharType="end"/>
        </w:r>
      </w:hyperlink>
    </w:p>
    <w:p w14:paraId="42838250" w14:textId="628C60DE"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496" w:history="1">
        <w:r w:rsidR="001D5DB1" w:rsidRPr="0008224A">
          <w:rPr>
            <w:rStyle w:val="Hyperlink"/>
            <w:noProof/>
          </w:rPr>
          <w:t>Methods</w:t>
        </w:r>
        <w:r w:rsidR="001D5DB1">
          <w:rPr>
            <w:noProof/>
            <w:webHidden/>
          </w:rPr>
          <w:tab/>
        </w:r>
        <w:r w:rsidR="001D5DB1">
          <w:rPr>
            <w:noProof/>
            <w:webHidden/>
          </w:rPr>
          <w:fldChar w:fldCharType="begin"/>
        </w:r>
        <w:r w:rsidR="001D5DB1">
          <w:rPr>
            <w:noProof/>
            <w:webHidden/>
          </w:rPr>
          <w:instrText xml:space="preserve"> PAGEREF _Toc46265496 \h </w:instrText>
        </w:r>
        <w:r w:rsidR="001D5DB1">
          <w:rPr>
            <w:noProof/>
            <w:webHidden/>
          </w:rPr>
        </w:r>
        <w:r w:rsidR="001D5DB1">
          <w:rPr>
            <w:noProof/>
            <w:webHidden/>
          </w:rPr>
          <w:fldChar w:fldCharType="separate"/>
        </w:r>
        <w:r w:rsidR="00DD2E33">
          <w:rPr>
            <w:noProof/>
            <w:webHidden/>
          </w:rPr>
          <w:t>106</w:t>
        </w:r>
        <w:r w:rsidR="001D5DB1">
          <w:rPr>
            <w:noProof/>
            <w:webHidden/>
          </w:rPr>
          <w:fldChar w:fldCharType="end"/>
        </w:r>
      </w:hyperlink>
    </w:p>
    <w:p w14:paraId="4A2B06DC" w14:textId="257A8B41"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97" w:history="1">
        <w:r w:rsidR="001D5DB1" w:rsidRPr="0008224A">
          <w:rPr>
            <w:rStyle w:val="Hyperlink"/>
          </w:rPr>
          <w:t>Data Source</w:t>
        </w:r>
        <w:r w:rsidR="001D5DB1">
          <w:rPr>
            <w:webHidden/>
          </w:rPr>
          <w:tab/>
        </w:r>
        <w:r w:rsidR="001D5DB1">
          <w:rPr>
            <w:webHidden/>
          </w:rPr>
          <w:fldChar w:fldCharType="begin"/>
        </w:r>
        <w:r w:rsidR="001D5DB1">
          <w:rPr>
            <w:webHidden/>
          </w:rPr>
          <w:instrText xml:space="preserve"> PAGEREF _Toc46265497 \h </w:instrText>
        </w:r>
        <w:r w:rsidR="001D5DB1">
          <w:rPr>
            <w:webHidden/>
          </w:rPr>
        </w:r>
        <w:r w:rsidR="001D5DB1">
          <w:rPr>
            <w:webHidden/>
          </w:rPr>
          <w:fldChar w:fldCharType="separate"/>
        </w:r>
        <w:r w:rsidR="00DD2E33">
          <w:rPr>
            <w:webHidden/>
          </w:rPr>
          <w:t>106</w:t>
        </w:r>
        <w:r w:rsidR="001D5DB1">
          <w:rPr>
            <w:webHidden/>
          </w:rPr>
          <w:fldChar w:fldCharType="end"/>
        </w:r>
      </w:hyperlink>
    </w:p>
    <w:p w14:paraId="6FB310EB" w14:textId="63E92F12"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98" w:history="1">
        <w:r w:rsidR="001D5DB1" w:rsidRPr="0008224A">
          <w:rPr>
            <w:rStyle w:val="Hyperlink"/>
          </w:rPr>
          <w:t>Participants</w:t>
        </w:r>
        <w:r w:rsidR="001D5DB1">
          <w:rPr>
            <w:webHidden/>
          </w:rPr>
          <w:tab/>
        </w:r>
        <w:r w:rsidR="001D5DB1">
          <w:rPr>
            <w:webHidden/>
          </w:rPr>
          <w:fldChar w:fldCharType="begin"/>
        </w:r>
        <w:r w:rsidR="001D5DB1">
          <w:rPr>
            <w:webHidden/>
          </w:rPr>
          <w:instrText xml:space="preserve"> PAGEREF _Toc46265498 \h </w:instrText>
        </w:r>
        <w:r w:rsidR="001D5DB1">
          <w:rPr>
            <w:webHidden/>
          </w:rPr>
        </w:r>
        <w:r w:rsidR="001D5DB1">
          <w:rPr>
            <w:webHidden/>
          </w:rPr>
          <w:fldChar w:fldCharType="separate"/>
        </w:r>
        <w:r w:rsidR="00DD2E33">
          <w:rPr>
            <w:webHidden/>
          </w:rPr>
          <w:t>107</w:t>
        </w:r>
        <w:r w:rsidR="001D5DB1">
          <w:rPr>
            <w:webHidden/>
          </w:rPr>
          <w:fldChar w:fldCharType="end"/>
        </w:r>
      </w:hyperlink>
    </w:p>
    <w:p w14:paraId="439CEFE5" w14:textId="6E4F919F"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499" w:history="1">
        <w:r w:rsidR="001D5DB1" w:rsidRPr="0008224A">
          <w:rPr>
            <w:rStyle w:val="Hyperlink"/>
          </w:rPr>
          <w:t>Measures</w:t>
        </w:r>
        <w:r w:rsidR="001D5DB1">
          <w:rPr>
            <w:webHidden/>
          </w:rPr>
          <w:tab/>
        </w:r>
        <w:r w:rsidR="001D5DB1">
          <w:rPr>
            <w:webHidden/>
          </w:rPr>
          <w:fldChar w:fldCharType="begin"/>
        </w:r>
        <w:r w:rsidR="001D5DB1">
          <w:rPr>
            <w:webHidden/>
          </w:rPr>
          <w:instrText xml:space="preserve"> PAGEREF _Toc46265499 \h </w:instrText>
        </w:r>
        <w:r w:rsidR="001D5DB1">
          <w:rPr>
            <w:webHidden/>
          </w:rPr>
        </w:r>
        <w:r w:rsidR="001D5DB1">
          <w:rPr>
            <w:webHidden/>
          </w:rPr>
          <w:fldChar w:fldCharType="separate"/>
        </w:r>
        <w:r w:rsidR="00DD2E33">
          <w:rPr>
            <w:webHidden/>
          </w:rPr>
          <w:t>108</w:t>
        </w:r>
        <w:r w:rsidR="001D5DB1">
          <w:rPr>
            <w:webHidden/>
          </w:rPr>
          <w:fldChar w:fldCharType="end"/>
        </w:r>
      </w:hyperlink>
    </w:p>
    <w:p w14:paraId="76AC0D03" w14:textId="73BFBF5D"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00" w:history="1">
        <w:r w:rsidR="001D5DB1" w:rsidRPr="0008224A">
          <w:rPr>
            <w:rStyle w:val="Hyperlink"/>
          </w:rPr>
          <w:t>Approaches to Learning.</w:t>
        </w:r>
        <w:r w:rsidR="001D5DB1">
          <w:rPr>
            <w:webHidden/>
          </w:rPr>
          <w:tab/>
        </w:r>
        <w:r w:rsidR="001D5DB1">
          <w:rPr>
            <w:webHidden/>
          </w:rPr>
          <w:fldChar w:fldCharType="begin"/>
        </w:r>
        <w:r w:rsidR="001D5DB1">
          <w:rPr>
            <w:webHidden/>
          </w:rPr>
          <w:instrText xml:space="preserve"> PAGEREF _Toc46265500 \h </w:instrText>
        </w:r>
        <w:r w:rsidR="001D5DB1">
          <w:rPr>
            <w:webHidden/>
          </w:rPr>
        </w:r>
        <w:r w:rsidR="001D5DB1">
          <w:rPr>
            <w:webHidden/>
          </w:rPr>
          <w:fldChar w:fldCharType="separate"/>
        </w:r>
        <w:r w:rsidR="00DD2E33">
          <w:rPr>
            <w:webHidden/>
          </w:rPr>
          <w:t>108</w:t>
        </w:r>
        <w:r w:rsidR="001D5DB1">
          <w:rPr>
            <w:webHidden/>
          </w:rPr>
          <w:fldChar w:fldCharType="end"/>
        </w:r>
      </w:hyperlink>
    </w:p>
    <w:p w14:paraId="417C30B7" w14:textId="42614731" w:rsidR="001D5DB1" w:rsidRDefault="00DE2FE4">
      <w:pPr>
        <w:pStyle w:val="TOC4"/>
        <w:tabs>
          <w:tab w:val="right" w:leader="dot" w:pos="9350"/>
        </w:tabs>
        <w:rPr>
          <w:rFonts w:asciiTheme="minorHAnsi" w:eastAsiaTheme="minorEastAsia" w:hAnsiTheme="minorHAnsi"/>
          <w:noProof/>
          <w:sz w:val="22"/>
        </w:rPr>
      </w:pPr>
      <w:hyperlink w:anchor="_Toc46265501" w:history="1">
        <w:r w:rsidR="001D5DB1" w:rsidRPr="0008224A">
          <w:rPr>
            <w:rStyle w:val="Hyperlink"/>
            <w:noProof/>
          </w:rPr>
          <w:t>Individual Classroom Assessment Scoring System</w:t>
        </w:r>
        <w:r w:rsidR="001D5DB1">
          <w:rPr>
            <w:noProof/>
            <w:webHidden/>
          </w:rPr>
          <w:tab/>
        </w:r>
        <w:r w:rsidR="001D5DB1">
          <w:rPr>
            <w:noProof/>
            <w:webHidden/>
          </w:rPr>
          <w:fldChar w:fldCharType="begin"/>
        </w:r>
        <w:r w:rsidR="001D5DB1">
          <w:rPr>
            <w:noProof/>
            <w:webHidden/>
          </w:rPr>
          <w:instrText xml:space="preserve"> PAGEREF _Toc46265501 \h </w:instrText>
        </w:r>
        <w:r w:rsidR="001D5DB1">
          <w:rPr>
            <w:noProof/>
            <w:webHidden/>
          </w:rPr>
        </w:r>
        <w:r w:rsidR="001D5DB1">
          <w:rPr>
            <w:noProof/>
            <w:webHidden/>
          </w:rPr>
          <w:fldChar w:fldCharType="separate"/>
        </w:r>
        <w:r w:rsidR="00DD2E33">
          <w:rPr>
            <w:noProof/>
            <w:webHidden/>
          </w:rPr>
          <w:t>108</w:t>
        </w:r>
        <w:r w:rsidR="001D5DB1">
          <w:rPr>
            <w:noProof/>
            <w:webHidden/>
          </w:rPr>
          <w:fldChar w:fldCharType="end"/>
        </w:r>
      </w:hyperlink>
    </w:p>
    <w:p w14:paraId="5465A370" w14:textId="1B3404AB" w:rsidR="001D5DB1" w:rsidRDefault="00DE2FE4">
      <w:pPr>
        <w:pStyle w:val="TOC4"/>
        <w:tabs>
          <w:tab w:val="right" w:leader="dot" w:pos="9350"/>
        </w:tabs>
        <w:rPr>
          <w:rFonts w:asciiTheme="minorHAnsi" w:eastAsiaTheme="minorEastAsia" w:hAnsiTheme="minorHAnsi"/>
          <w:noProof/>
          <w:sz w:val="22"/>
        </w:rPr>
      </w:pPr>
      <w:hyperlink w:anchor="_Toc46265502" w:history="1">
        <w:r w:rsidR="001D5DB1" w:rsidRPr="0008224A">
          <w:rPr>
            <w:rStyle w:val="Hyperlink"/>
            <w:noProof/>
          </w:rPr>
          <w:t>Devereux Early Childhood Assessment, Preschool 2nd edition.</w:t>
        </w:r>
        <w:r w:rsidR="001D5DB1">
          <w:rPr>
            <w:noProof/>
            <w:webHidden/>
          </w:rPr>
          <w:tab/>
        </w:r>
        <w:r w:rsidR="001D5DB1">
          <w:rPr>
            <w:noProof/>
            <w:webHidden/>
          </w:rPr>
          <w:fldChar w:fldCharType="begin"/>
        </w:r>
        <w:r w:rsidR="001D5DB1">
          <w:rPr>
            <w:noProof/>
            <w:webHidden/>
          </w:rPr>
          <w:instrText xml:space="preserve"> PAGEREF _Toc46265502 \h </w:instrText>
        </w:r>
        <w:r w:rsidR="001D5DB1">
          <w:rPr>
            <w:noProof/>
            <w:webHidden/>
          </w:rPr>
        </w:r>
        <w:r w:rsidR="001D5DB1">
          <w:rPr>
            <w:noProof/>
            <w:webHidden/>
          </w:rPr>
          <w:fldChar w:fldCharType="separate"/>
        </w:r>
        <w:r w:rsidR="00DD2E33">
          <w:rPr>
            <w:noProof/>
            <w:webHidden/>
          </w:rPr>
          <w:t>110</w:t>
        </w:r>
        <w:r w:rsidR="001D5DB1">
          <w:rPr>
            <w:noProof/>
            <w:webHidden/>
          </w:rPr>
          <w:fldChar w:fldCharType="end"/>
        </w:r>
      </w:hyperlink>
    </w:p>
    <w:p w14:paraId="5A3BDA0D" w14:textId="57A8CF1C" w:rsidR="001D5DB1" w:rsidRDefault="00DE2FE4">
      <w:pPr>
        <w:pStyle w:val="TOC4"/>
        <w:tabs>
          <w:tab w:val="right" w:leader="dot" w:pos="9350"/>
        </w:tabs>
        <w:rPr>
          <w:rFonts w:asciiTheme="minorHAnsi" w:eastAsiaTheme="minorEastAsia" w:hAnsiTheme="minorHAnsi"/>
          <w:noProof/>
          <w:sz w:val="22"/>
        </w:rPr>
      </w:pPr>
      <w:hyperlink w:anchor="_Toc46265503" w:history="1">
        <w:r w:rsidR="001D5DB1" w:rsidRPr="0008224A">
          <w:rPr>
            <w:rStyle w:val="Hyperlink"/>
            <w:noProof/>
          </w:rPr>
          <w:t>Leiter-R Examiner Rating Scale</w:t>
        </w:r>
        <w:r w:rsidR="001D5DB1">
          <w:rPr>
            <w:noProof/>
            <w:webHidden/>
          </w:rPr>
          <w:tab/>
        </w:r>
        <w:r w:rsidR="001D5DB1">
          <w:rPr>
            <w:noProof/>
            <w:webHidden/>
          </w:rPr>
          <w:fldChar w:fldCharType="begin"/>
        </w:r>
        <w:r w:rsidR="001D5DB1">
          <w:rPr>
            <w:noProof/>
            <w:webHidden/>
          </w:rPr>
          <w:instrText xml:space="preserve"> PAGEREF _Toc46265503 \h </w:instrText>
        </w:r>
        <w:r w:rsidR="001D5DB1">
          <w:rPr>
            <w:noProof/>
            <w:webHidden/>
          </w:rPr>
        </w:r>
        <w:r w:rsidR="001D5DB1">
          <w:rPr>
            <w:noProof/>
            <w:webHidden/>
          </w:rPr>
          <w:fldChar w:fldCharType="separate"/>
        </w:r>
        <w:r w:rsidR="00DD2E33">
          <w:rPr>
            <w:noProof/>
            <w:webHidden/>
          </w:rPr>
          <w:t>111</w:t>
        </w:r>
        <w:r w:rsidR="001D5DB1">
          <w:rPr>
            <w:noProof/>
            <w:webHidden/>
          </w:rPr>
          <w:fldChar w:fldCharType="end"/>
        </w:r>
      </w:hyperlink>
    </w:p>
    <w:p w14:paraId="452900CF" w14:textId="0727D6C0"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04" w:history="1">
        <w:r w:rsidR="001D5DB1" w:rsidRPr="0008224A">
          <w:rPr>
            <w:rStyle w:val="Hyperlink"/>
          </w:rPr>
          <w:t>Task-based executive function.</w:t>
        </w:r>
        <w:r w:rsidR="001D5DB1">
          <w:rPr>
            <w:webHidden/>
          </w:rPr>
          <w:tab/>
        </w:r>
        <w:r w:rsidR="001D5DB1">
          <w:rPr>
            <w:webHidden/>
          </w:rPr>
          <w:fldChar w:fldCharType="begin"/>
        </w:r>
        <w:r w:rsidR="001D5DB1">
          <w:rPr>
            <w:webHidden/>
          </w:rPr>
          <w:instrText xml:space="preserve"> PAGEREF _Toc46265504 \h </w:instrText>
        </w:r>
        <w:r w:rsidR="001D5DB1">
          <w:rPr>
            <w:webHidden/>
          </w:rPr>
        </w:r>
        <w:r w:rsidR="001D5DB1">
          <w:rPr>
            <w:webHidden/>
          </w:rPr>
          <w:fldChar w:fldCharType="separate"/>
        </w:r>
        <w:r w:rsidR="00DD2E33">
          <w:rPr>
            <w:webHidden/>
          </w:rPr>
          <w:t>112</w:t>
        </w:r>
        <w:r w:rsidR="001D5DB1">
          <w:rPr>
            <w:webHidden/>
          </w:rPr>
          <w:fldChar w:fldCharType="end"/>
        </w:r>
      </w:hyperlink>
    </w:p>
    <w:p w14:paraId="5110E81B" w14:textId="6BB97A48" w:rsidR="001D5DB1" w:rsidRDefault="00DE2FE4">
      <w:pPr>
        <w:pStyle w:val="TOC4"/>
        <w:tabs>
          <w:tab w:val="right" w:leader="dot" w:pos="9350"/>
        </w:tabs>
        <w:rPr>
          <w:rFonts w:asciiTheme="minorHAnsi" w:eastAsiaTheme="minorEastAsia" w:hAnsiTheme="minorHAnsi"/>
          <w:noProof/>
          <w:sz w:val="22"/>
        </w:rPr>
      </w:pPr>
      <w:hyperlink w:anchor="_Toc46265505" w:history="1">
        <w:r w:rsidR="001D5DB1" w:rsidRPr="0008224A">
          <w:rPr>
            <w:rStyle w:val="Hyperlink"/>
            <w:noProof/>
          </w:rPr>
          <w:t>Pencil Tap</w:t>
        </w:r>
        <w:r w:rsidR="001D5DB1">
          <w:rPr>
            <w:noProof/>
            <w:webHidden/>
          </w:rPr>
          <w:tab/>
        </w:r>
        <w:r w:rsidR="001D5DB1">
          <w:rPr>
            <w:noProof/>
            <w:webHidden/>
          </w:rPr>
          <w:fldChar w:fldCharType="begin"/>
        </w:r>
        <w:r w:rsidR="001D5DB1">
          <w:rPr>
            <w:noProof/>
            <w:webHidden/>
          </w:rPr>
          <w:instrText xml:space="preserve"> PAGEREF _Toc46265505 \h </w:instrText>
        </w:r>
        <w:r w:rsidR="001D5DB1">
          <w:rPr>
            <w:noProof/>
            <w:webHidden/>
          </w:rPr>
        </w:r>
        <w:r w:rsidR="001D5DB1">
          <w:rPr>
            <w:noProof/>
            <w:webHidden/>
          </w:rPr>
          <w:fldChar w:fldCharType="separate"/>
        </w:r>
        <w:r w:rsidR="00DD2E33">
          <w:rPr>
            <w:noProof/>
            <w:webHidden/>
          </w:rPr>
          <w:t>112</w:t>
        </w:r>
        <w:r w:rsidR="001D5DB1">
          <w:rPr>
            <w:noProof/>
            <w:webHidden/>
          </w:rPr>
          <w:fldChar w:fldCharType="end"/>
        </w:r>
      </w:hyperlink>
    </w:p>
    <w:p w14:paraId="10A524A9" w14:textId="5FA4226C" w:rsidR="001D5DB1" w:rsidRDefault="00DE2FE4">
      <w:pPr>
        <w:pStyle w:val="TOC4"/>
        <w:tabs>
          <w:tab w:val="right" w:leader="dot" w:pos="9350"/>
        </w:tabs>
        <w:rPr>
          <w:rFonts w:asciiTheme="minorHAnsi" w:eastAsiaTheme="minorEastAsia" w:hAnsiTheme="minorHAnsi"/>
          <w:noProof/>
          <w:sz w:val="22"/>
        </w:rPr>
      </w:pPr>
      <w:hyperlink w:anchor="_Toc46265506" w:history="1">
        <w:r w:rsidR="001D5DB1" w:rsidRPr="0008224A">
          <w:rPr>
            <w:rStyle w:val="Hyperlink"/>
            <w:noProof/>
          </w:rPr>
          <w:t>Digit Span.</w:t>
        </w:r>
        <w:r w:rsidR="001D5DB1">
          <w:rPr>
            <w:noProof/>
            <w:webHidden/>
          </w:rPr>
          <w:tab/>
        </w:r>
        <w:r w:rsidR="001D5DB1">
          <w:rPr>
            <w:noProof/>
            <w:webHidden/>
          </w:rPr>
          <w:fldChar w:fldCharType="begin"/>
        </w:r>
        <w:r w:rsidR="001D5DB1">
          <w:rPr>
            <w:noProof/>
            <w:webHidden/>
          </w:rPr>
          <w:instrText xml:space="preserve"> PAGEREF _Toc46265506 \h </w:instrText>
        </w:r>
        <w:r w:rsidR="001D5DB1">
          <w:rPr>
            <w:noProof/>
            <w:webHidden/>
          </w:rPr>
        </w:r>
        <w:r w:rsidR="001D5DB1">
          <w:rPr>
            <w:noProof/>
            <w:webHidden/>
          </w:rPr>
          <w:fldChar w:fldCharType="separate"/>
        </w:r>
        <w:r w:rsidR="00DD2E33">
          <w:rPr>
            <w:noProof/>
            <w:webHidden/>
          </w:rPr>
          <w:t>112</w:t>
        </w:r>
        <w:r w:rsidR="001D5DB1">
          <w:rPr>
            <w:noProof/>
            <w:webHidden/>
          </w:rPr>
          <w:fldChar w:fldCharType="end"/>
        </w:r>
      </w:hyperlink>
    </w:p>
    <w:p w14:paraId="2A7C1A7F" w14:textId="1474279D" w:rsidR="001D5DB1" w:rsidRDefault="00DE2FE4">
      <w:pPr>
        <w:pStyle w:val="TOC4"/>
        <w:tabs>
          <w:tab w:val="right" w:leader="dot" w:pos="9350"/>
        </w:tabs>
        <w:rPr>
          <w:rFonts w:asciiTheme="minorHAnsi" w:eastAsiaTheme="minorEastAsia" w:hAnsiTheme="minorHAnsi"/>
          <w:noProof/>
          <w:sz w:val="22"/>
        </w:rPr>
      </w:pPr>
      <w:hyperlink w:anchor="_Toc46265507" w:history="1">
        <w:r w:rsidR="001D5DB1" w:rsidRPr="0008224A">
          <w:rPr>
            <w:rStyle w:val="Hyperlink"/>
            <w:noProof/>
          </w:rPr>
          <w:t>Head Toes Knees Shoulders Task</w:t>
        </w:r>
        <w:r w:rsidR="001D5DB1">
          <w:rPr>
            <w:noProof/>
            <w:webHidden/>
          </w:rPr>
          <w:tab/>
        </w:r>
        <w:r w:rsidR="001D5DB1">
          <w:rPr>
            <w:noProof/>
            <w:webHidden/>
          </w:rPr>
          <w:fldChar w:fldCharType="begin"/>
        </w:r>
        <w:r w:rsidR="001D5DB1">
          <w:rPr>
            <w:noProof/>
            <w:webHidden/>
          </w:rPr>
          <w:instrText xml:space="preserve"> PAGEREF _Toc46265507 \h </w:instrText>
        </w:r>
        <w:r w:rsidR="001D5DB1">
          <w:rPr>
            <w:noProof/>
            <w:webHidden/>
          </w:rPr>
        </w:r>
        <w:r w:rsidR="001D5DB1">
          <w:rPr>
            <w:noProof/>
            <w:webHidden/>
          </w:rPr>
          <w:fldChar w:fldCharType="separate"/>
        </w:r>
        <w:r w:rsidR="00DD2E33">
          <w:rPr>
            <w:noProof/>
            <w:webHidden/>
          </w:rPr>
          <w:t>113</w:t>
        </w:r>
        <w:r w:rsidR="001D5DB1">
          <w:rPr>
            <w:noProof/>
            <w:webHidden/>
          </w:rPr>
          <w:fldChar w:fldCharType="end"/>
        </w:r>
      </w:hyperlink>
    </w:p>
    <w:p w14:paraId="76114F54" w14:textId="39A6010B"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08" w:history="1">
        <w:r w:rsidR="001D5DB1" w:rsidRPr="0008224A">
          <w:rPr>
            <w:rStyle w:val="Hyperlink"/>
          </w:rPr>
          <w:t>Social Development.</w:t>
        </w:r>
        <w:r w:rsidR="001D5DB1">
          <w:rPr>
            <w:webHidden/>
          </w:rPr>
          <w:tab/>
        </w:r>
        <w:r w:rsidR="001D5DB1">
          <w:rPr>
            <w:webHidden/>
          </w:rPr>
          <w:fldChar w:fldCharType="begin"/>
        </w:r>
        <w:r w:rsidR="001D5DB1">
          <w:rPr>
            <w:webHidden/>
          </w:rPr>
          <w:instrText xml:space="preserve"> PAGEREF _Toc46265508 \h </w:instrText>
        </w:r>
        <w:r w:rsidR="001D5DB1">
          <w:rPr>
            <w:webHidden/>
          </w:rPr>
        </w:r>
        <w:r w:rsidR="001D5DB1">
          <w:rPr>
            <w:webHidden/>
          </w:rPr>
          <w:fldChar w:fldCharType="separate"/>
        </w:r>
        <w:r w:rsidR="00DD2E33">
          <w:rPr>
            <w:webHidden/>
          </w:rPr>
          <w:t>114</w:t>
        </w:r>
        <w:r w:rsidR="001D5DB1">
          <w:rPr>
            <w:webHidden/>
          </w:rPr>
          <w:fldChar w:fldCharType="end"/>
        </w:r>
      </w:hyperlink>
    </w:p>
    <w:p w14:paraId="111D3783" w14:textId="5E250067"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09" w:history="1">
        <w:r w:rsidR="001D5DB1" w:rsidRPr="0008224A">
          <w:rPr>
            <w:rStyle w:val="Hyperlink"/>
          </w:rPr>
          <w:t>Academic Outcomes</w:t>
        </w:r>
        <w:r w:rsidR="001D5DB1">
          <w:rPr>
            <w:webHidden/>
          </w:rPr>
          <w:tab/>
        </w:r>
        <w:r w:rsidR="001D5DB1">
          <w:rPr>
            <w:webHidden/>
          </w:rPr>
          <w:fldChar w:fldCharType="begin"/>
        </w:r>
        <w:r w:rsidR="001D5DB1">
          <w:rPr>
            <w:webHidden/>
          </w:rPr>
          <w:instrText xml:space="preserve"> PAGEREF _Toc46265509 \h </w:instrText>
        </w:r>
        <w:r w:rsidR="001D5DB1">
          <w:rPr>
            <w:webHidden/>
          </w:rPr>
        </w:r>
        <w:r w:rsidR="001D5DB1">
          <w:rPr>
            <w:webHidden/>
          </w:rPr>
          <w:fldChar w:fldCharType="separate"/>
        </w:r>
        <w:r w:rsidR="00DD2E33">
          <w:rPr>
            <w:webHidden/>
          </w:rPr>
          <w:t>114</w:t>
        </w:r>
        <w:r w:rsidR="001D5DB1">
          <w:rPr>
            <w:webHidden/>
          </w:rPr>
          <w:fldChar w:fldCharType="end"/>
        </w:r>
      </w:hyperlink>
    </w:p>
    <w:p w14:paraId="28E768F2" w14:textId="02415E3E" w:rsidR="001D5DB1" w:rsidRDefault="00DE2FE4">
      <w:pPr>
        <w:pStyle w:val="TOC4"/>
        <w:tabs>
          <w:tab w:val="right" w:leader="dot" w:pos="9350"/>
        </w:tabs>
        <w:rPr>
          <w:rFonts w:asciiTheme="minorHAnsi" w:eastAsiaTheme="minorEastAsia" w:hAnsiTheme="minorHAnsi"/>
          <w:noProof/>
          <w:sz w:val="22"/>
        </w:rPr>
      </w:pPr>
      <w:hyperlink w:anchor="_Toc46265510" w:history="1">
        <w:r w:rsidR="001D5DB1" w:rsidRPr="0008224A">
          <w:rPr>
            <w:rStyle w:val="Hyperlink"/>
            <w:noProof/>
          </w:rPr>
          <w:t>Woodcock-Johnson Applied Problems III</w:t>
        </w:r>
        <w:r w:rsidR="001D5DB1">
          <w:rPr>
            <w:noProof/>
            <w:webHidden/>
          </w:rPr>
          <w:tab/>
        </w:r>
        <w:r w:rsidR="001D5DB1">
          <w:rPr>
            <w:noProof/>
            <w:webHidden/>
          </w:rPr>
          <w:fldChar w:fldCharType="begin"/>
        </w:r>
        <w:r w:rsidR="001D5DB1">
          <w:rPr>
            <w:noProof/>
            <w:webHidden/>
          </w:rPr>
          <w:instrText xml:space="preserve"> PAGEREF _Toc46265510 \h </w:instrText>
        </w:r>
        <w:r w:rsidR="001D5DB1">
          <w:rPr>
            <w:noProof/>
            <w:webHidden/>
          </w:rPr>
        </w:r>
        <w:r w:rsidR="001D5DB1">
          <w:rPr>
            <w:noProof/>
            <w:webHidden/>
          </w:rPr>
          <w:fldChar w:fldCharType="separate"/>
        </w:r>
        <w:r w:rsidR="00DD2E33">
          <w:rPr>
            <w:noProof/>
            <w:webHidden/>
          </w:rPr>
          <w:t>114</w:t>
        </w:r>
        <w:r w:rsidR="001D5DB1">
          <w:rPr>
            <w:noProof/>
            <w:webHidden/>
          </w:rPr>
          <w:fldChar w:fldCharType="end"/>
        </w:r>
      </w:hyperlink>
    </w:p>
    <w:p w14:paraId="50B1C2E9" w14:textId="150D4F7C" w:rsidR="001D5DB1" w:rsidRDefault="00DE2FE4">
      <w:pPr>
        <w:pStyle w:val="TOC4"/>
        <w:tabs>
          <w:tab w:val="right" w:leader="dot" w:pos="9350"/>
        </w:tabs>
        <w:rPr>
          <w:rFonts w:asciiTheme="minorHAnsi" w:eastAsiaTheme="minorEastAsia" w:hAnsiTheme="minorHAnsi"/>
          <w:noProof/>
          <w:sz w:val="22"/>
        </w:rPr>
      </w:pPr>
      <w:hyperlink w:anchor="_Toc46265511" w:history="1">
        <w:r w:rsidR="001D5DB1" w:rsidRPr="0008224A">
          <w:rPr>
            <w:rStyle w:val="Hyperlink"/>
            <w:noProof/>
          </w:rPr>
          <w:t>Woodcock-Johnson Letter Word Identification.</w:t>
        </w:r>
        <w:r w:rsidR="001D5DB1">
          <w:rPr>
            <w:noProof/>
            <w:webHidden/>
          </w:rPr>
          <w:tab/>
        </w:r>
        <w:r w:rsidR="001D5DB1">
          <w:rPr>
            <w:noProof/>
            <w:webHidden/>
          </w:rPr>
          <w:fldChar w:fldCharType="begin"/>
        </w:r>
        <w:r w:rsidR="001D5DB1">
          <w:rPr>
            <w:noProof/>
            <w:webHidden/>
          </w:rPr>
          <w:instrText xml:space="preserve"> PAGEREF _Toc46265511 \h </w:instrText>
        </w:r>
        <w:r w:rsidR="001D5DB1">
          <w:rPr>
            <w:noProof/>
            <w:webHidden/>
          </w:rPr>
        </w:r>
        <w:r w:rsidR="001D5DB1">
          <w:rPr>
            <w:noProof/>
            <w:webHidden/>
          </w:rPr>
          <w:fldChar w:fldCharType="separate"/>
        </w:r>
        <w:r w:rsidR="00DD2E33">
          <w:rPr>
            <w:noProof/>
            <w:webHidden/>
          </w:rPr>
          <w:t>115</w:t>
        </w:r>
        <w:r w:rsidR="001D5DB1">
          <w:rPr>
            <w:noProof/>
            <w:webHidden/>
          </w:rPr>
          <w:fldChar w:fldCharType="end"/>
        </w:r>
      </w:hyperlink>
    </w:p>
    <w:p w14:paraId="4E8F4AEC" w14:textId="52366351" w:rsidR="001D5DB1" w:rsidRDefault="00DE2FE4">
      <w:pPr>
        <w:pStyle w:val="TOC4"/>
        <w:tabs>
          <w:tab w:val="right" w:leader="dot" w:pos="9350"/>
        </w:tabs>
        <w:rPr>
          <w:rFonts w:asciiTheme="minorHAnsi" w:eastAsiaTheme="minorEastAsia" w:hAnsiTheme="minorHAnsi"/>
          <w:noProof/>
          <w:sz w:val="22"/>
        </w:rPr>
      </w:pPr>
      <w:hyperlink w:anchor="_Toc46265512" w:history="1">
        <w:r w:rsidR="001D5DB1" w:rsidRPr="0008224A">
          <w:rPr>
            <w:rStyle w:val="Hyperlink"/>
            <w:noProof/>
          </w:rPr>
          <w:t>Expressive One-Word Picture Vocabulary Test</w:t>
        </w:r>
        <w:r w:rsidR="001D5DB1">
          <w:rPr>
            <w:noProof/>
            <w:webHidden/>
          </w:rPr>
          <w:tab/>
        </w:r>
        <w:r w:rsidR="001D5DB1">
          <w:rPr>
            <w:noProof/>
            <w:webHidden/>
          </w:rPr>
          <w:fldChar w:fldCharType="begin"/>
        </w:r>
        <w:r w:rsidR="001D5DB1">
          <w:rPr>
            <w:noProof/>
            <w:webHidden/>
          </w:rPr>
          <w:instrText xml:space="preserve"> PAGEREF _Toc46265512 \h </w:instrText>
        </w:r>
        <w:r w:rsidR="001D5DB1">
          <w:rPr>
            <w:noProof/>
            <w:webHidden/>
          </w:rPr>
        </w:r>
        <w:r w:rsidR="001D5DB1">
          <w:rPr>
            <w:noProof/>
            <w:webHidden/>
          </w:rPr>
          <w:fldChar w:fldCharType="separate"/>
        </w:r>
        <w:r w:rsidR="00DD2E33">
          <w:rPr>
            <w:noProof/>
            <w:webHidden/>
          </w:rPr>
          <w:t>115</w:t>
        </w:r>
        <w:r w:rsidR="001D5DB1">
          <w:rPr>
            <w:noProof/>
            <w:webHidden/>
          </w:rPr>
          <w:fldChar w:fldCharType="end"/>
        </w:r>
      </w:hyperlink>
    </w:p>
    <w:p w14:paraId="6A3A1740" w14:textId="0E605265" w:rsidR="001D5DB1" w:rsidRDefault="00DE2FE4">
      <w:pPr>
        <w:pStyle w:val="TOC4"/>
        <w:tabs>
          <w:tab w:val="right" w:leader="dot" w:pos="9350"/>
        </w:tabs>
        <w:rPr>
          <w:rFonts w:asciiTheme="minorHAnsi" w:eastAsiaTheme="minorEastAsia" w:hAnsiTheme="minorHAnsi"/>
          <w:noProof/>
          <w:sz w:val="22"/>
        </w:rPr>
      </w:pPr>
      <w:hyperlink w:anchor="_Toc46265513" w:history="1">
        <w:r w:rsidR="001D5DB1" w:rsidRPr="0008224A">
          <w:rPr>
            <w:rStyle w:val="Hyperlink"/>
            <w:noProof/>
          </w:rPr>
          <w:t>Bracken School Readiness Assessment</w:t>
        </w:r>
        <w:r w:rsidR="001D5DB1">
          <w:rPr>
            <w:noProof/>
            <w:webHidden/>
          </w:rPr>
          <w:tab/>
        </w:r>
        <w:r w:rsidR="001D5DB1">
          <w:rPr>
            <w:noProof/>
            <w:webHidden/>
          </w:rPr>
          <w:fldChar w:fldCharType="begin"/>
        </w:r>
        <w:r w:rsidR="001D5DB1">
          <w:rPr>
            <w:noProof/>
            <w:webHidden/>
          </w:rPr>
          <w:instrText xml:space="preserve"> PAGEREF _Toc46265513 \h </w:instrText>
        </w:r>
        <w:r w:rsidR="001D5DB1">
          <w:rPr>
            <w:noProof/>
            <w:webHidden/>
          </w:rPr>
        </w:r>
        <w:r w:rsidR="001D5DB1">
          <w:rPr>
            <w:noProof/>
            <w:webHidden/>
          </w:rPr>
          <w:fldChar w:fldCharType="separate"/>
        </w:r>
        <w:r w:rsidR="00DD2E33">
          <w:rPr>
            <w:noProof/>
            <w:webHidden/>
          </w:rPr>
          <w:t>116</w:t>
        </w:r>
        <w:r w:rsidR="001D5DB1">
          <w:rPr>
            <w:noProof/>
            <w:webHidden/>
          </w:rPr>
          <w:fldChar w:fldCharType="end"/>
        </w:r>
      </w:hyperlink>
    </w:p>
    <w:p w14:paraId="519AD215" w14:textId="3936D939"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14" w:history="1">
        <w:r w:rsidR="001D5DB1" w:rsidRPr="0008224A">
          <w:rPr>
            <w:rStyle w:val="Hyperlink"/>
          </w:rPr>
          <w:t>Procedures</w:t>
        </w:r>
        <w:r w:rsidR="001D5DB1">
          <w:rPr>
            <w:webHidden/>
          </w:rPr>
          <w:tab/>
        </w:r>
        <w:r w:rsidR="001D5DB1">
          <w:rPr>
            <w:webHidden/>
          </w:rPr>
          <w:fldChar w:fldCharType="begin"/>
        </w:r>
        <w:r w:rsidR="001D5DB1">
          <w:rPr>
            <w:webHidden/>
          </w:rPr>
          <w:instrText xml:space="preserve"> PAGEREF _Toc46265514 \h </w:instrText>
        </w:r>
        <w:r w:rsidR="001D5DB1">
          <w:rPr>
            <w:webHidden/>
          </w:rPr>
        </w:r>
        <w:r w:rsidR="001D5DB1">
          <w:rPr>
            <w:webHidden/>
          </w:rPr>
          <w:fldChar w:fldCharType="separate"/>
        </w:r>
        <w:r w:rsidR="00DD2E33">
          <w:rPr>
            <w:webHidden/>
          </w:rPr>
          <w:t>116</w:t>
        </w:r>
        <w:r w:rsidR="001D5DB1">
          <w:rPr>
            <w:webHidden/>
          </w:rPr>
          <w:fldChar w:fldCharType="end"/>
        </w:r>
      </w:hyperlink>
    </w:p>
    <w:p w14:paraId="3B7A55AF" w14:textId="218E64A3"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15" w:history="1">
        <w:r w:rsidR="001D5DB1" w:rsidRPr="0008224A">
          <w:rPr>
            <w:rStyle w:val="Hyperlink"/>
          </w:rPr>
          <w:t>Data Analysis</w:t>
        </w:r>
        <w:r w:rsidR="001D5DB1">
          <w:rPr>
            <w:webHidden/>
          </w:rPr>
          <w:tab/>
        </w:r>
        <w:r w:rsidR="001D5DB1">
          <w:rPr>
            <w:webHidden/>
          </w:rPr>
          <w:fldChar w:fldCharType="begin"/>
        </w:r>
        <w:r w:rsidR="001D5DB1">
          <w:rPr>
            <w:webHidden/>
          </w:rPr>
          <w:instrText xml:space="preserve"> PAGEREF _Toc46265515 \h </w:instrText>
        </w:r>
        <w:r w:rsidR="001D5DB1">
          <w:rPr>
            <w:webHidden/>
          </w:rPr>
        </w:r>
        <w:r w:rsidR="001D5DB1">
          <w:rPr>
            <w:webHidden/>
          </w:rPr>
          <w:fldChar w:fldCharType="separate"/>
        </w:r>
        <w:r w:rsidR="00DD2E33">
          <w:rPr>
            <w:webHidden/>
          </w:rPr>
          <w:t>117</w:t>
        </w:r>
        <w:r w:rsidR="001D5DB1">
          <w:rPr>
            <w:webHidden/>
          </w:rPr>
          <w:fldChar w:fldCharType="end"/>
        </w:r>
      </w:hyperlink>
    </w:p>
    <w:p w14:paraId="5F35DD2F" w14:textId="4D963610"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16" w:history="1">
        <w:r w:rsidR="001D5DB1" w:rsidRPr="0008224A">
          <w:rPr>
            <w:rStyle w:val="Hyperlink"/>
          </w:rPr>
          <w:t>Preliminary analyses</w:t>
        </w:r>
        <w:r w:rsidR="001D5DB1">
          <w:rPr>
            <w:webHidden/>
          </w:rPr>
          <w:tab/>
        </w:r>
        <w:r w:rsidR="001D5DB1">
          <w:rPr>
            <w:webHidden/>
          </w:rPr>
          <w:fldChar w:fldCharType="begin"/>
        </w:r>
        <w:r w:rsidR="001D5DB1">
          <w:rPr>
            <w:webHidden/>
          </w:rPr>
          <w:instrText xml:space="preserve"> PAGEREF _Toc46265516 \h </w:instrText>
        </w:r>
        <w:r w:rsidR="001D5DB1">
          <w:rPr>
            <w:webHidden/>
          </w:rPr>
        </w:r>
        <w:r w:rsidR="001D5DB1">
          <w:rPr>
            <w:webHidden/>
          </w:rPr>
          <w:fldChar w:fldCharType="separate"/>
        </w:r>
        <w:r w:rsidR="00DD2E33">
          <w:rPr>
            <w:webHidden/>
          </w:rPr>
          <w:t>118</w:t>
        </w:r>
        <w:r w:rsidR="001D5DB1">
          <w:rPr>
            <w:webHidden/>
          </w:rPr>
          <w:fldChar w:fldCharType="end"/>
        </w:r>
      </w:hyperlink>
    </w:p>
    <w:p w14:paraId="30734046" w14:textId="26BDBBEB"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17" w:history="1">
        <w:r w:rsidR="001D5DB1" w:rsidRPr="0008224A">
          <w:rPr>
            <w:rStyle w:val="Hyperlink"/>
          </w:rPr>
          <w:t>Primary Analyses</w:t>
        </w:r>
        <w:r w:rsidR="001D5DB1">
          <w:rPr>
            <w:webHidden/>
          </w:rPr>
          <w:tab/>
        </w:r>
        <w:r w:rsidR="001D5DB1">
          <w:rPr>
            <w:webHidden/>
          </w:rPr>
          <w:fldChar w:fldCharType="begin"/>
        </w:r>
        <w:r w:rsidR="001D5DB1">
          <w:rPr>
            <w:webHidden/>
          </w:rPr>
          <w:instrText xml:space="preserve"> PAGEREF _Toc46265517 \h </w:instrText>
        </w:r>
        <w:r w:rsidR="001D5DB1">
          <w:rPr>
            <w:webHidden/>
          </w:rPr>
        </w:r>
        <w:r w:rsidR="001D5DB1">
          <w:rPr>
            <w:webHidden/>
          </w:rPr>
          <w:fldChar w:fldCharType="separate"/>
        </w:r>
        <w:r w:rsidR="00DD2E33">
          <w:rPr>
            <w:webHidden/>
          </w:rPr>
          <w:t>118</w:t>
        </w:r>
        <w:r w:rsidR="001D5DB1">
          <w:rPr>
            <w:webHidden/>
          </w:rPr>
          <w:fldChar w:fldCharType="end"/>
        </w:r>
      </w:hyperlink>
    </w:p>
    <w:p w14:paraId="50757BFE" w14:textId="54DCC3D5"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18" w:history="1">
        <w:r w:rsidR="001D5DB1" w:rsidRPr="0008224A">
          <w:rPr>
            <w:rStyle w:val="Hyperlink"/>
            <w:noProof/>
          </w:rPr>
          <w:t>Results</w:t>
        </w:r>
        <w:r w:rsidR="001D5DB1">
          <w:rPr>
            <w:noProof/>
            <w:webHidden/>
          </w:rPr>
          <w:tab/>
        </w:r>
        <w:r w:rsidR="001D5DB1">
          <w:rPr>
            <w:noProof/>
            <w:webHidden/>
          </w:rPr>
          <w:fldChar w:fldCharType="begin"/>
        </w:r>
        <w:r w:rsidR="001D5DB1">
          <w:rPr>
            <w:noProof/>
            <w:webHidden/>
          </w:rPr>
          <w:instrText xml:space="preserve"> PAGEREF _Toc46265518 \h </w:instrText>
        </w:r>
        <w:r w:rsidR="001D5DB1">
          <w:rPr>
            <w:noProof/>
            <w:webHidden/>
          </w:rPr>
        </w:r>
        <w:r w:rsidR="001D5DB1">
          <w:rPr>
            <w:noProof/>
            <w:webHidden/>
          </w:rPr>
          <w:fldChar w:fldCharType="separate"/>
        </w:r>
        <w:r w:rsidR="00DD2E33">
          <w:rPr>
            <w:noProof/>
            <w:webHidden/>
          </w:rPr>
          <w:t>120</w:t>
        </w:r>
        <w:r w:rsidR="001D5DB1">
          <w:rPr>
            <w:noProof/>
            <w:webHidden/>
          </w:rPr>
          <w:fldChar w:fldCharType="end"/>
        </w:r>
      </w:hyperlink>
    </w:p>
    <w:p w14:paraId="4622B2D0" w14:textId="5DB3209C"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19" w:history="1">
        <w:r w:rsidR="001D5DB1" w:rsidRPr="0008224A">
          <w:rPr>
            <w:rStyle w:val="Hyperlink"/>
          </w:rPr>
          <w:t>Descriptive Statistics</w:t>
        </w:r>
        <w:r w:rsidR="001D5DB1">
          <w:rPr>
            <w:webHidden/>
          </w:rPr>
          <w:tab/>
        </w:r>
        <w:r w:rsidR="001D5DB1">
          <w:rPr>
            <w:webHidden/>
          </w:rPr>
          <w:fldChar w:fldCharType="begin"/>
        </w:r>
        <w:r w:rsidR="001D5DB1">
          <w:rPr>
            <w:webHidden/>
          </w:rPr>
          <w:instrText xml:space="preserve"> PAGEREF _Toc46265519 \h </w:instrText>
        </w:r>
        <w:r w:rsidR="001D5DB1">
          <w:rPr>
            <w:webHidden/>
          </w:rPr>
        </w:r>
        <w:r w:rsidR="001D5DB1">
          <w:rPr>
            <w:webHidden/>
          </w:rPr>
          <w:fldChar w:fldCharType="separate"/>
        </w:r>
        <w:r w:rsidR="00DD2E33">
          <w:rPr>
            <w:webHidden/>
          </w:rPr>
          <w:t>120</w:t>
        </w:r>
        <w:r w:rsidR="001D5DB1">
          <w:rPr>
            <w:webHidden/>
          </w:rPr>
          <w:fldChar w:fldCharType="end"/>
        </w:r>
      </w:hyperlink>
    </w:p>
    <w:p w14:paraId="3C32B2D9" w14:textId="40779A84"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20" w:history="1">
        <w:r w:rsidR="001D5DB1" w:rsidRPr="0008224A">
          <w:rPr>
            <w:rStyle w:val="Hyperlink"/>
          </w:rPr>
          <w:t>Profiles of Approaches to Learning</w:t>
        </w:r>
        <w:r w:rsidR="001D5DB1">
          <w:rPr>
            <w:webHidden/>
          </w:rPr>
          <w:tab/>
        </w:r>
        <w:r w:rsidR="001D5DB1">
          <w:rPr>
            <w:webHidden/>
          </w:rPr>
          <w:fldChar w:fldCharType="begin"/>
        </w:r>
        <w:r w:rsidR="001D5DB1">
          <w:rPr>
            <w:webHidden/>
          </w:rPr>
          <w:instrText xml:space="preserve"> PAGEREF _Toc46265520 \h </w:instrText>
        </w:r>
        <w:r w:rsidR="001D5DB1">
          <w:rPr>
            <w:webHidden/>
          </w:rPr>
        </w:r>
        <w:r w:rsidR="001D5DB1">
          <w:rPr>
            <w:webHidden/>
          </w:rPr>
          <w:fldChar w:fldCharType="separate"/>
        </w:r>
        <w:r w:rsidR="00DD2E33">
          <w:rPr>
            <w:webHidden/>
          </w:rPr>
          <w:t>121</w:t>
        </w:r>
        <w:r w:rsidR="001D5DB1">
          <w:rPr>
            <w:webHidden/>
          </w:rPr>
          <w:fldChar w:fldCharType="end"/>
        </w:r>
      </w:hyperlink>
    </w:p>
    <w:p w14:paraId="00040E25" w14:textId="35546E1F"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21" w:history="1">
        <w:r w:rsidR="001D5DB1" w:rsidRPr="0008224A">
          <w:rPr>
            <w:rStyle w:val="Hyperlink"/>
          </w:rPr>
          <w:t>Class Validation</w:t>
        </w:r>
        <w:r w:rsidR="001D5DB1">
          <w:rPr>
            <w:webHidden/>
          </w:rPr>
          <w:tab/>
        </w:r>
        <w:r w:rsidR="001D5DB1">
          <w:rPr>
            <w:webHidden/>
          </w:rPr>
          <w:fldChar w:fldCharType="begin"/>
        </w:r>
        <w:r w:rsidR="001D5DB1">
          <w:rPr>
            <w:webHidden/>
          </w:rPr>
          <w:instrText xml:space="preserve"> PAGEREF _Toc46265521 \h </w:instrText>
        </w:r>
        <w:r w:rsidR="001D5DB1">
          <w:rPr>
            <w:webHidden/>
          </w:rPr>
        </w:r>
        <w:r w:rsidR="001D5DB1">
          <w:rPr>
            <w:webHidden/>
          </w:rPr>
          <w:fldChar w:fldCharType="separate"/>
        </w:r>
        <w:r w:rsidR="00DD2E33">
          <w:rPr>
            <w:webHidden/>
          </w:rPr>
          <w:t>125</w:t>
        </w:r>
        <w:r w:rsidR="001D5DB1">
          <w:rPr>
            <w:webHidden/>
          </w:rPr>
          <w:fldChar w:fldCharType="end"/>
        </w:r>
      </w:hyperlink>
    </w:p>
    <w:p w14:paraId="369F56B7" w14:textId="20606A89"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22" w:history="1">
        <w:r w:rsidR="001D5DB1" w:rsidRPr="0008224A">
          <w:rPr>
            <w:rStyle w:val="Hyperlink"/>
          </w:rPr>
          <w:t>Predicting Children’s Academic Outcomes from Profile Membership</w:t>
        </w:r>
        <w:r w:rsidR="001D5DB1">
          <w:rPr>
            <w:webHidden/>
          </w:rPr>
          <w:tab/>
        </w:r>
        <w:r w:rsidR="001D5DB1">
          <w:rPr>
            <w:webHidden/>
          </w:rPr>
          <w:fldChar w:fldCharType="begin"/>
        </w:r>
        <w:r w:rsidR="001D5DB1">
          <w:rPr>
            <w:webHidden/>
          </w:rPr>
          <w:instrText xml:space="preserve"> PAGEREF _Toc46265522 \h </w:instrText>
        </w:r>
        <w:r w:rsidR="001D5DB1">
          <w:rPr>
            <w:webHidden/>
          </w:rPr>
        </w:r>
        <w:r w:rsidR="001D5DB1">
          <w:rPr>
            <w:webHidden/>
          </w:rPr>
          <w:fldChar w:fldCharType="separate"/>
        </w:r>
        <w:r w:rsidR="00DD2E33">
          <w:rPr>
            <w:webHidden/>
          </w:rPr>
          <w:t>128</w:t>
        </w:r>
        <w:r w:rsidR="001D5DB1">
          <w:rPr>
            <w:webHidden/>
          </w:rPr>
          <w:fldChar w:fldCharType="end"/>
        </w:r>
      </w:hyperlink>
    </w:p>
    <w:p w14:paraId="19CE89F1" w14:textId="16C2B8F7"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23" w:history="1">
        <w:r w:rsidR="001D5DB1" w:rsidRPr="0008224A">
          <w:rPr>
            <w:rStyle w:val="Hyperlink"/>
            <w:noProof/>
          </w:rPr>
          <w:t>Discussion</w:t>
        </w:r>
        <w:r w:rsidR="001D5DB1">
          <w:rPr>
            <w:noProof/>
            <w:webHidden/>
          </w:rPr>
          <w:tab/>
        </w:r>
        <w:r w:rsidR="001D5DB1">
          <w:rPr>
            <w:noProof/>
            <w:webHidden/>
          </w:rPr>
          <w:fldChar w:fldCharType="begin"/>
        </w:r>
        <w:r w:rsidR="001D5DB1">
          <w:rPr>
            <w:noProof/>
            <w:webHidden/>
          </w:rPr>
          <w:instrText xml:space="preserve"> PAGEREF _Toc46265523 \h </w:instrText>
        </w:r>
        <w:r w:rsidR="001D5DB1">
          <w:rPr>
            <w:noProof/>
            <w:webHidden/>
          </w:rPr>
        </w:r>
        <w:r w:rsidR="001D5DB1">
          <w:rPr>
            <w:noProof/>
            <w:webHidden/>
          </w:rPr>
          <w:fldChar w:fldCharType="separate"/>
        </w:r>
        <w:r w:rsidR="00DD2E33">
          <w:rPr>
            <w:noProof/>
            <w:webHidden/>
          </w:rPr>
          <w:t>130</w:t>
        </w:r>
        <w:r w:rsidR="001D5DB1">
          <w:rPr>
            <w:noProof/>
            <w:webHidden/>
          </w:rPr>
          <w:fldChar w:fldCharType="end"/>
        </w:r>
      </w:hyperlink>
    </w:p>
    <w:p w14:paraId="238EB3A0" w14:textId="6E682692"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24" w:history="1">
        <w:r w:rsidR="001D5DB1" w:rsidRPr="0008224A">
          <w:rPr>
            <w:rStyle w:val="Hyperlink"/>
            <w:noProof/>
          </w:rPr>
          <w:t>Implications</w:t>
        </w:r>
        <w:r w:rsidR="001D5DB1">
          <w:rPr>
            <w:noProof/>
            <w:webHidden/>
          </w:rPr>
          <w:tab/>
        </w:r>
        <w:r w:rsidR="001D5DB1">
          <w:rPr>
            <w:noProof/>
            <w:webHidden/>
          </w:rPr>
          <w:fldChar w:fldCharType="begin"/>
        </w:r>
        <w:r w:rsidR="001D5DB1">
          <w:rPr>
            <w:noProof/>
            <w:webHidden/>
          </w:rPr>
          <w:instrText xml:space="preserve"> PAGEREF _Toc46265524 \h </w:instrText>
        </w:r>
        <w:r w:rsidR="001D5DB1">
          <w:rPr>
            <w:noProof/>
            <w:webHidden/>
          </w:rPr>
        </w:r>
        <w:r w:rsidR="001D5DB1">
          <w:rPr>
            <w:noProof/>
            <w:webHidden/>
          </w:rPr>
          <w:fldChar w:fldCharType="separate"/>
        </w:r>
        <w:r w:rsidR="00DD2E33">
          <w:rPr>
            <w:noProof/>
            <w:webHidden/>
          </w:rPr>
          <w:t>133</w:t>
        </w:r>
        <w:r w:rsidR="001D5DB1">
          <w:rPr>
            <w:noProof/>
            <w:webHidden/>
          </w:rPr>
          <w:fldChar w:fldCharType="end"/>
        </w:r>
      </w:hyperlink>
    </w:p>
    <w:p w14:paraId="348DC922" w14:textId="152645C5"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25" w:history="1">
        <w:r w:rsidR="001D5DB1" w:rsidRPr="0008224A">
          <w:rPr>
            <w:rStyle w:val="Hyperlink"/>
            <w:noProof/>
          </w:rPr>
          <w:t>Limitations and Directions for Future Research</w:t>
        </w:r>
        <w:r w:rsidR="001D5DB1">
          <w:rPr>
            <w:noProof/>
            <w:webHidden/>
          </w:rPr>
          <w:tab/>
        </w:r>
        <w:r w:rsidR="001D5DB1">
          <w:rPr>
            <w:noProof/>
            <w:webHidden/>
          </w:rPr>
          <w:fldChar w:fldCharType="begin"/>
        </w:r>
        <w:r w:rsidR="001D5DB1">
          <w:rPr>
            <w:noProof/>
            <w:webHidden/>
          </w:rPr>
          <w:instrText xml:space="preserve"> PAGEREF _Toc46265525 \h </w:instrText>
        </w:r>
        <w:r w:rsidR="001D5DB1">
          <w:rPr>
            <w:noProof/>
            <w:webHidden/>
          </w:rPr>
        </w:r>
        <w:r w:rsidR="001D5DB1">
          <w:rPr>
            <w:noProof/>
            <w:webHidden/>
          </w:rPr>
          <w:fldChar w:fldCharType="separate"/>
        </w:r>
        <w:r w:rsidR="00DD2E33">
          <w:rPr>
            <w:noProof/>
            <w:webHidden/>
          </w:rPr>
          <w:t>135</w:t>
        </w:r>
        <w:r w:rsidR="001D5DB1">
          <w:rPr>
            <w:noProof/>
            <w:webHidden/>
          </w:rPr>
          <w:fldChar w:fldCharType="end"/>
        </w:r>
      </w:hyperlink>
    </w:p>
    <w:p w14:paraId="3E69E62F" w14:textId="4E46225C"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26" w:history="1">
        <w:r w:rsidR="001D5DB1" w:rsidRPr="0008224A">
          <w:rPr>
            <w:rStyle w:val="Hyperlink"/>
            <w:noProof/>
          </w:rPr>
          <w:t>Conclusion</w:t>
        </w:r>
        <w:r w:rsidR="001D5DB1">
          <w:rPr>
            <w:noProof/>
            <w:webHidden/>
          </w:rPr>
          <w:tab/>
        </w:r>
        <w:r w:rsidR="001D5DB1">
          <w:rPr>
            <w:noProof/>
            <w:webHidden/>
          </w:rPr>
          <w:fldChar w:fldCharType="begin"/>
        </w:r>
        <w:r w:rsidR="001D5DB1">
          <w:rPr>
            <w:noProof/>
            <w:webHidden/>
          </w:rPr>
          <w:instrText xml:space="preserve"> PAGEREF _Toc46265526 \h </w:instrText>
        </w:r>
        <w:r w:rsidR="001D5DB1">
          <w:rPr>
            <w:noProof/>
            <w:webHidden/>
          </w:rPr>
        </w:r>
        <w:r w:rsidR="001D5DB1">
          <w:rPr>
            <w:noProof/>
            <w:webHidden/>
          </w:rPr>
          <w:fldChar w:fldCharType="separate"/>
        </w:r>
        <w:r w:rsidR="00DD2E33">
          <w:rPr>
            <w:noProof/>
            <w:webHidden/>
          </w:rPr>
          <w:t>137</w:t>
        </w:r>
        <w:r w:rsidR="001D5DB1">
          <w:rPr>
            <w:noProof/>
            <w:webHidden/>
          </w:rPr>
          <w:fldChar w:fldCharType="end"/>
        </w:r>
      </w:hyperlink>
    </w:p>
    <w:p w14:paraId="7FB061D3" w14:textId="02D4FA9C"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27" w:history="1">
        <w:r w:rsidR="001D5DB1" w:rsidRPr="0008224A">
          <w:rPr>
            <w:rStyle w:val="Hyperlink"/>
            <w:bCs/>
            <w:noProof/>
          </w:rPr>
          <w:t>References</w:t>
        </w:r>
        <w:r w:rsidR="001D5DB1">
          <w:rPr>
            <w:noProof/>
            <w:webHidden/>
          </w:rPr>
          <w:tab/>
        </w:r>
        <w:r w:rsidR="001D5DB1">
          <w:rPr>
            <w:noProof/>
            <w:webHidden/>
          </w:rPr>
          <w:fldChar w:fldCharType="begin"/>
        </w:r>
        <w:r w:rsidR="001D5DB1">
          <w:rPr>
            <w:noProof/>
            <w:webHidden/>
          </w:rPr>
          <w:instrText xml:space="preserve"> PAGEREF _Toc46265527 \h </w:instrText>
        </w:r>
        <w:r w:rsidR="001D5DB1">
          <w:rPr>
            <w:noProof/>
            <w:webHidden/>
          </w:rPr>
        </w:r>
        <w:r w:rsidR="001D5DB1">
          <w:rPr>
            <w:noProof/>
            <w:webHidden/>
          </w:rPr>
          <w:fldChar w:fldCharType="separate"/>
        </w:r>
        <w:r w:rsidR="00DD2E33">
          <w:rPr>
            <w:noProof/>
            <w:webHidden/>
          </w:rPr>
          <w:t>139</w:t>
        </w:r>
        <w:r w:rsidR="001D5DB1">
          <w:rPr>
            <w:noProof/>
            <w:webHidden/>
          </w:rPr>
          <w:fldChar w:fldCharType="end"/>
        </w:r>
      </w:hyperlink>
    </w:p>
    <w:p w14:paraId="2CA5EA2B" w14:textId="232489BD"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28" w:history="1">
        <w:r w:rsidR="001D5DB1" w:rsidRPr="0008224A">
          <w:rPr>
            <w:rStyle w:val="Hyperlink"/>
            <w:bCs/>
            <w:noProof/>
          </w:rPr>
          <w:t>Appendix A: Process for Determining Number of Profiles and Profile Analysis</w:t>
        </w:r>
        <w:r w:rsidR="001D5DB1">
          <w:rPr>
            <w:noProof/>
            <w:webHidden/>
          </w:rPr>
          <w:tab/>
        </w:r>
        <w:r w:rsidR="001D5DB1">
          <w:rPr>
            <w:noProof/>
            <w:webHidden/>
          </w:rPr>
          <w:fldChar w:fldCharType="begin"/>
        </w:r>
        <w:r w:rsidR="001D5DB1">
          <w:rPr>
            <w:noProof/>
            <w:webHidden/>
          </w:rPr>
          <w:instrText xml:space="preserve"> PAGEREF _Toc46265528 \h </w:instrText>
        </w:r>
        <w:r w:rsidR="001D5DB1">
          <w:rPr>
            <w:noProof/>
            <w:webHidden/>
          </w:rPr>
        </w:r>
        <w:r w:rsidR="001D5DB1">
          <w:rPr>
            <w:noProof/>
            <w:webHidden/>
          </w:rPr>
          <w:fldChar w:fldCharType="separate"/>
        </w:r>
        <w:r w:rsidR="00DD2E33">
          <w:rPr>
            <w:noProof/>
            <w:webHidden/>
          </w:rPr>
          <w:t>150</w:t>
        </w:r>
        <w:r w:rsidR="001D5DB1">
          <w:rPr>
            <w:noProof/>
            <w:webHidden/>
          </w:rPr>
          <w:fldChar w:fldCharType="end"/>
        </w:r>
      </w:hyperlink>
    </w:p>
    <w:p w14:paraId="741539AD" w14:textId="551DA4A1"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29" w:history="1">
        <w:r w:rsidR="001D5DB1" w:rsidRPr="0008224A">
          <w:rPr>
            <w:rStyle w:val="Hyperlink"/>
            <w:bCs/>
            <w:noProof/>
          </w:rPr>
          <w:t>APPENDIX A: PROSPECTUS</w:t>
        </w:r>
        <w:r w:rsidR="001D5DB1">
          <w:rPr>
            <w:noProof/>
            <w:webHidden/>
          </w:rPr>
          <w:tab/>
        </w:r>
        <w:r w:rsidR="001D5DB1">
          <w:rPr>
            <w:noProof/>
            <w:webHidden/>
          </w:rPr>
          <w:fldChar w:fldCharType="begin"/>
        </w:r>
        <w:r w:rsidR="001D5DB1">
          <w:rPr>
            <w:noProof/>
            <w:webHidden/>
          </w:rPr>
          <w:instrText xml:space="preserve"> PAGEREF _Toc46265529 \h </w:instrText>
        </w:r>
        <w:r w:rsidR="001D5DB1">
          <w:rPr>
            <w:noProof/>
            <w:webHidden/>
          </w:rPr>
        </w:r>
        <w:r w:rsidR="001D5DB1">
          <w:rPr>
            <w:noProof/>
            <w:webHidden/>
          </w:rPr>
          <w:fldChar w:fldCharType="separate"/>
        </w:r>
        <w:r w:rsidR="00DD2E33">
          <w:rPr>
            <w:noProof/>
            <w:webHidden/>
          </w:rPr>
          <w:t>152</w:t>
        </w:r>
        <w:r w:rsidR="001D5DB1">
          <w:rPr>
            <w:noProof/>
            <w:webHidden/>
          </w:rPr>
          <w:fldChar w:fldCharType="end"/>
        </w:r>
      </w:hyperlink>
    </w:p>
    <w:p w14:paraId="6D529BAE" w14:textId="5B326F1A"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30" w:history="1">
        <w:r w:rsidR="001D5DB1" w:rsidRPr="0008224A">
          <w:rPr>
            <w:rStyle w:val="Hyperlink"/>
            <w:bCs/>
            <w:noProof/>
          </w:rPr>
          <w:t>APPROACHES TO LEARNING: CONCEPTUALIZATION AND MEASUREMENT OF A KEY SCHOOL READINESS INDICATOR</w:t>
        </w:r>
        <w:r w:rsidR="001D5DB1">
          <w:rPr>
            <w:noProof/>
            <w:webHidden/>
          </w:rPr>
          <w:tab/>
        </w:r>
        <w:r w:rsidR="001D5DB1">
          <w:rPr>
            <w:noProof/>
            <w:webHidden/>
          </w:rPr>
          <w:fldChar w:fldCharType="begin"/>
        </w:r>
        <w:r w:rsidR="001D5DB1">
          <w:rPr>
            <w:noProof/>
            <w:webHidden/>
          </w:rPr>
          <w:instrText xml:space="preserve"> PAGEREF _Toc46265530 \h </w:instrText>
        </w:r>
        <w:r w:rsidR="001D5DB1">
          <w:rPr>
            <w:noProof/>
            <w:webHidden/>
          </w:rPr>
        </w:r>
        <w:r w:rsidR="001D5DB1">
          <w:rPr>
            <w:noProof/>
            <w:webHidden/>
          </w:rPr>
          <w:fldChar w:fldCharType="separate"/>
        </w:r>
        <w:r w:rsidR="00DD2E33">
          <w:rPr>
            <w:noProof/>
            <w:webHidden/>
          </w:rPr>
          <w:t>152</w:t>
        </w:r>
        <w:r w:rsidR="001D5DB1">
          <w:rPr>
            <w:noProof/>
            <w:webHidden/>
          </w:rPr>
          <w:fldChar w:fldCharType="end"/>
        </w:r>
      </w:hyperlink>
    </w:p>
    <w:p w14:paraId="152B498A" w14:textId="231DD791"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31" w:history="1">
        <w:r w:rsidR="001D5DB1" w:rsidRPr="0008224A">
          <w:rPr>
            <w:rStyle w:val="Hyperlink"/>
            <w:bCs/>
            <w:noProof/>
          </w:rPr>
          <w:t>Table of Contents</w:t>
        </w:r>
        <w:r w:rsidR="001D5DB1">
          <w:rPr>
            <w:noProof/>
            <w:webHidden/>
          </w:rPr>
          <w:tab/>
        </w:r>
        <w:r w:rsidR="001D5DB1">
          <w:rPr>
            <w:noProof/>
            <w:webHidden/>
          </w:rPr>
          <w:fldChar w:fldCharType="begin"/>
        </w:r>
        <w:r w:rsidR="001D5DB1">
          <w:rPr>
            <w:noProof/>
            <w:webHidden/>
          </w:rPr>
          <w:instrText xml:space="preserve"> PAGEREF _Toc46265531 \h </w:instrText>
        </w:r>
        <w:r w:rsidR="001D5DB1">
          <w:rPr>
            <w:noProof/>
            <w:webHidden/>
          </w:rPr>
        </w:r>
        <w:r w:rsidR="001D5DB1">
          <w:rPr>
            <w:noProof/>
            <w:webHidden/>
          </w:rPr>
          <w:fldChar w:fldCharType="separate"/>
        </w:r>
        <w:r w:rsidR="00DD2E33">
          <w:rPr>
            <w:noProof/>
            <w:webHidden/>
          </w:rPr>
          <w:t>154</w:t>
        </w:r>
        <w:r w:rsidR="001D5DB1">
          <w:rPr>
            <w:noProof/>
            <w:webHidden/>
          </w:rPr>
          <w:fldChar w:fldCharType="end"/>
        </w:r>
      </w:hyperlink>
    </w:p>
    <w:p w14:paraId="38B0F931" w14:textId="2973C642"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32" w:history="1">
        <w:r w:rsidR="001D5DB1" w:rsidRPr="0008224A">
          <w:rPr>
            <w:rStyle w:val="Hyperlink"/>
            <w:noProof/>
          </w:rPr>
          <w:t>Abstract</w:t>
        </w:r>
        <w:r w:rsidR="001D5DB1">
          <w:rPr>
            <w:noProof/>
            <w:webHidden/>
          </w:rPr>
          <w:tab/>
        </w:r>
        <w:r w:rsidR="001D5DB1">
          <w:rPr>
            <w:noProof/>
            <w:webHidden/>
          </w:rPr>
          <w:fldChar w:fldCharType="begin"/>
        </w:r>
        <w:r w:rsidR="001D5DB1">
          <w:rPr>
            <w:noProof/>
            <w:webHidden/>
          </w:rPr>
          <w:instrText xml:space="preserve"> PAGEREF _Toc46265532 \h </w:instrText>
        </w:r>
        <w:r w:rsidR="001D5DB1">
          <w:rPr>
            <w:noProof/>
            <w:webHidden/>
          </w:rPr>
        </w:r>
        <w:r w:rsidR="001D5DB1">
          <w:rPr>
            <w:noProof/>
            <w:webHidden/>
          </w:rPr>
          <w:fldChar w:fldCharType="separate"/>
        </w:r>
        <w:r w:rsidR="00DD2E33">
          <w:rPr>
            <w:noProof/>
            <w:webHidden/>
          </w:rPr>
          <w:t>156</w:t>
        </w:r>
        <w:r w:rsidR="001D5DB1">
          <w:rPr>
            <w:noProof/>
            <w:webHidden/>
          </w:rPr>
          <w:fldChar w:fldCharType="end"/>
        </w:r>
      </w:hyperlink>
    </w:p>
    <w:p w14:paraId="7854A045" w14:textId="63AC05AB"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33" w:history="1">
        <w:r w:rsidR="001D5DB1" w:rsidRPr="0008224A">
          <w:rPr>
            <w:rStyle w:val="Hyperlink"/>
          </w:rPr>
          <w:t>Research Questions</w:t>
        </w:r>
        <w:r w:rsidR="001D5DB1">
          <w:rPr>
            <w:webHidden/>
          </w:rPr>
          <w:tab/>
        </w:r>
        <w:r w:rsidR="001D5DB1">
          <w:rPr>
            <w:webHidden/>
          </w:rPr>
          <w:fldChar w:fldCharType="begin"/>
        </w:r>
        <w:r w:rsidR="001D5DB1">
          <w:rPr>
            <w:webHidden/>
          </w:rPr>
          <w:instrText xml:space="preserve"> PAGEREF _Toc46265533 \h </w:instrText>
        </w:r>
        <w:r w:rsidR="001D5DB1">
          <w:rPr>
            <w:webHidden/>
          </w:rPr>
        </w:r>
        <w:r w:rsidR="001D5DB1">
          <w:rPr>
            <w:webHidden/>
          </w:rPr>
          <w:fldChar w:fldCharType="separate"/>
        </w:r>
        <w:r w:rsidR="00DD2E33">
          <w:rPr>
            <w:webHidden/>
          </w:rPr>
          <w:t>159</w:t>
        </w:r>
        <w:r w:rsidR="001D5DB1">
          <w:rPr>
            <w:webHidden/>
          </w:rPr>
          <w:fldChar w:fldCharType="end"/>
        </w:r>
      </w:hyperlink>
    </w:p>
    <w:p w14:paraId="61955E3E" w14:textId="58BCD07E"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34" w:history="1">
        <w:r w:rsidR="001D5DB1" w:rsidRPr="0008224A">
          <w:rPr>
            <w:rStyle w:val="Hyperlink"/>
            <w:noProof/>
          </w:rPr>
          <w:t>Theoretical Framework</w:t>
        </w:r>
        <w:r w:rsidR="001D5DB1">
          <w:rPr>
            <w:noProof/>
            <w:webHidden/>
          </w:rPr>
          <w:tab/>
        </w:r>
        <w:r w:rsidR="001D5DB1">
          <w:rPr>
            <w:noProof/>
            <w:webHidden/>
          </w:rPr>
          <w:fldChar w:fldCharType="begin"/>
        </w:r>
        <w:r w:rsidR="001D5DB1">
          <w:rPr>
            <w:noProof/>
            <w:webHidden/>
          </w:rPr>
          <w:instrText xml:space="preserve"> PAGEREF _Toc46265534 \h </w:instrText>
        </w:r>
        <w:r w:rsidR="001D5DB1">
          <w:rPr>
            <w:noProof/>
            <w:webHidden/>
          </w:rPr>
        </w:r>
        <w:r w:rsidR="001D5DB1">
          <w:rPr>
            <w:noProof/>
            <w:webHidden/>
          </w:rPr>
          <w:fldChar w:fldCharType="separate"/>
        </w:r>
        <w:r w:rsidR="00DD2E33">
          <w:rPr>
            <w:noProof/>
            <w:webHidden/>
          </w:rPr>
          <w:t>159</w:t>
        </w:r>
        <w:r w:rsidR="001D5DB1">
          <w:rPr>
            <w:noProof/>
            <w:webHidden/>
          </w:rPr>
          <w:fldChar w:fldCharType="end"/>
        </w:r>
      </w:hyperlink>
    </w:p>
    <w:p w14:paraId="3A4D4F02" w14:textId="2B33AB70"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35" w:history="1">
        <w:r w:rsidR="001D5DB1" w:rsidRPr="0008224A">
          <w:rPr>
            <w:rStyle w:val="Hyperlink"/>
            <w:noProof/>
          </w:rPr>
          <w:t>Review of Literature</w:t>
        </w:r>
        <w:r w:rsidR="001D5DB1">
          <w:rPr>
            <w:noProof/>
            <w:webHidden/>
          </w:rPr>
          <w:tab/>
        </w:r>
        <w:r w:rsidR="001D5DB1">
          <w:rPr>
            <w:noProof/>
            <w:webHidden/>
          </w:rPr>
          <w:fldChar w:fldCharType="begin"/>
        </w:r>
        <w:r w:rsidR="001D5DB1">
          <w:rPr>
            <w:noProof/>
            <w:webHidden/>
          </w:rPr>
          <w:instrText xml:space="preserve"> PAGEREF _Toc46265535 \h </w:instrText>
        </w:r>
        <w:r w:rsidR="001D5DB1">
          <w:rPr>
            <w:noProof/>
            <w:webHidden/>
          </w:rPr>
        </w:r>
        <w:r w:rsidR="001D5DB1">
          <w:rPr>
            <w:noProof/>
            <w:webHidden/>
          </w:rPr>
          <w:fldChar w:fldCharType="separate"/>
        </w:r>
        <w:r w:rsidR="00DD2E33">
          <w:rPr>
            <w:noProof/>
            <w:webHidden/>
          </w:rPr>
          <w:t>161</w:t>
        </w:r>
        <w:r w:rsidR="001D5DB1">
          <w:rPr>
            <w:noProof/>
            <w:webHidden/>
          </w:rPr>
          <w:fldChar w:fldCharType="end"/>
        </w:r>
      </w:hyperlink>
    </w:p>
    <w:p w14:paraId="42DCDB70" w14:textId="42B60A74"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36" w:history="1">
        <w:r w:rsidR="001D5DB1" w:rsidRPr="0008224A">
          <w:rPr>
            <w:rStyle w:val="Hyperlink"/>
          </w:rPr>
          <w:t>Conceptualization of Approaches to Learning</w:t>
        </w:r>
        <w:r w:rsidR="001D5DB1">
          <w:rPr>
            <w:webHidden/>
          </w:rPr>
          <w:tab/>
        </w:r>
        <w:r w:rsidR="001D5DB1">
          <w:rPr>
            <w:webHidden/>
          </w:rPr>
          <w:fldChar w:fldCharType="begin"/>
        </w:r>
        <w:r w:rsidR="001D5DB1">
          <w:rPr>
            <w:webHidden/>
          </w:rPr>
          <w:instrText xml:space="preserve"> PAGEREF _Toc46265536 \h </w:instrText>
        </w:r>
        <w:r w:rsidR="001D5DB1">
          <w:rPr>
            <w:webHidden/>
          </w:rPr>
        </w:r>
        <w:r w:rsidR="001D5DB1">
          <w:rPr>
            <w:webHidden/>
          </w:rPr>
          <w:fldChar w:fldCharType="separate"/>
        </w:r>
        <w:r w:rsidR="00DD2E33">
          <w:rPr>
            <w:webHidden/>
          </w:rPr>
          <w:t>162</w:t>
        </w:r>
        <w:r w:rsidR="001D5DB1">
          <w:rPr>
            <w:webHidden/>
          </w:rPr>
          <w:fldChar w:fldCharType="end"/>
        </w:r>
      </w:hyperlink>
    </w:p>
    <w:p w14:paraId="2DDB3E1E" w14:textId="3D9987A5"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37" w:history="1">
        <w:r w:rsidR="001D5DB1" w:rsidRPr="0008224A">
          <w:rPr>
            <w:rStyle w:val="Hyperlink"/>
          </w:rPr>
          <w:t>ATL as classroom-based behavior.</w:t>
        </w:r>
        <w:r w:rsidR="001D5DB1">
          <w:rPr>
            <w:webHidden/>
          </w:rPr>
          <w:tab/>
        </w:r>
        <w:r w:rsidR="001D5DB1">
          <w:rPr>
            <w:webHidden/>
          </w:rPr>
          <w:fldChar w:fldCharType="begin"/>
        </w:r>
        <w:r w:rsidR="001D5DB1">
          <w:rPr>
            <w:webHidden/>
          </w:rPr>
          <w:instrText xml:space="preserve"> PAGEREF _Toc46265537 \h </w:instrText>
        </w:r>
        <w:r w:rsidR="001D5DB1">
          <w:rPr>
            <w:webHidden/>
          </w:rPr>
        </w:r>
        <w:r w:rsidR="001D5DB1">
          <w:rPr>
            <w:webHidden/>
          </w:rPr>
          <w:fldChar w:fldCharType="separate"/>
        </w:r>
        <w:r w:rsidR="00DD2E33">
          <w:rPr>
            <w:webHidden/>
          </w:rPr>
          <w:t>163</w:t>
        </w:r>
        <w:r w:rsidR="001D5DB1">
          <w:rPr>
            <w:webHidden/>
          </w:rPr>
          <w:fldChar w:fldCharType="end"/>
        </w:r>
      </w:hyperlink>
    </w:p>
    <w:p w14:paraId="4EEAC3FD" w14:textId="7B641B49"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38" w:history="1">
        <w:r w:rsidR="001D5DB1" w:rsidRPr="0008224A">
          <w:rPr>
            <w:rStyle w:val="Hyperlink"/>
          </w:rPr>
          <w:t>Positive and negative ATL.</w:t>
        </w:r>
        <w:r w:rsidR="001D5DB1">
          <w:rPr>
            <w:webHidden/>
          </w:rPr>
          <w:tab/>
        </w:r>
        <w:r w:rsidR="001D5DB1">
          <w:rPr>
            <w:webHidden/>
          </w:rPr>
          <w:fldChar w:fldCharType="begin"/>
        </w:r>
        <w:r w:rsidR="001D5DB1">
          <w:rPr>
            <w:webHidden/>
          </w:rPr>
          <w:instrText xml:space="preserve"> PAGEREF _Toc46265538 \h </w:instrText>
        </w:r>
        <w:r w:rsidR="001D5DB1">
          <w:rPr>
            <w:webHidden/>
          </w:rPr>
        </w:r>
        <w:r w:rsidR="001D5DB1">
          <w:rPr>
            <w:webHidden/>
          </w:rPr>
          <w:fldChar w:fldCharType="separate"/>
        </w:r>
        <w:r w:rsidR="00DD2E33">
          <w:rPr>
            <w:webHidden/>
          </w:rPr>
          <w:t>165</w:t>
        </w:r>
        <w:r w:rsidR="001D5DB1">
          <w:rPr>
            <w:webHidden/>
          </w:rPr>
          <w:fldChar w:fldCharType="end"/>
        </w:r>
      </w:hyperlink>
    </w:p>
    <w:p w14:paraId="1F6D9881" w14:textId="1B56F9B1"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39" w:history="1">
        <w:r w:rsidR="001D5DB1" w:rsidRPr="0008224A">
          <w:rPr>
            <w:rStyle w:val="Hyperlink"/>
          </w:rPr>
          <w:t>Approaches to Learning and Other Social-Emotional Constructs</w:t>
        </w:r>
        <w:r w:rsidR="001D5DB1">
          <w:rPr>
            <w:webHidden/>
          </w:rPr>
          <w:tab/>
        </w:r>
        <w:r w:rsidR="001D5DB1">
          <w:rPr>
            <w:webHidden/>
          </w:rPr>
          <w:fldChar w:fldCharType="begin"/>
        </w:r>
        <w:r w:rsidR="001D5DB1">
          <w:rPr>
            <w:webHidden/>
          </w:rPr>
          <w:instrText xml:space="preserve"> PAGEREF _Toc46265539 \h </w:instrText>
        </w:r>
        <w:r w:rsidR="001D5DB1">
          <w:rPr>
            <w:webHidden/>
          </w:rPr>
        </w:r>
        <w:r w:rsidR="001D5DB1">
          <w:rPr>
            <w:webHidden/>
          </w:rPr>
          <w:fldChar w:fldCharType="separate"/>
        </w:r>
        <w:r w:rsidR="00DD2E33">
          <w:rPr>
            <w:webHidden/>
          </w:rPr>
          <w:t>167</w:t>
        </w:r>
        <w:r w:rsidR="001D5DB1">
          <w:rPr>
            <w:webHidden/>
          </w:rPr>
          <w:fldChar w:fldCharType="end"/>
        </w:r>
      </w:hyperlink>
    </w:p>
    <w:p w14:paraId="4A804D4D" w14:textId="694BD776"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40" w:history="1">
        <w:r w:rsidR="001D5DB1" w:rsidRPr="0008224A">
          <w:rPr>
            <w:rStyle w:val="Hyperlink"/>
          </w:rPr>
          <w:t>Executive function</w:t>
        </w:r>
        <w:r w:rsidR="001D5DB1">
          <w:rPr>
            <w:webHidden/>
          </w:rPr>
          <w:tab/>
        </w:r>
        <w:r w:rsidR="001D5DB1">
          <w:rPr>
            <w:webHidden/>
          </w:rPr>
          <w:fldChar w:fldCharType="begin"/>
        </w:r>
        <w:r w:rsidR="001D5DB1">
          <w:rPr>
            <w:webHidden/>
          </w:rPr>
          <w:instrText xml:space="preserve"> PAGEREF _Toc46265540 \h </w:instrText>
        </w:r>
        <w:r w:rsidR="001D5DB1">
          <w:rPr>
            <w:webHidden/>
          </w:rPr>
        </w:r>
        <w:r w:rsidR="001D5DB1">
          <w:rPr>
            <w:webHidden/>
          </w:rPr>
          <w:fldChar w:fldCharType="separate"/>
        </w:r>
        <w:r w:rsidR="00DD2E33">
          <w:rPr>
            <w:webHidden/>
          </w:rPr>
          <w:t>167</w:t>
        </w:r>
        <w:r w:rsidR="001D5DB1">
          <w:rPr>
            <w:webHidden/>
          </w:rPr>
          <w:fldChar w:fldCharType="end"/>
        </w:r>
      </w:hyperlink>
    </w:p>
    <w:p w14:paraId="372264E8" w14:textId="79787B8C"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41" w:history="1">
        <w:r w:rsidR="001D5DB1" w:rsidRPr="0008224A">
          <w:rPr>
            <w:rStyle w:val="Hyperlink"/>
          </w:rPr>
          <w:t>Emotion regulation/effortful control.</w:t>
        </w:r>
        <w:r w:rsidR="001D5DB1">
          <w:rPr>
            <w:webHidden/>
          </w:rPr>
          <w:tab/>
        </w:r>
        <w:r w:rsidR="001D5DB1">
          <w:rPr>
            <w:webHidden/>
          </w:rPr>
          <w:fldChar w:fldCharType="begin"/>
        </w:r>
        <w:r w:rsidR="001D5DB1">
          <w:rPr>
            <w:webHidden/>
          </w:rPr>
          <w:instrText xml:space="preserve"> PAGEREF _Toc46265541 \h </w:instrText>
        </w:r>
        <w:r w:rsidR="001D5DB1">
          <w:rPr>
            <w:webHidden/>
          </w:rPr>
        </w:r>
        <w:r w:rsidR="001D5DB1">
          <w:rPr>
            <w:webHidden/>
          </w:rPr>
          <w:fldChar w:fldCharType="separate"/>
        </w:r>
        <w:r w:rsidR="00DD2E33">
          <w:rPr>
            <w:webHidden/>
          </w:rPr>
          <w:t>169</w:t>
        </w:r>
        <w:r w:rsidR="001D5DB1">
          <w:rPr>
            <w:webHidden/>
          </w:rPr>
          <w:fldChar w:fldCharType="end"/>
        </w:r>
      </w:hyperlink>
    </w:p>
    <w:p w14:paraId="3D85DB45" w14:textId="0E8B5CFC"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42" w:history="1">
        <w:r w:rsidR="001D5DB1" w:rsidRPr="0008224A">
          <w:rPr>
            <w:rStyle w:val="Hyperlink"/>
          </w:rPr>
          <w:t>Social development.</w:t>
        </w:r>
        <w:r w:rsidR="001D5DB1">
          <w:rPr>
            <w:webHidden/>
          </w:rPr>
          <w:tab/>
        </w:r>
        <w:r w:rsidR="001D5DB1">
          <w:rPr>
            <w:webHidden/>
          </w:rPr>
          <w:fldChar w:fldCharType="begin"/>
        </w:r>
        <w:r w:rsidR="001D5DB1">
          <w:rPr>
            <w:webHidden/>
          </w:rPr>
          <w:instrText xml:space="preserve"> PAGEREF _Toc46265542 \h </w:instrText>
        </w:r>
        <w:r w:rsidR="001D5DB1">
          <w:rPr>
            <w:webHidden/>
          </w:rPr>
        </w:r>
        <w:r w:rsidR="001D5DB1">
          <w:rPr>
            <w:webHidden/>
          </w:rPr>
          <w:fldChar w:fldCharType="separate"/>
        </w:r>
        <w:r w:rsidR="00DD2E33">
          <w:rPr>
            <w:webHidden/>
          </w:rPr>
          <w:t>170</w:t>
        </w:r>
        <w:r w:rsidR="001D5DB1">
          <w:rPr>
            <w:webHidden/>
          </w:rPr>
          <w:fldChar w:fldCharType="end"/>
        </w:r>
      </w:hyperlink>
    </w:p>
    <w:p w14:paraId="5339A861" w14:textId="385D7E01"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43" w:history="1">
        <w:r w:rsidR="001D5DB1" w:rsidRPr="0008224A">
          <w:rPr>
            <w:rStyle w:val="Hyperlink"/>
          </w:rPr>
          <w:t>Behavioral self-regulation.</w:t>
        </w:r>
        <w:r w:rsidR="001D5DB1">
          <w:rPr>
            <w:webHidden/>
          </w:rPr>
          <w:tab/>
        </w:r>
        <w:r w:rsidR="001D5DB1">
          <w:rPr>
            <w:webHidden/>
          </w:rPr>
          <w:fldChar w:fldCharType="begin"/>
        </w:r>
        <w:r w:rsidR="001D5DB1">
          <w:rPr>
            <w:webHidden/>
          </w:rPr>
          <w:instrText xml:space="preserve"> PAGEREF _Toc46265543 \h </w:instrText>
        </w:r>
        <w:r w:rsidR="001D5DB1">
          <w:rPr>
            <w:webHidden/>
          </w:rPr>
        </w:r>
        <w:r w:rsidR="001D5DB1">
          <w:rPr>
            <w:webHidden/>
          </w:rPr>
          <w:fldChar w:fldCharType="separate"/>
        </w:r>
        <w:r w:rsidR="00DD2E33">
          <w:rPr>
            <w:webHidden/>
          </w:rPr>
          <w:t>171</w:t>
        </w:r>
        <w:r w:rsidR="001D5DB1">
          <w:rPr>
            <w:webHidden/>
          </w:rPr>
          <w:fldChar w:fldCharType="end"/>
        </w:r>
      </w:hyperlink>
    </w:p>
    <w:p w14:paraId="65FD618F" w14:textId="2E3CD5B8"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44" w:history="1">
        <w:r w:rsidR="001D5DB1" w:rsidRPr="0008224A">
          <w:rPr>
            <w:rStyle w:val="Hyperlink"/>
          </w:rPr>
          <w:t>Measurement of ATL</w:t>
        </w:r>
        <w:r w:rsidR="001D5DB1">
          <w:rPr>
            <w:webHidden/>
          </w:rPr>
          <w:tab/>
        </w:r>
        <w:r w:rsidR="001D5DB1">
          <w:rPr>
            <w:webHidden/>
          </w:rPr>
          <w:fldChar w:fldCharType="begin"/>
        </w:r>
        <w:r w:rsidR="001D5DB1">
          <w:rPr>
            <w:webHidden/>
          </w:rPr>
          <w:instrText xml:space="preserve"> PAGEREF _Toc46265544 \h </w:instrText>
        </w:r>
        <w:r w:rsidR="001D5DB1">
          <w:rPr>
            <w:webHidden/>
          </w:rPr>
        </w:r>
        <w:r w:rsidR="001D5DB1">
          <w:rPr>
            <w:webHidden/>
          </w:rPr>
          <w:fldChar w:fldCharType="separate"/>
        </w:r>
        <w:r w:rsidR="00DD2E33">
          <w:rPr>
            <w:webHidden/>
          </w:rPr>
          <w:t>173</w:t>
        </w:r>
        <w:r w:rsidR="001D5DB1">
          <w:rPr>
            <w:webHidden/>
          </w:rPr>
          <w:fldChar w:fldCharType="end"/>
        </w:r>
      </w:hyperlink>
    </w:p>
    <w:p w14:paraId="4494A05D" w14:textId="3018FE57"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45" w:history="1">
        <w:r w:rsidR="001D5DB1" w:rsidRPr="0008224A">
          <w:rPr>
            <w:rStyle w:val="Hyperlink"/>
          </w:rPr>
          <w:t>Teacher report.</w:t>
        </w:r>
        <w:r w:rsidR="001D5DB1">
          <w:rPr>
            <w:webHidden/>
          </w:rPr>
          <w:tab/>
        </w:r>
        <w:r w:rsidR="001D5DB1">
          <w:rPr>
            <w:webHidden/>
          </w:rPr>
          <w:fldChar w:fldCharType="begin"/>
        </w:r>
        <w:r w:rsidR="001D5DB1">
          <w:rPr>
            <w:webHidden/>
          </w:rPr>
          <w:instrText xml:space="preserve"> PAGEREF _Toc46265545 \h </w:instrText>
        </w:r>
        <w:r w:rsidR="001D5DB1">
          <w:rPr>
            <w:webHidden/>
          </w:rPr>
        </w:r>
        <w:r w:rsidR="001D5DB1">
          <w:rPr>
            <w:webHidden/>
          </w:rPr>
          <w:fldChar w:fldCharType="separate"/>
        </w:r>
        <w:r w:rsidR="00DD2E33">
          <w:rPr>
            <w:webHidden/>
          </w:rPr>
          <w:t>173</w:t>
        </w:r>
        <w:r w:rsidR="001D5DB1">
          <w:rPr>
            <w:webHidden/>
          </w:rPr>
          <w:fldChar w:fldCharType="end"/>
        </w:r>
      </w:hyperlink>
    </w:p>
    <w:p w14:paraId="14D8DB77" w14:textId="2AD09413"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46" w:history="1">
        <w:r w:rsidR="001D5DB1" w:rsidRPr="0008224A">
          <w:rPr>
            <w:rStyle w:val="Hyperlink"/>
          </w:rPr>
          <w:t>Observation-based studies.</w:t>
        </w:r>
        <w:r w:rsidR="001D5DB1">
          <w:rPr>
            <w:webHidden/>
          </w:rPr>
          <w:tab/>
        </w:r>
        <w:r w:rsidR="001D5DB1">
          <w:rPr>
            <w:webHidden/>
          </w:rPr>
          <w:fldChar w:fldCharType="begin"/>
        </w:r>
        <w:r w:rsidR="001D5DB1">
          <w:rPr>
            <w:webHidden/>
          </w:rPr>
          <w:instrText xml:space="preserve"> PAGEREF _Toc46265546 \h </w:instrText>
        </w:r>
        <w:r w:rsidR="001D5DB1">
          <w:rPr>
            <w:webHidden/>
          </w:rPr>
        </w:r>
        <w:r w:rsidR="001D5DB1">
          <w:rPr>
            <w:webHidden/>
          </w:rPr>
          <w:fldChar w:fldCharType="separate"/>
        </w:r>
        <w:r w:rsidR="00DD2E33">
          <w:rPr>
            <w:webHidden/>
          </w:rPr>
          <w:t>175</w:t>
        </w:r>
        <w:r w:rsidR="001D5DB1">
          <w:rPr>
            <w:webHidden/>
          </w:rPr>
          <w:fldChar w:fldCharType="end"/>
        </w:r>
      </w:hyperlink>
    </w:p>
    <w:p w14:paraId="5E68293D" w14:textId="69F122AA"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47" w:history="1">
        <w:r w:rsidR="001D5DB1" w:rsidRPr="0008224A">
          <w:rPr>
            <w:rStyle w:val="Hyperlink"/>
          </w:rPr>
          <w:t>Latent profile analysis.</w:t>
        </w:r>
        <w:r w:rsidR="001D5DB1">
          <w:rPr>
            <w:webHidden/>
          </w:rPr>
          <w:tab/>
        </w:r>
        <w:r w:rsidR="001D5DB1">
          <w:rPr>
            <w:webHidden/>
          </w:rPr>
          <w:fldChar w:fldCharType="begin"/>
        </w:r>
        <w:r w:rsidR="001D5DB1">
          <w:rPr>
            <w:webHidden/>
          </w:rPr>
          <w:instrText xml:space="preserve"> PAGEREF _Toc46265547 \h </w:instrText>
        </w:r>
        <w:r w:rsidR="001D5DB1">
          <w:rPr>
            <w:webHidden/>
          </w:rPr>
        </w:r>
        <w:r w:rsidR="001D5DB1">
          <w:rPr>
            <w:webHidden/>
          </w:rPr>
          <w:fldChar w:fldCharType="separate"/>
        </w:r>
        <w:r w:rsidR="00DD2E33">
          <w:rPr>
            <w:webHidden/>
          </w:rPr>
          <w:t>176</w:t>
        </w:r>
        <w:r w:rsidR="001D5DB1">
          <w:rPr>
            <w:webHidden/>
          </w:rPr>
          <w:fldChar w:fldCharType="end"/>
        </w:r>
      </w:hyperlink>
    </w:p>
    <w:p w14:paraId="5D02EE29" w14:textId="2AF4F7A8"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48" w:history="1">
        <w:r w:rsidR="001D5DB1" w:rsidRPr="0008224A">
          <w:rPr>
            <w:rStyle w:val="Hyperlink"/>
          </w:rPr>
          <w:t>ATL and Academic Outcomes</w:t>
        </w:r>
        <w:r w:rsidR="001D5DB1">
          <w:rPr>
            <w:webHidden/>
          </w:rPr>
          <w:tab/>
        </w:r>
        <w:r w:rsidR="001D5DB1">
          <w:rPr>
            <w:webHidden/>
          </w:rPr>
          <w:fldChar w:fldCharType="begin"/>
        </w:r>
        <w:r w:rsidR="001D5DB1">
          <w:rPr>
            <w:webHidden/>
          </w:rPr>
          <w:instrText xml:space="preserve"> PAGEREF _Toc46265548 \h </w:instrText>
        </w:r>
        <w:r w:rsidR="001D5DB1">
          <w:rPr>
            <w:webHidden/>
          </w:rPr>
        </w:r>
        <w:r w:rsidR="001D5DB1">
          <w:rPr>
            <w:webHidden/>
          </w:rPr>
          <w:fldChar w:fldCharType="separate"/>
        </w:r>
        <w:r w:rsidR="00DD2E33">
          <w:rPr>
            <w:webHidden/>
          </w:rPr>
          <w:t>178</w:t>
        </w:r>
        <w:r w:rsidR="001D5DB1">
          <w:rPr>
            <w:webHidden/>
          </w:rPr>
          <w:fldChar w:fldCharType="end"/>
        </w:r>
      </w:hyperlink>
    </w:p>
    <w:p w14:paraId="54779567" w14:textId="003BBE1E"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49" w:history="1">
        <w:r w:rsidR="001D5DB1" w:rsidRPr="0008224A">
          <w:rPr>
            <w:rStyle w:val="Hyperlink"/>
          </w:rPr>
          <w:t>The Current Study</w:t>
        </w:r>
        <w:r w:rsidR="001D5DB1">
          <w:rPr>
            <w:webHidden/>
          </w:rPr>
          <w:tab/>
        </w:r>
        <w:r w:rsidR="001D5DB1">
          <w:rPr>
            <w:webHidden/>
          </w:rPr>
          <w:fldChar w:fldCharType="begin"/>
        </w:r>
        <w:r w:rsidR="001D5DB1">
          <w:rPr>
            <w:webHidden/>
          </w:rPr>
          <w:instrText xml:space="preserve"> PAGEREF _Toc46265549 \h </w:instrText>
        </w:r>
        <w:r w:rsidR="001D5DB1">
          <w:rPr>
            <w:webHidden/>
          </w:rPr>
        </w:r>
        <w:r w:rsidR="001D5DB1">
          <w:rPr>
            <w:webHidden/>
          </w:rPr>
          <w:fldChar w:fldCharType="separate"/>
        </w:r>
        <w:r w:rsidR="00DD2E33">
          <w:rPr>
            <w:webHidden/>
          </w:rPr>
          <w:t>179</w:t>
        </w:r>
        <w:r w:rsidR="001D5DB1">
          <w:rPr>
            <w:webHidden/>
          </w:rPr>
          <w:fldChar w:fldCharType="end"/>
        </w:r>
      </w:hyperlink>
    </w:p>
    <w:p w14:paraId="0AAB6996" w14:textId="40C14A3E"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50" w:history="1">
        <w:r w:rsidR="001D5DB1" w:rsidRPr="0008224A">
          <w:rPr>
            <w:rStyle w:val="Hyperlink"/>
            <w:noProof/>
          </w:rPr>
          <w:t>Methods</w:t>
        </w:r>
        <w:r w:rsidR="001D5DB1">
          <w:rPr>
            <w:noProof/>
            <w:webHidden/>
          </w:rPr>
          <w:tab/>
        </w:r>
        <w:r w:rsidR="001D5DB1">
          <w:rPr>
            <w:noProof/>
            <w:webHidden/>
          </w:rPr>
          <w:fldChar w:fldCharType="begin"/>
        </w:r>
        <w:r w:rsidR="001D5DB1">
          <w:rPr>
            <w:noProof/>
            <w:webHidden/>
          </w:rPr>
          <w:instrText xml:space="preserve"> PAGEREF _Toc46265550 \h </w:instrText>
        </w:r>
        <w:r w:rsidR="001D5DB1">
          <w:rPr>
            <w:noProof/>
            <w:webHidden/>
          </w:rPr>
        </w:r>
        <w:r w:rsidR="001D5DB1">
          <w:rPr>
            <w:noProof/>
            <w:webHidden/>
          </w:rPr>
          <w:fldChar w:fldCharType="separate"/>
        </w:r>
        <w:r w:rsidR="00DD2E33">
          <w:rPr>
            <w:noProof/>
            <w:webHidden/>
          </w:rPr>
          <w:t>181</w:t>
        </w:r>
        <w:r w:rsidR="001D5DB1">
          <w:rPr>
            <w:noProof/>
            <w:webHidden/>
          </w:rPr>
          <w:fldChar w:fldCharType="end"/>
        </w:r>
      </w:hyperlink>
    </w:p>
    <w:p w14:paraId="6CFE58CF" w14:textId="191FE4FD"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51" w:history="1">
        <w:r w:rsidR="001D5DB1" w:rsidRPr="0008224A">
          <w:rPr>
            <w:rStyle w:val="Hyperlink"/>
          </w:rPr>
          <w:t>Data Source</w:t>
        </w:r>
        <w:r w:rsidR="001D5DB1">
          <w:rPr>
            <w:webHidden/>
          </w:rPr>
          <w:tab/>
        </w:r>
        <w:r w:rsidR="001D5DB1">
          <w:rPr>
            <w:webHidden/>
          </w:rPr>
          <w:fldChar w:fldCharType="begin"/>
        </w:r>
        <w:r w:rsidR="001D5DB1">
          <w:rPr>
            <w:webHidden/>
          </w:rPr>
          <w:instrText xml:space="preserve"> PAGEREF _Toc46265551 \h </w:instrText>
        </w:r>
        <w:r w:rsidR="001D5DB1">
          <w:rPr>
            <w:webHidden/>
          </w:rPr>
        </w:r>
        <w:r w:rsidR="001D5DB1">
          <w:rPr>
            <w:webHidden/>
          </w:rPr>
          <w:fldChar w:fldCharType="separate"/>
        </w:r>
        <w:r w:rsidR="00DD2E33">
          <w:rPr>
            <w:webHidden/>
          </w:rPr>
          <w:t>181</w:t>
        </w:r>
        <w:r w:rsidR="001D5DB1">
          <w:rPr>
            <w:webHidden/>
          </w:rPr>
          <w:fldChar w:fldCharType="end"/>
        </w:r>
      </w:hyperlink>
    </w:p>
    <w:p w14:paraId="74A1FBAD" w14:textId="1AAF4453"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52" w:history="1">
        <w:r w:rsidR="001D5DB1" w:rsidRPr="0008224A">
          <w:rPr>
            <w:rStyle w:val="Hyperlink"/>
          </w:rPr>
          <w:t>Participants</w:t>
        </w:r>
        <w:r w:rsidR="001D5DB1">
          <w:rPr>
            <w:webHidden/>
          </w:rPr>
          <w:tab/>
        </w:r>
        <w:r w:rsidR="001D5DB1">
          <w:rPr>
            <w:webHidden/>
          </w:rPr>
          <w:fldChar w:fldCharType="begin"/>
        </w:r>
        <w:r w:rsidR="001D5DB1">
          <w:rPr>
            <w:webHidden/>
          </w:rPr>
          <w:instrText xml:space="preserve"> PAGEREF _Toc46265552 \h </w:instrText>
        </w:r>
        <w:r w:rsidR="001D5DB1">
          <w:rPr>
            <w:webHidden/>
          </w:rPr>
        </w:r>
        <w:r w:rsidR="001D5DB1">
          <w:rPr>
            <w:webHidden/>
          </w:rPr>
          <w:fldChar w:fldCharType="separate"/>
        </w:r>
        <w:r w:rsidR="00DD2E33">
          <w:rPr>
            <w:webHidden/>
          </w:rPr>
          <w:t>182</w:t>
        </w:r>
        <w:r w:rsidR="001D5DB1">
          <w:rPr>
            <w:webHidden/>
          </w:rPr>
          <w:fldChar w:fldCharType="end"/>
        </w:r>
      </w:hyperlink>
    </w:p>
    <w:p w14:paraId="05410D11" w14:textId="7FC6C1B6"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53" w:history="1">
        <w:r w:rsidR="001D5DB1" w:rsidRPr="0008224A">
          <w:rPr>
            <w:rStyle w:val="Hyperlink"/>
          </w:rPr>
          <w:t>Measures</w:t>
        </w:r>
        <w:r w:rsidR="001D5DB1">
          <w:rPr>
            <w:webHidden/>
          </w:rPr>
          <w:tab/>
        </w:r>
        <w:r w:rsidR="001D5DB1">
          <w:rPr>
            <w:webHidden/>
          </w:rPr>
          <w:fldChar w:fldCharType="begin"/>
        </w:r>
        <w:r w:rsidR="001D5DB1">
          <w:rPr>
            <w:webHidden/>
          </w:rPr>
          <w:instrText xml:space="preserve"> PAGEREF _Toc46265553 \h </w:instrText>
        </w:r>
        <w:r w:rsidR="001D5DB1">
          <w:rPr>
            <w:webHidden/>
          </w:rPr>
        </w:r>
        <w:r w:rsidR="001D5DB1">
          <w:rPr>
            <w:webHidden/>
          </w:rPr>
          <w:fldChar w:fldCharType="separate"/>
        </w:r>
        <w:r w:rsidR="00DD2E33">
          <w:rPr>
            <w:webHidden/>
          </w:rPr>
          <w:t>182</w:t>
        </w:r>
        <w:r w:rsidR="001D5DB1">
          <w:rPr>
            <w:webHidden/>
          </w:rPr>
          <w:fldChar w:fldCharType="end"/>
        </w:r>
      </w:hyperlink>
    </w:p>
    <w:p w14:paraId="2B9F0A56" w14:textId="781B792D"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54" w:history="1">
        <w:r w:rsidR="001D5DB1" w:rsidRPr="0008224A">
          <w:rPr>
            <w:rStyle w:val="Hyperlink"/>
          </w:rPr>
          <w:t>Approaches to Learning</w:t>
        </w:r>
        <w:r w:rsidR="001D5DB1">
          <w:rPr>
            <w:webHidden/>
          </w:rPr>
          <w:tab/>
        </w:r>
        <w:r w:rsidR="001D5DB1">
          <w:rPr>
            <w:webHidden/>
          </w:rPr>
          <w:fldChar w:fldCharType="begin"/>
        </w:r>
        <w:r w:rsidR="001D5DB1">
          <w:rPr>
            <w:webHidden/>
          </w:rPr>
          <w:instrText xml:space="preserve"> PAGEREF _Toc46265554 \h </w:instrText>
        </w:r>
        <w:r w:rsidR="001D5DB1">
          <w:rPr>
            <w:webHidden/>
          </w:rPr>
        </w:r>
        <w:r w:rsidR="001D5DB1">
          <w:rPr>
            <w:webHidden/>
          </w:rPr>
          <w:fldChar w:fldCharType="separate"/>
        </w:r>
        <w:r w:rsidR="00DD2E33">
          <w:rPr>
            <w:webHidden/>
          </w:rPr>
          <w:t>182</w:t>
        </w:r>
        <w:r w:rsidR="001D5DB1">
          <w:rPr>
            <w:webHidden/>
          </w:rPr>
          <w:fldChar w:fldCharType="end"/>
        </w:r>
      </w:hyperlink>
    </w:p>
    <w:p w14:paraId="0F5C51D2" w14:textId="00FC7184" w:rsidR="001D5DB1" w:rsidRDefault="00DE2FE4">
      <w:pPr>
        <w:pStyle w:val="TOC4"/>
        <w:tabs>
          <w:tab w:val="right" w:leader="dot" w:pos="9350"/>
        </w:tabs>
        <w:rPr>
          <w:rFonts w:asciiTheme="minorHAnsi" w:eastAsiaTheme="minorEastAsia" w:hAnsiTheme="minorHAnsi"/>
          <w:noProof/>
          <w:sz w:val="22"/>
        </w:rPr>
      </w:pPr>
      <w:hyperlink w:anchor="_Toc46265555" w:history="1">
        <w:r w:rsidR="001D5DB1" w:rsidRPr="0008224A">
          <w:rPr>
            <w:rStyle w:val="Hyperlink"/>
            <w:noProof/>
          </w:rPr>
          <w:t>Individual Classroom Assessment Scoring System</w:t>
        </w:r>
        <w:r w:rsidR="001D5DB1">
          <w:rPr>
            <w:noProof/>
            <w:webHidden/>
          </w:rPr>
          <w:tab/>
        </w:r>
        <w:r w:rsidR="001D5DB1">
          <w:rPr>
            <w:noProof/>
            <w:webHidden/>
          </w:rPr>
          <w:fldChar w:fldCharType="begin"/>
        </w:r>
        <w:r w:rsidR="001D5DB1">
          <w:rPr>
            <w:noProof/>
            <w:webHidden/>
          </w:rPr>
          <w:instrText xml:space="preserve"> PAGEREF _Toc46265555 \h </w:instrText>
        </w:r>
        <w:r w:rsidR="001D5DB1">
          <w:rPr>
            <w:noProof/>
            <w:webHidden/>
          </w:rPr>
        </w:r>
        <w:r w:rsidR="001D5DB1">
          <w:rPr>
            <w:noProof/>
            <w:webHidden/>
          </w:rPr>
          <w:fldChar w:fldCharType="separate"/>
        </w:r>
        <w:r w:rsidR="00DD2E33">
          <w:rPr>
            <w:noProof/>
            <w:webHidden/>
          </w:rPr>
          <w:t>182</w:t>
        </w:r>
        <w:r w:rsidR="001D5DB1">
          <w:rPr>
            <w:noProof/>
            <w:webHidden/>
          </w:rPr>
          <w:fldChar w:fldCharType="end"/>
        </w:r>
      </w:hyperlink>
    </w:p>
    <w:p w14:paraId="63BBB131" w14:textId="2B48920F" w:rsidR="001D5DB1" w:rsidRDefault="00DE2FE4">
      <w:pPr>
        <w:pStyle w:val="TOC4"/>
        <w:tabs>
          <w:tab w:val="right" w:leader="dot" w:pos="9350"/>
        </w:tabs>
        <w:rPr>
          <w:rFonts w:asciiTheme="minorHAnsi" w:eastAsiaTheme="minorEastAsia" w:hAnsiTheme="minorHAnsi"/>
          <w:noProof/>
          <w:sz w:val="22"/>
        </w:rPr>
      </w:pPr>
      <w:hyperlink w:anchor="_Toc46265556" w:history="1">
        <w:r w:rsidR="001D5DB1" w:rsidRPr="0008224A">
          <w:rPr>
            <w:rStyle w:val="Hyperlink"/>
            <w:noProof/>
          </w:rPr>
          <w:t>Devereux Early Childhood Assessment, Preschool 2nd edition</w:t>
        </w:r>
        <w:r w:rsidR="001D5DB1">
          <w:rPr>
            <w:noProof/>
            <w:webHidden/>
          </w:rPr>
          <w:tab/>
        </w:r>
        <w:r w:rsidR="001D5DB1">
          <w:rPr>
            <w:noProof/>
            <w:webHidden/>
          </w:rPr>
          <w:fldChar w:fldCharType="begin"/>
        </w:r>
        <w:r w:rsidR="001D5DB1">
          <w:rPr>
            <w:noProof/>
            <w:webHidden/>
          </w:rPr>
          <w:instrText xml:space="preserve"> PAGEREF _Toc46265556 \h </w:instrText>
        </w:r>
        <w:r w:rsidR="001D5DB1">
          <w:rPr>
            <w:noProof/>
            <w:webHidden/>
          </w:rPr>
        </w:r>
        <w:r w:rsidR="001D5DB1">
          <w:rPr>
            <w:noProof/>
            <w:webHidden/>
          </w:rPr>
          <w:fldChar w:fldCharType="separate"/>
        </w:r>
        <w:r w:rsidR="00DD2E33">
          <w:rPr>
            <w:noProof/>
            <w:webHidden/>
          </w:rPr>
          <w:t>184</w:t>
        </w:r>
        <w:r w:rsidR="001D5DB1">
          <w:rPr>
            <w:noProof/>
            <w:webHidden/>
          </w:rPr>
          <w:fldChar w:fldCharType="end"/>
        </w:r>
      </w:hyperlink>
    </w:p>
    <w:p w14:paraId="32897EB7" w14:textId="5E18FED9" w:rsidR="001D5DB1" w:rsidRDefault="00DE2FE4">
      <w:pPr>
        <w:pStyle w:val="TOC4"/>
        <w:tabs>
          <w:tab w:val="right" w:leader="dot" w:pos="9350"/>
        </w:tabs>
        <w:rPr>
          <w:rFonts w:asciiTheme="minorHAnsi" w:eastAsiaTheme="minorEastAsia" w:hAnsiTheme="minorHAnsi"/>
          <w:noProof/>
          <w:sz w:val="22"/>
        </w:rPr>
      </w:pPr>
      <w:hyperlink w:anchor="_Toc46265557" w:history="1">
        <w:r w:rsidR="001D5DB1" w:rsidRPr="0008224A">
          <w:rPr>
            <w:rStyle w:val="Hyperlink"/>
            <w:noProof/>
          </w:rPr>
          <w:t>Leiter-3 Examiner Rating Scale (Roid &amp; Miller, 1997).</w:t>
        </w:r>
        <w:r w:rsidR="001D5DB1">
          <w:rPr>
            <w:noProof/>
            <w:webHidden/>
          </w:rPr>
          <w:tab/>
        </w:r>
        <w:r w:rsidR="001D5DB1">
          <w:rPr>
            <w:noProof/>
            <w:webHidden/>
          </w:rPr>
          <w:fldChar w:fldCharType="begin"/>
        </w:r>
        <w:r w:rsidR="001D5DB1">
          <w:rPr>
            <w:noProof/>
            <w:webHidden/>
          </w:rPr>
          <w:instrText xml:space="preserve"> PAGEREF _Toc46265557 \h </w:instrText>
        </w:r>
        <w:r w:rsidR="001D5DB1">
          <w:rPr>
            <w:noProof/>
            <w:webHidden/>
          </w:rPr>
        </w:r>
        <w:r w:rsidR="001D5DB1">
          <w:rPr>
            <w:noProof/>
            <w:webHidden/>
          </w:rPr>
          <w:fldChar w:fldCharType="separate"/>
        </w:r>
        <w:r w:rsidR="00DD2E33">
          <w:rPr>
            <w:noProof/>
            <w:webHidden/>
          </w:rPr>
          <w:t>185</w:t>
        </w:r>
        <w:r w:rsidR="001D5DB1">
          <w:rPr>
            <w:noProof/>
            <w:webHidden/>
          </w:rPr>
          <w:fldChar w:fldCharType="end"/>
        </w:r>
      </w:hyperlink>
    </w:p>
    <w:p w14:paraId="5FCF0B1E" w14:textId="1B5C2556"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58" w:history="1">
        <w:r w:rsidR="001D5DB1" w:rsidRPr="0008224A">
          <w:rPr>
            <w:rStyle w:val="Hyperlink"/>
          </w:rPr>
          <w:t>Task-based executive function.</w:t>
        </w:r>
        <w:r w:rsidR="001D5DB1">
          <w:rPr>
            <w:webHidden/>
          </w:rPr>
          <w:tab/>
        </w:r>
        <w:r w:rsidR="001D5DB1">
          <w:rPr>
            <w:webHidden/>
          </w:rPr>
          <w:fldChar w:fldCharType="begin"/>
        </w:r>
        <w:r w:rsidR="001D5DB1">
          <w:rPr>
            <w:webHidden/>
          </w:rPr>
          <w:instrText xml:space="preserve"> PAGEREF _Toc46265558 \h </w:instrText>
        </w:r>
        <w:r w:rsidR="001D5DB1">
          <w:rPr>
            <w:webHidden/>
          </w:rPr>
        </w:r>
        <w:r w:rsidR="001D5DB1">
          <w:rPr>
            <w:webHidden/>
          </w:rPr>
          <w:fldChar w:fldCharType="separate"/>
        </w:r>
        <w:r w:rsidR="00DD2E33">
          <w:rPr>
            <w:webHidden/>
          </w:rPr>
          <w:t>186</w:t>
        </w:r>
        <w:r w:rsidR="001D5DB1">
          <w:rPr>
            <w:webHidden/>
          </w:rPr>
          <w:fldChar w:fldCharType="end"/>
        </w:r>
      </w:hyperlink>
    </w:p>
    <w:p w14:paraId="24EA7988" w14:textId="65842655" w:rsidR="001D5DB1" w:rsidRDefault="00DE2FE4">
      <w:pPr>
        <w:pStyle w:val="TOC3"/>
        <w:tabs>
          <w:tab w:val="right" w:leader="dot" w:pos="9350"/>
        </w:tabs>
        <w:rPr>
          <w:rFonts w:asciiTheme="minorHAnsi" w:eastAsiaTheme="minorEastAsia" w:hAnsiTheme="minorHAnsi" w:cstheme="minorBidi"/>
          <w:color w:val="auto"/>
          <w:sz w:val="22"/>
          <w:szCs w:val="22"/>
          <w:lang w:bidi="ar-SA"/>
        </w:rPr>
      </w:pPr>
      <w:hyperlink w:anchor="_Toc46265559" w:history="1">
        <w:r w:rsidR="001D5DB1" w:rsidRPr="0008224A">
          <w:rPr>
            <w:rStyle w:val="Hyperlink"/>
          </w:rPr>
          <w:t>Academic Outcomes.</w:t>
        </w:r>
        <w:r w:rsidR="001D5DB1">
          <w:rPr>
            <w:webHidden/>
          </w:rPr>
          <w:tab/>
        </w:r>
        <w:r w:rsidR="001D5DB1">
          <w:rPr>
            <w:webHidden/>
          </w:rPr>
          <w:fldChar w:fldCharType="begin"/>
        </w:r>
        <w:r w:rsidR="001D5DB1">
          <w:rPr>
            <w:webHidden/>
          </w:rPr>
          <w:instrText xml:space="preserve"> PAGEREF _Toc46265559 \h </w:instrText>
        </w:r>
        <w:r w:rsidR="001D5DB1">
          <w:rPr>
            <w:webHidden/>
          </w:rPr>
        </w:r>
        <w:r w:rsidR="001D5DB1">
          <w:rPr>
            <w:webHidden/>
          </w:rPr>
          <w:fldChar w:fldCharType="separate"/>
        </w:r>
        <w:r w:rsidR="00DD2E33">
          <w:rPr>
            <w:webHidden/>
          </w:rPr>
          <w:t>187</w:t>
        </w:r>
        <w:r w:rsidR="001D5DB1">
          <w:rPr>
            <w:webHidden/>
          </w:rPr>
          <w:fldChar w:fldCharType="end"/>
        </w:r>
      </w:hyperlink>
    </w:p>
    <w:p w14:paraId="52452501" w14:textId="6BF50E3A" w:rsidR="001D5DB1" w:rsidRDefault="00DE2FE4">
      <w:pPr>
        <w:pStyle w:val="TOC4"/>
        <w:tabs>
          <w:tab w:val="right" w:leader="dot" w:pos="9350"/>
        </w:tabs>
        <w:rPr>
          <w:rFonts w:asciiTheme="minorHAnsi" w:eastAsiaTheme="minorEastAsia" w:hAnsiTheme="minorHAnsi"/>
          <w:noProof/>
          <w:sz w:val="22"/>
        </w:rPr>
      </w:pPr>
      <w:hyperlink w:anchor="_Toc46265560" w:history="1">
        <w:r w:rsidR="001D5DB1" w:rsidRPr="0008224A">
          <w:rPr>
            <w:rStyle w:val="Hyperlink"/>
            <w:noProof/>
          </w:rPr>
          <w:t>Woodcock-Johnson Applied Problems</w:t>
        </w:r>
        <w:r w:rsidR="001D5DB1">
          <w:rPr>
            <w:noProof/>
            <w:webHidden/>
          </w:rPr>
          <w:tab/>
        </w:r>
        <w:r w:rsidR="001D5DB1">
          <w:rPr>
            <w:noProof/>
            <w:webHidden/>
          </w:rPr>
          <w:fldChar w:fldCharType="begin"/>
        </w:r>
        <w:r w:rsidR="001D5DB1">
          <w:rPr>
            <w:noProof/>
            <w:webHidden/>
          </w:rPr>
          <w:instrText xml:space="preserve"> PAGEREF _Toc46265560 \h </w:instrText>
        </w:r>
        <w:r w:rsidR="001D5DB1">
          <w:rPr>
            <w:noProof/>
            <w:webHidden/>
          </w:rPr>
        </w:r>
        <w:r w:rsidR="001D5DB1">
          <w:rPr>
            <w:noProof/>
            <w:webHidden/>
          </w:rPr>
          <w:fldChar w:fldCharType="separate"/>
        </w:r>
        <w:r w:rsidR="00DD2E33">
          <w:rPr>
            <w:noProof/>
            <w:webHidden/>
          </w:rPr>
          <w:t>187</w:t>
        </w:r>
        <w:r w:rsidR="001D5DB1">
          <w:rPr>
            <w:noProof/>
            <w:webHidden/>
          </w:rPr>
          <w:fldChar w:fldCharType="end"/>
        </w:r>
      </w:hyperlink>
    </w:p>
    <w:p w14:paraId="41A985F5" w14:textId="11A42426" w:rsidR="001D5DB1" w:rsidRDefault="00DE2FE4">
      <w:pPr>
        <w:pStyle w:val="TOC4"/>
        <w:tabs>
          <w:tab w:val="right" w:leader="dot" w:pos="9350"/>
        </w:tabs>
        <w:rPr>
          <w:rFonts w:asciiTheme="minorHAnsi" w:eastAsiaTheme="minorEastAsia" w:hAnsiTheme="minorHAnsi"/>
          <w:noProof/>
          <w:sz w:val="22"/>
        </w:rPr>
      </w:pPr>
      <w:hyperlink w:anchor="_Toc46265561" w:history="1">
        <w:r w:rsidR="001D5DB1" w:rsidRPr="0008224A">
          <w:rPr>
            <w:rStyle w:val="Hyperlink"/>
            <w:noProof/>
          </w:rPr>
          <w:t>Bracken School Readiness Assessment</w:t>
        </w:r>
        <w:r w:rsidR="001D5DB1">
          <w:rPr>
            <w:noProof/>
            <w:webHidden/>
          </w:rPr>
          <w:tab/>
        </w:r>
        <w:r w:rsidR="001D5DB1">
          <w:rPr>
            <w:noProof/>
            <w:webHidden/>
          </w:rPr>
          <w:fldChar w:fldCharType="begin"/>
        </w:r>
        <w:r w:rsidR="001D5DB1">
          <w:rPr>
            <w:noProof/>
            <w:webHidden/>
          </w:rPr>
          <w:instrText xml:space="preserve"> PAGEREF _Toc46265561 \h </w:instrText>
        </w:r>
        <w:r w:rsidR="001D5DB1">
          <w:rPr>
            <w:noProof/>
            <w:webHidden/>
          </w:rPr>
        </w:r>
        <w:r w:rsidR="001D5DB1">
          <w:rPr>
            <w:noProof/>
            <w:webHidden/>
          </w:rPr>
          <w:fldChar w:fldCharType="separate"/>
        </w:r>
        <w:r w:rsidR="00DD2E33">
          <w:rPr>
            <w:noProof/>
            <w:webHidden/>
          </w:rPr>
          <w:t>188</w:t>
        </w:r>
        <w:r w:rsidR="001D5DB1">
          <w:rPr>
            <w:noProof/>
            <w:webHidden/>
          </w:rPr>
          <w:fldChar w:fldCharType="end"/>
        </w:r>
      </w:hyperlink>
    </w:p>
    <w:p w14:paraId="1F84E5BE" w14:textId="025AFA02"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62" w:history="1">
        <w:r w:rsidR="001D5DB1" w:rsidRPr="0008224A">
          <w:rPr>
            <w:rStyle w:val="Hyperlink"/>
          </w:rPr>
          <w:t>Procedures</w:t>
        </w:r>
        <w:r w:rsidR="001D5DB1">
          <w:rPr>
            <w:webHidden/>
          </w:rPr>
          <w:tab/>
        </w:r>
        <w:r w:rsidR="001D5DB1">
          <w:rPr>
            <w:webHidden/>
          </w:rPr>
          <w:fldChar w:fldCharType="begin"/>
        </w:r>
        <w:r w:rsidR="001D5DB1">
          <w:rPr>
            <w:webHidden/>
          </w:rPr>
          <w:instrText xml:space="preserve"> PAGEREF _Toc46265562 \h </w:instrText>
        </w:r>
        <w:r w:rsidR="001D5DB1">
          <w:rPr>
            <w:webHidden/>
          </w:rPr>
        </w:r>
        <w:r w:rsidR="001D5DB1">
          <w:rPr>
            <w:webHidden/>
          </w:rPr>
          <w:fldChar w:fldCharType="separate"/>
        </w:r>
        <w:r w:rsidR="00DD2E33">
          <w:rPr>
            <w:webHidden/>
          </w:rPr>
          <w:t>188</w:t>
        </w:r>
        <w:r w:rsidR="001D5DB1">
          <w:rPr>
            <w:webHidden/>
          </w:rPr>
          <w:fldChar w:fldCharType="end"/>
        </w:r>
      </w:hyperlink>
    </w:p>
    <w:p w14:paraId="486E666A" w14:textId="44E767A1"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63" w:history="1">
        <w:r w:rsidR="001D5DB1" w:rsidRPr="0008224A">
          <w:rPr>
            <w:rStyle w:val="Hyperlink"/>
          </w:rPr>
          <w:t>Plan of Analysis</w:t>
        </w:r>
        <w:r w:rsidR="001D5DB1">
          <w:rPr>
            <w:webHidden/>
          </w:rPr>
          <w:tab/>
        </w:r>
        <w:r w:rsidR="001D5DB1">
          <w:rPr>
            <w:webHidden/>
          </w:rPr>
          <w:fldChar w:fldCharType="begin"/>
        </w:r>
        <w:r w:rsidR="001D5DB1">
          <w:rPr>
            <w:webHidden/>
          </w:rPr>
          <w:instrText xml:space="preserve"> PAGEREF _Toc46265563 \h </w:instrText>
        </w:r>
        <w:r w:rsidR="001D5DB1">
          <w:rPr>
            <w:webHidden/>
          </w:rPr>
        </w:r>
        <w:r w:rsidR="001D5DB1">
          <w:rPr>
            <w:webHidden/>
          </w:rPr>
          <w:fldChar w:fldCharType="separate"/>
        </w:r>
        <w:r w:rsidR="00DD2E33">
          <w:rPr>
            <w:webHidden/>
          </w:rPr>
          <w:t>189</w:t>
        </w:r>
        <w:r w:rsidR="001D5DB1">
          <w:rPr>
            <w:webHidden/>
          </w:rPr>
          <w:fldChar w:fldCharType="end"/>
        </w:r>
      </w:hyperlink>
    </w:p>
    <w:p w14:paraId="4E5BD9C8" w14:textId="41919EB4" w:rsidR="001D5DB1" w:rsidRDefault="00DE2FE4">
      <w:pPr>
        <w:pStyle w:val="TOC2"/>
        <w:tabs>
          <w:tab w:val="right" w:leader="dot" w:pos="9350"/>
        </w:tabs>
        <w:rPr>
          <w:rFonts w:asciiTheme="minorHAnsi" w:eastAsiaTheme="minorEastAsia" w:hAnsiTheme="minorHAnsi" w:cstheme="minorBidi"/>
          <w:color w:val="auto"/>
          <w:sz w:val="22"/>
          <w:szCs w:val="22"/>
        </w:rPr>
      </w:pPr>
      <w:hyperlink w:anchor="_Toc46265564" w:history="1">
        <w:r w:rsidR="001D5DB1" w:rsidRPr="0008224A">
          <w:rPr>
            <w:rStyle w:val="Hyperlink"/>
          </w:rPr>
          <w:t>Potential Limitations</w:t>
        </w:r>
        <w:r w:rsidR="001D5DB1">
          <w:rPr>
            <w:webHidden/>
          </w:rPr>
          <w:tab/>
        </w:r>
        <w:r w:rsidR="001D5DB1">
          <w:rPr>
            <w:webHidden/>
          </w:rPr>
          <w:fldChar w:fldCharType="begin"/>
        </w:r>
        <w:r w:rsidR="001D5DB1">
          <w:rPr>
            <w:webHidden/>
          </w:rPr>
          <w:instrText xml:space="preserve"> PAGEREF _Toc46265564 \h </w:instrText>
        </w:r>
        <w:r w:rsidR="001D5DB1">
          <w:rPr>
            <w:webHidden/>
          </w:rPr>
        </w:r>
        <w:r w:rsidR="001D5DB1">
          <w:rPr>
            <w:webHidden/>
          </w:rPr>
          <w:fldChar w:fldCharType="separate"/>
        </w:r>
        <w:r w:rsidR="00DD2E33">
          <w:rPr>
            <w:webHidden/>
          </w:rPr>
          <w:t>192</w:t>
        </w:r>
        <w:r w:rsidR="001D5DB1">
          <w:rPr>
            <w:webHidden/>
          </w:rPr>
          <w:fldChar w:fldCharType="end"/>
        </w:r>
      </w:hyperlink>
    </w:p>
    <w:p w14:paraId="34BEAF5D" w14:textId="33A117F8"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65" w:history="1">
        <w:r w:rsidR="001D5DB1" w:rsidRPr="0008224A">
          <w:rPr>
            <w:rStyle w:val="Hyperlink"/>
            <w:noProof/>
          </w:rPr>
          <w:t>References</w:t>
        </w:r>
        <w:r w:rsidR="001D5DB1">
          <w:rPr>
            <w:noProof/>
            <w:webHidden/>
          </w:rPr>
          <w:tab/>
        </w:r>
        <w:r w:rsidR="001D5DB1">
          <w:rPr>
            <w:noProof/>
            <w:webHidden/>
          </w:rPr>
          <w:fldChar w:fldCharType="begin"/>
        </w:r>
        <w:r w:rsidR="001D5DB1">
          <w:rPr>
            <w:noProof/>
            <w:webHidden/>
          </w:rPr>
          <w:instrText xml:space="preserve"> PAGEREF _Toc46265565 \h </w:instrText>
        </w:r>
        <w:r w:rsidR="001D5DB1">
          <w:rPr>
            <w:noProof/>
            <w:webHidden/>
          </w:rPr>
        </w:r>
        <w:r w:rsidR="001D5DB1">
          <w:rPr>
            <w:noProof/>
            <w:webHidden/>
          </w:rPr>
          <w:fldChar w:fldCharType="separate"/>
        </w:r>
        <w:r w:rsidR="00DD2E33">
          <w:rPr>
            <w:noProof/>
            <w:webHidden/>
          </w:rPr>
          <w:t>194</w:t>
        </w:r>
        <w:r w:rsidR="001D5DB1">
          <w:rPr>
            <w:noProof/>
            <w:webHidden/>
          </w:rPr>
          <w:fldChar w:fldCharType="end"/>
        </w:r>
      </w:hyperlink>
    </w:p>
    <w:p w14:paraId="125A573C" w14:textId="5361E44E"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66" w:history="1">
        <w:r w:rsidR="001D5DB1" w:rsidRPr="0008224A">
          <w:rPr>
            <w:rStyle w:val="Hyperlink"/>
            <w:noProof/>
          </w:rPr>
          <w:t>Appendix A Measurement Models</w:t>
        </w:r>
        <w:r w:rsidR="001D5DB1">
          <w:rPr>
            <w:noProof/>
            <w:webHidden/>
          </w:rPr>
          <w:tab/>
        </w:r>
        <w:r w:rsidR="001D5DB1">
          <w:rPr>
            <w:noProof/>
            <w:webHidden/>
          </w:rPr>
          <w:fldChar w:fldCharType="begin"/>
        </w:r>
        <w:r w:rsidR="001D5DB1">
          <w:rPr>
            <w:noProof/>
            <w:webHidden/>
          </w:rPr>
          <w:instrText xml:space="preserve"> PAGEREF _Toc46265566 \h </w:instrText>
        </w:r>
        <w:r w:rsidR="001D5DB1">
          <w:rPr>
            <w:noProof/>
            <w:webHidden/>
          </w:rPr>
        </w:r>
        <w:r w:rsidR="001D5DB1">
          <w:rPr>
            <w:noProof/>
            <w:webHidden/>
          </w:rPr>
          <w:fldChar w:fldCharType="separate"/>
        </w:r>
        <w:r w:rsidR="00DD2E33">
          <w:rPr>
            <w:noProof/>
            <w:webHidden/>
          </w:rPr>
          <w:t>207</w:t>
        </w:r>
        <w:r w:rsidR="001D5DB1">
          <w:rPr>
            <w:noProof/>
            <w:webHidden/>
          </w:rPr>
          <w:fldChar w:fldCharType="end"/>
        </w:r>
      </w:hyperlink>
    </w:p>
    <w:p w14:paraId="2ED1411C" w14:textId="78A62824" w:rsidR="001D5DB1" w:rsidRDefault="00DE2FE4">
      <w:pPr>
        <w:pStyle w:val="TOC1"/>
        <w:tabs>
          <w:tab w:val="right" w:leader="dot" w:pos="9350"/>
        </w:tabs>
        <w:rPr>
          <w:rFonts w:asciiTheme="minorHAnsi" w:eastAsiaTheme="minorEastAsia" w:hAnsiTheme="minorHAnsi" w:cstheme="minorBidi"/>
          <w:noProof/>
          <w:color w:val="auto"/>
          <w:sz w:val="22"/>
          <w:szCs w:val="22"/>
        </w:rPr>
      </w:pPr>
      <w:hyperlink w:anchor="_Toc46265567" w:history="1">
        <w:r w:rsidR="001D5DB1" w:rsidRPr="0008224A">
          <w:rPr>
            <w:rStyle w:val="Hyperlink"/>
            <w:noProof/>
          </w:rPr>
          <w:t>Appendix B Sample Measures</w:t>
        </w:r>
        <w:r w:rsidR="001D5DB1">
          <w:rPr>
            <w:noProof/>
            <w:webHidden/>
          </w:rPr>
          <w:tab/>
        </w:r>
        <w:r w:rsidR="001D5DB1">
          <w:rPr>
            <w:noProof/>
            <w:webHidden/>
          </w:rPr>
          <w:fldChar w:fldCharType="begin"/>
        </w:r>
        <w:r w:rsidR="001D5DB1">
          <w:rPr>
            <w:noProof/>
            <w:webHidden/>
          </w:rPr>
          <w:instrText xml:space="preserve"> PAGEREF _Toc46265567 \h </w:instrText>
        </w:r>
        <w:r w:rsidR="001D5DB1">
          <w:rPr>
            <w:noProof/>
            <w:webHidden/>
          </w:rPr>
        </w:r>
        <w:r w:rsidR="001D5DB1">
          <w:rPr>
            <w:noProof/>
            <w:webHidden/>
          </w:rPr>
          <w:fldChar w:fldCharType="separate"/>
        </w:r>
        <w:r w:rsidR="00DD2E33">
          <w:rPr>
            <w:noProof/>
            <w:webHidden/>
          </w:rPr>
          <w:t>209</w:t>
        </w:r>
        <w:r w:rsidR="001D5DB1">
          <w:rPr>
            <w:noProof/>
            <w:webHidden/>
          </w:rPr>
          <w:fldChar w:fldCharType="end"/>
        </w:r>
      </w:hyperlink>
    </w:p>
    <w:p w14:paraId="77EC5346" w14:textId="2CBB9E5F" w:rsidR="00304CCF" w:rsidRDefault="00A949EC" w:rsidP="00304CCF">
      <w:pPr>
        <w:spacing w:line="240" w:lineRule="auto"/>
        <w:jc w:val="center"/>
        <w:rPr>
          <w:b/>
          <w:sz w:val="28"/>
          <w:szCs w:val="28"/>
        </w:rPr>
      </w:pPr>
      <w:r>
        <w:rPr>
          <w:b/>
          <w:sz w:val="28"/>
          <w:szCs w:val="28"/>
        </w:rPr>
        <w:fldChar w:fldCharType="end"/>
      </w:r>
    </w:p>
    <w:p w14:paraId="40439C77" w14:textId="77777777" w:rsidR="00304CCF" w:rsidRDefault="00304CCF" w:rsidP="00304CCF">
      <w:pPr>
        <w:spacing w:line="240" w:lineRule="auto"/>
        <w:jc w:val="center"/>
        <w:rPr>
          <w:b/>
          <w:sz w:val="28"/>
          <w:szCs w:val="28"/>
        </w:rPr>
      </w:pPr>
    </w:p>
    <w:p w14:paraId="4BCEF44E" w14:textId="5D7F3DFC" w:rsidR="00B70809" w:rsidRDefault="00B70809">
      <w:r>
        <w:br w:type="page"/>
      </w:r>
    </w:p>
    <w:p w14:paraId="73FBF0C8" w14:textId="628861C5" w:rsidR="00304CCF" w:rsidRDefault="006C33CC" w:rsidP="00EB0AAA">
      <w:pPr>
        <w:pStyle w:val="Heading1"/>
      </w:pPr>
      <w:r>
        <w:lastRenderedPageBreak/>
        <w:t xml:space="preserve"> </w:t>
      </w:r>
      <w:bookmarkStart w:id="0" w:name="_Toc46265452"/>
      <w:r w:rsidR="004F463A">
        <w:t xml:space="preserve">List </w:t>
      </w:r>
      <w:r w:rsidR="00304CCF" w:rsidRPr="00AE3871">
        <w:t>of Tables</w:t>
      </w:r>
      <w:bookmarkEnd w:id="0"/>
    </w:p>
    <w:p w14:paraId="251BA9BF" w14:textId="691FD8B2" w:rsidR="00031BC4" w:rsidRPr="00031BC4" w:rsidRDefault="00031BC4" w:rsidP="00031BC4">
      <w:r>
        <w:t>MAN</w:t>
      </w:r>
      <w:r w:rsidR="00174312">
        <w:t>U</w:t>
      </w:r>
      <w:r>
        <w:t xml:space="preserve">SCRIPT I </w:t>
      </w:r>
    </w:p>
    <w:p w14:paraId="6C1C5430" w14:textId="65F6209D" w:rsidR="00031BC4" w:rsidRDefault="00B92D33">
      <w:pPr>
        <w:pStyle w:val="TableofFigures"/>
        <w:tabs>
          <w:tab w:val="right" w:leader="dot" w:pos="9350"/>
        </w:tabs>
        <w:rPr>
          <w:rFonts w:asciiTheme="minorHAnsi" w:eastAsiaTheme="minorEastAsia" w:hAnsiTheme="minorHAnsi" w:cstheme="minorBidi"/>
          <w:noProof/>
          <w:color w:val="auto"/>
          <w:sz w:val="22"/>
          <w:szCs w:val="22"/>
        </w:rPr>
      </w:pPr>
      <w:r>
        <w:fldChar w:fldCharType="begin"/>
      </w:r>
      <w:r>
        <w:instrText xml:space="preserve"> TOC \h \z \c "Table" </w:instrText>
      </w:r>
      <w:r>
        <w:fldChar w:fldCharType="separate"/>
      </w:r>
      <w:hyperlink w:anchor="_Toc44366117" w:history="1">
        <w:r w:rsidR="00031BC4" w:rsidRPr="00EE0023">
          <w:rPr>
            <w:rStyle w:val="Hyperlink"/>
            <w:noProof/>
          </w:rPr>
          <w:t>Table 1</w:t>
        </w:r>
        <w:r w:rsidR="00031BC4">
          <w:rPr>
            <w:noProof/>
            <w:webHidden/>
          </w:rPr>
          <w:tab/>
        </w:r>
        <w:r w:rsidR="00031BC4">
          <w:rPr>
            <w:noProof/>
            <w:webHidden/>
          </w:rPr>
          <w:fldChar w:fldCharType="begin"/>
        </w:r>
        <w:r w:rsidR="00031BC4">
          <w:rPr>
            <w:noProof/>
            <w:webHidden/>
          </w:rPr>
          <w:instrText xml:space="preserve"> PAGEREF _Toc44366117 \h </w:instrText>
        </w:r>
        <w:r w:rsidR="00031BC4">
          <w:rPr>
            <w:noProof/>
            <w:webHidden/>
          </w:rPr>
        </w:r>
        <w:r w:rsidR="00031BC4">
          <w:rPr>
            <w:noProof/>
            <w:webHidden/>
          </w:rPr>
          <w:fldChar w:fldCharType="separate"/>
        </w:r>
        <w:r w:rsidR="00DD2E33">
          <w:rPr>
            <w:noProof/>
            <w:webHidden/>
          </w:rPr>
          <w:t>12</w:t>
        </w:r>
        <w:r w:rsidR="00031BC4">
          <w:rPr>
            <w:noProof/>
            <w:webHidden/>
          </w:rPr>
          <w:fldChar w:fldCharType="end"/>
        </w:r>
      </w:hyperlink>
    </w:p>
    <w:p w14:paraId="15D698B8" w14:textId="0444A35E"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18" w:history="1">
        <w:r w:rsidR="00031BC4" w:rsidRPr="00EE0023">
          <w:rPr>
            <w:rStyle w:val="Hyperlink"/>
            <w:noProof/>
          </w:rPr>
          <w:t>Table 2</w:t>
        </w:r>
        <w:r w:rsidR="00031BC4">
          <w:rPr>
            <w:noProof/>
            <w:webHidden/>
          </w:rPr>
          <w:tab/>
        </w:r>
        <w:r w:rsidR="00031BC4">
          <w:rPr>
            <w:noProof/>
            <w:webHidden/>
          </w:rPr>
          <w:fldChar w:fldCharType="begin"/>
        </w:r>
        <w:r w:rsidR="00031BC4">
          <w:rPr>
            <w:noProof/>
            <w:webHidden/>
          </w:rPr>
          <w:instrText xml:space="preserve"> PAGEREF _Toc44366118 \h </w:instrText>
        </w:r>
        <w:r w:rsidR="00031BC4">
          <w:rPr>
            <w:noProof/>
            <w:webHidden/>
          </w:rPr>
        </w:r>
        <w:r w:rsidR="00031BC4">
          <w:rPr>
            <w:noProof/>
            <w:webHidden/>
          </w:rPr>
          <w:fldChar w:fldCharType="separate"/>
        </w:r>
        <w:r w:rsidR="00DD2E33">
          <w:rPr>
            <w:noProof/>
            <w:webHidden/>
          </w:rPr>
          <w:t>13</w:t>
        </w:r>
        <w:r w:rsidR="00031BC4">
          <w:rPr>
            <w:noProof/>
            <w:webHidden/>
          </w:rPr>
          <w:fldChar w:fldCharType="end"/>
        </w:r>
      </w:hyperlink>
    </w:p>
    <w:p w14:paraId="64AD983E" w14:textId="0F0B01A8" w:rsidR="00031BC4" w:rsidRDefault="00DE2FE4">
      <w:pPr>
        <w:pStyle w:val="TableofFigures"/>
        <w:tabs>
          <w:tab w:val="right" w:leader="dot" w:pos="9350"/>
        </w:tabs>
        <w:rPr>
          <w:rStyle w:val="Hyperlink"/>
          <w:noProof/>
        </w:rPr>
      </w:pPr>
      <w:hyperlink w:anchor="_Toc44366119" w:history="1">
        <w:r w:rsidR="00031BC4" w:rsidRPr="00EE0023">
          <w:rPr>
            <w:rStyle w:val="Hyperlink"/>
            <w:noProof/>
          </w:rPr>
          <w:t>Table 3</w:t>
        </w:r>
        <w:r w:rsidR="00031BC4">
          <w:rPr>
            <w:noProof/>
            <w:webHidden/>
          </w:rPr>
          <w:tab/>
        </w:r>
        <w:r w:rsidR="00031BC4">
          <w:rPr>
            <w:noProof/>
            <w:webHidden/>
          </w:rPr>
          <w:fldChar w:fldCharType="begin"/>
        </w:r>
        <w:r w:rsidR="00031BC4">
          <w:rPr>
            <w:noProof/>
            <w:webHidden/>
          </w:rPr>
          <w:instrText xml:space="preserve"> PAGEREF _Toc44366119 \h </w:instrText>
        </w:r>
        <w:r w:rsidR="00031BC4">
          <w:rPr>
            <w:noProof/>
            <w:webHidden/>
          </w:rPr>
        </w:r>
        <w:r w:rsidR="00031BC4">
          <w:rPr>
            <w:noProof/>
            <w:webHidden/>
          </w:rPr>
          <w:fldChar w:fldCharType="separate"/>
        </w:r>
        <w:r w:rsidR="00DD2E33">
          <w:rPr>
            <w:noProof/>
            <w:webHidden/>
          </w:rPr>
          <w:t>21</w:t>
        </w:r>
        <w:r w:rsidR="00031BC4">
          <w:rPr>
            <w:noProof/>
            <w:webHidden/>
          </w:rPr>
          <w:fldChar w:fldCharType="end"/>
        </w:r>
      </w:hyperlink>
    </w:p>
    <w:p w14:paraId="03FB2F85" w14:textId="00809A64" w:rsidR="00031BC4" w:rsidRPr="00031BC4" w:rsidRDefault="00031BC4" w:rsidP="00031BC4">
      <w:pPr>
        <w:rPr>
          <w:noProof/>
        </w:rPr>
      </w:pPr>
      <w:r>
        <w:rPr>
          <w:noProof/>
        </w:rPr>
        <w:t>MANUSCRIPT II</w:t>
      </w:r>
    </w:p>
    <w:p w14:paraId="72B674B6" w14:textId="46554C75"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20" w:history="1">
        <w:r w:rsidR="00031BC4" w:rsidRPr="00EE0023">
          <w:rPr>
            <w:rStyle w:val="Hyperlink"/>
            <w:noProof/>
          </w:rPr>
          <w:t>Table 1</w:t>
        </w:r>
        <w:r w:rsidR="00031BC4">
          <w:rPr>
            <w:noProof/>
            <w:webHidden/>
          </w:rPr>
          <w:tab/>
        </w:r>
        <w:r w:rsidR="00031BC4">
          <w:rPr>
            <w:noProof/>
            <w:webHidden/>
          </w:rPr>
          <w:fldChar w:fldCharType="begin"/>
        </w:r>
        <w:r w:rsidR="00031BC4">
          <w:rPr>
            <w:noProof/>
            <w:webHidden/>
          </w:rPr>
          <w:instrText xml:space="preserve"> PAGEREF _Toc44366120 \h </w:instrText>
        </w:r>
        <w:r w:rsidR="00031BC4">
          <w:rPr>
            <w:noProof/>
            <w:webHidden/>
          </w:rPr>
        </w:r>
        <w:r w:rsidR="00031BC4">
          <w:rPr>
            <w:noProof/>
            <w:webHidden/>
          </w:rPr>
          <w:fldChar w:fldCharType="separate"/>
        </w:r>
        <w:r w:rsidR="00DD2E33">
          <w:rPr>
            <w:noProof/>
            <w:webHidden/>
          </w:rPr>
          <w:t>65</w:t>
        </w:r>
        <w:r w:rsidR="00031BC4">
          <w:rPr>
            <w:noProof/>
            <w:webHidden/>
          </w:rPr>
          <w:fldChar w:fldCharType="end"/>
        </w:r>
      </w:hyperlink>
    </w:p>
    <w:p w14:paraId="5CA8636D" w14:textId="5E9BDDF1"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21" w:history="1">
        <w:r w:rsidR="00031BC4" w:rsidRPr="00EE0023">
          <w:rPr>
            <w:rStyle w:val="Hyperlink"/>
            <w:noProof/>
          </w:rPr>
          <w:t>Table 2</w:t>
        </w:r>
        <w:r w:rsidR="00031BC4">
          <w:rPr>
            <w:noProof/>
            <w:webHidden/>
          </w:rPr>
          <w:tab/>
        </w:r>
        <w:r w:rsidR="00031BC4">
          <w:rPr>
            <w:noProof/>
            <w:webHidden/>
          </w:rPr>
          <w:fldChar w:fldCharType="begin"/>
        </w:r>
        <w:r w:rsidR="00031BC4">
          <w:rPr>
            <w:noProof/>
            <w:webHidden/>
          </w:rPr>
          <w:instrText xml:space="preserve"> PAGEREF _Toc44366121 \h </w:instrText>
        </w:r>
        <w:r w:rsidR="00031BC4">
          <w:rPr>
            <w:noProof/>
            <w:webHidden/>
          </w:rPr>
        </w:r>
        <w:r w:rsidR="00031BC4">
          <w:rPr>
            <w:noProof/>
            <w:webHidden/>
          </w:rPr>
          <w:fldChar w:fldCharType="separate"/>
        </w:r>
        <w:r w:rsidR="00DD2E33">
          <w:rPr>
            <w:noProof/>
            <w:webHidden/>
          </w:rPr>
          <w:t>75</w:t>
        </w:r>
        <w:r w:rsidR="00031BC4">
          <w:rPr>
            <w:noProof/>
            <w:webHidden/>
          </w:rPr>
          <w:fldChar w:fldCharType="end"/>
        </w:r>
      </w:hyperlink>
    </w:p>
    <w:p w14:paraId="42FB296F" w14:textId="7DB47286"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22" w:history="1">
        <w:r w:rsidR="00031BC4" w:rsidRPr="00EE0023">
          <w:rPr>
            <w:rStyle w:val="Hyperlink"/>
            <w:noProof/>
          </w:rPr>
          <w:t>Table 3</w:t>
        </w:r>
        <w:r w:rsidR="00031BC4">
          <w:rPr>
            <w:noProof/>
            <w:webHidden/>
          </w:rPr>
          <w:tab/>
        </w:r>
        <w:r w:rsidR="00031BC4">
          <w:rPr>
            <w:noProof/>
            <w:webHidden/>
          </w:rPr>
          <w:fldChar w:fldCharType="begin"/>
        </w:r>
        <w:r w:rsidR="00031BC4">
          <w:rPr>
            <w:noProof/>
            <w:webHidden/>
          </w:rPr>
          <w:instrText xml:space="preserve"> PAGEREF _Toc44366122 \h </w:instrText>
        </w:r>
        <w:r w:rsidR="00031BC4">
          <w:rPr>
            <w:noProof/>
            <w:webHidden/>
          </w:rPr>
        </w:r>
        <w:r w:rsidR="00031BC4">
          <w:rPr>
            <w:noProof/>
            <w:webHidden/>
          </w:rPr>
          <w:fldChar w:fldCharType="separate"/>
        </w:r>
        <w:r w:rsidR="00DD2E33">
          <w:rPr>
            <w:noProof/>
            <w:webHidden/>
          </w:rPr>
          <w:t>76</w:t>
        </w:r>
        <w:r w:rsidR="00031BC4">
          <w:rPr>
            <w:noProof/>
            <w:webHidden/>
          </w:rPr>
          <w:fldChar w:fldCharType="end"/>
        </w:r>
      </w:hyperlink>
    </w:p>
    <w:p w14:paraId="38716330" w14:textId="568FA69B" w:rsidR="00031BC4" w:rsidRDefault="00DE2FE4">
      <w:pPr>
        <w:pStyle w:val="TableofFigures"/>
        <w:tabs>
          <w:tab w:val="right" w:leader="dot" w:pos="9350"/>
        </w:tabs>
        <w:rPr>
          <w:rStyle w:val="Hyperlink"/>
          <w:noProof/>
        </w:rPr>
      </w:pPr>
      <w:hyperlink w:anchor="_Toc44366123" w:history="1">
        <w:r w:rsidR="00031BC4" w:rsidRPr="00EE0023">
          <w:rPr>
            <w:rStyle w:val="Hyperlink"/>
            <w:noProof/>
          </w:rPr>
          <w:t>Table 4</w:t>
        </w:r>
        <w:r w:rsidR="00031BC4">
          <w:rPr>
            <w:noProof/>
            <w:webHidden/>
          </w:rPr>
          <w:tab/>
        </w:r>
        <w:r w:rsidR="00031BC4">
          <w:rPr>
            <w:noProof/>
            <w:webHidden/>
          </w:rPr>
          <w:fldChar w:fldCharType="begin"/>
        </w:r>
        <w:r w:rsidR="00031BC4">
          <w:rPr>
            <w:noProof/>
            <w:webHidden/>
          </w:rPr>
          <w:instrText xml:space="preserve"> PAGEREF _Toc44366123 \h </w:instrText>
        </w:r>
        <w:r w:rsidR="00031BC4">
          <w:rPr>
            <w:noProof/>
            <w:webHidden/>
          </w:rPr>
        </w:r>
        <w:r w:rsidR="00031BC4">
          <w:rPr>
            <w:noProof/>
            <w:webHidden/>
          </w:rPr>
          <w:fldChar w:fldCharType="separate"/>
        </w:r>
        <w:r w:rsidR="00DD2E33">
          <w:rPr>
            <w:noProof/>
            <w:webHidden/>
          </w:rPr>
          <w:t>84</w:t>
        </w:r>
        <w:r w:rsidR="00031BC4">
          <w:rPr>
            <w:noProof/>
            <w:webHidden/>
          </w:rPr>
          <w:fldChar w:fldCharType="end"/>
        </w:r>
      </w:hyperlink>
    </w:p>
    <w:p w14:paraId="4B134233" w14:textId="4D6B39C4" w:rsidR="00031BC4" w:rsidRPr="00031BC4" w:rsidRDefault="00031BC4" w:rsidP="00031BC4">
      <w:pPr>
        <w:rPr>
          <w:noProof/>
        </w:rPr>
      </w:pPr>
      <w:r>
        <w:rPr>
          <w:noProof/>
        </w:rPr>
        <w:t>MANUSCRIPT III</w:t>
      </w:r>
    </w:p>
    <w:p w14:paraId="70F6F66F" w14:textId="31B0AFA4"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24" w:history="1">
        <w:r w:rsidR="00031BC4" w:rsidRPr="00EE0023">
          <w:rPr>
            <w:rStyle w:val="Hyperlink"/>
            <w:noProof/>
          </w:rPr>
          <w:t>Table 1</w:t>
        </w:r>
        <w:r w:rsidR="00031BC4">
          <w:rPr>
            <w:noProof/>
            <w:webHidden/>
          </w:rPr>
          <w:tab/>
        </w:r>
        <w:r w:rsidR="00031BC4">
          <w:rPr>
            <w:noProof/>
            <w:webHidden/>
          </w:rPr>
          <w:fldChar w:fldCharType="begin"/>
        </w:r>
        <w:r w:rsidR="00031BC4">
          <w:rPr>
            <w:noProof/>
            <w:webHidden/>
          </w:rPr>
          <w:instrText xml:space="preserve"> PAGEREF _Toc44366124 \h </w:instrText>
        </w:r>
        <w:r w:rsidR="00031BC4">
          <w:rPr>
            <w:noProof/>
            <w:webHidden/>
          </w:rPr>
        </w:r>
        <w:r w:rsidR="00031BC4">
          <w:rPr>
            <w:noProof/>
            <w:webHidden/>
          </w:rPr>
          <w:fldChar w:fldCharType="separate"/>
        </w:r>
        <w:r w:rsidR="00DD2E33">
          <w:rPr>
            <w:noProof/>
            <w:webHidden/>
          </w:rPr>
          <w:t>98</w:t>
        </w:r>
        <w:r w:rsidR="00031BC4">
          <w:rPr>
            <w:noProof/>
            <w:webHidden/>
          </w:rPr>
          <w:fldChar w:fldCharType="end"/>
        </w:r>
      </w:hyperlink>
    </w:p>
    <w:p w14:paraId="4D5903E6" w14:textId="08E75C0B"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25" w:history="1">
        <w:r w:rsidR="00031BC4" w:rsidRPr="00EE0023">
          <w:rPr>
            <w:rStyle w:val="Hyperlink"/>
            <w:noProof/>
          </w:rPr>
          <w:t>Table 2</w:t>
        </w:r>
        <w:r w:rsidR="00031BC4">
          <w:rPr>
            <w:noProof/>
            <w:webHidden/>
          </w:rPr>
          <w:tab/>
        </w:r>
        <w:r w:rsidR="00031BC4">
          <w:rPr>
            <w:noProof/>
            <w:webHidden/>
          </w:rPr>
          <w:fldChar w:fldCharType="begin"/>
        </w:r>
        <w:r w:rsidR="00031BC4">
          <w:rPr>
            <w:noProof/>
            <w:webHidden/>
          </w:rPr>
          <w:instrText xml:space="preserve"> PAGEREF _Toc44366125 \h </w:instrText>
        </w:r>
        <w:r w:rsidR="00031BC4">
          <w:rPr>
            <w:noProof/>
            <w:webHidden/>
          </w:rPr>
        </w:r>
        <w:r w:rsidR="00031BC4">
          <w:rPr>
            <w:noProof/>
            <w:webHidden/>
          </w:rPr>
          <w:fldChar w:fldCharType="separate"/>
        </w:r>
        <w:r w:rsidR="00DD2E33">
          <w:rPr>
            <w:noProof/>
            <w:webHidden/>
          </w:rPr>
          <w:t>107</w:t>
        </w:r>
        <w:r w:rsidR="00031BC4">
          <w:rPr>
            <w:noProof/>
            <w:webHidden/>
          </w:rPr>
          <w:fldChar w:fldCharType="end"/>
        </w:r>
      </w:hyperlink>
    </w:p>
    <w:p w14:paraId="6AF766E5" w14:textId="0007B12D"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26" w:history="1">
        <w:r w:rsidR="00031BC4" w:rsidRPr="00EE0023">
          <w:rPr>
            <w:rStyle w:val="Hyperlink"/>
            <w:noProof/>
          </w:rPr>
          <w:t>Table 3</w:t>
        </w:r>
        <w:r w:rsidR="00031BC4">
          <w:rPr>
            <w:noProof/>
            <w:webHidden/>
          </w:rPr>
          <w:tab/>
        </w:r>
        <w:r w:rsidR="00031BC4">
          <w:rPr>
            <w:noProof/>
            <w:webHidden/>
          </w:rPr>
          <w:fldChar w:fldCharType="begin"/>
        </w:r>
        <w:r w:rsidR="00031BC4">
          <w:rPr>
            <w:noProof/>
            <w:webHidden/>
          </w:rPr>
          <w:instrText xml:space="preserve"> PAGEREF _Toc44366126 \h </w:instrText>
        </w:r>
        <w:r w:rsidR="00031BC4">
          <w:rPr>
            <w:noProof/>
            <w:webHidden/>
          </w:rPr>
        </w:r>
        <w:r w:rsidR="00031BC4">
          <w:rPr>
            <w:noProof/>
            <w:webHidden/>
          </w:rPr>
          <w:fldChar w:fldCharType="separate"/>
        </w:r>
        <w:r w:rsidR="00DD2E33">
          <w:rPr>
            <w:noProof/>
            <w:webHidden/>
          </w:rPr>
          <w:t>121</w:t>
        </w:r>
        <w:r w:rsidR="00031BC4">
          <w:rPr>
            <w:noProof/>
            <w:webHidden/>
          </w:rPr>
          <w:fldChar w:fldCharType="end"/>
        </w:r>
      </w:hyperlink>
    </w:p>
    <w:p w14:paraId="30333EF3" w14:textId="19123B4D"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27" w:history="1">
        <w:r w:rsidR="00031BC4" w:rsidRPr="00EE0023">
          <w:rPr>
            <w:rStyle w:val="Hyperlink"/>
            <w:noProof/>
          </w:rPr>
          <w:t>Table 4</w:t>
        </w:r>
        <w:r w:rsidR="00031BC4">
          <w:rPr>
            <w:noProof/>
            <w:webHidden/>
          </w:rPr>
          <w:tab/>
        </w:r>
        <w:r w:rsidR="00031BC4">
          <w:rPr>
            <w:noProof/>
            <w:webHidden/>
          </w:rPr>
          <w:fldChar w:fldCharType="begin"/>
        </w:r>
        <w:r w:rsidR="00031BC4">
          <w:rPr>
            <w:noProof/>
            <w:webHidden/>
          </w:rPr>
          <w:instrText xml:space="preserve"> PAGEREF _Toc44366127 \h </w:instrText>
        </w:r>
        <w:r w:rsidR="00031BC4">
          <w:rPr>
            <w:noProof/>
            <w:webHidden/>
          </w:rPr>
        </w:r>
        <w:r w:rsidR="00031BC4">
          <w:rPr>
            <w:noProof/>
            <w:webHidden/>
          </w:rPr>
          <w:fldChar w:fldCharType="separate"/>
        </w:r>
        <w:r w:rsidR="00DD2E33">
          <w:rPr>
            <w:noProof/>
            <w:webHidden/>
          </w:rPr>
          <w:t>122</w:t>
        </w:r>
        <w:r w:rsidR="00031BC4">
          <w:rPr>
            <w:noProof/>
            <w:webHidden/>
          </w:rPr>
          <w:fldChar w:fldCharType="end"/>
        </w:r>
      </w:hyperlink>
    </w:p>
    <w:p w14:paraId="3902CF83" w14:textId="353B7090"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28" w:history="1">
        <w:r w:rsidR="00031BC4" w:rsidRPr="00EE0023">
          <w:rPr>
            <w:rStyle w:val="Hyperlink"/>
            <w:noProof/>
          </w:rPr>
          <w:t>Table 5</w:t>
        </w:r>
        <w:r w:rsidR="00031BC4">
          <w:rPr>
            <w:noProof/>
            <w:webHidden/>
          </w:rPr>
          <w:tab/>
        </w:r>
        <w:r w:rsidR="00031BC4">
          <w:rPr>
            <w:noProof/>
            <w:webHidden/>
          </w:rPr>
          <w:fldChar w:fldCharType="begin"/>
        </w:r>
        <w:r w:rsidR="00031BC4">
          <w:rPr>
            <w:noProof/>
            <w:webHidden/>
          </w:rPr>
          <w:instrText xml:space="preserve"> PAGEREF _Toc44366128 \h </w:instrText>
        </w:r>
        <w:r w:rsidR="00031BC4">
          <w:rPr>
            <w:noProof/>
            <w:webHidden/>
          </w:rPr>
        </w:r>
        <w:r w:rsidR="00031BC4">
          <w:rPr>
            <w:noProof/>
            <w:webHidden/>
          </w:rPr>
          <w:fldChar w:fldCharType="separate"/>
        </w:r>
        <w:r w:rsidR="00DD2E33">
          <w:rPr>
            <w:noProof/>
            <w:webHidden/>
          </w:rPr>
          <w:t>123</w:t>
        </w:r>
        <w:r w:rsidR="00031BC4">
          <w:rPr>
            <w:noProof/>
            <w:webHidden/>
          </w:rPr>
          <w:fldChar w:fldCharType="end"/>
        </w:r>
      </w:hyperlink>
    </w:p>
    <w:p w14:paraId="3BDFA942" w14:textId="4FAE1690"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29" w:history="1">
        <w:r w:rsidR="00031BC4" w:rsidRPr="00EE0023">
          <w:rPr>
            <w:rStyle w:val="Hyperlink"/>
            <w:noProof/>
          </w:rPr>
          <w:t>Table 6</w:t>
        </w:r>
        <w:r w:rsidR="00031BC4">
          <w:rPr>
            <w:noProof/>
            <w:webHidden/>
          </w:rPr>
          <w:tab/>
        </w:r>
        <w:r w:rsidR="00031BC4">
          <w:rPr>
            <w:noProof/>
            <w:webHidden/>
          </w:rPr>
          <w:fldChar w:fldCharType="begin"/>
        </w:r>
        <w:r w:rsidR="00031BC4">
          <w:rPr>
            <w:noProof/>
            <w:webHidden/>
          </w:rPr>
          <w:instrText xml:space="preserve"> PAGEREF _Toc44366129 \h </w:instrText>
        </w:r>
        <w:r w:rsidR="00031BC4">
          <w:rPr>
            <w:noProof/>
            <w:webHidden/>
          </w:rPr>
        </w:r>
        <w:r w:rsidR="00031BC4">
          <w:rPr>
            <w:noProof/>
            <w:webHidden/>
          </w:rPr>
          <w:fldChar w:fldCharType="separate"/>
        </w:r>
        <w:r w:rsidR="00DD2E33">
          <w:rPr>
            <w:noProof/>
            <w:webHidden/>
          </w:rPr>
          <w:t>124</w:t>
        </w:r>
        <w:r w:rsidR="00031BC4">
          <w:rPr>
            <w:noProof/>
            <w:webHidden/>
          </w:rPr>
          <w:fldChar w:fldCharType="end"/>
        </w:r>
      </w:hyperlink>
    </w:p>
    <w:p w14:paraId="0E6D2C8F" w14:textId="1622FFD2"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30" w:history="1">
        <w:r w:rsidR="00031BC4" w:rsidRPr="00EE0023">
          <w:rPr>
            <w:rStyle w:val="Hyperlink"/>
            <w:noProof/>
          </w:rPr>
          <w:t>Table 7</w:t>
        </w:r>
        <w:r w:rsidR="00031BC4">
          <w:rPr>
            <w:noProof/>
            <w:webHidden/>
          </w:rPr>
          <w:tab/>
        </w:r>
        <w:r w:rsidR="00031BC4">
          <w:rPr>
            <w:noProof/>
            <w:webHidden/>
          </w:rPr>
          <w:fldChar w:fldCharType="begin"/>
        </w:r>
        <w:r w:rsidR="00031BC4">
          <w:rPr>
            <w:noProof/>
            <w:webHidden/>
          </w:rPr>
          <w:instrText xml:space="preserve"> PAGEREF _Toc44366130 \h </w:instrText>
        </w:r>
        <w:r w:rsidR="00031BC4">
          <w:rPr>
            <w:noProof/>
            <w:webHidden/>
          </w:rPr>
        </w:r>
        <w:r w:rsidR="00031BC4">
          <w:rPr>
            <w:noProof/>
            <w:webHidden/>
          </w:rPr>
          <w:fldChar w:fldCharType="separate"/>
        </w:r>
        <w:r w:rsidR="00DD2E33">
          <w:rPr>
            <w:noProof/>
            <w:webHidden/>
          </w:rPr>
          <w:t>127</w:t>
        </w:r>
        <w:r w:rsidR="00031BC4">
          <w:rPr>
            <w:noProof/>
            <w:webHidden/>
          </w:rPr>
          <w:fldChar w:fldCharType="end"/>
        </w:r>
      </w:hyperlink>
    </w:p>
    <w:p w14:paraId="0D532CCA" w14:textId="03AAEBFB"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31" w:history="1">
        <w:r w:rsidR="00031BC4" w:rsidRPr="00EE0023">
          <w:rPr>
            <w:rStyle w:val="Hyperlink"/>
            <w:noProof/>
          </w:rPr>
          <w:t>Table 8</w:t>
        </w:r>
        <w:r w:rsidR="00031BC4">
          <w:rPr>
            <w:noProof/>
            <w:webHidden/>
          </w:rPr>
          <w:tab/>
        </w:r>
        <w:r w:rsidR="00031BC4">
          <w:rPr>
            <w:noProof/>
            <w:webHidden/>
          </w:rPr>
          <w:fldChar w:fldCharType="begin"/>
        </w:r>
        <w:r w:rsidR="00031BC4">
          <w:rPr>
            <w:noProof/>
            <w:webHidden/>
          </w:rPr>
          <w:instrText xml:space="preserve"> PAGEREF _Toc44366131 \h </w:instrText>
        </w:r>
        <w:r w:rsidR="00031BC4">
          <w:rPr>
            <w:noProof/>
            <w:webHidden/>
          </w:rPr>
        </w:r>
        <w:r w:rsidR="00031BC4">
          <w:rPr>
            <w:noProof/>
            <w:webHidden/>
          </w:rPr>
          <w:fldChar w:fldCharType="separate"/>
        </w:r>
        <w:r w:rsidR="00DD2E33">
          <w:rPr>
            <w:noProof/>
            <w:webHidden/>
          </w:rPr>
          <w:t>128</w:t>
        </w:r>
        <w:r w:rsidR="00031BC4">
          <w:rPr>
            <w:noProof/>
            <w:webHidden/>
          </w:rPr>
          <w:fldChar w:fldCharType="end"/>
        </w:r>
      </w:hyperlink>
    </w:p>
    <w:p w14:paraId="4AE9F5C2" w14:textId="57F38F9A" w:rsidR="00031BC4"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66132" w:history="1">
        <w:r w:rsidR="00031BC4" w:rsidRPr="00EE0023">
          <w:rPr>
            <w:rStyle w:val="Hyperlink"/>
            <w:noProof/>
          </w:rPr>
          <w:t>Table 9</w:t>
        </w:r>
        <w:r w:rsidR="00031BC4">
          <w:rPr>
            <w:noProof/>
            <w:webHidden/>
          </w:rPr>
          <w:tab/>
        </w:r>
        <w:r w:rsidR="00031BC4">
          <w:rPr>
            <w:noProof/>
            <w:webHidden/>
          </w:rPr>
          <w:fldChar w:fldCharType="begin"/>
        </w:r>
        <w:r w:rsidR="00031BC4">
          <w:rPr>
            <w:noProof/>
            <w:webHidden/>
          </w:rPr>
          <w:instrText xml:space="preserve"> PAGEREF _Toc44366132 \h </w:instrText>
        </w:r>
        <w:r w:rsidR="00031BC4">
          <w:rPr>
            <w:noProof/>
            <w:webHidden/>
          </w:rPr>
        </w:r>
        <w:r w:rsidR="00031BC4">
          <w:rPr>
            <w:noProof/>
            <w:webHidden/>
          </w:rPr>
          <w:fldChar w:fldCharType="separate"/>
        </w:r>
        <w:r w:rsidR="00DD2E33">
          <w:rPr>
            <w:noProof/>
            <w:webHidden/>
          </w:rPr>
          <w:t>130</w:t>
        </w:r>
        <w:r w:rsidR="00031BC4">
          <w:rPr>
            <w:noProof/>
            <w:webHidden/>
          </w:rPr>
          <w:fldChar w:fldCharType="end"/>
        </w:r>
      </w:hyperlink>
    </w:p>
    <w:p w14:paraId="7F0FBBCD" w14:textId="0C85EC0C" w:rsidR="003E7133" w:rsidRPr="003E7133" w:rsidRDefault="00B92D33" w:rsidP="00F661AD">
      <w:r>
        <w:fldChar w:fldCharType="end"/>
      </w:r>
    </w:p>
    <w:p w14:paraId="23512B68" w14:textId="77777777" w:rsidR="00615770" w:rsidRDefault="00615770" w:rsidP="005F61D8">
      <w:pPr>
        <w:spacing w:line="240" w:lineRule="auto"/>
        <w:jc w:val="both"/>
        <w:rPr>
          <w:sz w:val="28"/>
          <w:szCs w:val="28"/>
        </w:rPr>
      </w:pPr>
    </w:p>
    <w:p w14:paraId="7BFB0D45" w14:textId="77777777" w:rsidR="00615770" w:rsidRDefault="00615770" w:rsidP="00414008">
      <w:pPr>
        <w:spacing w:line="240" w:lineRule="auto"/>
        <w:rPr>
          <w:sz w:val="28"/>
          <w:szCs w:val="28"/>
        </w:rPr>
      </w:pPr>
    </w:p>
    <w:p w14:paraId="4A6BF8AE" w14:textId="77777777" w:rsidR="00414008" w:rsidRDefault="00414008" w:rsidP="00414008">
      <w:pPr>
        <w:spacing w:line="240" w:lineRule="auto"/>
        <w:rPr>
          <w:b/>
          <w:sz w:val="28"/>
          <w:szCs w:val="28"/>
        </w:rPr>
      </w:pPr>
    </w:p>
    <w:p w14:paraId="2B30190F" w14:textId="5A86C6A0" w:rsidR="002F4370" w:rsidRDefault="007E06A3" w:rsidP="002F4370">
      <w:pPr>
        <w:spacing w:line="240" w:lineRule="auto"/>
        <w:rPr>
          <w:b/>
          <w:sz w:val="28"/>
          <w:szCs w:val="28"/>
        </w:rPr>
      </w:pPr>
      <w:r>
        <w:rPr>
          <w:b/>
          <w:sz w:val="28"/>
          <w:szCs w:val="28"/>
        </w:rPr>
        <w:t xml:space="preserve"> </w:t>
      </w:r>
    </w:p>
    <w:p w14:paraId="6F3E12DD" w14:textId="77777777" w:rsidR="002F4370" w:rsidRDefault="002F4370" w:rsidP="002F4370">
      <w:pPr>
        <w:spacing w:line="240" w:lineRule="auto"/>
        <w:rPr>
          <w:b/>
          <w:sz w:val="28"/>
          <w:szCs w:val="28"/>
        </w:rPr>
      </w:pPr>
    </w:p>
    <w:p w14:paraId="5B03F60F" w14:textId="77777777" w:rsidR="007E06A3" w:rsidRDefault="007E06A3" w:rsidP="002F4370">
      <w:pPr>
        <w:jc w:val="both"/>
      </w:pPr>
    </w:p>
    <w:p w14:paraId="42037FD5" w14:textId="77777777" w:rsidR="007E06A3" w:rsidRDefault="007E06A3" w:rsidP="002F4370">
      <w:pPr>
        <w:jc w:val="both"/>
      </w:pPr>
    </w:p>
    <w:p w14:paraId="176A172A" w14:textId="2593E4B7" w:rsidR="007E06A3" w:rsidRDefault="00266C8C" w:rsidP="002F33E8">
      <w:pPr>
        <w:pStyle w:val="Heading1"/>
      </w:pPr>
      <w:r>
        <w:br w:type="page"/>
      </w:r>
      <w:bookmarkStart w:id="1" w:name="_Toc46265453"/>
      <w:r w:rsidR="00C32F4E">
        <w:lastRenderedPageBreak/>
        <w:t>Li</w:t>
      </w:r>
      <w:r w:rsidR="00920C9C" w:rsidRPr="00920C9C">
        <w:t>st of Figures</w:t>
      </w:r>
      <w:bookmarkEnd w:id="1"/>
      <w:r w:rsidR="00920C9C" w:rsidRPr="00920C9C">
        <w:t xml:space="preserve"> </w:t>
      </w:r>
    </w:p>
    <w:p w14:paraId="35BA0DCF" w14:textId="348A4D77" w:rsidR="00031BC4" w:rsidRPr="00031BC4" w:rsidRDefault="00031BC4" w:rsidP="00031BC4">
      <w:r>
        <w:t xml:space="preserve">MANUSCRIPT I </w:t>
      </w:r>
    </w:p>
    <w:p w14:paraId="4E0E9BAE" w14:textId="41F29983" w:rsidR="001B072F" w:rsidRDefault="00B70809">
      <w:pPr>
        <w:pStyle w:val="TableofFigures"/>
        <w:tabs>
          <w:tab w:val="right" w:leader="dot" w:pos="9350"/>
        </w:tabs>
        <w:rPr>
          <w:rFonts w:asciiTheme="minorHAnsi" w:eastAsiaTheme="minorEastAsia" w:hAnsiTheme="minorHAnsi" w:cstheme="minorBidi"/>
          <w:noProof/>
          <w:color w:val="auto"/>
          <w:sz w:val="22"/>
          <w:szCs w:val="22"/>
        </w:rPr>
      </w:pPr>
      <w:r>
        <w:fldChar w:fldCharType="begin"/>
      </w:r>
      <w:r>
        <w:instrText xml:space="preserve"> TOC \f F \h \z \c "Figure" </w:instrText>
      </w:r>
      <w:r>
        <w:fldChar w:fldCharType="separate"/>
      </w:r>
      <w:hyperlink w:anchor="_Toc44346048" w:history="1">
        <w:r w:rsidR="001B072F" w:rsidRPr="008C4E0B">
          <w:rPr>
            <w:rStyle w:val="Hyperlink"/>
            <w:noProof/>
          </w:rPr>
          <w:t>Figure 1</w:t>
        </w:r>
        <w:r w:rsidR="001B072F">
          <w:rPr>
            <w:noProof/>
            <w:webHidden/>
          </w:rPr>
          <w:tab/>
        </w:r>
        <w:r w:rsidR="001B072F">
          <w:rPr>
            <w:noProof/>
            <w:webHidden/>
          </w:rPr>
          <w:fldChar w:fldCharType="begin"/>
        </w:r>
        <w:r w:rsidR="001B072F">
          <w:rPr>
            <w:noProof/>
            <w:webHidden/>
          </w:rPr>
          <w:instrText xml:space="preserve"> PAGEREF _Toc44346048 \h </w:instrText>
        </w:r>
        <w:r w:rsidR="001B072F">
          <w:rPr>
            <w:noProof/>
            <w:webHidden/>
          </w:rPr>
        </w:r>
        <w:r w:rsidR="001B072F">
          <w:rPr>
            <w:noProof/>
            <w:webHidden/>
          </w:rPr>
          <w:fldChar w:fldCharType="separate"/>
        </w:r>
        <w:r w:rsidR="00DD2E33">
          <w:rPr>
            <w:noProof/>
            <w:webHidden/>
          </w:rPr>
          <w:t>16</w:t>
        </w:r>
        <w:r w:rsidR="001B072F">
          <w:rPr>
            <w:noProof/>
            <w:webHidden/>
          </w:rPr>
          <w:fldChar w:fldCharType="end"/>
        </w:r>
      </w:hyperlink>
    </w:p>
    <w:p w14:paraId="21774A10" w14:textId="5C15CD43" w:rsidR="001B072F"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46049" w:history="1">
        <w:r w:rsidR="001B072F" w:rsidRPr="008C4E0B">
          <w:rPr>
            <w:rStyle w:val="Hyperlink"/>
            <w:noProof/>
          </w:rPr>
          <w:t>Figure 2</w:t>
        </w:r>
        <w:r w:rsidR="001B072F">
          <w:rPr>
            <w:noProof/>
            <w:webHidden/>
          </w:rPr>
          <w:tab/>
        </w:r>
        <w:r w:rsidR="001B072F">
          <w:rPr>
            <w:noProof/>
            <w:webHidden/>
          </w:rPr>
          <w:fldChar w:fldCharType="begin"/>
        </w:r>
        <w:r w:rsidR="001B072F">
          <w:rPr>
            <w:noProof/>
            <w:webHidden/>
          </w:rPr>
          <w:instrText xml:space="preserve"> PAGEREF _Toc44346049 \h </w:instrText>
        </w:r>
        <w:r w:rsidR="001B072F">
          <w:rPr>
            <w:noProof/>
            <w:webHidden/>
          </w:rPr>
        </w:r>
        <w:r w:rsidR="001B072F">
          <w:rPr>
            <w:noProof/>
            <w:webHidden/>
          </w:rPr>
          <w:fldChar w:fldCharType="separate"/>
        </w:r>
        <w:r w:rsidR="00DD2E33">
          <w:rPr>
            <w:noProof/>
            <w:webHidden/>
          </w:rPr>
          <w:t>22</w:t>
        </w:r>
        <w:r w:rsidR="001B072F">
          <w:rPr>
            <w:noProof/>
            <w:webHidden/>
          </w:rPr>
          <w:fldChar w:fldCharType="end"/>
        </w:r>
      </w:hyperlink>
    </w:p>
    <w:p w14:paraId="78611835" w14:textId="0A227B0A" w:rsidR="001B072F" w:rsidRDefault="00DE2FE4">
      <w:pPr>
        <w:pStyle w:val="TableofFigures"/>
        <w:tabs>
          <w:tab w:val="right" w:leader="dot" w:pos="9350"/>
        </w:tabs>
        <w:rPr>
          <w:rStyle w:val="Hyperlink"/>
          <w:noProof/>
        </w:rPr>
      </w:pPr>
      <w:hyperlink w:anchor="_Toc44346050" w:history="1">
        <w:r w:rsidR="001B072F" w:rsidRPr="008C4E0B">
          <w:rPr>
            <w:rStyle w:val="Hyperlink"/>
            <w:noProof/>
          </w:rPr>
          <w:t>Figure 3</w:t>
        </w:r>
        <w:r w:rsidR="001B072F">
          <w:rPr>
            <w:noProof/>
            <w:webHidden/>
          </w:rPr>
          <w:tab/>
        </w:r>
        <w:r w:rsidR="001B072F">
          <w:rPr>
            <w:noProof/>
            <w:webHidden/>
          </w:rPr>
          <w:fldChar w:fldCharType="begin"/>
        </w:r>
        <w:r w:rsidR="001B072F">
          <w:rPr>
            <w:noProof/>
            <w:webHidden/>
          </w:rPr>
          <w:instrText xml:space="preserve"> PAGEREF _Toc44346050 \h </w:instrText>
        </w:r>
        <w:r w:rsidR="001B072F">
          <w:rPr>
            <w:noProof/>
            <w:webHidden/>
          </w:rPr>
        </w:r>
        <w:r w:rsidR="001B072F">
          <w:rPr>
            <w:noProof/>
            <w:webHidden/>
          </w:rPr>
          <w:fldChar w:fldCharType="separate"/>
        </w:r>
        <w:r w:rsidR="00DD2E33">
          <w:rPr>
            <w:noProof/>
            <w:webHidden/>
          </w:rPr>
          <w:t>26</w:t>
        </w:r>
        <w:r w:rsidR="001B072F">
          <w:rPr>
            <w:noProof/>
            <w:webHidden/>
          </w:rPr>
          <w:fldChar w:fldCharType="end"/>
        </w:r>
      </w:hyperlink>
    </w:p>
    <w:p w14:paraId="4E29340B" w14:textId="544DC89C" w:rsidR="00031BC4" w:rsidRPr="00031BC4" w:rsidRDefault="00031BC4" w:rsidP="00031BC4">
      <w:pPr>
        <w:rPr>
          <w:noProof/>
        </w:rPr>
      </w:pPr>
      <w:r>
        <w:rPr>
          <w:noProof/>
        </w:rPr>
        <w:t>MANUSCRIPT II</w:t>
      </w:r>
    </w:p>
    <w:p w14:paraId="3FEAA5A3" w14:textId="531856F7" w:rsidR="001B072F" w:rsidRDefault="00DE2FE4">
      <w:pPr>
        <w:pStyle w:val="TableofFigures"/>
        <w:tabs>
          <w:tab w:val="right" w:leader="dot" w:pos="9350"/>
        </w:tabs>
        <w:rPr>
          <w:rStyle w:val="Hyperlink"/>
          <w:noProof/>
        </w:rPr>
      </w:pPr>
      <w:hyperlink w:anchor="_Toc44346051" w:history="1">
        <w:r w:rsidR="001B072F" w:rsidRPr="008C4E0B">
          <w:rPr>
            <w:rStyle w:val="Hyperlink"/>
            <w:noProof/>
          </w:rPr>
          <w:t>Figure 1</w:t>
        </w:r>
        <w:r w:rsidR="001B072F">
          <w:rPr>
            <w:noProof/>
            <w:webHidden/>
          </w:rPr>
          <w:tab/>
        </w:r>
        <w:r w:rsidR="001B072F">
          <w:rPr>
            <w:noProof/>
            <w:webHidden/>
          </w:rPr>
          <w:fldChar w:fldCharType="begin"/>
        </w:r>
        <w:r w:rsidR="001B072F">
          <w:rPr>
            <w:noProof/>
            <w:webHidden/>
          </w:rPr>
          <w:instrText xml:space="preserve"> PAGEREF _Toc44346051 \h </w:instrText>
        </w:r>
        <w:r w:rsidR="001B072F">
          <w:rPr>
            <w:noProof/>
            <w:webHidden/>
          </w:rPr>
        </w:r>
        <w:r w:rsidR="001B072F">
          <w:rPr>
            <w:noProof/>
            <w:webHidden/>
          </w:rPr>
          <w:fldChar w:fldCharType="separate"/>
        </w:r>
        <w:r w:rsidR="00DD2E33">
          <w:rPr>
            <w:noProof/>
            <w:webHidden/>
          </w:rPr>
          <w:t>68</w:t>
        </w:r>
        <w:r w:rsidR="001B072F">
          <w:rPr>
            <w:noProof/>
            <w:webHidden/>
          </w:rPr>
          <w:fldChar w:fldCharType="end"/>
        </w:r>
      </w:hyperlink>
    </w:p>
    <w:p w14:paraId="2F3D7AA4" w14:textId="0EAD3D29" w:rsidR="00031BC4" w:rsidRPr="00031BC4" w:rsidRDefault="00031BC4" w:rsidP="00031BC4">
      <w:pPr>
        <w:rPr>
          <w:noProof/>
        </w:rPr>
      </w:pPr>
      <w:r>
        <w:rPr>
          <w:noProof/>
        </w:rPr>
        <w:t xml:space="preserve">MANUSCRIPT III </w:t>
      </w:r>
    </w:p>
    <w:p w14:paraId="27E125C6" w14:textId="4FF99605" w:rsidR="001B072F"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46052" w:history="1">
        <w:r w:rsidR="001B072F" w:rsidRPr="008C4E0B">
          <w:rPr>
            <w:rStyle w:val="Hyperlink"/>
            <w:noProof/>
          </w:rPr>
          <w:t>Figure 1</w:t>
        </w:r>
        <w:r w:rsidR="001B072F">
          <w:rPr>
            <w:noProof/>
            <w:webHidden/>
          </w:rPr>
          <w:tab/>
        </w:r>
        <w:r w:rsidR="001B072F">
          <w:rPr>
            <w:noProof/>
            <w:webHidden/>
          </w:rPr>
          <w:fldChar w:fldCharType="begin"/>
        </w:r>
        <w:r w:rsidR="001B072F">
          <w:rPr>
            <w:noProof/>
            <w:webHidden/>
          </w:rPr>
          <w:instrText xml:space="preserve"> PAGEREF _Toc44346052 \h </w:instrText>
        </w:r>
        <w:r w:rsidR="001B072F">
          <w:rPr>
            <w:noProof/>
            <w:webHidden/>
          </w:rPr>
        </w:r>
        <w:r w:rsidR="001B072F">
          <w:rPr>
            <w:noProof/>
            <w:webHidden/>
          </w:rPr>
          <w:fldChar w:fldCharType="separate"/>
        </w:r>
        <w:r w:rsidR="00DD2E33">
          <w:rPr>
            <w:noProof/>
            <w:webHidden/>
          </w:rPr>
          <w:t>124</w:t>
        </w:r>
        <w:r w:rsidR="001B072F">
          <w:rPr>
            <w:noProof/>
            <w:webHidden/>
          </w:rPr>
          <w:fldChar w:fldCharType="end"/>
        </w:r>
      </w:hyperlink>
    </w:p>
    <w:p w14:paraId="0372E251" w14:textId="7255B23C" w:rsidR="001B072F" w:rsidRDefault="00DE2FE4">
      <w:pPr>
        <w:pStyle w:val="TableofFigures"/>
        <w:tabs>
          <w:tab w:val="right" w:leader="dot" w:pos="9350"/>
        </w:tabs>
        <w:rPr>
          <w:rFonts w:asciiTheme="minorHAnsi" w:eastAsiaTheme="minorEastAsia" w:hAnsiTheme="minorHAnsi" w:cstheme="minorBidi"/>
          <w:noProof/>
          <w:color w:val="auto"/>
          <w:sz w:val="22"/>
          <w:szCs w:val="22"/>
        </w:rPr>
      </w:pPr>
      <w:hyperlink w:anchor="_Toc44346053" w:history="1">
        <w:r w:rsidR="001B072F" w:rsidRPr="008C4E0B">
          <w:rPr>
            <w:rStyle w:val="Hyperlink"/>
            <w:noProof/>
          </w:rPr>
          <w:t>Figure 2</w:t>
        </w:r>
        <w:r w:rsidR="001B072F">
          <w:rPr>
            <w:noProof/>
            <w:webHidden/>
          </w:rPr>
          <w:tab/>
        </w:r>
        <w:r w:rsidR="001B072F">
          <w:rPr>
            <w:noProof/>
            <w:webHidden/>
          </w:rPr>
          <w:fldChar w:fldCharType="begin"/>
        </w:r>
        <w:r w:rsidR="001B072F">
          <w:rPr>
            <w:noProof/>
            <w:webHidden/>
          </w:rPr>
          <w:instrText xml:space="preserve"> PAGEREF _Toc44346053 \h </w:instrText>
        </w:r>
        <w:r w:rsidR="001B072F">
          <w:rPr>
            <w:noProof/>
            <w:webHidden/>
          </w:rPr>
        </w:r>
        <w:r w:rsidR="001B072F">
          <w:rPr>
            <w:noProof/>
            <w:webHidden/>
          </w:rPr>
          <w:fldChar w:fldCharType="separate"/>
        </w:r>
        <w:r w:rsidR="00DD2E33">
          <w:rPr>
            <w:noProof/>
            <w:webHidden/>
          </w:rPr>
          <w:t>128</w:t>
        </w:r>
        <w:r w:rsidR="001B072F">
          <w:rPr>
            <w:noProof/>
            <w:webHidden/>
          </w:rPr>
          <w:fldChar w:fldCharType="end"/>
        </w:r>
      </w:hyperlink>
    </w:p>
    <w:p w14:paraId="5C07602D" w14:textId="6960F88B" w:rsidR="007E06A3" w:rsidRDefault="00B70809" w:rsidP="002F4370">
      <w:pPr>
        <w:jc w:val="both"/>
      </w:pPr>
      <w:r>
        <w:fldChar w:fldCharType="end"/>
      </w:r>
    </w:p>
    <w:p w14:paraId="220187D9" w14:textId="77777777" w:rsidR="007E06A3" w:rsidRDefault="007E06A3" w:rsidP="002F4370">
      <w:pPr>
        <w:jc w:val="both"/>
      </w:pPr>
    </w:p>
    <w:p w14:paraId="2FC56015" w14:textId="77777777" w:rsidR="007E06A3" w:rsidRDefault="007E06A3" w:rsidP="002F4370">
      <w:pPr>
        <w:jc w:val="both"/>
      </w:pPr>
    </w:p>
    <w:p w14:paraId="4203CDB6" w14:textId="77777777" w:rsidR="007E06A3" w:rsidRDefault="007E06A3" w:rsidP="002F4370">
      <w:pPr>
        <w:jc w:val="both"/>
      </w:pPr>
    </w:p>
    <w:p w14:paraId="26F78EEB" w14:textId="77777777" w:rsidR="00887322" w:rsidRDefault="00887322" w:rsidP="002F4370">
      <w:pPr>
        <w:jc w:val="both"/>
      </w:pPr>
    </w:p>
    <w:p w14:paraId="02329202" w14:textId="77777777" w:rsidR="00887322" w:rsidRDefault="00887322" w:rsidP="002F4370">
      <w:pPr>
        <w:jc w:val="both"/>
      </w:pPr>
    </w:p>
    <w:p w14:paraId="691818E3" w14:textId="77777777" w:rsidR="00887322" w:rsidRDefault="00887322" w:rsidP="002F4370">
      <w:pPr>
        <w:jc w:val="both"/>
      </w:pPr>
    </w:p>
    <w:p w14:paraId="5C7FA537" w14:textId="77777777" w:rsidR="00887322" w:rsidRDefault="00887322" w:rsidP="002F4370">
      <w:pPr>
        <w:jc w:val="both"/>
      </w:pPr>
    </w:p>
    <w:p w14:paraId="27F21D47" w14:textId="77777777" w:rsidR="00887322" w:rsidRDefault="00887322" w:rsidP="002F4370">
      <w:pPr>
        <w:jc w:val="both"/>
      </w:pPr>
    </w:p>
    <w:p w14:paraId="0E59EEA9" w14:textId="77777777" w:rsidR="00887322" w:rsidRDefault="00887322" w:rsidP="002F4370">
      <w:pPr>
        <w:jc w:val="both"/>
      </w:pPr>
    </w:p>
    <w:p w14:paraId="4F0B00E5" w14:textId="77777777" w:rsidR="005F61D8" w:rsidRDefault="005F61D8" w:rsidP="009974B7">
      <w:pPr>
        <w:pStyle w:val="Heading1"/>
      </w:pPr>
    </w:p>
    <w:p w14:paraId="0208D4E5" w14:textId="77777777" w:rsidR="00CC5FAB" w:rsidRDefault="00CC5FAB" w:rsidP="009974B7">
      <w:pPr>
        <w:pStyle w:val="Heading1"/>
      </w:pPr>
    </w:p>
    <w:p w14:paraId="401FCFF8" w14:textId="77777777" w:rsidR="00CC5FAB" w:rsidRDefault="00CC5FAB" w:rsidP="009974B7">
      <w:pPr>
        <w:pStyle w:val="Heading1"/>
      </w:pPr>
    </w:p>
    <w:p w14:paraId="6A083E80" w14:textId="77777777" w:rsidR="00920C9C" w:rsidRDefault="00920C9C" w:rsidP="009974B7">
      <w:pPr>
        <w:pStyle w:val="Heading1"/>
      </w:pPr>
    </w:p>
    <w:p w14:paraId="1CB1B0E1" w14:textId="79B1D6ED" w:rsidR="00304CCF" w:rsidRDefault="00304CCF" w:rsidP="009974B7">
      <w:pPr>
        <w:pStyle w:val="Heading1"/>
      </w:pPr>
      <w:bookmarkStart w:id="2" w:name="_Toc46265454"/>
      <w:r>
        <w:lastRenderedPageBreak/>
        <w:t>PROLOGUE</w:t>
      </w:r>
      <w:bookmarkEnd w:id="2"/>
    </w:p>
    <w:p w14:paraId="67DB6EEB" w14:textId="77777777" w:rsidR="00304CCF" w:rsidRDefault="00304CCF" w:rsidP="00304CCF">
      <w:pPr>
        <w:spacing w:line="240" w:lineRule="auto"/>
        <w:jc w:val="center"/>
        <w:rPr>
          <w:sz w:val="28"/>
          <w:szCs w:val="28"/>
        </w:rPr>
      </w:pPr>
    </w:p>
    <w:p w14:paraId="683B1CA3" w14:textId="163F31D2" w:rsidR="00304CCF" w:rsidRPr="00EA3D40" w:rsidRDefault="00304CCF" w:rsidP="00304CCF">
      <w:pPr>
        <w:rPr>
          <w:i/>
          <w:iCs/>
        </w:rPr>
      </w:pPr>
      <w:r>
        <w:rPr>
          <w:sz w:val="28"/>
          <w:szCs w:val="28"/>
        </w:rPr>
        <w:tab/>
      </w:r>
      <w:r w:rsidRPr="001F5C3F">
        <w:t xml:space="preserve">This dissertation adheres to a journal-ready format. Three journal articles prepared for submission to refereed journals comprise the first part of </w:t>
      </w:r>
      <w:r w:rsidR="007A5A24">
        <w:t xml:space="preserve">the dissertation. Manuscript I, </w:t>
      </w:r>
      <w:r w:rsidR="00F315A5" w:rsidRPr="00F315A5">
        <w:t xml:space="preserve">The Jingle-Jangle of Approaches to Learning: A Construct </w:t>
      </w:r>
      <w:proofErr w:type="gramStart"/>
      <w:r w:rsidR="00F315A5" w:rsidRPr="00F315A5">
        <w:t>With</w:t>
      </w:r>
      <w:proofErr w:type="gramEnd"/>
      <w:r w:rsidR="00F315A5" w:rsidRPr="00F315A5">
        <w:t xml:space="preserve"> Too Many Names</w:t>
      </w:r>
      <w:r w:rsidR="00EA3D40">
        <w:t>,</w:t>
      </w:r>
      <w:r w:rsidR="00F315A5" w:rsidRPr="00F315A5">
        <w:t xml:space="preserve"> </w:t>
      </w:r>
      <w:r w:rsidRPr="001F5C3F">
        <w:t>is prepared for the journal</w:t>
      </w:r>
      <w:r w:rsidR="007A5A24">
        <w:t xml:space="preserve"> </w:t>
      </w:r>
      <w:r w:rsidR="00F315A5" w:rsidRPr="00EA3D40">
        <w:rPr>
          <w:i/>
          <w:iCs/>
        </w:rPr>
        <w:t>Review of Educational Research</w:t>
      </w:r>
      <w:r w:rsidR="007A5A24">
        <w:t>.</w:t>
      </w:r>
      <w:r w:rsidR="007C1CBE">
        <w:t xml:space="preserve"> </w:t>
      </w:r>
      <w:r w:rsidR="007A5A24">
        <w:t>M</w:t>
      </w:r>
      <w:r w:rsidRPr="001F5C3F">
        <w:t>anuscript II,</w:t>
      </w:r>
      <w:r w:rsidR="001B072F" w:rsidRPr="001B072F">
        <w:t xml:space="preserve"> </w:t>
      </w:r>
      <w:r w:rsidR="001B072F">
        <w:t>Exploration and Dramatizing: Theoretical Foundations for the Development of Approaches to Learning through play is</w:t>
      </w:r>
      <w:r w:rsidR="001B072F" w:rsidRPr="001F5C3F">
        <w:t xml:space="preserve"> prepared for the journal</w:t>
      </w:r>
      <w:r w:rsidR="001B072F">
        <w:t xml:space="preserve">, </w:t>
      </w:r>
      <w:r w:rsidR="001B072F" w:rsidRPr="00EA3D40">
        <w:rPr>
          <w:i/>
          <w:iCs/>
        </w:rPr>
        <w:t>American Journal of Play</w:t>
      </w:r>
      <w:r w:rsidR="00B73EDE">
        <w:rPr>
          <w:i/>
          <w:iCs/>
        </w:rPr>
        <w:t xml:space="preserve">. </w:t>
      </w:r>
      <w:r w:rsidRPr="001F5C3F">
        <w:t xml:space="preserve">Manuscript III, </w:t>
      </w:r>
      <w:r w:rsidR="001B072F">
        <w:t xml:space="preserve">Profiles of Adaptive Magic: Children’s Approaches to Learning </w:t>
      </w:r>
      <w:r w:rsidR="001B072F" w:rsidRPr="001F5C3F">
        <w:t>is prepared for the journal</w:t>
      </w:r>
      <w:r w:rsidR="001B072F" w:rsidRPr="00EA3D40">
        <w:rPr>
          <w:i/>
          <w:iCs/>
        </w:rPr>
        <w:t>, Early Education and Development</w:t>
      </w:r>
      <w:r w:rsidR="0064081B" w:rsidRPr="00EA3D40">
        <w:rPr>
          <w:i/>
          <w:iCs/>
        </w:rPr>
        <w:t>.</w:t>
      </w:r>
      <w:r w:rsidR="007C1CBE">
        <w:rPr>
          <w:i/>
          <w:iCs/>
        </w:rPr>
        <w:t xml:space="preserve"> </w:t>
      </w:r>
    </w:p>
    <w:p w14:paraId="3EC68F4D" w14:textId="77777777" w:rsidR="009C1B83" w:rsidRDefault="009C1B83">
      <w:pPr>
        <w:rPr>
          <w:sz w:val="28"/>
          <w:szCs w:val="28"/>
        </w:rPr>
      </w:pPr>
      <w:r>
        <w:rPr>
          <w:sz w:val="28"/>
          <w:szCs w:val="28"/>
        </w:rPr>
        <w:br w:type="page"/>
      </w:r>
    </w:p>
    <w:p w14:paraId="62746100" w14:textId="77777777" w:rsidR="00304CCF" w:rsidRPr="00B73EDE" w:rsidRDefault="009B0AA5" w:rsidP="00B73EDE">
      <w:pPr>
        <w:pStyle w:val="Heading1"/>
        <w:rPr>
          <w:b w:val="0"/>
          <w:bCs/>
        </w:rPr>
      </w:pPr>
      <w:bookmarkStart w:id="3" w:name="_Toc46265455"/>
      <w:r w:rsidRPr="00B73EDE">
        <w:rPr>
          <w:b w:val="0"/>
          <w:bCs/>
        </w:rPr>
        <w:lastRenderedPageBreak/>
        <w:t>Dissertation Abstract</w:t>
      </w:r>
      <w:bookmarkEnd w:id="3"/>
    </w:p>
    <w:p w14:paraId="5B85BDD0" w14:textId="141600D3" w:rsidR="00031DA5" w:rsidRPr="0018337E" w:rsidRDefault="00903CE8" w:rsidP="00497BF4">
      <w:pPr>
        <w:pStyle w:val="DTLEvel1"/>
        <w:contextualSpacing/>
        <w:jc w:val="left"/>
        <w:rPr>
          <w:b w:val="0"/>
          <w:bCs/>
        </w:rPr>
      </w:pPr>
      <w:r>
        <w:rPr>
          <w:b w:val="0"/>
          <w:bCs/>
        </w:rPr>
        <w:t xml:space="preserve">Often cited </w:t>
      </w:r>
      <w:r w:rsidR="00406F99">
        <w:rPr>
          <w:b w:val="0"/>
          <w:bCs/>
        </w:rPr>
        <w:t xml:space="preserve">as a key school readiness indicator, </w:t>
      </w:r>
      <w:r w:rsidR="008A4491">
        <w:rPr>
          <w:b w:val="0"/>
          <w:bCs/>
        </w:rPr>
        <w:t>Approaches to Learning</w:t>
      </w:r>
      <w:r w:rsidR="00406F99">
        <w:rPr>
          <w:b w:val="0"/>
          <w:bCs/>
        </w:rPr>
        <w:t xml:space="preserve"> (AtL)</w:t>
      </w:r>
      <w:r w:rsidR="008A4491">
        <w:rPr>
          <w:b w:val="0"/>
          <w:bCs/>
        </w:rPr>
        <w:t xml:space="preserve"> </w:t>
      </w:r>
      <w:r w:rsidR="008E72FB">
        <w:rPr>
          <w:b w:val="0"/>
          <w:bCs/>
        </w:rPr>
        <w:t xml:space="preserve">includes a wide variety of dispositions, behaviors, and characteristics such as curiosity, initiative, cooperation, attention, persistence, and frustration tolerance. </w:t>
      </w:r>
      <w:r w:rsidR="00EF1FD1">
        <w:rPr>
          <w:b w:val="0"/>
          <w:bCs/>
        </w:rPr>
        <w:t>C</w:t>
      </w:r>
      <w:r w:rsidR="008A4491">
        <w:rPr>
          <w:b w:val="0"/>
          <w:bCs/>
        </w:rPr>
        <w:t xml:space="preserve">hildren with AtL may interact more </w:t>
      </w:r>
      <w:r w:rsidR="00406F99">
        <w:rPr>
          <w:b w:val="0"/>
          <w:bCs/>
        </w:rPr>
        <w:t xml:space="preserve">positively </w:t>
      </w:r>
      <w:r w:rsidR="008A4491">
        <w:rPr>
          <w:b w:val="0"/>
          <w:bCs/>
        </w:rPr>
        <w:t xml:space="preserve">with teachers or may be able to sustain attention and focus during interactions, which increases the likelihood that </w:t>
      </w:r>
      <w:r w:rsidR="00406F99">
        <w:rPr>
          <w:b w:val="0"/>
          <w:bCs/>
        </w:rPr>
        <w:t xml:space="preserve">they </w:t>
      </w:r>
      <w:r w:rsidR="008A4491">
        <w:rPr>
          <w:b w:val="0"/>
          <w:bCs/>
        </w:rPr>
        <w:t>will learn from these interactions. Nevertheless, the construct of AtL suffers from a lack of conceptual and measurement clarity related to its use as an umbrella construct</w:t>
      </w:r>
      <w:r w:rsidR="008E72FB">
        <w:rPr>
          <w:b w:val="0"/>
          <w:bCs/>
        </w:rPr>
        <w:t>.</w:t>
      </w:r>
      <w:r w:rsidR="00406F99">
        <w:rPr>
          <w:b w:val="0"/>
          <w:bCs/>
        </w:rPr>
        <w:t xml:space="preserve"> The aims of this study were to explore measurement issues related to AtL, examine how play supports the development of AtL, and to investigate profiles of AtL among a group of children. </w:t>
      </w:r>
      <w:r w:rsidR="009156A7">
        <w:rPr>
          <w:b w:val="0"/>
          <w:bCs/>
        </w:rPr>
        <w:t xml:space="preserve">Considering this, </w:t>
      </w:r>
      <w:r w:rsidR="008E72FB">
        <w:rPr>
          <w:b w:val="0"/>
          <w:bCs/>
        </w:rPr>
        <w:t xml:space="preserve">a careful review of the literature related to AtL </w:t>
      </w:r>
      <w:r w:rsidR="00406F99">
        <w:rPr>
          <w:b w:val="0"/>
          <w:bCs/>
        </w:rPr>
        <w:t>wa</w:t>
      </w:r>
      <w:r w:rsidR="008E72FB">
        <w:rPr>
          <w:b w:val="0"/>
          <w:bCs/>
        </w:rPr>
        <w:t xml:space="preserve">s presented, including the ways in which the construct has been termed, operationalized, and measured. Using </w:t>
      </w:r>
      <w:r w:rsidR="001B072F">
        <w:rPr>
          <w:b w:val="0"/>
          <w:bCs/>
        </w:rPr>
        <w:t xml:space="preserve">a newly designed conceptual framework, </w:t>
      </w:r>
      <w:r w:rsidR="008E72FB">
        <w:rPr>
          <w:b w:val="0"/>
          <w:bCs/>
        </w:rPr>
        <w:t>studie</w:t>
      </w:r>
      <w:r w:rsidR="00406F99">
        <w:rPr>
          <w:b w:val="0"/>
          <w:bCs/>
        </w:rPr>
        <w:t>d</w:t>
      </w:r>
      <w:r w:rsidR="008E72FB">
        <w:rPr>
          <w:b w:val="0"/>
          <w:bCs/>
        </w:rPr>
        <w:t xml:space="preserve"> </w:t>
      </w:r>
      <w:r w:rsidR="00406F99">
        <w:rPr>
          <w:b w:val="0"/>
          <w:bCs/>
        </w:rPr>
        <w:t>wer</w:t>
      </w:r>
      <w:r w:rsidR="008E72FB">
        <w:rPr>
          <w:b w:val="0"/>
          <w:bCs/>
        </w:rPr>
        <w:t>e re-examined to understand</w:t>
      </w:r>
      <w:r w:rsidR="00752820">
        <w:rPr>
          <w:b w:val="0"/>
          <w:bCs/>
        </w:rPr>
        <w:t xml:space="preserve"> measurement issues related to AtL. </w:t>
      </w:r>
      <w:r w:rsidR="008E72FB">
        <w:rPr>
          <w:b w:val="0"/>
          <w:bCs/>
        </w:rPr>
        <w:t xml:space="preserve">Next, </w:t>
      </w:r>
      <w:r w:rsidR="00752820">
        <w:rPr>
          <w:b w:val="0"/>
          <w:bCs/>
        </w:rPr>
        <w:t xml:space="preserve">classroom implications for the construct of AtL </w:t>
      </w:r>
      <w:r w:rsidR="00406F99">
        <w:rPr>
          <w:b w:val="0"/>
          <w:bCs/>
        </w:rPr>
        <w:t>we</w:t>
      </w:r>
      <w:r w:rsidR="00752820">
        <w:rPr>
          <w:b w:val="0"/>
          <w:bCs/>
        </w:rPr>
        <w:t xml:space="preserve">re explored </w:t>
      </w:r>
      <w:r w:rsidR="00406F99">
        <w:rPr>
          <w:b w:val="0"/>
          <w:bCs/>
        </w:rPr>
        <w:t>using</w:t>
      </w:r>
      <w:r w:rsidR="00752820">
        <w:rPr>
          <w:b w:val="0"/>
          <w:bCs/>
        </w:rPr>
        <w:t xml:space="preserve"> two kinds of play, </w:t>
      </w:r>
      <w:proofErr w:type="gramStart"/>
      <w:r w:rsidR="00752820">
        <w:rPr>
          <w:b w:val="0"/>
          <w:bCs/>
        </w:rPr>
        <w:t>exploration</w:t>
      </w:r>
      <w:proofErr w:type="gramEnd"/>
      <w:r w:rsidR="00752820">
        <w:rPr>
          <w:b w:val="0"/>
          <w:bCs/>
        </w:rPr>
        <w:t xml:space="preserve"> and dramatization. Vygotsky’s work regarding young children’s working theories and symbolic representation </w:t>
      </w:r>
      <w:r w:rsidR="00406F99">
        <w:rPr>
          <w:b w:val="0"/>
          <w:bCs/>
        </w:rPr>
        <w:t>wa</w:t>
      </w:r>
      <w:r w:rsidR="00752820">
        <w:rPr>
          <w:b w:val="0"/>
          <w:bCs/>
        </w:rPr>
        <w:t xml:space="preserve">s discussed as well as ways in which teachers can use curriculum to amplify children’s initiative, curiosity, and flexibility. While play-based curricula support children’s AtL development, more work is needed to understand how individual children develop AtL in the classroom. To that end, Latent Profile Analysis </w:t>
      </w:r>
      <w:r w:rsidR="00AB02FA">
        <w:rPr>
          <w:b w:val="0"/>
          <w:bCs/>
        </w:rPr>
        <w:t>wa</w:t>
      </w:r>
      <w:r w:rsidR="008E72FB">
        <w:rPr>
          <w:b w:val="0"/>
          <w:bCs/>
        </w:rPr>
        <w:t>s presented examin</w:t>
      </w:r>
      <w:r w:rsidR="00752820">
        <w:rPr>
          <w:b w:val="0"/>
          <w:bCs/>
        </w:rPr>
        <w:t>ing</w:t>
      </w:r>
      <w:r w:rsidR="008E72FB">
        <w:rPr>
          <w:b w:val="0"/>
          <w:bCs/>
        </w:rPr>
        <w:t xml:space="preserve"> profiles of AtL using a sample of Head Start Children. Results from the study revealed five unique profiles, including positive</w:t>
      </w:r>
      <w:r w:rsidR="00AB02FA">
        <w:rPr>
          <w:b w:val="0"/>
          <w:bCs/>
        </w:rPr>
        <w:t>,</w:t>
      </w:r>
      <w:r w:rsidR="008E72FB">
        <w:rPr>
          <w:b w:val="0"/>
          <w:bCs/>
        </w:rPr>
        <w:t xml:space="preserve"> negative</w:t>
      </w:r>
      <w:r w:rsidR="00AB02FA">
        <w:rPr>
          <w:b w:val="0"/>
          <w:bCs/>
        </w:rPr>
        <w:t>,</w:t>
      </w:r>
      <w:r w:rsidR="008E72FB">
        <w:rPr>
          <w:b w:val="0"/>
          <w:bCs/>
        </w:rPr>
        <w:t xml:space="preserve"> and low AtL</w:t>
      </w:r>
      <w:r w:rsidR="00AB02FA">
        <w:rPr>
          <w:b w:val="0"/>
          <w:bCs/>
        </w:rPr>
        <w:t>,</w:t>
      </w:r>
      <w:r w:rsidR="00752820">
        <w:rPr>
          <w:b w:val="0"/>
          <w:bCs/>
        </w:rPr>
        <w:t xml:space="preserve"> lending support to the idea that children develop AtL through multiple pathways</w:t>
      </w:r>
      <w:proofErr w:type="gramStart"/>
      <w:r w:rsidR="00752820">
        <w:rPr>
          <w:b w:val="0"/>
          <w:bCs/>
        </w:rPr>
        <w:t xml:space="preserve">. </w:t>
      </w:r>
      <w:r w:rsidR="008E72FB">
        <w:rPr>
          <w:b w:val="0"/>
          <w:bCs/>
        </w:rPr>
        <w:t xml:space="preserve"> </w:t>
      </w:r>
      <w:proofErr w:type="gramEnd"/>
    </w:p>
    <w:p w14:paraId="687C5DD0" w14:textId="77777777" w:rsidR="00497BF4" w:rsidRDefault="00031DA5" w:rsidP="00497BF4">
      <w:pPr>
        <w:pStyle w:val="DTLEvel1"/>
        <w:tabs>
          <w:tab w:val="left" w:pos="0"/>
        </w:tabs>
        <w:contextualSpacing/>
        <w:jc w:val="left"/>
        <w:rPr>
          <w:b w:val="0"/>
          <w:bCs/>
          <w:i/>
          <w:iCs/>
        </w:rPr>
        <w:sectPr w:rsidR="00497BF4" w:rsidSect="00497BF4">
          <w:footerReference w:type="default" r:id="rId14"/>
          <w:pgSz w:w="12240" w:h="15840"/>
          <w:pgMar w:top="1440" w:right="1440" w:bottom="1440" w:left="1440" w:header="720" w:footer="720" w:gutter="0"/>
          <w:pgNumType w:fmt="lowerRoman" w:start="4"/>
          <w:cols w:space="720"/>
          <w:docGrid w:linePitch="360"/>
        </w:sectPr>
      </w:pPr>
      <w:r w:rsidRPr="0018337E">
        <w:rPr>
          <w:b w:val="0"/>
          <w:bCs/>
          <w:i/>
          <w:iCs/>
        </w:rPr>
        <w:t>Keywords: approaches to learning, school readiness</w:t>
      </w:r>
      <w:r w:rsidR="009156A7">
        <w:rPr>
          <w:b w:val="0"/>
          <w:bCs/>
          <w:i/>
          <w:iCs/>
        </w:rPr>
        <w:t>, play, latent profile analysis</w:t>
      </w:r>
      <w:r w:rsidR="007C1CBE">
        <w:rPr>
          <w:b w:val="0"/>
          <w:bCs/>
          <w:i/>
          <w:iCs/>
        </w:rPr>
        <w:t xml:space="preserve"> </w:t>
      </w:r>
    </w:p>
    <w:p w14:paraId="7A5FDC28" w14:textId="41D02085" w:rsidR="00EF1FD1" w:rsidRDefault="00EF1FD1" w:rsidP="00497BF4">
      <w:pPr>
        <w:pStyle w:val="DTLEvel1"/>
        <w:tabs>
          <w:tab w:val="left" w:pos="0"/>
        </w:tabs>
        <w:contextualSpacing/>
        <w:jc w:val="left"/>
      </w:pPr>
    </w:p>
    <w:p w14:paraId="71DC8750" w14:textId="4C053D2E" w:rsidR="009B0AA5" w:rsidRPr="00C32F4E" w:rsidRDefault="009B0AA5" w:rsidP="009974B7">
      <w:pPr>
        <w:pStyle w:val="Heading1"/>
        <w:rPr>
          <w:b w:val="0"/>
          <w:bCs/>
        </w:rPr>
      </w:pPr>
      <w:bookmarkStart w:id="4" w:name="_Toc46265456"/>
      <w:r w:rsidRPr="00C32F4E">
        <w:rPr>
          <w:b w:val="0"/>
          <w:bCs/>
        </w:rPr>
        <w:t>MANUSCRIPT I</w:t>
      </w:r>
      <w:bookmarkEnd w:id="4"/>
    </w:p>
    <w:p w14:paraId="3440093D" w14:textId="77777777" w:rsidR="009B0AA5" w:rsidRPr="009B0AA5" w:rsidRDefault="009B0AA5" w:rsidP="009B0AA5">
      <w:pPr>
        <w:jc w:val="center"/>
      </w:pPr>
    </w:p>
    <w:p w14:paraId="17AF48B2" w14:textId="77777777" w:rsidR="009B0AA5" w:rsidRPr="002F151D" w:rsidRDefault="009B0AA5" w:rsidP="002F151D">
      <w:pPr>
        <w:pStyle w:val="TableofFigures"/>
      </w:pPr>
    </w:p>
    <w:p w14:paraId="3A849ED8" w14:textId="77777777" w:rsidR="009B0AA5" w:rsidRPr="009B0AA5" w:rsidRDefault="009B0AA5" w:rsidP="009B0AA5">
      <w:pPr>
        <w:jc w:val="center"/>
      </w:pPr>
    </w:p>
    <w:p w14:paraId="0CCE9791" w14:textId="77777777" w:rsidR="009B0AA5" w:rsidRPr="009B0AA5" w:rsidRDefault="009B0AA5" w:rsidP="009B0AA5">
      <w:pPr>
        <w:jc w:val="center"/>
      </w:pPr>
    </w:p>
    <w:p w14:paraId="6C995A02" w14:textId="77777777" w:rsidR="009B0AA5" w:rsidRPr="009B0AA5" w:rsidRDefault="009B0AA5" w:rsidP="009B0AA5">
      <w:pPr>
        <w:jc w:val="center"/>
      </w:pPr>
      <w:bookmarkStart w:id="5" w:name="_Hlk43747796"/>
    </w:p>
    <w:p w14:paraId="789D49F3" w14:textId="77777777" w:rsidR="006D668A" w:rsidRDefault="0018337E" w:rsidP="0018337E">
      <w:pPr>
        <w:contextualSpacing/>
        <w:jc w:val="center"/>
      </w:pPr>
      <w:r>
        <w:t xml:space="preserve">The Jingle-Jangle of Approaches to Learning: </w:t>
      </w:r>
    </w:p>
    <w:p w14:paraId="01921035" w14:textId="4B5435B5" w:rsidR="0018337E" w:rsidRDefault="0018337E" w:rsidP="0018337E">
      <w:pPr>
        <w:contextualSpacing/>
        <w:jc w:val="center"/>
      </w:pPr>
      <w:r>
        <w:t xml:space="preserve">A Construct </w:t>
      </w:r>
      <w:proofErr w:type="gramStart"/>
      <w:r>
        <w:t>With</w:t>
      </w:r>
      <w:proofErr w:type="gramEnd"/>
      <w:r>
        <w:t xml:space="preserve"> Too Many Names</w:t>
      </w:r>
    </w:p>
    <w:bookmarkEnd w:id="5"/>
    <w:p w14:paraId="082CD8F9" w14:textId="77777777" w:rsidR="009B0AA5" w:rsidRPr="009B0AA5" w:rsidRDefault="009B0AA5" w:rsidP="009B0AA5">
      <w:pPr>
        <w:jc w:val="center"/>
      </w:pPr>
    </w:p>
    <w:p w14:paraId="3B8C7EDB" w14:textId="77777777" w:rsidR="009B0AA5" w:rsidRPr="009B0AA5" w:rsidRDefault="009B0AA5" w:rsidP="009B0AA5">
      <w:pPr>
        <w:jc w:val="center"/>
      </w:pPr>
    </w:p>
    <w:p w14:paraId="17EB6C75" w14:textId="77777777" w:rsidR="009B0AA5" w:rsidRPr="009B0AA5" w:rsidRDefault="009B0AA5" w:rsidP="009B0AA5">
      <w:pPr>
        <w:jc w:val="center"/>
      </w:pPr>
    </w:p>
    <w:p w14:paraId="3DAC7043" w14:textId="77777777" w:rsidR="009B0AA5" w:rsidRPr="009B0AA5" w:rsidRDefault="009B0AA5" w:rsidP="009B0AA5">
      <w:pPr>
        <w:jc w:val="center"/>
      </w:pPr>
    </w:p>
    <w:p w14:paraId="1B5B972E" w14:textId="77777777" w:rsidR="009B0AA5" w:rsidRPr="009B0AA5" w:rsidRDefault="009B0AA5" w:rsidP="009B0AA5">
      <w:pPr>
        <w:jc w:val="center"/>
      </w:pPr>
    </w:p>
    <w:p w14:paraId="23C37536" w14:textId="77777777" w:rsidR="009B0AA5" w:rsidRPr="009B0AA5" w:rsidRDefault="009B0AA5" w:rsidP="009B0AA5">
      <w:pPr>
        <w:jc w:val="center"/>
      </w:pPr>
    </w:p>
    <w:p w14:paraId="1C74669F" w14:textId="77777777" w:rsidR="009B0AA5" w:rsidRPr="009B0AA5" w:rsidRDefault="009B0AA5" w:rsidP="009B0AA5">
      <w:pPr>
        <w:jc w:val="center"/>
      </w:pPr>
    </w:p>
    <w:p w14:paraId="3891989C" w14:textId="77777777" w:rsidR="009B0AA5" w:rsidRPr="009B0AA5" w:rsidRDefault="009B0AA5" w:rsidP="009B0AA5">
      <w:pPr>
        <w:jc w:val="center"/>
      </w:pPr>
    </w:p>
    <w:p w14:paraId="44987103" w14:textId="77777777" w:rsidR="009B0AA5" w:rsidRDefault="009B0AA5" w:rsidP="009B0AA5">
      <w:pPr>
        <w:jc w:val="center"/>
      </w:pPr>
    </w:p>
    <w:p w14:paraId="27345FDA" w14:textId="77777777" w:rsidR="004946E9" w:rsidRDefault="004946E9" w:rsidP="009B0AA5">
      <w:pPr>
        <w:jc w:val="center"/>
      </w:pPr>
    </w:p>
    <w:p w14:paraId="1F4DE6EB" w14:textId="77777777" w:rsidR="009B0AA5" w:rsidRDefault="009B0AA5" w:rsidP="009B0AA5">
      <w:pPr>
        <w:jc w:val="center"/>
      </w:pPr>
    </w:p>
    <w:p w14:paraId="0AA08C1B" w14:textId="349D995F" w:rsidR="009B0AA5" w:rsidRDefault="009B0AA5" w:rsidP="009B0AA5">
      <w:pPr>
        <w:jc w:val="center"/>
      </w:pPr>
      <w:r w:rsidRPr="009B0AA5">
        <w:t xml:space="preserve">This manuscript is prepared for submission to the peer-reviewed journal </w:t>
      </w:r>
      <w:r w:rsidR="00F315A5">
        <w:rPr>
          <w:i/>
          <w:iCs/>
        </w:rPr>
        <w:t xml:space="preserve">Review of Educational Research </w:t>
      </w:r>
      <w:r w:rsidRPr="009B0AA5">
        <w:t>and is the first of three manuscripts prepared for a journal-ready doctoral dissertation.</w:t>
      </w:r>
    </w:p>
    <w:p w14:paraId="4C2BAD44" w14:textId="6CF476F1" w:rsidR="009B0AA5" w:rsidRDefault="009B0AA5" w:rsidP="009B0AA5">
      <w:pPr>
        <w:jc w:val="center"/>
      </w:pPr>
    </w:p>
    <w:p w14:paraId="650E7CB0" w14:textId="77777777" w:rsidR="009B0AA5" w:rsidRPr="005F15C4" w:rsidRDefault="009B0AA5" w:rsidP="005F15C4">
      <w:pPr>
        <w:pStyle w:val="Heading1"/>
        <w:rPr>
          <w:b w:val="0"/>
          <w:bCs/>
        </w:rPr>
      </w:pPr>
      <w:bookmarkStart w:id="6" w:name="_Toc46265457"/>
      <w:r w:rsidRPr="005F15C4">
        <w:rPr>
          <w:b w:val="0"/>
          <w:bCs/>
        </w:rPr>
        <w:lastRenderedPageBreak/>
        <w:t>Abstract</w:t>
      </w:r>
      <w:bookmarkEnd w:id="6"/>
    </w:p>
    <w:p w14:paraId="77D25CDA" w14:textId="203C7687" w:rsidR="005472EB" w:rsidRPr="005472EB" w:rsidRDefault="00760A8C" w:rsidP="00C827DE">
      <w:r>
        <w:t>Approaches to Learning (AtL) is an umbrella construct describing the attitudes, habits</w:t>
      </w:r>
      <w:r w:rsidR="00AD034C">
        <w:t>,</w:t>
      </w:r>
      <w:r>
        <w:t xml:space="preserve"> and learning styles of children as they engage in the learning process. First introduced by the National Education Goals Panel as an indicator of school readiness, AtL includes openness to new tasks, initiative, task persistence, and imagination. Over the years, this construct has been </w:t>
      </w:r>
      <w:r w:rsidR="00497BF4">
        <w:t xml:space="preserve">studied </w:t>
      </w:r>
      <w:r>
        <w:t xml:space="preserve">in a wide variety of ways, leading to inconsistences in terms, </w:t>
      </w:r>
      <w:r w:rsidR="00497BF4">
        <w:t xml:space="preserve">operationalizations, </w:t>
      </w:r>
      <w:r>
        <w:t>and measurements. This paper examine</w:t>
      </w:r>
      <w:r w:rsidR="00406F99">
        <w:t>d</w:t>
      </w:r>
      <w:r>
        <w:t xml:space="preserve"> the issues surrounding the inconsistences in previous research and offer</w:t>
      </w:r>
      <w:r w:rsidR="00406F99">
        <w:t>ed</w:t>
      </w:r>
      <w:r>
        <w:t xml:space="preserve"> a new conceptualization of the </w:t>
      </w:r>
      <w:r w:rsidR="009156A7">
        <w:t xml:space="preserve">construct. </w:t>
      </w:r>
      <w:r>
        <w:t>One area of consistencies include</w:t>
      </w:r>
      <w:r w:rsidR="00406F99">
        <w:t>d</w:t>
      </w:r>
      <w:r>
        <w:t xml:space="preserve"> the expansive set of characteristics attributed to the construct of At</w:t>
      </w:r>
      <w:r w:rsidR="005F15C4">
        <w:t>L, resulting in a jingle fallacy. Another area of inconsistency occu</w:t>
      </w:r>
      <w:r w:rsidR="00406F99">
        <w:t>r</w:t>
      </w:r>
      <w:r w:rsidR="005F15C4">
        <w:t>r</w:t>
      </w:r>
      <w:r w:rsidR="00406F99">
        <w:t>ed</w:t>
      </w:r>
      <w:r w:rsidR="005F15C4">
        <w:t xml:space="preserve"> when researchers use</w:t>
      </w:r>
      <w:r w:rsidR="00406F99">
        <w:t>d</w:t>
      </w:r>
      <w:r w:rsidR="005F15C4">
        <w:t xml:space="preserve"> different terms to describe similar constructs</w:t>
      </w:r>
      <w:r w:rsidR="009156A7">
        <w:t>, resulting in a jangle fallacy</w:t>
      </w:r>
      <w:r w:rsidR="005F15C4">
        <w:t>. In this c</w:t>
      </w:r>
      <w:r w:rsidR="009156A7">
        <w:t>a</w:t>
      </w:r>
      <w:r w:rsidR="005F15C4">
        <w:t>s</w:t>
      </w:r>
      <w:r w:rsidR="009156A7">
        <w:t>e</w:t>
      </w:r>
      <w:r w:rsidR="005F15C4">
        <w:t xml:space="preserve">, adjustment, behavioral engagement, and classroom participation </w:t>
      </w:r>
      <w:r w:rsidR="00406F99">
        <w:t>were</w:t>
      </w:r>
      <w:r w:rsidR="005F15C4">
        <w:t xml:space="preserve"> </w:t>
      </w:r>
      <w:r w:rsidR="009156A7">
        <w:t xml:space="preserve">reported as separate constructs in the literature yet </w:t>
      </w:r>
      <w:r w:rsidR="00406F99">
        <w:t>were</w:t>
      </w:r>
      <w:r w:rsidR="009156A7">
        <w:t xml:space="preserve"> </w:t>
      </w:r>
      <w:r w:rsidR="005F15C4">
        <w:t>measured using AtL measurements. The paper conclude</w:t>
      </w:r>
      <w:r w:rsidR="00406F99">
        <w:t>d</w:t>
      </w:r>
      <w:r w:rsidR="005F15C4">
        <w:t xml:space="preserve"> by offering ways to reduce the conceptual clutter surrounding AtL. </w:t>
      </w:r>
    </w:p>
    <w:p w14:paraId="3514B9D5" w14:textId="77777777" w:rsidR="005F15C4" w:rsidRDefault="005F15C4" w:rsidP="008C758B"/>
    <w:p w14:paraId="2BDAEA36" w14:textId="54D61C9E" w:rsidR="0018337E" w:rsidRPr="008C758B" w:rsidRDefault="0018337E" w:rsidP="008C758B">
      <w:pPr>
        <w:rPr>
          <w:i/>
          <w:iCs/>
        </w:rPr>
      </w:pPr>
      <w:r w:rsidRPr="008C758B">
        <w:rPr>
          <w:i/>
          <w:iCs/>
        </w:rPr>
        <w:t xml:space="preserve">Keywords: jingle fallacy, jangle fallacy, conceptualization, measurement, Approaches to Learning, </w:t>
      </w:r>
    </w:p>
    <w:p w14:paraId="48C98EC3" w14:textId="77777777" w:rsidR="005472EB" w:rsidRDefault="005472EB" w:rsidP="005472EB"/>
    <w:p w14:paraId="7776B9AF" w14:textId="77777777" w:rsidR="005472EB" w:rsidRDefault="005472EB" w:rsidP="005472EB"/>
    <w:p w14:paraId="20BE6F87" w14:textId="77777777" w:rsidR="005472EB" w:rsidRDefault="005472EB" w:rsidP="005472EB"/>
    <w:p w14:paraId="44C958BF" w14:textId="77777777" w:rsidR="005472EB" w:rsidRDefault="005472EB" w:rsidP="005472EB"/>
    <w:p w14:paraId="7B5E74E5" w14:textId="77777777" w:rsidR="005472EB" w:rsidRDefault="005472EB" w:rsidP="005472EB"/>
    <w:p w14:paraId="71B76967" w14:textId="77777777" w:rsidR="005472EB" w:rsidRDefault="005472EB" w:rsidP="005472EB"/>
    <w:p w14:paraId="40F776F1" w14:textId="452AF061" w:rsidR="0018337E" w:rsidRPr="0018337E" w:rsidRDefault="0018337E" w:rsidP="0018337E">
      <w:pPr>
        <w:contextualSpacing/>
        <w:jc w:val="center"/>
        <w:rPr>
          <w:color w:val="auto"/>
        </w:rPr>
      </w:pPr>
      <w:bookmarkStart w:id="7" w:name="_Hlk43745696"/>
      <w:bookmarkStart w:id="8" w:name="TOT1"/>
      <w:r w:rsidRPr="0018337E">
        <w:rPr>
          <w:color w:val="auto"/>
        </w:rPr>
        <w:lastRenderedPageBreak/>
        <w:t xml:space="preserve">The Jingle-Jangle of Approaches to Learning: A Construct </w:t>
      </w:r>
      <w:proofErr w:type="gramStart"/>
      <w:r w:rsidRPr="0018337E">
        <w:rPr>
          <w:color w:val="auto"/>
        </w:rPr>
        <w:t>With</w:t>
      </w:r>
      <w:proofErr w:type="gramEnd"/>
      <w:r w:rsidRPr="0018337E">
        <w:rPr>
          <w:color w:val="auto"/>
        </w:rPr>
        <w:t xml:space="preserve"> Too Many Names</w:t>
      </w:r>
    </w:p>
    <w:p w14:paraId="709ADAB5" w14:textId="0262E6BC" w:rsidR="0018337E" w:rsidRPr="0018337E" w:rsidRDefault="0018337E" w:rsidP="0018337E">
      <w:pPr>
        <w:spacing w:after="160"/>
        <w:ind w:firstLine="720"/>
        <w:contextualSpacing/>
        <w:rPr>
          <w:color w:val="auto"/>
        </w:rPr>
      </w:pPr>
      <w:r w:rsidRPr="0018337E">
        <w:rPr>
          <w:color w:val="auto"/>
        </w:rPr>
        <w:t xml:space="preserve">Approaches to Learning (AtL) was first introduced in the early 1990s as a </w:t>
      </w:r>
      <w:r w:rsidR="008D29F2">
        <w:rPr>
          <w:color w:val="auto"/>
        </w:rPr>
        <w:t>critical</w:t>
      </w:r>
      <w:r w:rsidRPr="0018337E">
        <w:rPr>
          <w:color w:val="auto"/>
        </w:rPr>
        <w:t xml:space="preserve"> </w:t>
      </w:r>
      <w:r w:rsidR="008D29F2">
        <w:rPr>
          <w:color w:val="auto"/>
        </w:rPr>
        <w:t xml:space="preserve">component of </w:t>
      </w:r>
      <w:r w:rsidRPr="0018337E">
        <w:rPr>
          <w:color w:val="auto"/>
        </w:rPr>
        <w:t xml:space="preserve">school readiness describing how children respond to learning situations </w:t>
      </w:r>
      <w:r w:rsidR="009A6864" w:rsidRPr="009A6864">
        <w:t>(Hair, Halle, Terry-</w:t>
      </w:r>
      <w:proofErr w:type="spellStart"/>
      <w:r w:rsidR="009A6864" w:rsidRPr="009A6864">
        <w:t>Humen</w:t>
      </w:r>
      <w:proofErr w:type="spellEnd"/>
      <w:r w:rsidR="009A6864" w:rsidRPr="009A6864">
        <w:t>, Lavelle, &amp; Calkins, 2006; Kagan, Moore, &amp; Bredekamp, 1995)</w:t>
      </w:r>
      <w:r w:rsidRPr="0018337E">
        <w:rPr>
          <w:color w:val="auto"/>
        </w:rPr>
        <w:t xml:space="preserve">. At the time, the National Education Goals Panel (NEGP) described AtL as “the least understood, least researched, and most important dimension” </w:t>
      </w:r>
      <w:r w:rsidR="009A6864" w:rsidRPr="009A6864">
        <w:t>(1995, p. 28)</w:t>
      </w:r>
      <w:r w:rsidRPr="0018337E">
        <w:rPr>
          <w:color w:val="auto"/>
        </w:rPr>
        <w:t xml:space="preserve">. Although there has been continued interest in AtL, underlying conceptual frameworks have not kept pace </w:t>
      </w:r>
      <w:r w:rsidR="009A6864" w:rsidRPr="009A6864">
        <w:t>(Cerda, Im, &amp; Hughes, 2014)</w:t>
      </w:r>
      <w:r w:rsidRPr="0018337E">
        <w:rPr>
          <w:color w:val="auto"/>
        </w:rPr>
        <w:t xml:space="preserve">. To </w:t>
      </w:r>
      <w:r w:rsidR="005B6B64">
        <w:rPr>
          <w:color w:val="auto"/>
        </w:rPr>
        <w:t>date</w:t>
      </w:r>
      <w:r w:rsidRPr="0018337E">
        <w:rPr>
          <w:color w:val="auto"/>
        </w:rPr>
        <w:t xml:space="preserve">, the field lacks consensus on a uniform definition of AtL and a conceptual framework for how it is distinct from other constructs like self-regulation or engagement </w:t>
      </w:r>
      <w:r w:rsidR="009A6864" w:rsidRPr="009A6864">
        <w:t>(Hyson, 2008)</w:t>
      </w:r>
      <w:r w:rsidRPr="0018337E">
        <w:rPr>
          <w:color w:val="auto"/>
        </w:rPr>
        <w:t xml:space="preserve">. </w:t>
      </w:r>
    </w:p>
    <w:p w14:paraId="7FC545D0" w14:textId="3C1A88B2" w:rsidR="0018337E" w:rsidRDefault="0018337E" w:rsidP="0018337E">
      <w:pPr>
        <w:spacing w:after="160"/>
        <w:ind w:firstLine="720"/>
        <w:contextualSpacing/>
        <w:rPr>
          <w:color w:val="auto"/>
        </w:rPr>
      </w:pPr>
      <w:r w:rsidRPr="0018337E">
        <w:rPr>
          <w:color w:val="auto"/>
        </w:rPr>
        <w:t xml:space="preserve">In some ways, the difficulties surrounding the conceptualization of AtL mirror the struggle to adequately define and conceptualize children’s social, emotional, and cognitive skills more generally </w:t>
      </w:r>
      <w:r w:rsidR="009A6864" w:rsidRPr="009A6864">
        <w:t>(</w:t>
      </w:r>
      <w:proofErr w:type="spellStart"/>
      <w:r w:rsidR="009A6864" w:rsidRPr="009A6864">
        <w:t>Farran</w:t>
      </w:r>
      <w:proofErr w:type="spellEnd"/>
      <w:r w:rsidR="009A6864" w:rsidRPr="009A6864">
        <w:t>, 2011)</w:t>
      </w:r>
      <w:r w:rsidRPr="0018337E">
        <w:rPr>
          <w:color w:val="auto"/>
        </w:rPr>
        <w:t xml:space="preserve">. Currently, there is not a clear conceptual background distinguishing social and emotional development from other broad domains or that includes carefully delineated and defined subdomains, constructs, and corresponding behaviors </w:t>
      </w:r>
      <w:r w:rsidR="009A6864" w:rsidRPr="009A6864">
        <w:t xml:space="preserve">(Jones, </w:t>
      </w:r>
      <w:proofErr w:type="spellStart"/>
      <w:r w:rsidR="009A6864" w:rsidRPr="009A6864">
        <w:t>Zaslow</w:t>
      </w:r>
      <w:proofErr w:type="spellEnd"/>
      <w:r w:rsidR="009A6864" w:rsidRPr="009A6864">
        <w:t>, Darling-Churchill, &amp; Halle, 2016)</w:t>
      </w:r>
      <w:r w:rsidRPr="0018337E">
        <w:rPr>
          <w:color w:val="auto"/>
        </w:rPr>
        <w:t xml:space="preserve">. Without this, there is no distinct boundary of social and emotional development or a way to separate it from other domains. It is also unknown which constructs within the domain are most salient during </w:t>
      </w:r>
      <w:proofErr w:type="gramStart"/>
      <w:r w:rsidR="008D29F2">
        <w:rPr>
          <w:color w:val="auto"/>
        </w:rPr>
        <w:t>particular</w:t>
      </w:r>
      <w:r w:rsidRPr="0018337E">
        <w:rPr>
          <w:color w:val="auto"/>
        </w:rPr>
        <w:t xml:space="preserve"> stages</w:t>
      </w:r>
      <w:proofErr w:type="gramEnd"/>
      <w:r w:rsidRPr="0018337E">
        <w:rPr>
          <w:color w:val="auto"/>
        </w:rPr>
        <w:t xml:space="preserve"> of development </w:t>
      </w:r>
      <w:r w:rsidR="009A6864" w:rsidRPr="009A6864">
        <w:t>(Halle &amp; Darling-Churchill, 2016)</w:t>
      </w:r>
      <w:r w:rsidRPr="0018337E">
        <w:rPr>
          <w:color w:val="auto"/>
        </w:rPr>
        <w:t xml:space="preserve">. Across studies, the same item or </w:t>
      </w:r>
      <w:r w:rsidR="008D29F2">
        <w:rPr>
          <w:color w:val="auto"/>
        </w:rPr>
        <w:t>subscale</w:t>
      </w:r>
      <w:r w:rsidRPr="0018337E">
        <w:rPr>
          <w:color w:val="auto"/>
        </w:rPr>
        <w:t xml:space="preserve"> may be used to capture multiple domains of social and emotional development resulting in conceptual clutter </w:t>
      </w:r>
      <w:r w:rsidR="009A6864" w:rsidRPr="009A6864">
        <w:t>(Jones et al., 2016)</w:t>
      </w:r>
      <w:r w:rsidRPr="0018337E">
        <w:rPr>
          <w:color w:val="auto"/>
        </w:rPr>
        <w:t xml:space="preserve">. As a result, umbrella constructs like self-regulation suffer from the </w:t>
      </w:r>
      <w:r w:rsidRPr="00B9076B">
        <w:rPr>
          <w:i/>
          <w:iCs/>
          <w:color w:val="auto"/>
        </w:rPr>
        <w:t>jingle</w:t>
      </w:r>
      <w:r w:rsidRPr="0018337E">
        <w:rPr>
          <w:color w:val="auto"/>
        </w:rPr>
        <w:t xml:space="preserve"> </w:t>
      </w:r>
      <w:r w:rsidRPr="00B9076B">
        <w:rPr>
          <w:i/>
          <w:iCs/>
          <w:color w:val="auto"/>
        </w:rPr>
        <w:t>fallacy</w:t>
      </w:r>
      <w:r w:rsidRPr="0018337E">
        <w:rPr>
          <w:color w:val="auto"/>
        </w:rPr>
        <w:t xml:space="preserve"> when a single term is used to describe a wide variety of skills </w:t>
      </w:r>
      <w:r w:rsidR="009A6864" w:rsidRPr="009A6864">
        <w:t>(</w:t>
      </w:r>
      <w:proofErr w:type="spellStart"/>
      <w:r w:rsidR="009A6864" w:rsidRPr="009A6864">
        <w:t>Borghans</w:t>
      </w:r>
      <w:proofErr w:type="spellEnd"/>
      <w:r w:rsidR="009A6864" w:rsidRPr="009A6864">
        <w:t xml:space="preserve">, Duckworth, Heckman, &amp; Ter </w:t>
      </w:r>
      <w:proofErr w:type="spellStart"/>
      <w:r w:rsidR="009A6864" w:rsidRPr="009A6864">
        <w:t>Weel</w:t>
      </w:r>
      <w:proofErr w:type="spellEnd"/>
      <w:r w:rsidR="009A6864" w:rsidRPr="009A6864">
        <w:t>, 2008; Reeves, Venator, &amp; Howard, 2014)</w:t>
      </w:r>
      <w:r w:rsidRPr="0018337E">
        <w:rPr>
          <w:color w:val="auto"/>
        </w:rPr>
        <w:t xml:space="preserve">. In this case, self-regulation appears to lead to </w:t>
      </w:r>
      <w:r w:rsidRPr="0018337E">
        <w:rPr>
          <w:color w:val="auto"/>
        </w:rPr>
        <w:lastRenderedPageBreak/>
        <w:t xml:space="preserve">similar outcomes across studies but has been defined and measured inconsistently. It becomes difficult to disentangle subdomains and distinguish </w:t>
      </w:r>
      <w:r w:rsidR="005B6B64">
        <w:rPr>
          <w:color w:val="auto"/>
        </w:rPr>
        <w:t xml:space="preserve">the </w:t>
      </w:r>
      <w:r w:rsidRPr="0018337E">
        <w:rPr>
          <w:color w:val="auto"/>
        </w:rPr>
        <w:t xml:space="preserve">specific behaviors associated with </w:t>
      </w:r>
      <w:r w:rsidR="00B9076B">
        <w:rPr>
          <w:color w:val="auto"/>
        </w:rPr>
        <w:t>given</w:t>
      </w:r>
      <w:r w:rsidRPr="0018337E">
        <w:rPr>
          <w:color w:val="auto"/>
        </w:rPr>
        <w:t xml:space="preserve"> outcomes. </w:t>
      </w:r>
    </w:p>
    <w:p w14:paraId="60FAE67C" w14:textId="5D23264A" w:rsidR="00CA05A0" w:rsidRPr="0018337E" w:rsidRDefault="00CA05A0" w:rsidP="0018337E">
      <w:pPr>
        <w:spacing w:after="160"/>
        <w:ind w:firstLine="720"/>
        <w:contextualSpacing/>
        <w:rPr>
          <w:color w:val="2E2E2E"/>
        </w:rPr>
      </w:pPr>
      <w:r>
        <w:rPr>
          <w:color w:val="auto"/>
        </w:rPr>
        <w:t>Another issue occurs when multiple terms are employed to study the same construct, which is called the jangle fallacy (Jones et al., 2016)</w:t>
      </w:r>
      <w:proofErr w:type="gramStart"/>
      <w:r>
        <w:rPr>
          <w:color w:val="auto"/>
        </w:rPr>
        <w:t xml:space="preserve">.  </w:t>
      </w:r>
      <w:proofErr w:type="gramEnd"/>
      <w:r>
        <w:rPr>
          <w:color w:val="auto"/>
        </w:rPr>
        <w:t xml:space="preserve">A </w:t>
      </w:r>
      <w:proofErr w:type="gramStart"/>
      <w:r>
        <w:rPr>
          <w:color w:val="auto"/>
        </w:rPr>
        <w:t>particular attribute</w:t>
      </w:r>
      <w:proofErr w:type="gramEnd"/>
      <w:r>
        <w:rPr>
          <w:color w:val="auto"/>
        </w:rPr>
        <w:t xml:space="preserve"> may be described as a skill, a personality trait, a characteristic, or a disposition, often depending upon the researcher’s field (Reeves &amp; Venator, 2014).  For example, “non-cognitive factors,” i.e., domain-general skills or attributes, have been described using many different terms, such as social and emotional learning, 21</w:t>
      </w:r>
      <w:r w:rsidRPr="00CA05A0">
        <w:rPr>
          <w:color w:val="auto"/>
          <w:vertAlign w:val="superscript"/>
        </w:rPr>
        <w:t>st</w:t>
      </w:r>
      <w:r>
        <w:rPr>
          <w:color w:val="auto"/>
        </w:rPr>
        <w:t xml:space="preserve"> century skills, soft skills, academic mindsets, character, and deeper learning (Jones, Bailey, Brush, Nelson, &amp; Barnes, 2016).  With multiple names for similar constructs, it becomes difficult to determine the links or similarities across various studies. </w:t>
      </w:r>
    </w:p>
    <w:p w14:paraId="4E144AB3" w14:textId="2880BF19" w:rsidR="0018337E" w:rsidRPr="0018337E" w:rsidRDefault="0018337E" w:rsidP="0018337E">
      <w:pPr>
        <w:spacing w:after="160"/>
        <w:contextualSpacing/>
        <w:rPr>
          <w:color w:val="auto"/>
        </w:rPr>
      </w:pPr>
      <w:r w:rsidRPr="0018337E">
        <w:rPr>
          <w:color w:val="auto"/>
        </w:rPr>
        <w:tab/>
        <w:t xml:space="preserve">Similarly, for AtL, there is no definitive conceptualization nor consensus in the field about a framework </w:t>
      </w:r>
      <w:r w:rsidR="009A6864" w:rsidRPr="009A6864">
        <w:t>(Carter, Briggs‐Gowan, &amp; Davis, 2004; Halle &amp; Darling-Churchill, 2016)</w:t>
      </w:r>
      <w:r w:rsidRPr="0018337E">
        <w:rPr>
          <w:color w:val="auto"/>
        </w:rPr>
        <w:t xml:space="preserve">. Across studies, AtL </w:t>
      </w:r>
      <w:r w:rsidR="00491B07">
        <w:rPr>
          <w:color w:val="auto"/>
        </w:rPr>
        <w:t>is also known as e</w:t>
      </w:r>
      <w:r w:rsidRPr="0018337E">
        <w:rPr>
          <w:color w:val="auto"/>
        </w:rPr>
        <w:t>xecutive function, self-regulation, learning dispositions, learning behaviors, learning-related behaviors, or approaches to learning (</w:t>
      </w:r>
      <w:proofErr w:type="spellStart"/>
      <w:r w:rsidRPr="0018337E">
        <w:rPr>
          <w:color w:val="auto"/>
        </w:rPr>
        <w:t>Farran</w:t>
      </w:r>
      <w:proofErr w:type="spellEnd"/>
      <w:r w:rsidRPr="0018337E">
        <w:rPr>
          <w:color w:val="auto"/>
        </w:rPr>
        <w:t>, 2011). Each term has a corresponding definition and operationalization of skills drawn from social, emotional, and cognitive domains. Even within one domain of development, the skills may not be similar, with one study emphasizing attention and another emphasizing goal orientation and planning. In many cases, it is difficult to distinguish the researchers’ use of the term AtL from other constructs like executive function, engagement, or behavioral self-</w:t>
      </w:r>
      <w:r w:rsidRPr="005B6B64">
        <w:rPr>
          <w:color w:val="auto"/>
        </w:rPr>
        <w:t>regulation (i.e.,</w:t>
      </w:r>
      <w:r w:rsidRPr="0018337E">
        <w:rPr>
          <w:color w:val="auto"/>
        </w:rPr>
        <w:t xml:space="preserve"> </w:t>
      </w:r>
      <w:r w:rsidR="009A6864" w:rsidRPr="009A6864">
        <w:t xml:space="preserve">Halliday, Calkins, &amp; </w:t>
      </w:r>
      <w:proofErr w:type="spellStart"/>
      <w:r w:rsidR="009A6864" w:rsidRPr="009A6864">
        <w:t>Leerkes</w:t>
      </w:r>
      <w:proofErr w:type="spellEnd"/>
      <w:r w:rsidR="009A6864" w:rsidRPr="009A6864">
        <w:t xml:space="preserve">, 2018; Hooper, Roberts, Sideris, </w:t>
      </w:r>
      <w:proofErr w:type="spellStart"/>
      <w:r w:rsidR="009A6864" w:rsidRPr="009A6864">
        <w:t>Burchinal</w:t>
      </w:r>
      <w:proofErr w:type="spellEnd"/>
      <w:r w:rsidR="009A6864" w:rsidRPr="009A6864">
        <w:t>, &amp; Zeisel, 2010)</w:t>
      </w:r>
      <w:r w:rsidRPr="0018337E">
        <w:rPr>
          <w:color w:val="auto"/>
        </w:rPr>
        <w:t xml:space="preserve">. To counteract these discrepancies, Chen and McNamee </w:t>
      </w:r>
      <w:r w:rsidR="009A6864" w:rsidRPr="009A6864">
        <w:t>(2011)</w:t>
      </w:r>
      <w:r w:rsidRPr="0018337E">
        <w:rPr>
          <w:color w:val="auto"/>
        </w:rPr>
        <w:t xml:space="preserve"> report, “while the field may never be able to generate a definitive list of learning approaches, there is a consensus that initial engagement, </w:t>
      </w:r>
      <w:r w:rsidRPr="0018337E">
        <w:rPr>
          <w:color w:val="auto"/>
        </w:rPr>
        <w:lastRenderedPageBreak/>
        <w:t xml:space="preserve">attention, </w:t>
      </w:r>
      <w:proofErr w:type="spellStart"/>
      <w:r w:rsidRPr="0018337E">
        <w:rPr>
          <w:color w:val="auto"/>
        </w:rPr>
        <w:t>planfulness</w:t>
      </w:r>
      <w:proofErr w:type="spellEnd"/>
      <w:r w:rsidRPr="0018337E">
        <w:rPr>
          <w:color w:val="auto"/>
        </w:rPr>
        <w:t xml:space="preserve">, and goal orientation are among the most important positive approaches to learning” (p. 72). However, an examination of the definitions and operationalizations of AtL in recent studies reveals this is certainly not the case. </w:t>
      </w:r>
    </w:p>
    <w:p w14:paraId="7B82A4E4" w14:textId="3AE11B88" w:rsidR="0018337E" w:rsidRPr="0018337E" w:rsidRDefault="0018337E" w:rsidP="0018337E">
      <w:pPr>
        <w:spacing w:after="160"/>
        <w:ind w:firstLine="720"/>
        <w:contextualSpacing/>
        <w:rPr>
          <w:color w:val="2E2E2E"/>
        </w:rPr>
      </w:pPr>
      <w:r w:rsidRPr="0018337E">
        <w:rPr>
          <w:color w:val="auto"/>
        </w:rPr>
        <w:t xml:space="preserve">The issues of conceptualization and measurement are tightly linked. As Jones et al. </w:t>
      </w:r>
      <w:r w:rsidR="009A6864" w:rsidRPr="009A6864">
        <w:t>(2016)</w:t>
      </w:r>
      <w:r w:rsidRPr="0018337E">
        <w:rPr>
          <w:color w:val="auto"/>
        </w:rPr>
        <w:t xml:space="preserve"> point out, “if measurement drives what matters, we may miss the mark because of the definition clutter and misalignment that currently characterizes the field” (p. 43). To get rid of this conceptual clutter, we must carefully examine the construct of AtL. To better understand what we are measuring, we must have a conceptual framework defining AtL and distinguishing it from other related constructs </w:t>
      </w:r>
      <w:r w:rsidR="009A6864" w:rsidRPr="009A6864">
        <w:t>(Halliday et al., 2018)</w:t>
      </w:r>
      <w:r w:rsidRPr="0018337E">
        <w:rPr>
          <w:color w:val="auto"/>
        </w:rPr>
        <w:t xml:space="preserve">. </w:t>
      </w:r>
      <w:r w:rsidRPr="0018337E">
        <w:rPr>
          <w:color w:val="2E2E2E"/>
        </w:rPr>
        <w:t>The purpose of this paper is three-fold:</w:t>
      </w:r>
    </w:p>
    <w:p w14:paraId="5DFCC64C" w14:textId="77777777" w:rsidR="0018337E" w:rsidRPr="0018337E" w:rsidRDefault="0018337E" w:rsidP="0018337E">
      <w:pPr>
        <w:numPr>
          <w:ilvl w:val="0"/>
          <w:numId w:val="37"/>
        </w:numPr>
        <w:spacing w:after="160"/>
        <w:contextualSpacing/>
        <w:rPr>
          <w:color w:val="auto"/>
        </w:rPr>
      </w:pPr>
      <w:r w:rsidRPr="0018337E">
        <w:rPr>
          <w:color w:val="auto"/>
        </w:rPr>
        <w:t xml:space="preserve"> To clearly outline the definitional and measurement issues present in the AtL research,</w:t>
      </w:r>
    </w:p>
    <w:p w14:paraId="45503B09" w14:textId="77777777" w:rsidR="0018337E" w:rsidRPr="0018337E" w:rsidRDefault="0018337E" w:rsidP="0018337E">
      <w:pPr>
        <w:numPr>
          <w:ilvl w:val="0"/>
          <w:numId w:val="37"/>
        </w:numPr>
        <w:spacing w:after="160"/>
        <w:contextualSpacing/>
        <w:rPr>
          <w:color w:val="auto"/>
        </w:rPr>
      </w:pPr>
      <w:r w:rsidRPr="0018337E">
        <w:rPr>
          <w:color w:val="auto"/>
        </w:rPr>
        <w:t xml:space="preserve"> To present a conceptual framework of AtL that overcomes many of the current issues, and</w:t>
      </w:r>
    </w:p>
    <w:p w14:paraId="31F5918D" w14:textId="77777777" w:rsidR="0018337E" w:rsidRPr="0018337E" w:rsidRDefault="0018337E" w:rsidP="0018337E">
      <w:pPr>
        <w:numPr>
          <w:ilvl w:val="0"/>
          <w:numId w:val="37"/>
        </w:numPr>
        <w:spacing w:after="160"/>
        <w:contextualSpacing/>
        <w:rPr>
          <w:color w:val="auto"/>
        </w:rPr>
      </w:pPr>
      <w:r w:rsidRPr="0018337E">
        <w:rPr>
          <w:color w:val="auto"/>
        </w:rPr>
        <w:t>To examine, using this framework</w:t>
      </w:r>
      <w:r w:rsidRPr="0018337E">
        <w:rPr>
          <w:b/>
          <w:bCs/>
          <w:color w:val="auto"/>
        </w:rPr>
        <w:t>,</w:t>
      </w:r>
      <w:r w:rsidRPr="0018337E">
        <w:rPr>
          <w:color w:val="auto"/>
        </w:rPr>
        <w:t xml:space="preserve"> how various research studies and measures align with this conceptualization. </w:t>
      </w:r>
    </w:p>
    <w:p w14:paraId="34DD9A6D" w14:textId="77777777" w:rsidR="0018337E" w:rsidRPr="00CC6470" w:rsidRDefault="0018337E" w:rsidP="009974B7">
      <w:pPr>
        <w:pStyle w:val="Heading1"/>
      </w:pPr>
      <w:bookmarkStart w:id="9" w:name="_Toc46265458"/>
      <w:r w:rsidRPr="00CC6470">
        <w:t>Analysis of the Research</w:t>
      </w:r>
      <w:bookmarkEnd w:id="9"/>
      <w:r w:rsidRPr="00CC6470">
        <w:t xml:space="preserve"> </w:t>
      </w:r>
    </w:p>
    <w:p w14:paraId="347A1706" w14:textId="3F2F13C2" w:rsidR="0018337E" w:rsidRPr="0018337E" w:rsidRDefault="006C77FE" w:rsidP="0018337E">
      <w:pPr>
        <w:spacing w:after="160"/>
        <w:ind w:firstLine="720"/>
        <w:contextualSpacing/>
        <w:rPr>
          <w:color w:val="auto"/>
        </w:rPr>
      </w:pPr>
      <w:r>
        <w:rPr>
          <w:color w:val="auto"/>
        </w:rPr>
        <w:t>A</w:t>
      </w:r>
      <w:r w:rsidRPr="0018337E">
        <w:rPr>
          <w:color w:val="auto"/>
        </w:rPr>
        <w:t xml:space="preserve"> detailed review of 42 studies was conducted </w:t>
      </w:r>
      <w:r>
        <w:rPr>
          <w:color w:val="auto"/>
        </w:rPr>
        <w:t>t</w:t>
      </w:r>
      <w:r w:rsidR="0018337E" w:rsidRPr="0018337E">
        <w:rPr>
          <w:color w:val="auto"/>
        </w:rPr>
        <w:t xml:space="preserve">o understand previous definitions and measurements of AtL as a school readiness construct. Studies were selected whose primary focus was AtL as a central study variable. Studies were limited to those conducted within the past twenty years and published in a peer-reviewed journal. Literature searches were conducted using Google Scholar, ERIC, and </w:t>
      </w:r>
      <w:proofErr w:type="spellStart"/>
      <w:r w:rsidR="0018337E" w:rsidRPr="0018337E">
        <w:rPr>
          <w:color w:val="auto"/>
        </w:rPr>
        <w:t>PsychInfo</w:t>
      </w:r>
      <w:proofErr w:type="spellEnd"/>
      <w:r w:rsidR="0018337E" w:rsidRPr="0018337E">
        <w:rPr>
          <w:color w:val="auto"/>
        </w:rPr>
        <w:t xml:space="preserve">, using the search term “approaches to learning” and limiting results to the preschool age group. </w:t>
      </w:r>
    </w:p>
    <w:p w14:paraId="4AD20956" w14:textId="034B3A19" w:rsidR="0018337E" w:rsidRPr="0018337E" w:rsidRDefault="0018337E" w:rsidP="0018337E">
      <w:pPr>
        <w:spacing w:after="160"/>
        <w:ind w:firstLine="720"/>
        <w:contextualSpacing/>
        <w:rPr>
          <w:color w:val="auto"/>
        </w:rPr>
      </w:pPr>
      <w:r w:rsidRPr="0018337E">
        <w:rPr>
          <w:color w:val="auto"/>
        </w:rPr>
        <w:lastRenderedPageBreak/>
        <w:t xml:space="preserve">The initial query produced over 150 results across search engines. The primary focus was on the quantitative measurement of AtL, so qualitative and intervention studies were removed. Over 25 studies used the </w:t>
      </w:r>
      <w:r w:rsidR="00CC6470" w:rsidRPr="0018337E">
        <w:rPr>
          <w:color w:val="auto"/>
        </w:rPr>
        <w:t>publicly</w:t>
      </w:r>
      <w:r w:rsidRPr="0018337E">
        <w:rPr>
          <w:color w:val="auto"/>
        </w:rPr>
        <w:t xml:space="preserve"> available Early Childhood Longitudinal Study-Kindergarten (ECLS-K) dataset and the Approaches to Learning Scale in that dataset. These were noted but not included in this analysis because AtL was not the focus o</w:t>
      </w:r>
      <w:r w:rsidR="00491B07">
        <w:rPr>
          <w:color w:val="auto"/>
        </w:rPr>
        <w:t>f</w:t>
      </w:r>
      <w:r w:rsidRPr="0018337E">
        <w:rPr>
          <w:color w:val="auto"/>
        </w:rPr>
        <w:t xml:space="preserve"> the study or because the researchers did not define or operationalize AtL. Similarly, although to a lesser extent, five studies used the Learning Behavior Scale or Preschool Learning Behaviors Scale. These five studies were not included for reasons </w:t>
      </w:r>
      <w:proofErr w:type="gramStart"/>
      <w:r w:rsidRPr="0018337E">
        <w:rPr>
          <w:color w:val="auto"/>
        </w:rPr>
        <w:t>similar to</w:t>
      </w:r>
      <w:proofErr w:type="gramEnd"/>
      <w:r w:rsidRPr="0018337E">
        <w:rPr>
          <w:color w:val="auto"/>
        </w:rPr>
        <w:t xml:space="preserve"> those applied to the ECLS-K studies. There were also cases where the same authors used the same measurement across multiple studies; these are not included in the table but are listed as footnotes. This process resulted in a final total of 42 studies. These results were compiled into a master list (see Appendix A). </w:t>
      </w:r>
    </w:p>
    <w:p w14:paraId="76BCFF02" w14:textId="5FED9A29" w:rsidR="0018337E" w:rsidRPr="0018337E" w:rsidRDefault="0018337E" w:rsidP="0018337E">
      <w:pPr>
        <w:spacing w:after="160"/>
        <w:ind w:firstLine="720"/>
        <w:contextualSpacing/>
        <w:rPr>
          <w:color w:val="auto"/>
        </w:rPr>
      </w:pPr>
      <w:r w:rsidRPr="0018337E">
        <w:rPr>
          <w:color w:val="auto"/>
        </w:rPr>
        <w:t>After the list of studies was generated, the literature and methods sections were reviewed for the definition</w:t>
      </w:r>
      <w:r w:rsidR="00E30C25">
        <w:rPr>
          <w:color w:val="auto"/>
        </w:rPr>
        <w:t>, o</w:t>
      </w:r>
      <w:r w:rsidRPr="0018337E">
        <w:rPr>
          <w:color w:val="auto"/>
        </w:rPr>
        <w:t>perationalization</w:t>
      </w:r>
      <w:r w:rsidR="00E30C25">
        <w:rPr>
          <w:color w:val="auto"/>
        </w:rPr>
        <w:t>, a</w:t>
      </w:r>
      <w:r w:rsidRPr="0018337E">
        <w:rPr>
          <w:color w:val="auto"/>
        </w:rPr>
        <w:t xml:space="preserve">nd measurement instrument used. The exact term the researchers used for AtL was noted in the table, as was how they described the construct. The measure and the subscale descriptions were also included. </w:t>
      </w:r>
      <w:proofErr w:type="gramStart"/>
      <w:r w:rsidR="006C77FE">
        <w:rPr>
          <w:color w:val="auto"/>
        </w:rPr>
        <w:t>In order to</w:t>
      </w:r>
      <w:proofErr w:type="gramEnd"/>
      <w:r w:rsidR="006C77FE">
        <w:rPr>
          <w:color w:val="auto"/>
        </w:rPr>
        <w:t xml:space="preserve"> </w:t>
      </w:r>
      <w:r w:rsidRPr="0018337E">
        <w:rPr>
          <w:color w:val="auto"/>
        </w:rPr>
        <w:t xml:space="preserve">best conceptualize the construct of AtL and differences across studies, charts were created that mapped operationalizations of AtL across social, emotional, behavioral, and cognitive developmental domains. </w:t>
      </w:r>
    </w:p>
    <w:p w14:paraId="7D0D9FAF" w14:textId="0F8BB753" w:rsidR="00CC6470" w:rsidRDefault="0018337E" w:rsidP="00CC6470">
      <w:pPr>
        <w:ind w:firstLine="720"/>
        <w:contextualSpacing/>
        <w:rPr>
          <w:color w:val="auto"/>
        </w:rPr>
      </w:pPr>
      <w:r w:rsidRPr="0018337E">
        <w:rPr>
          <w:color w:val="auto"/>
        </w:rPr>
        <w:t xml:space="preserve">Finally, the measures were examined for similarities across studies. </w:t>
      </w:r>
      <w:proofErr w:type="gramStart"/>
      <w:r w:rsidRPr="0018337E">
        <w:rPr>
          <w:color w:val="auto"/>
        </w:rPr>
        <w:t>Particular areas</w:t>
      </w:r>
      <w:proofErr w:type="gramEnd"/>
      <w:r w:rsidRPr="0018337E">
        <w:rPr>
          <w:color w:val="auto"/>
        </w:rPr>
        <w:t xml:space="preserve"> of mismatch were </w:t>
      </w:r>
      <w:r w:rsidR="006C77FE">
        <w:rPr>
          <w:color w:val="auto"/>
        </w:rPr>
        <w:t xml:space="preserve">detailed. </w:t>
      </w:r>
      <w:r w:rsidRPr="0018337E">
        <w:rPr>
          <w:color w:val="auto"/>
        </w:rPr>
        <w:t>Misalignment between the operationalization and measurement of AtL was first</w:t>
      </w:r>
      <w:r w:rsidR="006C77FE" w:rsidRPr="006C77FE">
        <w:rPr>
          <w:color w:val="auto"/>
        </w:rPr>
        <w:t xml:space="preserve"> </w:t>
      </w:r>
      <w:r w:rsidR="006C77FE">
        <w:rPr>
          <w:color w:val="auto"/>
        </w:rPr>
        <w:t xml:space="preserve">noted </w:t>
      </w:r>
      <w:r w:rsidRPr="0018337E">
        <w:rPr>
          <w:color w:val="auto"/>
        </w:rPr>
        <w:t xml:space="preserve">when researchers operationalized AtL to include aspects of a </w:t>
      </w:r>
      <w:r w:rsidR="006C77FE">
        <w:rPr>
          <w:color w:val="auto"/>
        </w:rPr>
        <w:t>specific</w:t>
      </w:r>
      <w:r w:rsidRPr="0018337E">
        <w:rPr>
          <w:color w:val="auto"/>
        </w:rPr>
        <w:t xml:space="preserve"> area of development but did not measure it in their study. </w:t>
      </w:r>
      <w:r w:rsidR="006C77FE">
        <w:rPr>
          <w:color w:val="auto"/>
        </w:rPr>
        <w:t>Mismatch</w:t>
      </w:r>
      <w:r w:rsidR="00B7725A">
        <w:rPr>
          <w:color w:val="auto"/>
        </w:rPr>
        <w:t xml:space="preserve"> </w:t>
      </w:r>
      <w:r w:rsidR="006C77FE">
        <w:rPr>
          <w:color w:val="auto"/>
        </w:rPr>
        <w:t xml:space="preserve">was also noted </w:t>
      </w:r>
      <w:r w:rsidR="00B7725A">
        <w:rPr>
          <w:color w:val="auto"/>
        </w:rPr>
        <w:t xml:space="preserve">when researchers </w:t>
      </w:r>
      <w:r w:rsidRPr="0018337E">
        <w:rPr>
          <w:color w:val="auto"/>
        </w:rPr>
        <w:t>use</w:t>
      </w:r>
      <w:r w:rsidR="00B7725A">
        <w:rPr>
          <w:color w:val="auto"/>
        </w:rPr>
        <w:t>d</w:t>
      </w:r>
      <w:r w:rsidRPr="0018337E">
        <w:rPr>
          <w:color w:val="auto"/>
        </w:rPr>
        <w:t xml:space="preserve"> the NEGP’s operationalization of AtL </w:t>
      </w:r>
      <w:r w:rsidR="00B7725A">
        <w:rPr>
          <w:color w:val="auto"/>
        </w:rPr>
        <w:t xml:space="preserve">and then </w:t>
      </w:r>
      <w:r w:rsidRPr="0018337E">
        <w:rPr>
          <w:color w:val="auto"/>
        </w:rPr>
        <w:t xml:space="preserve">used a measure that did not include all </w:t>
      </w:r>
      <w:r w:rsidRPr="0018337E">
        <w:rPr>
          <w:color w:val="auto"/>
        </w:rPr>
        <w:lastRenderedPageBreak/>
        <w:t>aspects of the definition. Second, misalignment between conceptualizations was</w:t>
      </w:r>
      <w:r w:rsidR="006C77FE" w:rsidRPr="006C77FE">
        <w:rPr>
          <w:color w:val="auto"/>
        </w:rPr>
        <w:t xml:space="preserve"> </w:t>
      </w:r>
      <w:r w:rsidR="006C77FE">
        <w:rPr>
          <w:color w:val="auto"/>
        </w:rPr>
        <w:t>documented</w:t>
      </w:r>
      <w:r w:rsidRPr="0018337E">
        <w:rPr>
          <w:color w:val="auto"/>
        </w:rPr>
        <w:t xml:space="preserve">, as when the term approaches to learning was measured using </w:t>
      </w:r>
      <w:r w:rsidR="006C77FE">
        <w:rPr>
          <w:color w:val="auto"/>
        </w:rPr>
        <w:t>various</w:t>
      </w:r>
      <w:r w:rsidRPr="0018337E">
        <w:rPr>
          <w:color w:val="auto"/>
        </w:rPr>
        <w:t xml:space="preserve"> measures. Finally, misalignment across measures was</w:t>
      </w:r>
      <w:r w:rsidR="006C77FE" w:rsidRPr="006C77FE">
        <w:rPr>
          <w:color w:val="auto"/>
        </w:rPr>
        <w:t xml:space="preserve"> </w:t>
      </w:r>
      <w:r w:rsidR="006C77FE">
        <w:rPr>
          <w:color w:val="auto"/>
        </w:rPr>
        <w:t>logged</w:t>
      </w:r>
      <w:r w:rsidRPr="0018337E">
        <w:rPr>
          <w:color w:val="auto"/>
        </w:rPr>
        <w:t xml:space="preserve">, e.g., when studies used the same </w:t>
      </w:r>
      <w:r w:rsidR="006C77FE">
        <w:rPr>
          <w:color w:val="auto"/>
        </w:rPr>
        <w:t xml:space="preserve">assessment </w:t>
      </w:r>
      <w:r w:rsidRPr="0018337E">
        <w:rPr>
          <w:color w:val="auto"/>
        </w:rPr>
        <w:t xml:space="preserve">but a different term to describe what was being measured. </w:t>
      </w:r>
    </w:p>
    <w:p w14:paraId="6828BAEB" w14:textId="1980CB8D" w:rsidR="0018337E" w:rsidRPr="00CC6470" w:rsidRDefault="0018337E" w:rsidP="009974B7">
      <w:pPr>
        <w:pStyle w:val="Heading1"/>
      </w:pPr>
      <w:bookmarkStart w:id="10" w:name="_Toc46265459"/>
      <w:r w:rsidRPr="00CC6470">
        <w:t>Inconsistency of Term and Operationalization of Approaches to Learning</w:t>
      </w:r>
      <w:bookmarkEnd w:id="10"/>
    </w:p>
    <w:p w14:paraId="7D97B590" w14:textId="77777777" w:rsidR="0018337E" w:rsidRPr="0018337E" w:rsidRDefault="0018337E" w:rsidP="00CC6470">
      <w:pPr>
        <w:contextualSpacing/>
        <w:rPr>
          <w:color w:val="auto"/>
        </w:rPr>
      </w:pPr>
      <w:r w:rsidRPr="0018337E">
        <w:rPr>
          <w:b/>
          <w:bCs/>
          <w:color w:val="auto"/>
        </w:rPr>
        <w:tab/>
      </w:r>
      <w:r w:rsidRPr="0018337E">
        <w:rPr>
          <w:color w:val="auto"/>
        </w:rPr>
        <w:t xml:space="preserve">Across the 42 studies, there is wide variation in the use and the operationalization of the term Approaches to Learning. Kagan et al. (1995) describe AtL at the core of social/emotional and cognitive interactions, which may account for why it has been defined and operationalized differently across studies. Many studies use elements from these domains; however, given that AtL encompasses how children learn in the classroom, many of the terms and operationalizations also include behavioral aspects. Nonetheless, this wide variation and inconsistency across studies highlight the need for a more precise conceptual framework. </w:t>
      </w:r>
    </w:p>
    <w:p w14:paraId="401D609B" w14:textId="77777777" w:rsidR="0018337E" w:rsidRPr="00CC6470" w:rsidRDefault="0018337E" w:rsidP="00CC6470">
      <w:pPr>
        <w:pStyle w:val="Heading2"/>
      </w:pPr>
      <w:bookmarkStart w:id="11" w:name="_Toc46265460"/>
      <w:r w:rsidRPr="00CC6470">
        <w:t>NEGP’s Definition of Approaches to Learning</w:t>
      </w:r>
      <w:bookmarkEnd w:id="11"/>
      <w:r w:rsidRPr="00CC6470">
        <w:t xml:space="preserve"> </w:t>
      </w:r>
    </w:p>
    <w:p w14:paraId="420FE78F" w14:textId="00CDFB53" w:rsidR="0018337E" w:rsidRPr="0018337E" w:rsidRDefault="0018337E" w:rsidP="0018337E">
      <w:pPr>
        <w:spacing w:after="160"/>
        <w:ind w:firstLine="720"/>
        <w:contextualSpacing/>
        <w:rPr>
          <w:color w:val="auto"/>
        </w:rPr>
      </w:pPr>
      <w:r w:rsidRPr="0018337E">
        <w:rPr>
          <w:color w:val="auto"/>
        </w:rPr>
        <w:t xml:space="preserve">AtL has been described as a set of domain-general skills </w:t>
      </w:r>
      <w:r w:rsidR="009A6864" w:rsidRPr="009A6864">
        <w:t xml:space="preserve">(Bustamante, White, &amp; Greenfield, 2017; McDermott, </w:t>
      </w:r>
      <w:proofErr w:type="spellStart"/>
      <w:r w:rsidR="009A6864" w:rsidRPr="009A6864">
        <w:t>Rikoon</w:t>
      </w:r>
      <w:proofErr w:type="spellEnd"/>
      <w:r w:rsidR="009A6864" w:rsidRPr="009A6864">
        <w:t xml:space="preserve">, &amp; </w:t>
      </w:r>
      <w:proofErr w:type="spellStart"/>
      <w:r w:rsidR="009A6864" w:rsidRPr="009A6864">
        <w:t>Fantuzzo</w:t>
      </w:r>
      <w:proofErr w:type="spellEnd"/>
      <w:r w:rsidR="009A6864" w:rsidRPr="009A6864">
        <w:t>, 2014)</w:t>
      </w:r>
      <w:r w:rsidRPr="0018337E">
        <w:rPr>
          <w:color w:val="auto"/>
        </w:rPr>
        <w:t xml:space="preserve">. As such, AtL explains </w:t>
      </w:r>
      <w:r w:rsidRPr="0018337E">
        <w:rPr>
          <w:i/>
          <w:color w:val="auto"/>
        </w:rPr>
        <w:t>how</w:t>
      </w:r>
      <w:r w:rsidRPr="0018337E">
        <w:rPr>
          <w:color w:val="auto"/>
        </w:rPr>
        <w:t xml:space="preserve"> children learn, rather than how well they learn </w:t>
      </w:r>
      <w:r w:rsidR="009A6864" w:rsidRPr="009A6864">
        <w:t>(</w:t>
      </w:r>
      <w:proofErr w:type="spellStart"/>
      <w:r w:rsidR="009A6864" w:rsidRPr="009A6864">
        <w:t>Razza</w:t>
      </w:r>
      <w:proofErr w:type="spellEnd"/>
      <w:r w:rsidR="009A6864" w:rsidRPr="009A6864">
        <w:t>, Martin, &amp; Brooks-Gunn, 2015)</w:t>
      </w:r>
      <w:r w:rsidRPr="0018337E">
        <w:rPr>
          <w:color w:val="auto"/>
        </w:rPr>
        <w:t xml:space="preserve">. The NEGP described AtL as an umbrella term covering “a range of attitudes, habits and learning styles” </w:t>
      </w:r>
      <w:r w:rsidR="009A6864" w:rsidRPr="009A6864">
        <w:t>(Kagan et al., 1995, p. 23)</w:t>
      </w:r>
      <w:r w:rsidRPr="0018337E">
        <w:rPr>
          <w:color w:val="auto"/>
        </w:rPr>
        <w:t xml:space="preserve">. AtL represents children’s disposition or willingness to engage in the learning process. In summarizing AtL, Kagan describes it as the scaffolding frame of a child’s entire being, highlighting its importance and foundational role in developing children’s learning and approach to school. </w:t>
      </w:r>
    </w:p>
    <w:p w14:paraId="77333D33" w14:textId="20DE8125" w:rsidR="0018337E" w:rsidRPr="0018337E" w:rsidRDefault="0018337E" w:rsidP="00CC6470">
      <w:pPr>
        <w:ind w:firstLine="720"/>
        <w:contextualSpacing/>
        <w:rPr>
          <w:color w:val="auto"/>
        </w:rPr>
      </w:pPr>
      <w:r w:rsidRPr="0018337E">
        <w:rPr>
          <w:color w:val="auto"/>
        </w:rPr>
        <w:t xml:space="preserve">In their description of AtL, the NEGP included the following: openness to and curiosity about new tasks and challenges; initiative, task persistence, and attentiveness; approach to </w:t>
      </w:r>
      <w:r w:rsidRPr="0018337E">
        <w:rPr>
          <w:color w:val="auto"/>
        </w:rPr>
        <w:lastRenderedPageBreak/>
        <w:t xml:space="preserve">reflection and interpretation; capacity for invention and imagination; and cognitive approaches to tasks </w:t>
      </w:r>
      <w:r w:rsidR="009A6864" w:rsidRPr="009A6864">
        <w:t>(Kagan et al., 1995, p. 23)</w:t>
      </w:r>
      <w:r w:rsidRPr="0018337E">
        <w:rPr>
          <w:color w:val="auto"/>
        </w:rPr>
        <w:t xml:space="preserve">. Children’s openness and curiosity drive knowledge acquisition and exploration of the unknown. Curiosity </w:t>
      </w:r>
      <w:r w:rsidR="00491B07">
        <w:rPr>
          <w:color w:val="auto"/>
        </w:rPr>
        <w:t xml:space="preserve">aids </w:t>
      </w:r>
      <w:r w:rsidRPr="0018337E">
        <w:rPr>
          <w:color w:val="auto"/>
        </w:rPr>
        <w:t xml:space="preserve">children to </w:t>
      </w:r>
      <w:r w:rsidR="00491B07">
        <w:rPr>
          <w:color w:val="auto"/>
        </w:rPr>
        <w:t xml:space="preserve">explore or </w:t>
      </w:r>
      <w:r w:rsidRPr="0018337E">
        <w:rPr>
          <w:color w:val="auto"/>
        </w:rPr>
        <w:t>manipulat</w:t>
      </w:r>
      <w:r w:rsidR="00E30C25">
        <w:rPr>
          <w:color w:val="auto"/>
        </w:rPr>
        <w:t>e</w:t>
      </w:r>
      <w:r w:rsidRPr="0018337E">
        <w:rPr>
          <w:color w:val="auto"/>
        </w:rPr>
        <w:t xml:space="preserve"> objects</w:t>
      </w:r>
      <w:r w:rsidR="00491B07">
        <w:rPr>
          <w:color w:val="auto"/>
        </w:rPr>
        <w:t xml:space="preserve">, while initiative encourages children to ask questions about their </w:t>
      </w:r>
      <w:r w:rsidR="00624673">
        <w:rPr>
          <w:color w:val="auto"/>
        </w:rPr>
        <w:t>investig</w:t>
      </w:r>
      <w:r w:rsidR="00491B07">
        <w:rPr>
          <w:color w:val="auto"/>
        </w:rPr>
        <w:t>ations</w:t>
      </w:r>
      <w:r w:rsidR="009D02CF">
        <w:rPr>
          <w:color w:val="auto"/>
        </w:rPr>
        <w:t xml:space="preserve"> or try out difficult tasks</w:t>
      </w:r>
      <w:r w:rsidR="00491B07">
        <w:rPr>
          <w:color w:val="auto"/>
        </w:rPr>
        <w:t>.</w:t>
      </w:r>
      <w:r w:rsidR="007C1CBE">
        <w:rPr>
          <w:color w:val="auto"/>
        </w:rPr>
        <w:t xml:space="preserve"> </w:t>
      </w:r>
      <w:r w:rsidR="00491B07">
        <w:rPr>
          <w:color w:val="auto"/>
        </w:rPr>
        <w:t xml:space="preserve">Task persistence </w:t>
      </w:r>
      <w:r w:rsidRPr="0018337E">
        <w:rPr>
          <w:color w:val="auto"/>
        </w:rPr>
        <w:t>helps support children’s ability to follow through on plans. While playing with blocks, for example, children may seek to create a tall structure, which will require them to</w:t>
      </w:r>
      <w:r w:rsidR="00591007">
        <w:rPr>
          <w:color w:val="auto"/>
        </w:rPr>
        <w:t xml:space="preserve"> </w:t>
      </w:r>
      <w:r w:rsidR="00624673">
        <w:rPr>
          <w:color w:val="auto"/>
        </w:rPr>
        <w:t>rebuild when blocks fall continually</w:t>
      </w:r>
      <w:r w:rsidRPr="0018337E">
        <w:rPr>
          <w:color w:val="auto"/>
        </w:rPr>
        <w:t>. They must also remain attentive to building structures amid possible distractions, like peers who want to develop different structures or a different set of toys. Reflection and interpretation include problem-solving, the ability to understand what is happening, what went wrong, and ways to fix the issue. Kagan et al. highlight the importance of imagination and invention to children’s learning because the ability to create, combine new ideas</w:t>
      </w:r>
      <w:r w:rsidR="00624673">
        <w:rPr>
          <w:color w:val="auto"/>
        </w:rPr>
        <w:t>,</w:t>
      </w:r>
      <w:r w:rsidRPr="0018337E">
        <w:rPr>
          <w:color w:val="auto"/>
        </w:rPr>
        <w:t xml:space="preserve"> or push past more traditional ways of thin</w:t>
      </w:r>
      <w:r w:rsidR="009D02CF">
        <w:rPr>
          <w:color w:val="auto"/>
        </w:rPr>
        <w:t>king</w:t>
      </w:r>
      <w:r w:rsidRPr="0018337E">
        <w:rPr>
          <w:color w:val="auto"/>
        </w:rPr>
        <w:t xml:space="preserve"> </w:t>
      </w:r>
      <w:r w:rsidR="00591007">
        <w:rPr>
          <w:color w:val="auto"/>
        </w:rPr>
        <w:t xml:space="preserve">are </w:t>
      </w:r>
      <w:r w:rsidRPr="0018337E">
        <w:rPr>
          <w:color w:val="auto"/>
        </w:rPr>
        <w:t xml:space="preserve">often tempered by cultural and school influences. Kagan’s final category is cognitive approaches to tasks, which includes how children process information (orally, visually, etc.). </w:t>
      </w:r>
    </w:p>
    <w:p w14:paraId="03BFCF15" w14:textId="77777777" w:rsidR="0018337E" w:rsidRPr="0018337E" w:rsidRDefault="0018337E" w:rsidP="00CC6470">
      <w:pPr>
        <w:pStyle w:val="Heading2"/>
      </w:pPr>
      <w:bookmarkStart w:id="12" w:name="_Toc46265461"/>
      <w:r w:rsidRPr="0018337E">
        <w:t>Inconsistency of Term Use</w:t>
      </w:r>
      <w:bookmarkEnd w:id="12"/>
      <w:r w:rsidRPr="0018337E">
        <w:t xml:space="preserve"> </w:t>
      </w:r>
    </w:p>
    <w:p w14:paraId="70780E5A" w14:textId="36E48E05" w:rsidR="0018337E" w:rsidRPr="0018337E" w:rsidRDefault="0018337E" w:rsidP="0018337E">
      <w:pPr>
        <w:spacing w:after="160"/>
        <w:ind w:firstLine="720"/>
        <w:contextualSpacing/>
        <w:rPr>
          <w:color w:val="auto"/>
        </w:rPr>
      </w:pPr>
      <w:r w:rsidRPr="0018337E">
        <w:rPr>
          <w:color w:val="auto"/>
        </w:rPr>
        <w:t xml:space="preserve">As evident in </w:t>
      </w:r>
      <w:r w:rsidR="004F463A">
        <w:rPr>
          <w:color w:val="auto"/>
        </w:rPr>
        <w:t>Appendix A</w:t>
      </w:r>
      <w:r w:rsidRPr="0018337E">
        <w:rPr>
          <w:color w:val="auto"/>
        </w:rPr>
        <w:t xml:space="preserve">, many of the 42 studies used the term Approaches to Learning, although this was not consistent. </w:t>
      </w:r>
      <w:r w:rsidR="00624673">
        <w:rPr>
          <w:color w:val="auto"/>
        </w:rPr>
        <w:t>T</w:t>
      </w:r>
      <w:r w:rsidRPr="0018337E">
        <w:rPr>
          <w:color w:val="auto"/>
        </w:rPr>
        <w:t xml:space="preserve">here were </w:t>
      </w:r>
      <w:r w:rsidR="00591007">
        <w:rPr>
          <w:color w:val="auto"/>
        </w:rPr>
        <w:t>17</w:t>
      </w:r>
      <w:r w:rsidRPr="0018337E">
        <w:rPr>
          <w:color w:val="auto"/>
        </w:rPr>
        <w:t xml:space="preserve"> different terms for AtL</w:t>
      </w:r>
      <w:r w:rsidR="00624673">
        <w:rPr>
          <w:color w:val="auto"/>
        </w:rPr>
        <w:t xml:space="preserve"> </w:t>
      </w:r>
      <w:r w:rsidRPr="0018337E">
        <w:rPr>
          <w:color w:val="auto"/>
        </w:rPr>
        <w:t>reflect</w:t>
      </w:r>
      <w:r w:rsidR="00624673">
        <w:rPr>
          <w:color w:val="auto"/>
        </w:rPr>
        <w:t>ing</w:t>
      </w:r>
      <w:r w:rsidRPr="0018337E">
        <w:rPr>
          <w:color w:val="auto"/>
        </w:rPr>
        <w:t xml:space="preserve"> how AtL may be categorized as a behavior, skill, or disposition. Other terms were broader, </w:t>
      </w:r>
      <w:r w:rsidR="00624673">
        <w:rPr>
          <w:color w:val="auto"/>
        </w:rPr>
        <w:t>e.g.</w:t>
      </w:r>
      <w:r w:rsidR="000B4B73">
        <w:rPr>
          <w:color w:val="auto"/>
        </w:rPr>
        <w:t>,</w:t>
      </w:r>
      <w:r w:rsidR="00624673">
        <w:rPr>
          <w:color w:val="auto"/>
        </w:rPr>
        <w:t xml:space="preserve"> </w:t>
      </w:r>
      <w:r w:rsidRPr="0018337E">
        <w:rPr>
          <w:color w:val="auto"/>
        </w:rPr>
        <w:t>Doctoroff, Fisher, Burrows, and Edman</w:t>
      </w:r>
      <w:r w:rsidR="00624673">
        <w:rPr>
          <w:color w:val="auto"/>
        </w:rPr>
        <w:t>'s</w:t>
      </w:r>
      <w:r w:rsidRPr="0018337E">
        <w:rPr>
          <w:color w:val="auto"/>
        </w:rPr>
        <w:t xml:space="preserve"> </w:t>
      </w:r>
      <w:r w:rsidR="009A6864" w:rsidRPr="009A6864">
        <w:t>(2016)</w:t>
      </w:r>
      <w:r w:rsidR="00624673">
        <w:t xml:space="preserve"> </w:t>
      </w:r>
      <w:r w:rsidR="00624673">
        <w:rPr>
          <w:color w:val="auto"/>
        </w:rPr>
        <w:t xml:space="preserve">term, </w:t>
      </w:r>
      <w:r w:rsidR="00591007">
        <w:rPr>
          <w:color w:val="auto"/>
        </w:rPr>
        <w:t>g</w:t>
      </w:r>
      <w:r w:rsidRPr="0018337E">
        <w:rPr>
          <w:color w:val="auto"/>
        </w:rPr>
        <w:t xml:space="preserve">lobal interest. Finally, other studies have used the term engagement—either school or classroom engagement. These terms could encompass behaviors, strategies, or internal drives that encourage children to go about learning in the classroom. </w:t>
      </w:r>
    </w:p>
    <w:p w14:paraId="48CB759A" w14:textId="380E2022" w:rsidR="0018337E" w:rsidRPr="0018337E" w:rsidRDefault="0018337E" w:rsidP="00CC6470">
      <w:pPr>
        <w:ind w:firstLine="720"/>
        <w:contextualSpacing/>
        <w:rPr>
          <w:color w:val="auto"/>
        </w:rPr>
      </w:pPr>
      <w:r w:rsidRPr="0018337E">
        <w:rPr>
          <w:color w:val="auto"/>
        </w:rPr>
        <w:lastRenderedPageBreak/>
        <w:t xml:space="preserve">Many studies described AtL as a behavior, either a learning-related behavior or behavioral engagement </w:t>
      </w:r>
      <w:r w:rsidR="009A6864" w:rsidRPr="009A6864">
        <w:t>(</w:t>
      </w:r>
      <w:proofErr w:type="spellStart"/>
      <w:r w:rsidR="009A6864" w:rsidRPr="009A6864">
        <w:t>Abenavoli</w:t>
      </w:r>
      <w:proofErr w:type="spellEnd"/>
      <w:r w:rsidR="009A6864" w:rsidRPr="009A6864">
        <w:t xml:space="preserve">, Greenberg, &amp; Bierman, 2017; Brock, </w:t>
      </w:r>
      <w:proofErr w:type="spellStart"/>
      <w:r w:rsidR="009A6864" w:rsidRPr="009A6864">
        <w:t>Rimm</w:t>
      </w:r>
      <w:proofErr w:type="spellEnd"/>
      <w:r w:rsidR="009A6864" w:rsidRPr="009A6864">
        <w:t>-Kaufman, Nathanson, &amp; Grimm, 2009)</w:t>
      </w:r>
      <w:r w:rsidRPr="0018337E">
        <w:rPr>
          <w:color w:val="auto"/>
        </w:rPr>
        <w:t xml:space="preserve">. These behaviors were adaptive </w:t>
      </w:r>
      <w:r w:rsidR="009A6864" w:rsidRPr="009A6864">
        <w:t>(</w:t>
      </w:r>
      <w:proofErr w:type="spellStart"/>
      <w:r w:rsidR="009A6864" w:rsidRPr="009A6864">
        <w:t>Sandilos</w:t>
      </w:r>
      <w:proofErr w:type="spellEnd"/>
      <w:r w:rsidR="009A6864" w:rsidRPr="009A6864">
        <w:t xml:space="preserve">, Whittaker, </w:t>
      </w:r>
      <w:proofErr w:type="spellStart"/>
      <w:r w:rsidR="009A6864" w:rsidRPr="009A6864">
        <w:t>Vitiello</w:t>
      </w:r>
      <w:proofErr w:type="spellEnd"/>
      <w:r w:rsidR="009A6864" w:rsidRPr="009A6864">
        <w:t xml:space="preserve">, &amp; Kinzie, 2019; Sasser, Bierman, &amp; Heinrichs, 2015; </w:t>
      </w:r>
      <w:proofErr w:type="spellStart"/>
      <w:r w:rsidR="009A6864" w:rsidRPr="009A6864">
        <w:t>Vitiello</w:t>
      </w:r>
      <w:proofErr w:type="spellEnd"/>
      <w:r w:rsidR="009A6864" w:rsidRPr="009A6864">
        <w:t>, Greenfield, Munis, &amp; George, 2011)</w:t>
      </w:r>
      <w:r w:rsidRPr="0018337E">
        <w:rPr>
          <w:color w:val="auto"/>
        </w:rPr>
        <w:t xml:space="preserve"> or </w:t>
      </w:r>
      <w:proofErr w:type="gramStart"/>
      <w:r w:rsidRPr="0018337E">
        <w:rPr>
          <w:color w:val="auto"/>
        </w:rPr>
        <w:t>learning-related</w:t>
      </w:r>
      <w:proofErr w:type="gramEnd"/>
      <w:r w:rsidRPr="0018337E">
        <w:rPr>
          <w:color w:val="auto"/>
        </w:rPr>
        <w:t xml:space="preserve"> </w:t>
      </w:r>
      <w:r w:rsidR="009A6864" w:rsidRPr="009A6864">
        <w:t xml:space="preserve">(Sung &amp; </w:t>
      </w:r>
      <w:proofErr w:type="spellStart"/>
      <w:r w:rsidR="009A6864" w:rsidRPr="009A6864">
        <w:t>Wickrama</w:t>
      </w:r>
      <w:proofErr w:type="spellEnd"/>
      <w:r w:rsidR="009A6864" w:rsidRPr="009A6864">
        <w:t>, 2018)</w:t>
      </w:r>
      <w:r w:rsidRPr="0018337E">
        <w:rPr>
          <w:color w:val="auto"/>
        </w:rPr>
        <w:t xml:space="preserve">. Others characterized it as a capacity </w:t>
      </w:r>
      <w:r w:rsidR="009A6864" w:rsidRPr="009A6864">
        <w:t xml:space="preserve">(Bierman, Torres, </w:t>
      </w:r>
      <w:proofErr w:type="spellStart"/>
      <w:r w:rsidR="009A6864" w:rsidRPr="009A6864">
        <w:t>Domitrovich</w:t>
      </w:r>
      <w:proofErr w:type="spellEnd"/>
      <w:r w:rsidR="009A6864" w:rsidRPr="009A6864">
        <w:t>, Welsh, &amp; Gest, 2009)</w:t>
      </w:r>
      <w:r w:rsidRPr="0018337E">
        <w:rPr>
          <w:color w:val="auto"/>
        </w:rPr>
        <w:t xml:space="preserve"> or skill </w:t>
      </w:r>
      <w:r w:rsidR="009A6864" w:rsidRPr="009A6864">
        <w:t>(Bustamante et al., 2017)</w:t>
      </w:r>
      <w:r w:rsidRPr="0018337E">
        <w:rPr>
          <w:color w:val="auto"/>
        </w:rPr>
        <w:t xml:space="preserve">. Daniels </w:t>
      </w:r>
      <w:r w:rsidR="009A6864" w:rsidRPr="009A6864">
        <w:t>(2014)</w:t>
      </w:r>
      <w:r w:rsidRPr="0018337E">
        <w:rPr>
          <w:color w:val="auto"/>
        </w:rPr>
        <w:t xml:space="preserve"> described it as an affective orientation, which is </w:t>
      </w:r>
      <w:proofErr w:type="gramStart"/>
      <w:r w:rsidRPr="0018337E">
        <w:rPr>
          <w:color w:val="auto"/>
        </w:rPr>
        <w:t>similar to</w:t>
      </w:r>
      <w:proofErr w:type="gramEnd"/>
      <w:r w:rsidRPr="0018337E">
        <w:rPr>
          <w:color w:val="auto"/>
        </w:rPr>
        <w:t xml:space="preserve"> Halliday et al.’s </w:t>
      </w:r>
      <w:r w:rsidR="009A6864" w:rsidRPr="009A6864">
        <w:t>(2018)</w:t>
      </w:r>
      <w:r w:rsidRPr="0018337E">
        <w:rPr>
          <w:color w:val="auto"/>
        </w:rPr>
        <w:t xml:space="preserve"> depiction of AtL as the behavioral, cognitive, and </w:t>
      </w:r>
      <w:r w:rsidR="000B4B73">
        <w:rPr>
          <w:color w:val="auto"/>
        </w:rPr>
        <w:t>emotional</w:t>
      </w:r>
      <w:r w:rsidRPr="0018337E">
        <w:rPr>
          <w:color w:val="auto"/>
        </w:rPr>
        <w:t xml:space="preserve"> result of internal drives. Finally, other characterizations include dispositions </w:t>
      </w:r>
      <w:r w:rsidR="009A6864" w:rsidRPr="009A6864">
        <w:t xml:space="preserve">(McCoy, Connors, Morris, Yoshikawa, &amp; Friedman-Krauss, 2015; Sung &amp; </w:t>
      </w:r>
      <w:proofErr w:type="spellStart"/>
      <w:r w:rsidR="009A6864" w:rsidRPr="009A6864">
        <w:t>Wickrama</w:t>
      </w:r>
      <w:proofErr w:type="spellEnd"/>
      <w:r w:rsidR="009A6864" w:rsidRPr="009A6864">
        <w:t xml:space="preserve">, 2018; </w:t>
      </w:r>
      <w:proofErr w:type="spellStart"/>
      <w:r w:rsidR="009A6864" w:rsidRPr="009A6864">
        <w:t>Vitiello</w:t>
      </w:r>
      <w:proofErr w:type="spellEnd"/>
      <w:r w:rsidR="009A6864" w:rsidRPr="009A6864">
        <w:t xml:space="preserve"> &amp; Greenfield, 2017)</w:t>
      </w:r>
      <w:r w:rsidRPr="0018337E">
        <w:rPr>
          <w:color w:val="auto"/>
        </w:rPr>
        <w:t xml:space="preserve">. This </w:t>
      </w:r>
      <w:r w:rsidR="00591007">
        <w:rPr>
          <w:color w:val="auto"/>
        </w:rPr>
        <w:t xml:space="preserve">term </w:t>
      </w:r>
      <w:r w:rsidRPr="0018337E">
        <w:rPr>
          <w:color w:val="auto"/>
        </w:rPr>
        <w:t xml:space="preserve">highlights </w:t>
      </w:r>
      <w:proofErr w:type="spellStart"/>
      <w:r w:rsidRPr="0018337E">
        <w:rPr>
          <w:color w:val="auto"/>
        </w:rPr>
        <w:t>AtL’s</w:t>
      </w:r>
      <w:proofErr w:type="spellEnd"/>
      <w:r w:rsidRPr="0018337E">
        <w:rPr>
          <w:color w:val="auto"/>
        </w:rPr>
        <w:t xml:space="preserve"> capacity to be learned or changed. </w:t>
      </w:r>
    </w:p>
    <w:p w14:paraId="406B65CB" w14:textId="77777777" w:rsidR="0018337E" w:rsidRPr="0018337E" w:rsidRDefault="0018337E" w:rsidP="00CC6470">
      <w:pPr>
        <w:pStyle w:val="Heading2"/>
      </w:pPr>
      <w:bookmarkStart w:id="13" w:name="_Toc46265462"/>
      <w:r w:rsidRPr="0018337E">
        <w:t>Inconsistency Across Operationalization</w:t>
      </w:r>
      <w:bookmarkEnd w:id="13"/>
      <w:r w:rsidRPr="0018337E">
        <w:t xml:space="preserve"> </w:t>
      </w:r>
    </w:p>
    <w:p w14:paraId="732CF635" w14:textId="19646004" w:rsidR="0018337E" w:rsidRPr="0018337E" w:rsidRDefault="0018337E" w:rsidP="0018337E">
      <w:pPr>
        <w:spacing w:after="160"/>
        <w:ind w:firstLine="720"/>
        <w:contextualSpacing/>
        <w:rPr>
          <w:color w:val="auto"/>
        </w:rPr>
      </w:pPr>
      <w:r w:rsidRPr="0018337E">
        <w:rPr>
          <w:color w:val="auto"/>
        </w:rPr>
        <w:t xml:space="preserve">In the studies selected for this review, there is a wide range of over 75 attributes listed for AtL </w:t>
      </w:r>
      <w:r w:rsidRPr="00B7725A">
        <w:rPr>
          <w:color w:val="auto"/>
        </w:rPr>
        <w:t xml:space="preserve">(See Table </w:t>
      </w:r>
      <w:r w:rsidR="00F315A5" w:rsidRPr="00B7725A">
        <w:rPr>
          <w:color w:val="auto"/>
        </w:rPr>
        <w:t>1</w:t>
      </w:r>
      <w:r w:rsidRPr="00B7725A">
        <w:rPr>
          <w:color w:val="auto"/>
        </w:rPr>
        <w:t>).</w:t>
      </w:r>
      <w:r w:rsidRPr="0018337E">
        <w:rPr>
          <w:color w:val="auto"/>
        </w:rPr>
        <w:t xml:space="preserve"> Twelve researchers used a definition closely aligned with the NEGP. </w:t>
      </w:r>
      <w:proofErr w:type="spellStart"/>
      <w:r w:rsidRPr="0018337E">
        <w:rPr>
          <w:color w:val="auto"/>
        </w:rPr>
        <w:t>Barbu</w:t>
      </w:r>
      <w:proofErr w:type="spellEnd"/>
      <w:r w:rsidRPr="0018337E">
        <w:rPr>
          <w:color w:val="auto"/>
        </w:rPr>
        <w:t xml:space="preserve">, </w:t>
      </w:r>
      <w:proofErr w:type="spellStart"/>
      <w:r w:rsidRPr="0018337E">
        <w:rPr>
          <w:color w:val="auto"/>
        </w:rPr>
        <w:t>Yaden</w:t>
      </w:r>
      <w:proofErr w:type="spellEnd"/>
      <w:r w:rsidRPr="0018337E">
        <w:rPr>
          <w:color w:val="auto"/>
        </w:rPr>
        <w:t>, Levine-</w:t>
      </w:r>
      <w:proofErr w:type="spellStart"/>
      <w:r w:rsidRPr="0018337E">
        <w:rPr>
          <w:color w:val="auto"/>
        </w:rPr>
        <w:t>Donnerstein</w:t>
      </w:r>
      <w:proofErr w:type="spellEnd"/>
      <w:r w:rsidRPr="0018337E">
        <w:rPr>
          <w:color w:val="auto"/>
        </w:rPr>
        <w:t xml:space="preserve">, </w:t>
      </w:r>
      <w:r w:rsidR="00C827DE">
        <w:rPr>
          <w:color w:val="auto"/>
        </w:rPr>
        <w:t>and</w:t>
      </w:r>
      <w:r w:rsidRPr="0018337E">
        <w:rPr>
          <w:color w:val="auto"/>
        </w:rPr>
        <w:t xml:space="preserve"> Marx </w:t>
      </w:r>
      <w:r w:rsidR="009A6864" w:rsidRPr="009A6864">
        <w:t>(2015)</w:t>
      </w:r>
      <w:r w:rsidRPr="0018337E">
        <w:rPr>
          <w:color w:val="auto"/>
        </w:rPr>
        <w:t xml:space="preserve">, Hair et al. </w:t>
      </w:r>
      <w:r w:rsidR="009A6864" w:rsidRPr="009A6864">
        <w:t>(2006)</w:t>
      </w:r>
      <w:r w:rsidRPr="0018337E">
        <w:rPr>
          <w:color w:val="auto"/>
        </w:rPr>
        <w:t xml:space="preserve">, and </w:t>
      </w:r>
      <w:proofErr w:type="spellStart"/>
      <w:r w:rsidRPr="0018337E">
        <w:rPr>
          <w:color w:val="auto"/>
        </w:rPr>
        <w:t>Bulotsky</w:t>
      </w:r>
      <w:proofErr w:type="spellEnd"/>
      <w:r w:rsidRPr="0018337E">
        <w:rPr>
          <w:color w:val="auto"/>
        </w:rPr>
        <w:t>-Shearer, Fernandez, Dominguez</w:t>
      </w:r>
      <w:r w:rsidR="000B4B73">
        <w:rPr>
          <w:color w:val="auto"/>
        </w:rPr>
        <w:t>,</w:t>
      </w:r>
      <w:r w:rsidRPr="0018337E">
        <w:rPr>
          <w:color w:val="auto"/>
        </w:rPr>
        <w:t xml:space="preserve"> and Rouse </w:t>
      </w:r>
      <w:r w:rsidR="009A6864" w:rsidRPr="009A6864">
        <w:t>(2011)</w:t>
      </w:r>
      <w:r w:rsidRPr="0018337E">
        <w:rPr>
          <w:color w:val="auto"/>
        </w:rPr>
        <w:t xml:space="preserve"> used problem-solving skills instead of openness to reflection and interpretation. Other researchers added aspects to this definition or only focused on a few of the dimensions. Across studies, </w:t>
      </w:r>
      <w:proofErr w:type="spellStart"/>
      <w:r w:rsidRPr="0018337E">
        <w:rPr>
          <w:color w:val="auto"/>
        </w:rPr>
        <w:t>Bustamente</w:t>
      </w:r>
      <w:proofErr w:type="spellEnd"/>
      <w:r w:rsidRPr="0018337E">
        <w:rPr>
          <w:color w:val="auto"/>
        </w:rPr>
        <w:t xml:space="preserve"> </w:t>
      </w:r>
      <w:r w:rsidR="000B4B73">
        <w:rPr>
          <w:color w:val="auto"/>
        </w:rPr>
        <w:t>combin</w:t>
      </w:r>
      <w:r w:rsidRPr="0018337E">
        <w:rPr>
          <w:color w:val="auto"/>
        </w:rPr>
        <w:t xml:space="preserve">ed aspects of peer interaction (i.e., 2018, 2019), and similarly, Daniels </w:t>
      </w:r>
      <w:r w:rsidR="009A6864" w:rsidRPr="009A6864">
        <w:t>(2014)</w:t>
      </w:r>
      <w:r w:rsidRPr="0018337E">
        <w:rPr>
          <w:color w:val="auto"/>
        </w:rPr>
        <w:t xml:space="preserve"> added interpersonal responsiveness. Meng </w:t>
      </w:r>
      <w:r w:rsidR="009A6864" w:rsidRPr="009A6864">
        <w:t>(2015)</w:t>
      </w:r>
      <w:r w:rsidRPr="0018337E">
        <w:rPr>
          <w:color w:val="auto"/>
        </w:rPr>
        <w:t xml:space="preserve"> only included initiative, engagement, and persistence, while Reid, </w:t>
      </w:r>
      <w:proofErr w:type="spellStart"/>
      <w:r w:rsidRPr="0018337E">
        <w:rPr>
          <w:color w:val="auto"/>
        </w:rPr>
        <w:t>Diperna</w:t>
      </w:r>
      <w:proofErr w:type="spellEnd"/>
      <w:r w:rsidRPr="0018337E">
        <w:rPr>
          <w:color w:val="auto"/>
        </w:rPr>
        <w:t xml:space="preserve">, </w:t>
      </w:r>
      <w:proofErr w:type="spellStart"/>
      <w:r w:rsidRPr="0018337E">
        <w:rPr>
          <w:color w:val="auto"/>
        </w:rPr>
        <w:t>Missall</w:t>
      </w:r>
      <w:proofErr w:type="spellEnd"/>
      <w:r w:rsidR="000B4B73">
        <w:rPr>
          <w:color w:val="auto"/>
        </w:rPr>
        <w:t>,</w:t>
      </w:r>
      <w:r w:rsidRPr="0018337E">
        <w:rPr>
          <w:color w:val="auto"/>
        </w:rPr>
        <w:t xml:space="preserve"> and Volpe </w:t>
      </w:r>
      <w:r w:rsidR="009A6864" w:rsidRPr="009A6864">
        <w:t>(2014)</w:t>
      </w:r>
      <w:r w:rsidRPr="0018337E">
        <w:rPr>
          <w:color w:val="auto"/>
        </w:rPr>
        <w:t xml:space="preserve"> included openness, task persistence, and imagination. Robinson </w:t>
      </w:r>
      <w:r w:rsidR="009A6864" w:rsidRPr="009A6864">
        <w:t>(2013)</w:t>
      </w:r>
      <w:r w:rsidRPr="0018337E">
        <w:rPr>
          <w:color w:val="auto"/>
        </w:rPr>
        <w:t xml:space="preserve"> included selecting challenging tasks (initiative), exerting intense effort (persistence), and concentration (attention). </w:t>
      </w:r>
      <w:proofErr w:type="spellStart"/>
      <w:r w:rsidRPr="0018337E">
        <w:rPr>
          <w:color w:val="auto"/>
        </w:rPr>
        <w:t>Vitiello</w:t>
      </w:r>
      <w:proofErr w:type="spellEnd"/>
      <w:r w:rsidRPr="0018337E">
        <w:rPr>
          <w:color w:val="auto"/>
        </w:rPr>
        <w:t xml:space="preserve"> et al. </w:t>
      </w:r>
      <w:r w:rsidR="009A6864" w:rsidRPr="009A6864">
        <w:t>(2011)</w:t>
      </w:r>
      <w:r w:rsidRPr="0018337E">
        <w:rPr>
          <w:color w:val="auto"/>
        </w:rPr>
        <w:t xml:space="preserve"> added motivation and positive disposition towards learning to </w:t>
      </w:r>
      <w:r w:rsidRPr="0018337E">
        <w:rPr>
          <w:color w:val="auto"/>
        </w:rPr>
        <w:lastRenderedPageBreak/>
        <w:t xml:space="preserve">persistence and frustration tolerance, while Chen and McNamee </w:t>
      </w:r>
      <w:r w:rsidR="009A6864" w:rsidRPr="009A6864">
        <w:t>(2011)</w:t>
      </w:r>
      <w:r w:rsidRPr="0018337E">
        <w:rPr>
          <w:color w:val="auto"/>
        </w:rPr>
        <w:t xml:space="preserve"> included goal orientation. Across studies, these operationalizations of AtL emphasize aspects of initiative, persistence, problem-solving, and creativity. </w:t>
      </w:r>
    </w:p>
    <w:p w14:paraId="5BD25B22" w14:textId="741E7759" w:rsidR="00CC6470" w:rsidRDefault="0018337E" w:rsidP="009974B7">
      <w:pPr>
        <w:spacing w:after="160"/>
        <w:ind w:firstLine="720"/>
        <w:contextualSpacing/>
        <w:rPr>
          <w:color w:val="auto"/>
        </w:rPr>
      </w:pPr>
      <w:r w:rsidRPr="0018337E">
        <w:rPr>
          <w:color w:val="auto"/>
        </w:rPr>
        <w:t xml:space="preserve">Other operationalizations highlight the </w:t>
      </w:r>
      <w:r w:rsidR="00591007">
        <w:rPr>
          <w:color w:val="auto"/>
        </w:rPr>
        <w:t xml:space="preserve">specific </w:t>
      </w:r>
      <w:r w:rsidRPr="0018337E">
        <w:rPr>
          <w:color w:val="auto"/>
        </w:rPr>
        <w:t>set of skills or behaviors researchers believe are linked with learning (</w:t>
      </w:r>
      <w:r w:rsidRPr="00B7725A">
        <w:rPr>
          <w:color w:val="auto"/>
        </w:rPr>
        <w:t xml:space="preserve">see Table </w:t>
      </w:r>
      <w:r w:rsidR="00F315A5" w:rsidRPr="00B7725A">
        <w:rPr>
          <w:color w:val="auto"/>
        </w:rPr>
        <w:t>2</w:t>
      </w:r>
      <w:r w:rsidRPr="00B7725A">
        <w:rPr>
          <w:color w:val="auto"/>
        </w:rPr>
        <w:t>).</w:t>
      </w:r>
      <w:r w:rsidRPr="0018337E">
        <w:rPr>
          <w:color w:val="auto"/>
        </w:rPr>
        <w:t xml:space="preserve"> Some emphasize social skills by describing AtL as the ability to get along with others </w:t>
      </w:r>
      <w:r w:rsidR="009A6864" w:rsidRPr="009A6864">
        <w:t>(Ansari &amp; Gershoff, 2015)</w:t>
      </w:r>
      <w:r w:rsidRPr="0018337E">
        <w:rPr>
          <w:color w:val="auto"/>
        </w:rPr>
        <w:t xml:space="preserve">. Both McClelland, Morrison, </w:t>
      </w:r>
      <w:proofErr w:type="spellStart"/>
      <w:r w:rsidRPr="0018337E">
        <w:rPr>
          <w:color w:val="auto"/>
        </w:rPr>
        <w:t>Acock</w:t>
      </w:r>
      <w:proofErr w:type="spellEnd"/>
      <w:r w:rsidRPr="0018337E">
        <w:rPr>
          <w:color w:val="auto"/>
        </w:rPr>
        <w:t xml:space="preserve">, and Morrison </w:t>
      </w:r>
      <w:r w:rsidR="009A6864" w:rsidRPr="009A6864">
        <w:t>(2006)</w:t>
      </w:r>
      <w:r w:rsidRPr="0018337E">
        <w:rPr>
          <w:color w:val="auto"/>
        </w:rPr>
        <w:t xml:space="preserve"> and Cerda et al. </w:t>
      </w:r>
      <w:r w:rsidR="009A6864" w:rsidRPr="009A6864">
        <w:t>(2014)</w:t>
      </w:r>
      <w:r w:rsidRPr="0018337E">
        <w:rPr>
          <w:color w:val="auto"/>
        </w:rPr>
        <w:t xml:space="preserve"> include social competence as aspects of </w:t>
      </w:r>
      <w:r w:rsidR="00CC6470" w:rsidRPr="0018337E">
        <w:rPr>
          <w:color w:val="auto"/>
        </w:rPr>
        <w:t xml:space="preserve">AtL. Across multiple studies, </w:t>
      </w:r>
      <w:proofErr w:type="spellStart"/>
      <w:r w:rsidR="00CC6470" w:rsidRPr="0018337E">
        <w:rPr>
          <w:color w:val="auto"/>
        </w:rPr>
        <w:t>Bustamente</w:t>
      </w:r>
      <w:proofErr w:type="spellEnd"/>
      <w:r w:rsidR="00CC6470" w:rsidRPr="0018337E">
        <w:rPr>
          <w:color w:val="auto"/>
        </w:rPr>
        <w:t xml:space="preserve"> highlights the social component of AtL through engagement in group learning (2017), working collaboratively with adults or peers (2018), or communication/collaboration (2019). Finally, McCoy et al. </w:t>
      </w:r>
      <w:r w:rsidR="009A6864" w:rsidRPr="009A6864">
        <w:t>(2015)</w:t>
      </w:r>
      <w:r w:rsidR="00CC6470" w:rsidRPr="0018337E">
        <w:rPr>
          <w:color w:val="auto"/>
        </w:rPr>
        <w:t xml:space="preserve"> describe it as positive social interaction skills. The inclusion of this social domain in AtL may be particularly relevant for the preschool age group because of the highly social nature of learning in typical classrooms </w:t>
      </w:r>
      <w:r w:rsidR="009A6864" w:rsidRPr="009A6864">
        <w:t>(McClelland et al., 2006)</w:t>
      </w:r>
      <w:r w:rsidR="00CC6470" w:rsidRPr="0018337E">
        <w:rPr>
          <w:color w:val="auto"/>
        </w:rPr>
        <w:t xml:space="preserve">. Children frequently rely on social skills to manage conflicts, cooperate with their peers, and negotiate how to play </w:t>
      </w:r>
      <w:r w:rsidR="009A6864" w:rsidRPr="009A6864">
        <w:t>(Bornstein, Hahn, &amp; Haynes, 2010)</w:t>
      </w:r>
      <w:r w:rsidR="00CC6470" w:rsidRPr="0018337E">
        <w:rPr>
          <w:color w:val="auto"/>
        </w:rPr>
        <w:t xml:space="preserve">. These similar skills can also help support children’s learning by facilitating participation in group settings </w:t>
      </w:r>
      <w:r w:rsidR="009A6864" w:rsidRPr="009A6864">
        <w:t>(</w:t>
      </w:r>
      <w:proofErr w:type="spellStart"/>
      <w:r w:rsidR="009A6864" w:rsidRPr="009A6864">
        <w:t>Barbu</w:t>
      </w:r>
      <w:proofErr w:type="spellEnd"/>
      <w:r w:rsidR="009A6864" w:rsidRPr="009A6864">
        <w:t xml:space="preserve"> et al., 2015)</w:t>
      </w:r>
      <w:r w:rsidR="00CC6470" w:rsidRPr="0018337E">
        <w:rPr>
          <w:color w:val="auto"/>
        </w:rPr>
        <w:t>.</w:t>
      </w:r>
    </w:p>
    <w:p w14:paraId="4AD56629" w14:textId="230543C5" w:rsidR="00F315A5" w:rsidRDefault="00CC6470" w:rsidP="00290684">
      <w:pPr>
        <w:spacing w:after="160"/>
        <w:ind w:firstLine="720"/>
        <w:contextualSpacing/>
        <w:rPr>
          <w:color w:val="auto"/>
        </w:rPr>
      </w:pPr>
      <w:r w:rsidRPr="0018337E">
        <w:t xml:space="preserve">Other researchers have highlighted the cognitive aspects of AtL, excluding the social elements entirely. Brock et al. (2009) describe AtL as behavior that enables children to focus on a task without interruption, while Bierman et al. </w:t>
      </w:r>
      <w:r w:rsidR="009A6864" w:rsidRPr="009A6864">
        <w:t>(2009)</w:t>
      </w:r>
      <w:r w:rsidRPr="0018337E">
        <w:t xml:space="preserve"> operationalize it as the capacity to approach learning tasks with focused interest and sustained engagement. Elliot (2019) highlights children’s abilities to remain focused and engaged through specific behaviors like paying attention. Curiously, Hunter, Bierman, and Hall </w:t>
      </w:r>
      <w:r w:rsidR="009A6864" w:rsidRPr="009A6864">
        <w:t>(2018)</w:t>
      </w:r>
      <w:r w:rsidRPr="0018337E">
        <w:t xml:space="preserve"> depict AtL as skills that enable children to engage in learning, including executive function</w:t>
      </w:r>
      <w:r w:rsidR="0085520F">
        <w:t xml:space="preserve"> (EF)</w:t>
      </w:r>
      <w:r w:rsidRPr="0018337E">
        <w:t xml:space="preserve"> specifically. </w:t>
      </w:r>
      <w:proofErr w:type="spellStart"/>
      <w:r w:rsidRPr="0018337E">
        <w:rPr>
          <w:color w:val="auto"/>
        </w:rPr>
        <w:t>Ursache</w:t>
      </w:r>
      <w:proofErr w:type="spellEnd"/>
      <w:r w:rsidRPr="0018337E">
        <w:rPr>
          <w:color w:val="auto"/>
        </w:rPr>
        <w:t xml:space="preserve">, Blair, and Raver </w:t>
      </w:r>
      <w:r w:rsidR="009A6864" w:rsidRPr="009A6864">
        <w:lastRenderedPageBreak/>
        <w:t>(2012)</w:t>
      </w:r>
      <w:r w:rsidRPr="0018337E">
        <w:rPr>
          <w:color w:val="auto"/>
        </w:rPr>
        <w:t xml:space="preserve"> argue that AtL relies on </w:t>
      </w:r>
      <w:r w:rsidR="00591007">
        <w:rPr>
          <w:color w:val="auto"/>
        </w:rPr>
        <w:t>EF</w:t>
      </w:r>
      <w:r w:rsidRPr="0018337E">
        <w:rPr>
          <w:color w:val="auto"/>
        </w:rPr>
        <w:t xml:space="preserve"> skills, like working memory, and effortful control, the ability to control reactivity. Sasser et al. </w:t>
      </w:r>
      <w:r w:rsidR="009A6864" w:rsidRPr="009A6864">
        <w:t>(2015)</w:t>
      </w:r>
      <w:r w:rsidRPr="0018337E">
        <w:rPr>
          <w:color w:val="auto"/>
        </w:rPr>
        <w:t xml:space="preserve"> describe AtL as a “proximal gateway to classroom learning,” which is distinct but interrelated to executive function as an index of self- </w:t>
      </w:r>
      <w:r w:rsidR="00F315A5" w:rsidRPr="00F315A5">
        <w:rPr>
          <w:color w:val="auto"/>
        </w:rPr>
        <w:t>regulation (pg. 71).</w:t>
      </w:r>
      <w:r w:rsidR="00F315A5" w:rsidRPr="0018337E">
        <w:rPr>
          <w:color w:val="auto"/>
        </w:rPr>
        <w:t xml:space="preserve"> For example, EF helps support children’s ability to stay on task when engaged in learning opportunities </w:t>
      </w:r>
      <w:r w:rsidR="00F315A5" w:rsidRPr="009A6864">
        <w:t xml:space="preserve">(Neuenschwander, </w:t>
      </w:r>
      <w:proofErr w:type="spellStart"/>
      <w:r w:rsidR="00F315A5" w:rsidRPr="009A6864">
        <w:t>Röthlisberger</w:t>
      </w:r>
      <w:proofErr w:type="spellEnd"/>
      <w:r w:rsidR="00F315A5" w:rsidRPr="009A6864">
        <w:t xml:space="preserve">, </w:t>
      </w:r>
      <w:proofErr w:type="spellStart"/>
      <w:r w:rsidR="00F315A5" w:rsidRPr="009A6864">
        <w:t>Cimeli</w:t>
      </w:r>
      <w:proofErr w:type="spellEnd"/>
      <w:r w:rsidR="00F315A5" w:rsidRPr="009A6864">
        <w:t xml:space="preserve">, &amp; </w:t>
      </w:r>
      <w:proofErr w:type="spellStart"/>
      <w:r w:rsidR="00F315A5" w:rsidRPr="009A6864">
        <w:t>Roebers</w:t>
      </w:r>
      <w:proofErr w:type="spellEnd"/>
      <w:r w:rsidR="00F315A5" w:rsidRPr="009A6864">
        <w:t>, 2012)</w:t>
      </w:r>
      <w:r w:rsidR="00F315A5" w:rsidRPr="0018337E">
        <w:rPr>
          <w:color w:val="auto"/>
        </w:rPr>
        <w:t>.</w:t>
      </w:r>
    </w:p>
    <w:p w14:paraId="1EEE4AD0" w14:textId="00B7A794" w:rsidR="0018337E" w:rsidRPr="0018337E" w:rsidRDefault="0018337E" w:rsidP="0018337E">
      <w:pPr>
        <w:spacing w:after="160"/>
        <w:ind w:firstLine="720"/>
        <w:contextualSpacing/>
        <w:rPr>
          <w:color w:val="auto"/>
        </w:rPr>
        <w:sectPr w:rsidR="0018337E" w:rsidRPr="0018337E" w:rsidSect="00497BF4">
          <w:footerReference w:type="default" r:id="rId15"/>
          <w:pgSz w:w="12240" w:h="15840"/>
          <w:pgMar w:top="1440" w:right="1440" w:bottom="1440" w:left="1440" w:header="720" w:footer="720" w:gutter="0"/>
          <w:pgNumType w:start="1"/>
          <w:cols w:space="720"/>
          <w:docGrid w:linePitch="360"/>
        </w:sectPr>
      </w:pPr>
    </w:p>
    <w:tbl>
      <w:tblPr>
        <w:tblStyle w:val="TableGridLight"/>
        <w:tblpPr w:leftFromText="180" w:rightFromText="180" w:vertAnchor="page" w:horzAnchor="margin" w:tblpY="2623"/>
        <w:tblW w:w="5000" w:type="pct"/>
        <w:tblLook w:val="04A0" w:firstRow="1" w:lastRow="0" w:firstColumn="1" w:lastColumn="0" w:noHBand="0" w:noVBand="1"/>
      </w:tblPr>
      <w:tblGrid>
        <w:gridCol w:w="4517"/>
        <w:gridCol w:w="4644"/>
        <w:gridCol w:w="3789"/>
      </w:tblGrid>
      <w:tr w:rsidR="0018337E" w:rsidRPr="00CC6470" w14:paraId="4CA30B91" w14:textId="77777777" w:rsidTr="0085520F">
        <w:trPr>
          <w:trHeight w:val="1160"/>
        </w:trPr>
        <w:tc>
          <w:tcPr>
            <w:tcW w:w="1744" w:type="pct"/>
          </w:tcPr>
          <w:p w14:paraId="36B8D545"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lastRenderedPageBreak/>
              <w:t xml:space="preserve">Ability to maintain and focus attention </w:t>
            </w:r>
          </w:p>
          <w:p w14:paraId="6BDA8B62"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Accomplishment of tasks in a limited </w:t>
            </w:r>
            <w:proofErr w:type="gramStart"/>
            <w:r w:rsidRPr="00CC6470">
              <w:rPr>
                <w:rFonts w:ascii="Times New Roman" w:hAnsi="Times New Roman" w:cs="Times New Roman"/>
                <w:lang w:val="en"/>
              </w:rPr>
              <w:t>period of time</w:t>
            </w:r>
            <w:proofErr w:type="gramEnd"/>
            <w:r w:rsidRPr="00CC6470">
              <w:rPr>
                <w:rFonts w:ascii="Times New Roman" w:hAnsi="Times New Roman" w:cs="Times New Roman"/>
                <w:lang w:val="en"/>
              </w:rPr>
              <w:t xml:space="preserve"> </w:t>
            </w:r>
          </w:p>
          <w:p w14:paraId="3A222E35"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Affective orientation </w:t>
            </w:r>
          </w:p>
          <w:p w14:paraId="4C53679E"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Attention</w:t>
            </w:r>
          </w:p>
          <w:p w14:paraId="36BAF35D"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Attention during instructions</w:t>
            </w:r>
          </w:p>
          <w:p w14:paraId="3D16FDE5"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Attention Regulation </w:t>
            </w:r>
          </w:p>
          <w:p w14:paraId="3616FC21"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Attentiveness</w:t>
            </w:r>
          </w:p>
          <w:p w14:paraId="2AD351D6"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Behavioral self-regulation</w:t>
            </w:r>
          </w:p>
          <w:p w14:paraId="07F73C0A"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Behavioral Disposition toward learning </w:t>
            </w:r>
          </w:p>
          <w:p w14:paraId="32C6EF13"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Cognitive learning style</w:t>
            </w:r>
          </w:p>
          <w:p w14:paraId="14CE8286"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Completing tasks when asked</w:t>
            </w:r>
          </w:p>
          <w:p w14:paraId="51720141"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Completion of learning activities </w:t>
            </w:r>
          </w:p>
          <w:p w14:paraId="1DA70BC2"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Compliance</w:t>
            </w:r>
          </w:p>
          <w:p w14:paraId="2C7ACF98"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Contribution of questions or observations at appropriate times</w:t>
            </w:r>
          </w:p>
          <w:p w14:paraId="7E7AC3F2"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Cooperating with other students</w:t>
            </w:r>
          </w:p>
          <w:p w14:paraId="46BC10ED"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Curiosity</w:t>
            </w:r>
          </w:p>
          <w:p w14:paraId="37E2313C"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Eagerness</w:t>
            </w:r>
          </w:p>
          <w:p w14:paraId="7B879C2A"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Emotion Regulation </w:t>
            </w:r>
          </w:p>
          <w:p w14:paraId="1C7F0181"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Engagement in group learning</w:t>
            </w:r>
          </w:p>
          <w:p w14:paraId="4F696A49"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Engagement with new activities</w:t>
            </w:r>
          </w:p>
          <w:p w14:paraId="1A1F43BF"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Engagement/sustained engagement</w:t>
            </w:r>
          </w:p>
          <w:p w14:paraId="3C76A5F7"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Enthusiasm in learning situations</w:t>
            </w:r>
          </w:p>
          <w:p w14:paraId="2EC9DBAF"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Executive function </w:t>
            </w:r>
          </w:p>
          <w:p w14:paraId="10FD9215"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Exerting intense effort and concentration </w:t>
            </w:r>
          </w:p>
          <w:p w14:paraId="6AD9EA5F"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Flexibility</w:t>
            </w:r>
          </w:p>
        </w:tc>
        <w:tc>
          <w:tcPr>
            <w:tcW w:w="1793" w:type="pct"/>
          </w:tcPr>
          <w:p w14:paraId="450127F0"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Focused interest</w:t>
            </w:r>
          </w:p>
          <w:p w14:paraId="5865EB8B"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Following directions</w:t>
            </w:r>
          </w:p>
          <w:p w14:paraId="590A06AA"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Following teacher directions</w:t>
            </w:r>
          </w:p>
          <w:p w14:paraId="70AE996C"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Frustration tolerance</w:t>
            </w:r>
          </w:p>
          <w:p w14:paraId="7540B320"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Goal orientation </w:t>
            </w:r>
          </w:p>
          <w:p w14:paraId="4E24CC3C"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Imagination</w:t>
            </w:r>
          </w:p>
          <w:p w14:paraId="74BBEC24"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Independence</w:t>
            </w:r>
          </w:p>
          <w:p w14:paraId="685F12D1"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Independent pursuit of learning activities</w:t>
            </w:r>
          </w:p>
          <w:p w14:paraId="2261D1F1"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Initiative</w:t>
            </w:r>
          </w:p>
          <w:p w14:paraId="1DBFC140"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Interpersonal responsiveness</w:t>
            </w:r>
          </w:p>
          <w:p w14:paraId="60657EA7"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Inventiveness</w:t>
            </w:r>
          </w:p>
          <w:p w14:paraId="30B8B4AB"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Involvement in sequential learning behaviors and social-learning interactions</w:t>
            </w:r>
          </w:p>
          <w:p w14:paraId="38F7E275"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Learning Behavior</w:t>
            </w:r>
          </w:p>
          <w:p w14:paraId="18B77048"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Learning Independence </w:t>
            </w:r>
          </w:p>
          <w:p w14:paraId="505B4276"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Level of participation in learning activities</w:t>
            </w:r>
          </w:p>
          <w:p w14:paraId="58118D92"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Listening to instructions</w:t>
            </w:r>
          </w:p>
          <w:p w14:paraId="3470F8AD"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Listening to the teacher</w:t>
            </w:r>
          </w:p>
          <w:p w14:paraId="6D00C821"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Motivation</w:t>
            </w:r>
          </w:p>
          <w:p w14:paraId="520A9E89"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On-task behavior</w:t>
            </w:r>
          </w:p>
          <w:p w14:paraId="7C70D40B"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Openness to new and challenging experiences</w:t>
            </w:r>
          </w:p>
          <w:p w14:paraId="0F83A7E1"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Openness to tasks and challenges</w:t>
            </w:r>
          </w:p>
          <w:p w14:paraId="48CC1C35"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Organization</w:t>
            </w:r>
          </w:p>
          <w:p w14:paraId="5963034E"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Orientation of attention to learning</w:t>
            </w:r>
          </w:p>
          <w:p w14:paraId="4682B04F"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Participating in groups</w:t>
            </w:r>
          </w:p>
          <w:p w14:paraId="1EB2B2E6"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Paying attention to the teacher</w:t>
            </w:r>
          </w:p>
        </w:tc>
        <w:tc>
          <w:tcPr>
            <w:tcW w:w="1463" w:type="pct"/>
          </w:tcPr>
          <w:p w14:paraId="4885E01F"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Peer collaboration</w:t>
            </w:r>
          </w:p>
          <w:p w14:paraId="52F3D270"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Peer communication</w:t>
            </w:r>
          </w:p>
          <w:p w14:paraId="6EDCEFF8"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Persistence</w:t>
            </w:r>
          </w:p>
          <w:p w14:paraId="2CEF02C4" w14:textId="77777777" w:rsidR="0018337E" w:rsidRPr="00CC6470" w:rsidRDefault="0018337E" w:rsidP="00CC6470">
            <w:pPr>
              <w:spacing w:line="276" w:lineRule="auto"/>
              <w:rPr>
                <w:rFonts w:ascii="Times New Roman" w:hAnsi="Times New Roman" w:cs="Times New Roman"/>
                <w:lang w:val="en"/>
              </w:rPr>
            </w:pPr>
            <w:proofErr w:type="spellStart"/>
            <w:r w:rsidRPr="00CC6470">
              <w:rPr>
                <w:rFonts w:ascii="Times New Roman" w:hAnsi="Times New Roman" w:cs="Times New Roman"/>
                <w:lang w:val="en"/>
              </w:rPr>
              <w:t>Planfulness</w:t>
            </w:r>
            <w:proofErr w:type="spellEnd"/>
          </w:p>
          <w:p w14:paraId="6849F4D7"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Planning</w:t>
            </w:r>
          </w:p>
          <w:p w14:paraId="7842BB90"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Positive disposition towards learning </w:t>
            </w:r>
          </w:p>
          <w:p w14:paraId="33226CE3"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Positive Social Interaction Skills </w:t>
            </w:r>
          </w:p>
          <w:p w14:paraId="4AB817C2"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Preference for challenge </w:t>
            </w:r>
          </w:p>
          <w:p w14:paraId="13743868"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Problem-solving skills/Problem Solving </w:t>
            </w:r>
          </w:p>
          <w:p w14:paraId="6CA4B9D5"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Prosocial skills</w:t>
            </w:r>
          </w:p>
          <w:p w14:paraId="067A083C"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Reasoning</w:t>
            </w:r>
          </w:p>
          <w:p w14:paraId="129A8FFC"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Responsibility</w:t>
            </w:r>
          </w:p>
          <w:p w14:paraId="4E927423"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Rule adherence</w:t>
            </w:r>
          </w:p>
          <w:p w14:paraId="637E4864"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Selecting challenging tasks</w:t>
            </w:r>
          </w:p>
          <w:p w14:paraId="7EAC10D2"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Self-control </w:t>
            </w:r>
          </w:p>
          <w:p w14:paraId="2A0E4918"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Self-direction</w:t>
            </w:r>
          </w:p>
          <w:p w14:paraId="0116DA7D"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Self-regulation</w:t>
            </w:r>
          </w:p>
          <w:p w14:paraId="64C8ACCC"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Sitting still</w:t>
            </w:r>
          </w:p>
          <w:p w14:paraId="019A0194"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Social competence</w:t>
            </w:r>
          </w:p>
          <w:p w14:paraId="0C3B4630"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 xml:space="preserve">Staying on task </w:t>
            </w:r>
          </w:p>
          <w:p w14:paraId="5900547D"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Sustained focus</w:t>
            </w:r>
          </w:p>
          <w:p w14:paraId="7CB61576"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Task focuses</w:t>
            </w:r>
          </w:p>
          <w:p w14:paraId="7062547D"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Task persistence</w:t>
            </w:r>
          </w:p>
          <w:p w14:paraId="07502CBC"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Working collaboratively with adults or peers</w:t>
            </w:r>
          </w:p>
          <w:p w14:paraId="29D0DC60" w14:textId="77777777" w:rsidR="0018337E" w:rsidRPr="00CC6470" w:rsidRDefault="0018337E" w:rsidP="00CC6470">
            <w:pPr>
              <w:spacing w:line="276" w:lineRule="auto"/>
              <w:rPr>
                <w:rFonts w:ascii="Times New Roman" w:hAnsi="Times New Roman" w:cs="Times New Roman"/>
                <w:lang w:val="en"/>
              </w:rPr>
            </w:pPr>
            <w:r w:rsidRPr="00CC6470">
              <w:rPr>
                <w:rFonts w:ascii="Times New Roman" w:hAnsi="Times New Roman" w:cs="Times New Roman"/>
                <w:lang w:val="en"/>
              </w:rPr>
              <w:t>Working independently</w:t>
            </w:r>
          </w:p>
        </w:tc>
      </w:tr>
    </w:tbl>
    <w:p w14:paraId="1254C7E1" w14:textId="2139FFC6" w:rsidR="007740A5" w:rsidRPr="007740A5" w:rsidRDefault="008F7A5A" w:rsidP="008F7A5A">
      <w:pPr>
        <w:pStyle w:val="Caption"/>
        <w:rPr>
          <w:b/>
          <w:bCs/>
          <w:i/>
          <w:iCs w:val="0"/>
        </w:rPr>
      </w:pPr>
      <w:bookmarkStart w:id="14" w:name="_Toc44366117"/>
      <w:r>
        <w:t xml:space="preserve">Table </w:t>
      </w:r>
      <w:r w:rsidR="0085520F">
        <w:fldChar w:fldCharType="begin"/>
      </w:r>
      <w:r w:rsidR="0085520F">
        <w:instrText xml:space="preserve"> SEQ Table \</w:instrText>
      </w:r>
      <w:r w:rsidR="00F315A5">
        <w:instrText>r 1 \</w:instrText>
      </w:r>
      <w:r w:rsidR="0085520F">
        <w:instrText xml:space="preserve">* ARABIC </w:instrText>
      </w:r>
      <w:r w:rsidR="0085520F">
        <w:fldChar w:fldCharType="separate"/>
      </w:r>
      <w:r w:rsidR="002039BE">
        <w:rPr>
          <w:noProof/>
        </w:rPr>
        <w:t>1</w:t>
      </w:r>
      <w:bookmarkEnd w:id="14"/>
      <w:r w:rsidR="0085520F">
        <w:rPr>
          <w:noProof/>
        </w:rPr>
        <w:fldChar w:fldCharType="end"/>
      </w:r>
    </w:p>
    <w:p w14:paraId="262057C6" w14:textId="4224A182" w:rsidR="00CC6470" w:rsidRPr="007740A5" w:rsidRDefault="007740A5" w:rsidP="007740A5">
      <w:pPr>
        <w:pStyle w:val="Caption"/>
        <w:rPr>
          <w:b/>
          <w:bCs/>
          <w:i/>
          <w:iCs w:val="0"/>
        </w:rPr>
      </w:pPr>
      <w:r w:rsidRPr="007740A5">
        <w:rPr>
          <w:bCs/>
          <w:i/>
          <w:iCs w:val="0"/>
        </w:rPr>
        <w:t xml:space="preserve">Operationalizations of Approaches to Learning </w:t>
      </w:r>
    </w:p>
    <w:p w14:paraId="5988B817" w14:textId="493A7A53" w:rsidR="00CC6470" w:rsidRPr="0018337E" w:rsidRDefault="00CC6470" w:rsidP="0018337E">
      <w:pPr>
        <w:spacing w:after="160"/>
        <w:contextualSpacing/>
        <w:rPr>
          <w:i/>
          <w:iCs/>
          <w:color w:val="auto"/>
        </w:rPr>
        <w:sectPr w:rsidR="00CC6470" w:rsidRPr="0018337E" w:rsidSect="00D86CCC">
          <w:type w:val="continuous"/>
          <w:pgSz w:w="15840" w:h="12240" w:orient="landscape"/>
          <w:pgMar w:top="1440" w:right="1440" w:bottom="1440" w:left="1440" w:header="720" w:footer="720" w:gutter="0"/>
          <w:cols w:space="720"/>
          <w:docGrid w:linePitch="360"/>
        </w:sectPr>
      </w:pPr>
    </w:p>
    <w:p w14:paraId="31A0D652" w14:textId="44EBD210" w:rsidR="00F315A5" w:rsidRPr="0018337E" w:rsidRDefault="00F315A5" w:rsidP="00F315A5">
      <w:pPr>
        <w:spacing w:after="160"/>
        <w:contextualSpacing/>
        <w:rPr>
          <w:color w:val="7030A0"/>
        </w:rPr>
      </w:pPr>
      <w:r w:rsidRPr="0018337E">
        <w:rPr>
          <w:color w:val="auto"/>
        </w:rPr>
        <w:lastRenderedPageBreak/>
        <w:t xml:space="preserve">The cognitive component of AtL includes children’s attention and engagement during learning opportunities </w:t>
      </w:r>
      <w:r w:rsidRPr="009A6864">
        <w:t>(Brock et al., 2009)</w:t>
      </w:r>
      <w:r>
        <w:rPr>
          <w:color w:val="auto"/>
        </w:rPr>
        <w:t>.</w:t>
      </w:r>
    </w:p>
    <w:p w14:paraId="1B09E89D" w14:textId="3AC42E0E" w:rsidR="009974B7" w:rsidRDefault="009974B7" w:rsidP="00F315A5">
      <w:pPr>
        <w:spacing w:after="160"/>
        <w:ind w:firstLine="720"/>
        <w:contextualSpacing/>
        <w:rPr>
          <w:color w:val="auto"/>
        </w:rPr>
      </w:pPr>
      <w:r w:rsidRPr="0018337E">
        <w:rPr>
          <w:color w:val="auto"/>
        </w:rPr>
        <w:t xml:space="preserve">A final aspect of AtL mentioned across multiple studies is a behavioral dimension, such as self-regulation </w:t>
      </w:r>
      <w:r w:rsidR="009A6864" w:rsidRPr="009A6864">
        <w:t>(Elliott, 2019; Hunter et al., 2018)</w:t>
      </w:r>
      <w:r w:rsidRPr="0018337E">
        <w:rPr>
          <w:color w:val="auto"/>
        </w:rPr>
        <w:t xml:space="preserve">, regulatory behaviors </w:t>
      </w:r>
      <w:r w:rsidR="009A6864" w:rsidRPr="009A6864">
        <w:t>(Berthelsen, Hayes, White, &amp; Williams, 2017)</w:t>
      </w:r>
      <w:r w:rsidRPr="0018337E">
        <w:rPr>
          <w:color w:val="auto"/>
        </w:rPr>
        <w:t xml:space="preserve">, self-direction </w:t>
      </w:r>
      <w:r w:rsidR="009A6864" w:rsidRPr="009A6864">
        <w:t>(</w:t>
      </w:r>
      <w:proofErr w:type="spellStart"/>
      <w:r w:rsidR="009A6864" w:rsidRPr="009A6864">
        <w:t>Vitiello</w:t>
      </w:r>
      <w:proofErr w:type="spellEnd"/>
      <w:r w:rsidR="009A6864" w:rsidRPr="009A6864">
        <w:t xml:space="preserve"> &amp; Greenfield, 2017)</w:t>
      </w:r>
      <w:r w:rsidR="00C827DE">
        <w:t>,</w:t>
      </w:r>
      <w:r w:rsidRPr="0018337E">
        <w:rPr>
          <w:color w:val="auto"/>
        </w:rPr>
        <w:t xml:space="preserve"> or self-control </w:t>
      </w:r>
      <w:r w:rsidR="009A6864" w:rsidRPr="009A6864">
        <w:t>(Bumgarner, Martin, &amp; Brooks-Gunn, 2013; Tan &amp; Dobbs-Oates, 2013)</w:t>
      </w:r>
      <w:r w:rsidRPr="0018337E">
        <w:rPr>
          <w:color w:val="auto"/>
        </w:rPr>
        <w:t xml:space="preserve">. </w:t>
      </w:r>
      <w:proofErr w:type="spellStart"/>
      <w:r w:rsidRPr="0018337E">
        <w:rPr>
          <w:color w:val="auto"/>
        </w:rPr>
        <w:t>DiPerna</w:t>
      </w:r>
      <w:proofErr w:type="spellEnd"/>
      <w:r w:rsidRPr="0018337E">
        <w:rPr>
          <w:color w:val="auto"/>
        </w:rPr>
        <w:t xml:space="preserve">, Lei, and Reid </w:t>
      </w:r>
      <w:r w:rsidR="009A6864" w:rsidRPr="009A6864">
        <w:t>(2007)</w:t>
      </w:r>
      <w:r w:rsidRPr="0018337E">
        <w:rPr>
          <w:color w:val="auto"/>
        </w:rPr>
        <w:t xml:space="preserve"> emphasize following teacher directions, while Halliday et al. (2018) describe AtL as rule adherence, </w:t>
      </w:r>
      <w:proofErr w:type="spellStart"/>
      <w:r w:rsidRPr="0018337E">
        <w:rPr>
          <w:color w:val="auto"/>
        </w:rPr>
        <w:t>Razza</w:t>
      </w:r>
      <w:proofErr w:type="spellEnd"/>
      <w:r w:rsidRPr="0018337E">
        <w:rPr>
          <w:color w:val="auto"/>
        </w:rPr>
        <w:t xml:space="preserve"> et al. as compliance and Elliot (201</w:t>
      </w:r>
      <w:r w:rsidR="00AF0F19">
        <w:rPr>
          <w:color w:val="auto"/>
        </w:rPr>
        <w:t>9</w:t>
      </w:r>
      <w:r w:rsidRPr="0018337E">
        <w:rPr>
          <w:color w:val="auto"/>
        </w:rPr>
        <w:t xml:space="preserve">) as completing tasks when asked. Sasser et al. </w:t>
      </w:r>
      <w:r w:rsidR="009A6864" w:rsidRPr="009A6864">
        <w:t>(2015)</w:t>
      </w:r>
      <w:r w:rsidRPr="0018337E">
        <w:rPr>
          <w:color w:val="auto"/>
        </w:rPr>
        <w:t xml:space="preserve"> defined AtL as an adaptive response to the classroom demands and school learning tasks, which includes items such as following teacher directions, abiding by classroom rules and</w:t>
      </w:r>
      <w:r>
        <w:rPr>
          <w:color w:val="auto"/>
        </w:rPr>
        <w:t xml:space="preserve"> </w:t>
      </w:r>
      <w:r w:rsidRPr="0018337E">
        <w:rPr>
          <w:color w:val="auto"/>
        </w:rPr>
        <w:t>routines</w:t>
      </w:r>
      <w:r w:rsidR="000B4B73">
        <w:rPr>
          <w:color w:val="auto"/>
        </w:rPr>
        <w:t>,</w:t>
      </w:r>
      <w:r w:rsidRPr="0018337E">
        <w:rPr>
          <w:color w:val="auto"/>
        </w:rPr>
        <w:t xml:space="preserve"> and engaging in learning tasks. Specific behaviors may consist of staying on</w:t>
      </w:r>
    </w:p>
    <w:p w14:paraId="7DCB9DC0" w14:textId="563646F8" w:rsidR="007740A5" w:rsidRPr="004F463A" w:rsidRDefault="007740A5" w:rsidP="004F463A">
      <w:pPr>
        <w:pStyle w:val="Caption"/>
      </w:pPr>
      <w:bookmarkStart w:id="15" w:name="_Toc44366118"/>
      <w:r w:rsidRPr="004F463A">
        <w:t xml:space="preserve">Table </w:t>
      </w:r>
      <w:fldSimple w:instr=" SEQ Table \* ARABIC ">
        <w:r w:rsidR="002039BE">
          <w:rPr>
            <w:noProof/>
          </w:rPr>
          <w:t>2</w:t>
        </w:r>
        <w:bookmarkEnd w:id="15"/>
      </w:fldSimple>
    </w:p>
    <w:p w14:paraId="41B253EE" w14:textId="77777777" w:rsidR="009974B7" w:rsidRPr="0018337E" w:rsidRDefault="009974B7" w:rsidP="009974B7">
      <w:pPr>
        <w:spacing w:line="276" w:lineRule="auto"/>
        <w:rPr>
          <w:rFonts w:eastAsia="Arial" w:cs="Arial"/>
          <w:i/>
          <w:iCs/>
          <w:color w:val="auto"/>
          <w:szCs w:val="22"/>
          <w:lang w:val="en"/>
        </w:rPr>
      </w:pPr>
      <w:r w:rsidRPr="0018337E">
        <w:rPr>
          <w:rFonts w:eastAsia="Arial" w:cs="Arial"/>
          <w:i/>
          <w:iCs/>
          <w:color w:val="auto"/>
          <w:szCs w:val="22"/>
          <w:lang w:val="en"/>
        </w:rPr>
        <w:t xml:space="preserve">Operationalizations of AtL Across Primary Domains </w:t>
      </w:r>
    </w:p>
    <w:p w14:paraId="714AA348" w14:textId="77777777" w:rsidR="009974B7" w:rsidRPr="0018337E" w:rsidRDefault="009974B7" w:rsidP="009974B7">
      <w:pPr>
        <w:spacing w:line="276" w:lineRule="auto"/>
        <w:rPr>
          <w:rFonts w:eastAsia="Arial" w:cs="Arial"/>
          <w:color w:val="auto"/>
          <w:szCs w:val="22"/>
          <w:lang w:val="en"/>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2634"/>
        <w:gridCol w:w="1960"/>
        <w:gridCol w:w="2845"/>
      </w:tblGrid>
      <w:tr w:rsidR="009974B7" w:rsidRPr="009974B7" w14:paraId="512D7081" w14:textId="77777777" w:rsidTr="0085520F">
        <w:tc>
          <w:tcPr>
            <w:tcW w:w="1026" w:type="pct"/>
            <w:tcBorders>
              <w:top w:val="single" w:sz="4" w:space="0" w:color="auto"/>
              <w:bottom w:val="single" w:sz="4" w:space="0" w:color="auto"/>
            </w:tcBorders>
          </w:tcPr>
          <w:p w14:paraId="5766E87B"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Social</w:t>
            </w:r>
          </w:p>
        </w:tc>
        <w:tc>
          <w:tcPr>
            <w:tcW w:w="1407" w:type="pct"/>
            <w:tcBorders>
              <w:top w:val="single" w:sz="4" w:space="0" w:color="auto"/>
              <w:bottom w:val="single" w:sz="4" w:space="0" w:color="auto"/>
            </w:tcBorders>
          </w:tcPr>
          <w:p w14:paraId="21F1A31B"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Behavioral</w:t>
            </w:r>
          </w:p>
        </w:tc>
        <w:tc>
          <w:tcPr>
            <w:tcW w:w="1047" w:type="pct"/>
            <w:tcBorders>
              <w:top w:val="single" w:sz="4" w:space="0" w:color="auto"/>
              <w:bottom w:val="single" w:sz="4" w:space="0" w:color="auto"/>
            </w:tcBorders>
          </w:tcPr>
          <w:p w14:paraId="4E0B1647"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Cognitive</w:t>
            </w:r>
          </w:p>
        </w:tc>
        <w:tc>
          <w:tcPr>
            <w:tcW w:w="1521" w:type="pct"/>
            <w:tcBorders>
              <w:top w:val="single" w:sz="4" w:space="0" w:color="auto"/>
              <w:bottom w:val="single" w:sz="4" w:space="0" w:color="auto"/>
            </w:tcBorders>
          </w:tcPr>
          <w:p w14:paraId="1A6288F9"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NEGP</w:t>
            </w:r>
          </w:p>
        </w:tc>
      </w:tr>
      <w:tr w:rsidR="009974B7" w:rsidRPr="009974B7" w14:paraId="1CEAADE8" w14:textId="77777777" w:rsidTr="0085520F">
        <w:tc>
          <w:tcPr>
            <w:tcW w:w="1026" w:type="pct"/>
            <w:tcBorders>
              <w:top w:val="single" w:sz="4" w:space="0" w:color="auto"/>
              <w:bottom w:val="single" w:sz="4" w:space="0" w:color="auto"/>
            </w:tcBorders>
          </w:tcPr>
          <w:p w14:paraId="5741D99B" w14:textId="77777777" w:rsidR="009974B7" w:rsidRPr="009974B7" w:rsidRDefault="009974B7" w:rsidP="00322D35">
            <w:pPr>
              <w:spacing w:line="276" w:lineRule="auto"/>
              <w:rPr>
                <w:rFonts w:ascii="Times New Roman" w:hAnsi="Times New Roman" w:cs="Times New Roman"/>
                <w:sz w:val="24"/>
                <w:szCs w:val="24"/>
                <w:lang w:val="en"/>
              </w:rPr>
            </w:pPr>
            <w:r w:rsidRPr="009974B7">
              <w:rPr>
                <w:rFonts w:ascii="Times New Roman" w:hAnsi="Times New Roman" w:cs="Times New Roman"/>
                <w:sz w:val="24"/>
                <w:szCs w:val="24"/>
                <w:lang w:val="en"/>
              </w:rPr>
              <w:t xml:space="preserve">Ansari &amp; Gershoff (2015) </w:t>
            </w:r>
          </w:p>
          <w:p w14:paraId="1445F9DC" w14:textId="77777777" w:rsidR="009974B7" w:rsidRPr="009974B7" w:rsidRDefault="009974B7" w:rsidP="00322D35">
            <w:pPr>
              <w:spacing w:line="276" w:lineRule="auto"/>
              <w:rPr>
                <w:rFonts w:ascii="Times New Roman" w:hAnsi="Times New Roman" w:cs="Times New Roman"/>
                <w:sz w:val="24"/>
                <w:szCs w:val="24"/>
                <w:lang w:val="en"/>
              </w:rPr>
            </w:pPr>
            <w:proofErr w:type="spellStart"/>
            <w:r w:rsidRPr="009974B7">
              <w:rPr>
                <w:rFonts w:ascii="Times New Roman" w:hAnsi="Times New Roman" w:cs="Times New Roman"/>
                <w:sz w:val="24"/>
                <w:szCs w:val="24"/>
                <w:lang w:val="en"/>
              </w:rPr>
              <w:t>Bustamente</w:t>
            </w:r>
            <w:proofErr w:type="spellEnd"/>
            <w:r w:rsidRPr="009974B7">
              <w:rPr>
                <w:rFonts w:ascii="Times New Roman" w:hAnsi="Times New Roman" w:cs="Times New Roman"/>
                <w:sz w:val="24"/>
                <w:szCs w:val="24"/>
                <w:lang w:val="en"/>
              </w:rPr>
              <w:t xml:space="preserve"> et al. (2017) </w:t>
            </w:r>
          </w:p>
          <w:p w14:paraId="5B8F2BA3" w14:textId="2C05EC84" w:rsidR="009974B7" w:rsidRPr="009974B7" w:rsidRDefault="009974B7" w:rsidP="00322D35">
            <w:pPr>
              <w:spacing w:line="276" w:lineRule="auto"/>
              <w:rPr>
                <w:rFonts w:ascii="Times New Roman" w:hAnsi="Times New Roman" w:cs="Times New Roman"/>
                <w:sz w:val="24"/>
                <w:szCs w:val="24"/>
                <w:lang w:val="en"/>
              </w:rPr>
            </w:pPr>
            <w:proofErr w:type="spellStart"/>
            <w:r w:rsidRPr="009974B7">
              <w:rPr>
                <w:rFonts w:ascii="Times New Roman" w:hAnsi="Times New Roman" w:cs="Times New Roman"/>
                <w:sz w:val="24"/>
                <w:szCs w:val="24"/>
                <w:lang w:val="en"/>
              </w:rPr>
              <w:t>McClellend</w:t>
            </w:r>
            <w:proofErr w:type="spellEnd"/>
            <w:r w:rsidRPr="009974B7">
              <w:rPr>
                <w:rFonts w:ascii="Times New Roman" w:hAnsi="Times New Roman" w:cs="Times New Roman"/>
                <w:sz w:val="24"/>
                <w:szCs w:val="24"/>
                <w:lang w:val="en"/>
              </w:rPr>
              <w:t xml:space="preserve"> et al. (2006)</w:t>
            </w:r>
            <w:r w:rsidR="007C1CBE">
              <w:rPr>
                <w:rFonts w:ascii="Times New Roman" w:hAnsi="Times New Roman" w:cs="Times New Roman"/>
                <w:sz w:val="24"/>
                <w:szCs w:val="24"/>
                <w:lang w:val="en"/>
              </w:rPr>
              <w:t xml:space="preserve"> </w:t>
            </w:r>
            <w:r w:rsidRPr="009974B7">
              <w:rPr>
                <w:rFonts w:ascii="Times New Roman" w:hAnsi="Times New Roman" w:cs="Times New Roman"/>
                <w:sz w:val="24"/>
                <w:szCs w:val="24"/>
                <w:lang w:val="en"/>
              </w:rPr>
              <w:t xml:space="preserve"> </w:t>
            </w:r>
          </w:p>
          <w:p w14:paraId="1E89E754" w14:textId="77777777" w:rsidR="009974B7" w:rsidRPr="009974B7" w:rsidRDefault="009974B7" w:rsidP="00322D35">
            <w:pPr>
              <w:spacing w:line="276" w:lineRule="auto"/>
              <w:rPr>
                <w:rFonts w:ascii="Times New Roman" w:hAnsi="Times New Roman" w:cs="Times New Roman"/>
                <w:sz w:val="24"/>
                <w:szCs w:val="24"/>
                <w:lang w:val="en"/>
              </w:rPr>
            </w:pPr>
          </w:p>
        </w:tc>
        <w:tc>
          <w:tcPr>
            <w:tcW w:w="1407" w:type="pct"/>
            <w:tcBorders>
              <w:top w:val="single" w:sz="4" w:space="0" w:color="auto"/>
              <w:bottom w:val="single" w:sz="4" w:space="0" w:color="auto"/>
            </w:tcBorders>
          </w:tcPr>
          <w:p w14:paraId="2B7C5690"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Berthelsen et al. (2017)</w:t>
            </w:r>
          </w:p>
          <w:p w14:paraId="5C118C02"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Bumgarner et al. (2013)</w:t>
            </w:r>
          </w:p>
          <w:p w14:paraId="2834FD53" w14:textId="77777777" w:rsidR="009974B7" w:rsidRPr="009974B7" w:rsidRDefault="009974B7" w:rsidP="00322D35">
            <w:pPr>
              <w:spacing w:line="276" w:lineRule="auto"/>
              <w:jc w:val="center"/>
              <w:rPr>
                <w:rFonts w:ascii="Times New Roman" w:hAnsi="Times New Roman" w:cs="Times New Roman"/>
                <w:sz w:val="24"/>
                <w:szCs w:val="24"/>
                <w:lang w:val="en"/>
              </w:rPr>
            </w:pPr>
            <w:proofErr w:type="spellStart"/>
            <w:r w:rsidRPr="009974B7">
              <w:rPr>
                <w:rFonts w:ascii="Times New Roman" w:hAnsi="Times New Roman" w:cs="Times New Roman"/>
                <w:sz w:val="24"/>
                <w:szCs w:val="24"/>
                <w:lang w:val="en"/>
              </w:rPr>
              <w:t>DiPerna</w:t>
            </w:r>
            <w:proofErr w:type="spellEnd"/>
            <w:r w:rsidRPr="009974B7">
              <w:rPr>
                <w:rFonts w:ascii="Times New Roman" w:hAnsi="Times New Roman" w:cs="Times New Roman"/>
                <w:sz w:val="24"/>
                <w:szCs w:val="24"/>
                <w:lang w:val="en"/>
              </w:rPr>
              <w:t xml:space="preserve"> et al. (2007)</w:t>
            </w:r>
          </w:p>
          <w:p w14:paraId="13E70F67"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Elliot (2019)</w:t>
            </w:r>
          </w:p>
          <w:p w14:paraId="2246A961"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Halliday et al. (2018)</w:t>
            </w:r>
          </w:p>
          <w:p w14:paraId="0BDCA23E"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Hunter et al. (2018)</w:t>
            </w:r>
          </w:p>
          <w:p w14:paraId="2A48DA40" w14:textId="1C05A71F"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Neuenschwander et al. (2012)</w:t>
            </w:r>
          </w:p>
          <w:p w14:paraId="47E985CB"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Stipek et al. (2010)</w:t>
            </w:r>
          </w:p>
        </w:tc>
        <w:tc>
          <w:tcPr>
            <w:tcW w:w="1047" w:type="pct"/>
            <w:tcBorders>
              <w:top w:val="single" w:sz="4" w:space="0" w:color="auto"/>
              <w:bottom w:val="single" w:sz="4" w:space="0" w:color="auto"/>
            </w:tcBorders>
          </w:tcPr>
          <w:p w14:paraId="64BE8D98"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Bierman et al. (2008)</w:t>
            </w:r>
          </w:p>
          <w:p w14:paraId="7D4AD9AE"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Brock et al. (2009)</w:t>
            </w:r>
          </w:p>
          <w:p w14:paraId="4D67C446"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Hunter et al. (2018)</w:t>
            </w:r>
          </w:p>
          <w:p w14:paraId="20E184C1" w14:textId="77777777" w:rsidR="009974B7" w:rsidRPr="009974B7" w:rsidRDefault="009974B7" w:rsidP="00322D35">
            <w:pPr>
              <w:spacing w:line="276" w:lineRule="auto"/>
              <w:jc w:val="center"/>
              <w:rPr>
                <w:rFonts w:ascii="Times New Roman" w:hAnsi="Times New Roman" w:cs="Times New Roman"/>
                <w:sz w:val="24"/>
                <w:szCs w:val="24"/>
                <w:lang w:val="en"/>
              </w:rPr>
            </w:pPr>
          </w:p>
        </w:tc>
        <w:tc>
          <w:tcPr>
            <w:tcW w:w="1521" w:type="pct"/>
            <w:tcBorders>
              <w:top w:val="single" w:sz="4" w:space="0" w:color="auto"/>
              <w:bottom w:val="single" w:sz="4" w:space="0" w:color="auto"/>
            </w:tcBorders>
          </w:tcPr>
          <w:p w14:paraId="06AE92FE" w14:textId="77777777" w:rsidR="009974B7" w:rsidRPr="009974B7" w:rsidRDefault="009974B7" w:rsidP="00322D35">
            <w:pPr>
              <w:spacing w:line="276" w:lineRule="auto"/>
              <w:jc w:val="center"/>
              <w:rPr>
                <w:rFonts w:ascii="Times New Roman" w:hAnsi="Times New Roman" w:cs="Times New Roman"/>
                <w:sz w:val="24"/>
                <w:szCs w:val="24"/>
                <w:lang w:val="en"/>
              </w:rPr>
            </w:pPr>
            <w:proofErr w:type="spellStart"/>
            <w:r w:rsidRPr="009974B7">
              <w:rPr>
                <w:rFonts w:ascii="Times New Roman" w:hAnsi="Times New Roman" w:cs="Times New Roman"/>
                <w:sz w:val="24"/>
                <w:szCs w:val="24"/>
                <w:lang w:val="en"/>
              </w:rPr>
              <w:t>Barbu</w:t>
            </w:r>
            <w:proofErr w:type="spellEnd"/>
            <w:r w:rsidRPr="009974B7">
              <w:rPr>
                <w:rFonts w:ascii="Times New Roman" w:hAnsi="Times New Roman" w:cs="Times New Roman"/>
                <w:sz w:val="24"/>
                <w:szCs w:val="24"/>
                <w:lang w:val="en"/>
              </w:rPr>
              <w:t xml:space="preserve"> et al. (2015)</w:t>
            </w:r>
          </w:p>
          <w:p w14:paraId="7249DA8F" w14:textId="77777777" w:rsidR="009974B7" w:rsidRPr="009974B7" w:rsidRDefault="009974B7" w:rsidP="00322D35">
            <w:pPr>
              <w:spacing w:line="276" w:lineRule="auto"/>
              <w:jc w:val="center"/>
              <w:rPr>
                <w:rFonts w:ascii="Times New Roman" w:hAnsi="Times New Roman" w:cs="Times New Roman"/>
                <w:sz w:val="24"/>
                <w:szCs w:val="24"/>
                <w:lang w:val="en"/>
              </w:rPr>
            </w:pPr>
            <w:proofErr w:type="spellStart"/>
            <w:r w:rsidRPr="009974B7">
              <w:rPr>
                <w:rFonts w:ascii="Times New Roman" w:hAnsi="Times New Roman" w:cs="Times New Roman"/>
                <w:sz w:val="24"/>
                <w:szCs w:val="24"/>
                <w:lang w:val="en"/>
              </w:rPr>
              <w:t>Bulotsky</w:t>
            </w:r>
            <w:proofErr w:type="spellEnd"/>
            <w:r w:rsidRPr="009974B7">
              <w:rPr>
                <w:rFonts w:ascii="Times New Roman" w:hAnsi="Times New Roman" w:cs="Times New Roman"/>
                <w:sz w:val="24"/>
                <w:szCs w:val="24"/>
                <w:lang w:val="en"/>
              </w:rPr>
              <w:t>-Shearer et al. (2011)</w:t>
            </w:r>
          </w:p>
          <w:p w14:paraId="16529A4F" w14:textId="7F9247F4" w:rsidR="009974B7" w:rsidRPr="009974B7" w:rsidRDefault="009974B7" w:rsidP="00322D35">
            <w:pPr>
              <w:spacing w:line="276" w:lineRule="auto"/>
              <w:jc w:val="center"/>
              <w:rPr>
                <w:rFonts w:ascii="Times New Roman" w:hAnsi="Times New Roman" w:cs="Times New Roman"/>
                <w:sz w:val="24"/>
                <w:szCs w:val="24"/>
                <w:lang w:val="en"/>
              </w:rPr>
            </w:pPr>
            <w:proofErr w:type="spellStart"/>
            <w:r w:rsidRPr="009974B7">
              <w:rPr>
                <w:rFonts w:ascii="Times New Roman" w:hAnsi="Times New Roman" w:cs="Times New Roman"/>
                <w:sz w:val="24"/>
                <w:szCs w:val="24"/>
                <w:lang w:val="en"/>
              </w:rPr>
              <w:t>Bustamente</w:t>
            </w:r>
            <w:proofErr w:type="spellEnd"/>
            <w:r w:rsidRPr="009974B7">
              <w:rPr>
                <w:rFonts w:ascii="Times New Roman" w:hAnsi="Times New Roman" w:cs="Times New Roman"/>
                <w:sz w:val="24"/>
                <w:szCs w:val="24"/>
                <w:lang w:val="en"/>
              </w:rPr>
              <w:t xml:space="preserve"> et al. (2017)</w:t>
            </w:r>
          </w:p>
          <w:p w14:paraId="79F69400"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Daniels (2014)</w:t>
            </w:r>
          </w:p>
          <w:p w14:paraId="0398B2E6"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Doctoroff et al. (2016)</w:t>
            </w:r>
          </w:p>
          <w:p w14:paraId="1413CE71"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George and Greenfield (2005)</w:t>
            </w:r>
          </w:p>
          <w:p w14:paraId="56E370F5"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Hair et al. (2006)</w:t>
            </w:r>
          </w:p>
          <w:p w14:paraId="6E7151C6"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Meng (2015)</w:t>
            </w:r>
          </w:p>
          <w:p w14:paraId="0C5B12EB"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Reid et al. (2014)</w:t>
            </w:r>
          </w:p>
          <w:p w14:paraId="1CF169C3"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Robinson (2013)</w:t>
            </w:r>
          </w:p>
          <w:p w14:paraId="74730DA4" w14:textId="77777777" w:rsidR="009974B7" w:rsidRPr="009974B7" w:rsidRDefault="009974B7" w:rsidP="00322D35">
            <w:pPr>
              <w:spacing w:line="276" w:lineRule="auto"/>
              <w:jc w:val="center"/>
              <w:rPr>
                <w:rFonts w:ascii="Times New Roman" w:hAnsi="Times New Roman" w:cs="Times New Roman"/>
                <w:sz w:val="24"/>
                <w:szCs w:val="24"/>
                <w:lang w:val="en"/>
              </w:rPr>
            </w:pPr>
            <w:proofErr w:type="spellStart"/>
            <w:r w:rsidRPr="009974B7">
              <w:rPr>
                <w:rFonts w:ascii="Times New Roman" w:hAnsi="Times New Roman" w:cs="Times New Roman"/>
                <w:sz w:val="24"/>
                <w:szCs w:val="24"/>
                <w:lang w:val="en"/>
              </w:rPr>
              <w:t>Vitiello</w:t>
            </w:r>
            <w:proofErr w:type="spellEnd"/>
            <w:r w:rsidRPr="009974B7">
              <w:rPr>
                <w:rFonts w:ascii="Times New Roman" w:hAnsi="Times New Roman" w:cs="Times New Roman"/>
                <w:sz w:val="24"/>
                <w:szCs w:val="24"/>
                <w:lang w:val="en"/>
              </w:rPr>
              <w:t xml:space="preserve"> et al (2011)</w:t>
            </w:r>
          </w:p>
          <w:p w14:paraId="7CDF486E" w14:textId="77777777" w:rsidR="009974B7" w:rsidRPr="009974B7" w:rsidRDefault="009974B7" w:rsidP="00322D35">
            <w:pPr>
              <w:spacing w:line="276" w:lineRule="auto"/>
              <w:jc w:val="center"/>
              <w:rPr>
                <w:rFonts w:ascii="Times New Roman" w:hAnsi="Times New Roman" w:cs="Times New Roman"/>
                <w:sz w:val="24"/>
                <w:szCs w:val="24"/>
                <w:lang w:val="en"/>
              </w:rPr>
            </w:pPr>
            <w:r w:rsidRPr="009974B7">
              <w:rPr>
                <w:rFonts w:ascii="Times New Roman" w:hAnsi="Times New Roman" w:cs="Times New Roman"/>
                <w:sz w:val="24"/>
                <w:szCs w:val="24"/>
                <w:lang w:val="en"/>
              </w:rPr>
              <w:t>Chen and McNamee (2011)</w:t>
            </w:r>
          </w:p>
        </w:tc>
      </w:tr>
    </w:tbl>
    <w:p w14:paraId="5EE2EA8F" w14:textId="662D7E50" w:rsidR="009974B7" w:rsidRPr="0018337E" w:rsidRDefault="009974B7" w:rsidP="00CC6470">
      <w:pPr>
        <w:spacing w:after="160"/>
        <w:contextualSpacing/>
        <w:rPr>
          <w:color w:val="auto"/>
        </w:rPr>
        <w:sectPr w:rsidR="009974B7" w:rsidRPr="0018337E" w:rsidSect="00D86CCC">
          <w:type w:val="continuous"/>
          <w:pgSz w:w="12240" w:h="15840"/>
          <w:pgMar w:top="1440" w:right="1440" w:bottom="1440" w:left="1440" w:header="720" w:footer="720" w:gutter="0"/>
          <w:cols w:space="720"/>
          <w:docGrid w:linePitch="360"/>
        </w:sectPr>
      </w:pPr>
    </w:p>
    <w:p w14:paraId="5317B9B7" w14:textId="561691B8" w:rsidR="0018337E" w:rsidRPr="0018337E" w:rsidRDefault="009974B7" w:rsidP="009974B7">
      <w:pPr>
        <w:spacing w:after="160"/>
        <w:contextualSpacing/>
        <w:rPr>
          <w:color w:val="7030A0"/>
        </w:rPr>
      </w:pPr>
      <w:r>
        <w:rPr>
          <w:color w:val="auto"/>
        </w:rPr>
        <w:lastRenderedPageBreak/>
        <w:t>ta</w:t>
      </w:r>
      <w:r w:rsidR="0018337E" w:rsidRPr="0018337E">
        <w:rPr>
          <w:color w:val="auto"/>
        </w:rPr>
        <w:t xml:space="preserve">sk, listening to the teacher, or following the teachers’ directions </w:t>
      </w:r>
      <w:r w:rsidR="009A6864" w:rsidRPr="009A6864">
        <w:t>(</w:t>
      </w:r>
      <w:proofErr w:type="spellStart"/>
      <w:r w:rsidR="009A6864" w:rsidRPr="009A6864">
        <w:t>DiPerna</w:t>
      </w:r>
      <w:proofErr w:type="spellEnd"/>
      <w:r w:rsidR="009A6864" w:rsidRPr="009A6864">
        <w:t xml:space="preserve"> et al., 2007; Neuenschwander et al., 2012)</w:t>
      </w:r>
      <w:r w:rsidR="0018337E" w:rsidRPr="0018337E">
        <w:rPr>
          <w:color w:val="auto"/>
        </w:rPr>
        <w:t xml:space="preserve">. Others include sitting still and working independently </w:t>
      </w:r>
      <w:r w:rsidR="009A6864" w:rsidRPr="009A6864">
        <w:t xml:space="preserve">(Stipek, Newton, &amp; </w:t>
      </w:r>
      <w:proofErr w:type="spellStart"/>
      <w:r w:rsidR="009A6864" w:rsidRPr="009A6864">
        <w:t>Chudgar</w:t>
      </w:r>
      <w:proofErr w:type="spellEnd"/>
      <w:r w:rsidR="009A6864" w:rsidRPr="009A6864">
        <w:t>, 2010; Tan &amp; Dobbs-Oates, 2013)</w:t>
      </w:r>
      <w:r w:rsidR="0018337E" w:rsidRPr="0018337E">
        <w:rPr>
          <w:color w:val="auto"/>
        </w:rPr>
        <w:t xml:space="preserve">. Brock et al. </w:t>
      </w:r>
      <w:r w:rsidR="009A6864" w:rsidRPr="009A6864">
        <w:t>(2009)</w:t>
      </w:r>
      <w:r w:rsidR="0018337E" w:rsidRPr="0018337E">
        <w:rPr>
          <w:color w:val="auto"/>
        </w:rPr>
        <w:t xml:space="preserve"> describe learning-related behavior as behavior that relies on the mental representation of rules. For these researchers, including this behavioral component of AtL emphasizes that good behavior is essential to learning. </w:t>
      </w:r>
    </w:p>
    <w:p w14:paraId="503C8D27" w14:textId="77777777" w:rsidR="0018337E" w:rsidRPr="0018337E" w:rsidRDefault="0018337E" w:rsidP="009974B7">
      <w:pPr>
        <w:contextualSpacing/>
        <w:rPr>
          <w:color w:val="auto"/>
        </w:rPr>
      </w:pPr>
      <w:r w:rsidRPr="0018337E">
        <w:rPr>
          <w:color w:val="7030A0"/>
        </w:rPr>
        <w:tab/>
        <w:t xml:space="preserve"> </w:t>
      </w:r>
      <w:r w:rsidRPr="0018337E">
        <w:rPr>
          <w:color w:val="auto"/>
        </w:rPr>
        <w:t xml:space="preserve">Examination of the terms and operationalizations across the studies selected indicates a wide range and variety in both the name and operationalization. While the NEGP reported an initial set of six characteristics, research has expanded to include many more. These operationalizations include aspects of social, emotional, cognitive, and behavioral development, although it is not consistent across studies which elements from which domains are included in AtL. Given these inconsistencies, it is essential to consider how to conceptualize AtL in a way that captures multiple domains. And, given this wide variety, how does one measure across these domains? </w:t>
      </w:r>
    </w:p>
    <w:p w14:paraId="3DFFEBAF" w14:textId="42E48EEC" w:rsidR="0018337E" w:rsidRPr="009974B7" w:rsidRDefault="0018337E" w:rsidP="009974B7">
      <w:pPr>
        <w:pStyle w:val="Heading1"/>
      </w:pPr>
      <w:bookmarkStart w:id="16" w:name="_Toc46265463"/>
      <w:r w:rsidRPr="009974B7">
        <w:t>A New Conceptualization of Approaches to Learning</w:t>
      </w:r>
      <w:bookmarkEnd w:id="16"/>
    </w:p>
    <w:p w14:paraId="1E015C3D" w14:textId="6E6B9322" w:rsidR="0018337E" w:rsidRPr="0018337E" w:rsidRDefault="0018337E" w:rsidP="0018337E">
      <w:pPr>
        <w:spacing w:after="160"/>
        <w:ind w:firstLine="720"/>
        <w:contextualSpacing/>
        <w:rPr>
          <w:color w:val="auto"/>
        </w:rPr>
      </w:pPr>
      <w:r w:rsidRPr="0018337E">
        <w:rPr>
          <w:color w:val="auto"/>
        </w:rPr>
        <w:t xml:space="preserve">Seventy-five different operationalizations of AtL were noted in the literature covering a wide range of behaviors across the social, cognitive, emotional, and behavioral domains. While McDermott et al. </w:t>
      </w:r>
      <w:r w:rsidR="009A6864" w:rsidRPr="009A6864">
        <w:t>(2018)</w:t>
      </w:r>
      <w:r w:rsidRPr="0018337E">
        <w:rPr>
          <w:color w:val="auto"/>
        </w:rPr>
        <w:t xml:space="preserve"> describe AtL as including aspects from the social, emotional, and cognitive domains, not all operationalizations could be neatly categorized this way. To understand how AtL can be conceptualized, the 75 characteristics of AtL have been mapped onto two separate sets of axes that encompass the social, emotional, behavioral, and cognitive domains (Figure 1). This conceptualization helps capture the wide variety of attributes and characteristics previously used to describe AtL, while also providing a way to capture AtL better. </w:t>
      </w:r>
      <w:r w:rsidRPr="0018337E">
        <w:rPr>
          <w:color w:val="auto"/>
        </w:rPr>
        <w:lastRenderedPageBreak/>
        <w:t xml:space="preserve">For example, these axes create quadrants </w:t>
      </w:r>
      <w:r w:rsidR="000B4B73">
        <w:rPr>
          <w:color w:val="auto"/>
        </w:rPr>
        <w:t>such that a</w:t>
      </w:r>
      <w:r w:rsidR="0085520F">
        <w:rPr>
          <w:color w:val="auto"/>
        </w:rPr>
        <w:t xml:space="preserve">ttributes </w:t>
      </w:r>
      <w:r w:rsidRPr="0018337E">
        <w:rPr>
          <w:color w:val="auto"/>
        </w:rPr>
        <w:t xml:space="preserve">of AtL can be classified as high in cognitive/low in the emotional domain or high in social/high in the behavioral domain. </w:t>
      </w:r>
    </w:p>
    <w:p w14:paraId="353C4476" w14:textId="4A17FB44" w:rsidR="0018337E" w:rsidRPr="0018337E" w:rsidRDefault="0018337E" w:rsidP="0018337E">
      <w:pPr>
        <w:spacing w:after="160"/>
        <w:ind w:firstLine="720"/>
        <w:contextualSpacing/>
        <w:rPr>
          <w:color w:val="auto"/>
        </w:rPr>
      </w:pPr>
      <w:r w:rsidRPr="0018337E">
        <w:rPr>
          <w:color w:val="auto"/>
        </w:rPr>
        <w:t xml:space="preserve">The first set of axes developed contained emotional and cognitive domains, as these domains have been previously linked theoretically. Blair and Raver </w:t>
      </w:r>
      <w:r w:rsidR="009A6864" w:rsidRPr="009A6864">
        <w:t>(2015)</w:t>
      </w:r>
      <w:r w:rsidRPr="0018337E">
        <w:rPr>
          <w:color w:val="auto"/>
        </w:rPr>
        <w:t xml:space="preserve"> propose a neurological link between emotional and cognitive development, more specifically attention, in their psychobiological model of self-regulation. In this model, emotion and attention reciprocally influence each other in support of self-regulation </w:t>
      </w:r>
      <w:r w:rsidR="009A6864" w:rsidRPr="009A6864">
        <w:t>(Blair, 2002)</w:t>
      </w:r>
      <w:r w:rsidRPr="0018337E">
        <w:rPr>
          <w:color w:val="auto"/>
        </w:rPr>
        <w:t>. For example, attention helps regulate levels of emotional arousal by attending to cues or ignoring distractions. At the same time, when emotion regulation is too difficult, children may lose the ability to focus on the task at hand. While Blair’s (2002) model describes self-regulation, the connection between emotion and cogniti</w:t>
      </w:r>
      <w:r w:rsidR="003453C4">
        <w:rPr>
          <w:color w:val="auto"/>
        </w:rPr>
        <w:t>on</w:t>
      </w:r>
      <w:r w:rsidRPr="0018337E">
        <w:rPr>
          <w:color w:val="auto"/>
        </w:rPr>
        <w:t xml:space="preserve"> holds for AtL as well. </w:t>
      </w:r>
    </w:p>
    <w:p w14:paraId="641B3476" w14:textId="77777777" w:rsidR="0018337E" w:rsidRPr="0018337E" w:rsidRDefault="0018337E" w:rsidP="0018337E">
      <w:pPr>
        <w:spacing w:after="160"/>
        <w:ind w:firstLine="720"/>
        <w:contextualSpacing/>
        <w:rPr>
          <w:color w:val="auto"/>
        </w:rPr>
        <w:sectPr w:rsidR="0018337E" w:rsidRPr="0018337E" w:rsidSect="00D86CCC">
          <w:type w:val="continuous"/>
          <w:pgSz w:w="12240" w:h="15840"/>
          <w:pgMar w:top="1440" w:right="1440" w:bottom="1440" w:left="1440" w:header="720" w:footer="720" w:gutter="0"/>
          <w:cols w:space="720"/>
          <w:docGrid w:linePitch="360"/>
        </w:sectPr>
      </w:pPr>
      <w:r w:rsidRPr="0018337E">
        <w:rPr>
          <w:color w:val="auto"/>
        </w:rPr>
        <w:t xml:space="preserve">While the cognitive/emotional axes were able to describe many of the operationalizations of AtL, they did not capture everything. Therefore, an additional set of axes, social/behavioral </w:t>
      </w:r>
    </w:p>
    <w:tbl>
      <w:tblPr>
        <w:tblStyle w:val="TableGrid7"/>
        <w:tblW w:w="5000" w:type="pct"/>
        <w:tblLook w:val="04A0" w:firstRow="1" w:lastRow="0" w:firstColumn="1" w:lastColumn="0" w:noHBand="0" w:noVBand="1"/>
      </w:tblPr>
      <w:tblGrid>
        <w:gridCol w:w="1817"/>
        <w:gridCol w:w="5798"/>
        <w:gridCol w:w="5345"/>
      </w:tblGrid>
      <w:tr w:rsidR="0018337E" w:rsidRPr="0018337E" w14:paraId="0238D437" w14:textId="77777777" w:rsidTr="00F315A5">
        <w:trPr>
          <w:trHeight w:val="4140"/>
        </w:trPr>
        <w:tc>
          <w:tcPr>
            <w:tcW w:w="701" w:type="pct"/>
            <w:vMerge w:val="restart"/>
            <w:tcBorders>
              <w:top w:val="nil"/>
              <w:left w:val="nil"/>
              <w:right w:val="single" w:sz="4" w:space="0" w:color="auto"/>
            </w:tcBorders>
          </w:tcPr>
          <w:p w14:paraId="02B88BA8" w14:textId="77777777" w:rsidR="0018337E" w:rsidRPr="0018337E" w:rsidRDefault="0018337E" w:rsidP="0018337E">
            <w:pPr>
              <w:tabs>
                <w:tab w:val="right" w:pos="1368"/>
              </w:tabs>
              <w:autoSpaceDE w:val="0"/>
              <w:autoSpaceDN w:val="0"/>
              <w:adjustRightInd w:val="0"/>
              <w:rPr>
                <w:rFonts w:ascii="Arial" w:hAnsi="Arial"/>
                <w:bCs/>
                <w:sz w:val="28"/>
                <w:szCs w:val="28"/>
              </w:rPr>
            </w:pPr>
            <w:r w:rsidRPr="0018337E">
              <w:rPr>
                <w:rFonts w:ascii="Arial" w:hAnsi="Arial"/>
                <w:bCs/>
                <w:sz w:val="28"/>
                <w:szCs w:val="28"/>
              </w:rPr>
              <w:lastRenderedPageBreak/>
              <w:tab/>
              <w:t>High</w:t>
            </w:r>
          </w:p>
          <w:p w14:paraId="7CD25803" w14:textId="77777777" w:rsidR="0018337E" w:rsidRPr="0018337E" w:rsidRDefault="0018337E" w:rsidP="0018337E">
            <w:pPr>
              <w:tabs>
                <w:tab w:val="right" w:pos="576"/>
                <w:tab w:val="right" w:pos="2538"/>
              </w:tabs>
              <w:autoSpaceDE w:val="0"/>
              <w:autoSpaceDN w:val="0"/>
              <w:adjustRightInd w:val="0"/>
              <w:rPr>
                <w:rFonts w:ascii="Arial" w:hAnsi="Arial"/>
                <w:bCs/>
                <w:sz w:val="28"/>
                <w:szCs w:val="28"/>
              </w:rPr>
            </w:pPr>
          </w:p>
          <w:p w14:paraId="2C875CD6" w14:textId="77777777" w:rsidR="0018337E" w:rsidRPr="0018337E" w:rsidRDefault="0018337E" w:rsidP="0018337E">
            <w:pPr>
              <w:tabs>
                <w:tab w:val="right" w:pos="576"/>
                <w:tab w:val="right" w:pos="2538"/>
              </w:tabs>
              <w:autoSpaceDE w:val="0"/>
              <w:autoSpaceDN w:val="0"/>
              <w:adjustRightInd w:val="0"/>
              <w:rPr>
                <w:rFonts w:ascii="Arial" w:hAnsi="Arial"/>
                <w:bCs/>
                <w:sz w:val="28"/>
                <w:szCs w:val="28"/>
              </w:rPr>
            </w:pPr>
          </w:p>
          <w:p w14:paraId="60013DF4" w14:textId="77777777" w:rsidR="0018337E" w:rsidRPr="0018337E" w:rsidRDefault="0018337E" w:rsidP="0018337E">
            <w:pPr>
              <w:tabs>
                <w:tab w:val="right" w:pos="576"/>
                <w:tab w:val="right" w:pos="2538"/>
              </w:tabs>
              <w:autoSpaceDE w:val="0"/>
              <w:autoSpaceDN w:val="0"/>
              <w:adjustRightInd w:val="0"/>
              <w:rPr>
                <w:rFonts w:ascii="Arial" w:hAnsi="Arial"/>
                <w:bCs/>
                <w:sz w:val="28"/>
                <w:szCs w:val="28"/>
              </w:rPr>
            </w:pPr>
          </w:p>
          <w:tbl>
            <w:tblPr>
              <w:tblStyle w:val="TableGrid7"/>
              <w:tblW w:w="257" w:type="dxa"/>
              <w:tblInd w:w="1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
            </w:tblGrid>
            <w:tr w:rsidR="0018337E" w:rsidRPr="0018337E" w14:paraId="65EA0A25" w14:textId="77777777" w:rsidTr="0018337E">
              <w:trPr>
                <w:cantSplit/>
                <w:trHeight w:val="1134"/>
              </w:trPr>
              <w:tc>
                <w:tcPr>
                  <w:tcW w:w="257" w:type="dxa"/>
                </w:tcPr>
                <w:p w14:paraId="2AB2AD08"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bCs/>
                    </w:rPr>
                  </w:pPr>
                  <w:r w:rsidRPr="0018337E">
                    <w:rPr>
                      <w:rFonts w:ascii="Arial" w:hAnsi="Arial"/>
                      <w:bCs/>
                    </w:rPr>
                    <w:t>E M O T I O N</w:t>
                  </w:r>
                </w:p>
                <w:p w14:paraId="23A4DB42"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bCs/>
                    </w:rPr>
                  </w:pPr>
                  <w:r w:rsidRPr="0018337E">
                    <w:rPr>
                      <w:rFonts w:ascii="Arial" w:hAnsi="Arial"/>
                      <w:bCs/>
                    </w:rPr>
                    <w:t>A</w:t>
                  </w:r>
                </w:p>
                <w:p w14:paraId="067C342B"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bCs/>
                    </w:rPr>
                  </w:pPr>
                  <w:r w:rsidRPr="0018337E">
                    <w:rPr>
                      <w:rFonts w:ascii="Arial" w:hAnsi="Arial"/>
                      <w:bCs/>
                    </w:rPr>
                    <w:t>L</w:t>
                  </w:r>
                </w:p>
              </w:tc>
            </w:tr>
          </w:tbl>
          <w:p w14:paraId="5E9413F1" w14:textId="77777777" w:rsidR="0018337E" w:rsidRPr="0018337E" w:rsidRDefault="0018337E" w:rsidP="0018337E">
            <w:pPr>
              <w:tabs>
                <w:tab w:val="right" w:pos="2538"/>
              </w:tabs>
              <w:autoSpaceDE w:val="0"/>
              <w:autoSpaceDN w:val="0"/>
              <w:adjustRightInd w:val="0"/>
              <w:ind w:right="162"/>
              <w:rPr>
                <w:rFonts w:ascii="Arial" w:hAnsi="Arial"/>
                <w:bCs/>
                <w:sz w:val="28"/>
                <w:szCs w:val="28"/>
              </w:rPr>
            </w:pPr>
          </w:p>
          <w:p w14:paraId="71CDF0F8" w14:textId="77777777" w:rsidR="0018337E" w:rsidRPr="0018337E" w:rsidRDefault="0018337E" w:rsidP="0018337E">
            <w:pPr>
              <w:tabs>
                <w:tab w:val="right" w:pos="576"/>
              </w:tabs>
              <w:autoSpaceDE w:val="0"/>
              <w:autoSpaceDN w:val="0"/>
              <w:adjustRightInd w:val="0"/>
              <w:rPr>
                <w:rFonts w:ascii="Arial" w:hAnsi="Arial"/>
                <w:bCs/>
                <w:sz w:val="28"/>
                <w:szCs w:val="28"/>
              </w:rPr>
            </w:pPr>
          </w:p>
          <w:p w14:paraId="04A253EE" w14:textId="77777777" w:rsidR="0018337E" w:rsidRPr="0018337E" w:rsidRDefault="0018337E" w:rsidP="0018337E">
            <w:pPr>
              <w:tabs>
                <w:tab w:val="right" w:pos="576"/>
              </w:tabs>
              <w:autoSpaceDE w:val="0"/>
              <w:autoSpaceDN w:val="0"/>
              <w:adjustRightInd w:val="0"/>
              <w:rPr>
                <w:rFonts w:ascii="Arial" w:hAnsi="Arial"/>
                <w:bCs/>
                <w:sz w:val="28"/>
                <w:szCs w:val="28"/>
              </w:rPr>
            </w:pPr>
          </w:p>
          <w:p w14:paraId="627A926C" w14:textId="77777777" w:rsidR="0018337E" w:rsidRPr="0018337E" w:rsidRDefault="0018337E" w:rsidP="0018337E">
            <w:pPr>
              <w:tabs>
                <w:tab w:val="right" w:pos="576"/>
              </w:tabs>
              <w:autoSpaceDE w:val="0"/>
              <w:autoSpaceDN w:val="0"/>
              <w:adjustRightInd w:val="0"/>
              <w:rPr>
                <w:rFonts w:ascii="Arial" w:hAnsi="Arial"/>
                <w:bCs/>
                <w:sz w:val="28"/>
                <w:szCs w:val="28"/>
              </w:rPr>
            </w:pPr>
          </w:p>
          <w:p w14:paraId="13502595" w14:textId="77777777" w:rsidR="0018337E" w:rsidRPr="0018337E" w:rsidRDefault="0018337E" w:rsidP="0018337E">
            <w:pPr>
              <w:tabs>
                <w:tab w:val="right" w:pos="1368"/>
              </w:tabs>
              <w:autoSpaceDE w:val="0"/>
              <w:autoSpaceDN w:val="0"/>
              <w:adjustRightInd w:val="0"/>
              <w:rPr>
                <w:rFonts w:ascii="Arial" w:hAnsi="Arial"/>
                <w:bCs/>
                <w:sz w:val="28"/>
                <w:szCs w:val="28"/>
              </w:rPr>
            </w:pPr>
          </w:p>
        </w:tc>
        <w:tc>
          <w:tcPr>
            <w:tcW w:w="2237" w:type="pct"/>
            <w:tcBorders>
              <w:top w:val="nil"/>
              <w:left w:val="single" w:sz="4" w:space="0" w:color="auto"/>
            </w:tcBorders>
            <w:vAlign w:val="center"/>
          </w:tcPr>
          <w:p w14:paraId="04BE91A2" w14:textId="77777777" w:rsidR="0018337E" w:rsidRPr="0018337E" w:rsidRDefault="0018337E" w:rsidP="0018337E">
            <w:r w:rsidRPr="0018337E">
              <w:t>Affective orientation</w:t>
            </w:r>
          </w:p>
          <w:p w14:paraId="1DE5B8CA" w14:textId="77777777" w:rsidR="0018337E" w:rsidRPr="0018337E" w:rsidRDefault="0018337E" w:rsidP="0018337E">
            <w:r w:rsidRPr="0018337E">
              <w:t xml:space="preserve">Emotion Regulation </w:t>
            </w:r>
          </w:p>
          <w:p w14:paraId="10EED50F" w14:textId="77777777" w:rsidR="0018337E" w:rsidRPr="0018337E" w:rsidRDefault="0018337E" w:rsidP="0018337E">
            <w:r w:rsidRPr="0018337E">
              <w:t xml:space="preserve">Motivation </w:t>
            </w:r>
          </w:p>
          <w:p w14:paraId="3570525A" w14:textId="77777777" w:rsidR="0018337E" w:rsidRPr="0018337E" w:rsidRDefault="0018337E" w:rsidP="0018337E">
            <w:r w:rsidRPr="0018337E">
              <w:t>Engagement with new activities</w:t>
            </w:r>
          </w:p>
          <w:p w14:paraId="31141F7D" w14:textId="77777777" w:rsidR="0018337E" w:rsidRPr="0018337E" w:rsidRDefault="0018337E" w:rsidP="0018337E">
            <w:r w:rsidRPr="0018337E">
              <w:t>Frustration tolerance</w:t>
            </w:r>
          </w:p>
          <w:p w14:paraId="6C08BB40" w14:textId="77777777" w:rsidR="0018337E" w:rsidRPr="0018337E" w:rsidRDefault="0018337E" w:rsidP="0018337E">
            <w:pPr>
              <w:autoSpaceDE w:val="0"/>
              <w:autoSpaceDN w:val="0"/>
              <w:adjustRightInd w:val="0"/>
            </w:pPr>
            <w:r w:rsidRPr="0018337E">
              <w:t xml:space="preserve">Positive disposition to learning </w:t>
            </w:r>
          </w:p>
          <w:p w14:paraId="260472F9" w14:textId="77777777" w:rsidR="0018337E" w:rsidRPr="0018337E" w:rsidRDefault="0018337E" w:rsidP="0018337E">
            <w:pPr>
              <w:autoSpaceDE w:val="0"/>
              <w:autoSpaceDN w:val="0"/>
              <w:adjustRightInd w:val="0"/>
              <w:jc w:val="center"/>
              <w:rPr>
                <w:rFonts w:ascii="Arial" w:hAnsi="Arial"/>
                <w:b/>
                <w:bCs/>
              </w:rPr>
            </w:pPr>
          </w:p>
          <w:p w14:paraId="13BB8384" w14:textId="77777777" w:rsidR="0018337E" w:rsidRPr="0018337E" w:rsidRDefault="0018337E" w:rsidP="0018337E">
            <w:pPr>
              <w:autoSpaceDE w:val="0"/>
              <w:autoSpaceDN w:val="0"/>
              <w:adjustRightInd w:val="0"/>
              <w:jc w:val="center"/>
              <w:rPr>
                <w:rFonts w:ascii="Arial" w:hAnsi="Arial"/>
                <w:b/>
                <w:bCs/>
              </w:rPr>
            </w:pPr>
          </w:p>
          <w:p w14:paraId="1BB11641" w14:textId="77777777" w:rsidR="0018337E" w:rsidRPr="0018337E" w:rsidRDefault="0018337E" w:rsidP="0018337E">
            <w:pPr>
              <w:autoSpaceDE w:val="0"/>
              <w:autoSpaceDN w:val="0"/>
              <w:adjustRightInd w:val="0"/>
              <w:jc w:val="center"/>
              <w:rPr>
                <w:rFonts w:ascii="Arial" w:hAnsi="Arial"/>
                <w:b/>
                <w:bCs/>
              </w:rPr>
            </w:pPr>
          </w:p>
          <w:p w14:paraId="73AF7109" w14:textId="77777777" w:rsidR="0018337E" w:rsidRPr="0018337E" w:rsidRDefault="0018337E" w:rsidP="0018337E">
            <w:pPr>
              <w:autoSpaceDE w:val="0"/>
              <w:autoSpaceDN w:val="0"/>
              <w:adjustRightInd w:val="0"/>
              <w:jc w:val="center"/>
              <w:rPr>
                <w:rFonts w:ascii="Arial" w:hAnsi="Arial"/>
                <w:b/>
                <w:bCs/>
              </w:rPr>
            </w:pPr>
          </w:p>
          <w:p w14:paraId="2C9053AB" w14:textId="77777777" w:rsidR="0018337E" w:rsidRPr="0018337E" w:rsidRDefault="0018337E" w:rsidP="0018337E">
            <w:pPr>
              <w:autoSpaceDE w:val="0"/>
              <w:autoSpaceDN w:val="0"/>
              <w:adjustRightInd w:val="0"/>
              <w:jc w:val="center"/>
              <w:rPr>
                <w:rFonts w:ascii="Arial" w:hAnsi="Arial"/>
                <w:b/>
                <w:bCs/>
              </w:rPr>
            </w:pPr>
          </w:p>
          <w:p w14:paraId="37E68217" w14:textId="77777777" w:rsidR="0018337E" w:rsidRPr="0018337E" w:rsidRDefault="0018337E" w:rsidP="0018337E">
            <w:pPr>
              <w:autoSpaceDE w:val="0"/>
              <w:autoSpaceDN w:val="0"/>
              <w:adjustRightInd w:val="0"/>
              <w:jc w:val="center"/>
              <w:rPr>
                <w:rFonts w:ascii="Arial" w:hAnsi="Arial"/>
                <w:b/>
                <w:bCs/>
              </w:rPr>
            </w:pPr>
          </w:p>
          <w:p w14:paraId="21198453" w14:textId="77777777" w:rsidR="0018337E" w:rsidRPr="0018337E" w:rsidRDefault="0018337E" w:rsidP="0018337E">
            <w:pPr>
              <w:autoSpaceDE w:val="0"/>
              <w:autoSpaceDN w:val="0"/>
              <w:adjustRightInd w:val="0"/>
              <w:jc w:val="center"/>
              <w:rPr>
                <w:rFonts w:ascii="Arial" w:hAnsi="Arial"/>
                <w:b/>
                <w:bCs/>
              </w:rPr>
            </w:pPr>
          </w:p>
          <w:p w14:paraId="6AF62111" w14:textId="77777777" w:rsidR="0018337E" w:rsidRPr="0018337E" w:rsidRDefault="0018337E" w:rsidP="0018337E">
            <w:pPr>
              <w:autoSpaceDE w:val="0"/>
              <w:autoSpaceDN w:val="0"/>
              <w:adjustRightInd w:val="0"/>
              <w:jc w:val="center"/>
              <w:rPr>
                <w:rFonts w:ascii="Arial" w:hAnsi="Arial"/>
                <w:b/>
                <w:bCs/>
                <w:color w:val="FF0000"/>
              </w:rPr>
            </w:pPr>
          </w:p>
        </w:tc>
        <w:tc>
          <w:tcPr>
            <w:tcW w:w="2062" w:type="pct"/>
            <w:tcBorders>
              <w:top w:val="nil"/>
              <w:right w:val="nil"/>
            </w:tcBorders>
            <w:vAlign w:val="center"/>
          </w:tcPr>
          <w:p w14:paraId="7F5F7CDD" w14:textId="77777777" w:rsidR="0018337E" w:rsidRPr="0018337E" w:rsidRDefault="0018337E" w:rsidP="0018337E">
            <w:pPr>
              <w:rPr>
                <w:color w:val="FF0000"/>
              </w:rPr>
            </w:pPr>
            <w:r w:rsidRPr="0018337E">
              <w:rPr>
                <w:color w:val="FF0000"/>
              </w:rPr>
              <w:t>Curiosity</w:t>
            </w:r>
          </w:p>
          <w:p w14:paraId="0D461583" w14:textId="77777777" w:rsidR="0018337E" w:rsidRPr="0018337E" w:rsidRDefault="0018337E" w:rsidP="0018337E">
            <w:pPr>
              <w:rPr>
                <w:color w:val="FF0000"/>
              </w:rPr>
            </w:pPr>
            <w:r w:rsidRPr="0018337E">
              <w:rPr>
                <w:color w:val="FF0000"/>
              </w:rPr>
              <w:t xml:space="preserve">Task persistence </w:t>
            </w:r>
          </w:p>
          <w:p w14:paraId="54B3F35E" w14:textId="77777777" w:rsidR="0018337E" w:rsidRPr="0018337E" w:rsidRDefault="0018337E" w:rsidP="0018337E">
            <w:pPr>
              <w:rPr>
                <w:color w:val="FF0000"/>
              </w:rPr>
            </w:pPr>
            <w:r w:rsidRPr="0018337E">
              <w:rPr>
                <w:color w:val="FF0000"/>
              </w:rPr>
              <w:t xml:space="preserve">Imagination and Inventiveness </w:t>
            </w:r>
          </w:p>
          <w:p w14:paraId="168C4082" w14:textId="77777777" w:rsidR="0018337E" w:rsidRPr="0018337E" w:rsidRDefault="0018337E" w:rsidP="0018337E">
            <w:pPr>
              <w:autoSpaceDE w:val="0"/>
              <w:autoSpaceDN w:val="0"/>
              <w:adjustRightInd w:val="0"/>
              <w:rPr>
                <w:color w:val="FF0000"/>
              </w:rPr>
            </w:pPr>
            <w:r w:rsidRPr="0018337E">
              <w:rPr>
                <w:color w:val="FF0000"/>
              </w:rPr>
              <w:t xml:space="preserve">Problem-solving skills </w:t>
            </w:r>
          </w:p>
          <w:p w14:paraId="1DA708B9" w14:textId="77777777" w:rsidR="003453C4" w:rsidRDefault="003453C4" w:rsidP="0018337E">
            <w:r w:rsidRPr="003453C4">
              <w:rPr>
                <w:color w:val="FF0000"/>
              </w:rPr>
              <w:t>Initiative</w:t>
            </w:r>
            <w:r w:rsidRPr="0018337E">
              <w:t xml:space="preserve"> </w:t>
            </w:r>
          </w:p>
          <w:p w14:paraId="1D936929" w14:textId="3EB0BF48" w:rsidR="0018337E" w:rsidRPr="0018337E" w:rsidRDefault="0018337E" w:rsidP="0018337E">
            <w:r w:rsidRPr="0018337E">
              <w:t>Eagerness</w:t>
            </w:r>
          </w:p>
          <w:p w14:paraId="3B360AA2" w14:textId="77777777" w:rsidR="0018337E" w:rsidRPr="0018337E" w:rsidRDefault="0018337E" w:rsidP="0018337E">
            <w:r w:rsidRPr="0018337E">
              <w:t>Engagement with learning</w:t>
            </w:r>
          </w:p>
          <w:p w14:paraId="2342C04C" w14:textId="77777777" w:rsidR="0018337E" w:rsidRPr="0018337E" w:rsidRDefault="0018337E" w:rsidP="0018337E">
            <w:r w:rsidRPr="0018337E">
              <w:t xml:space="preserve">Exerting intense effort and concentration </w:t>
            </w:r>
          </w:p>
          <w:p w14:paraId="52D7D61C" w14:textId="77777777" w:rsidR="0018337E" w:rsidRPr="0018337E" w:rsidRDefault="0018337E" w:rsidP="0018337E">
            <w:r w:rsidRPr="0018337E">
              <w:t>Flexibility</w:t>
            </w:r>
          </w:p>
          <w:p w14:paraId="3D3DDA59" w14:textId="77777777" w:rsidR="0018337E" w:rsidRPr="0018337E" w:rsidRDefault="0018337E" w:rsidP="0018337E">
            <w:r w:rsidRPr="0018337E">
              <w:t xml:space="preserve">Goal orientation </w:t>
            </w:r>
          </w:p>
          <w:p w14:paraId="08EE4A93" w14:textId="77777777" w:rsidR="0018337E" w:rsidRPr="0018337E" w:rsidRDefault="0018337E" w:rsidP="0018337E">
            <w:r w:rsidRPr="0018337E">
              <w:t>Imagination</w:t>
            </w:r>
          </w:p>
          <w:p w14:paraId="41A9D1DD" w14:textId="77777777" w:rsidR="0018337E" w:rsidRPr="0018337E" w:rsidRDefault="0018337E" w:rsidP="0018337E">
            <w:pPr>
              <w:autoSpaceDE w:val="0"/>
              <w:autoSpaceDN w:val="0"/>
              <w:adjustRightInd w:val="0"/>
            </w:pPr>
            <w:r w:rsidRPr="0018337E">
              <w:t xml:space="preserve">Inventiveness </w:t>
            </w:r>
          </w:p>
          <w:p w14:paraId="2AE4D697" w14:textId="77777777" w:rsidR="0018337E" w:rsidRPr="0018337E" w:rsidRDefault="0018337E" w:rsidP="0018337E">
            <w:pPr>
              <w:autoSpaceDE w:val="0"/>
              <w:autoSpaceDN w:val="0"/>
              <w:adjustRightInd w:val="0"/>
            </w:pPr>
            <w:r w:rsidRPr="0018337E">
              <w:t xml:space="preserve">Open to new experiences and challenges </w:t>
            </w:r>
          </w:p>
          <w:p w14:paraId="28092763" w14:textId="77777777" w:rsidR="0018337E" w:rsidRPr="0018337E" w:rsidRDefault="0018337E" w:rsidP="0018337E">
            <w:pPr>
              <w:autoSpaceDE w:val="0"/>
              <w:autoSpaceDN w:val="0"/>
              <w:adjustRightInd w:val="0"/>
              <w:rPr>
                <w:b/>
                <w:bCs/>
              </w:rPr>
            </w:pPr>
            <w:r w:rsidRPr="0018337E">
              <w:t xml:space="preserve">Perseverance or eagerness for challenges </w:t>
            </w:r>
          </w:p>
        </w:tc>
      </w:tr>
      <w:tr w:rsidR="0018337E" w:rsidRPr="0018337E" w14:paraId="3BC5963C" w14:textId="77777777" w:rsidTr="00F315A5">
        <w:trPr>
          <w:trHeight w:val="3240"/>
        </w:trPr>
        <w:tc>
          <w:tcPr>
            <w:tcW w:w="701" w:type="pct"/>
            <w:vMerge/>
            <w:tcBorders>
              <w:left w:val="nil"/>
              <w:bottom w:val="nil"/>
              <w:right w:val="single" w:sz="4" w:space="0" w:color="auto"/>
            </w:tcBorders>
          </w:tcPr>
          <w:p w14:paraId="5931EDE3" w14:textId="77777777" w:rsidR="0018337E" w:rsidRPr="0018337E" w:rsidRDefault="0018337E" w:rsidP="0018337E">
            <w:pPr>
              <w:tabs>
                <w:tab w:val="right" w:pos="1368"/>
              </w:tabs>
              <w:autoSpaceDE w:val="0"/>
              <w:autoSpaceDN w:val="0"/>
              <w:adjustRightInd w:val="0"/>
              <w:rPr>
                <w:rFonts w:ascii="Arial" w:hAnsi="Arial"/>
                <w:bCs/>
                <w:sz w:val="28"/>
                <w:szCs w:val="28"/>
              </w:rPr>
            </w:pPr>
          </w:p>
        </w:tc>
        <w:tc>
          <w:tcPr>
            <w:tcW w:w="2237" w:type="pct"/>
            <w:tcBorders>
              <w:top w:val="nil"/>
              <w:left w:val="single" w:sz="4" w:space="0" w:color="auto"/>
            </w:tcBorders>
            <w:vAlign w:val="center"/>
          </w:tcPr>
          <w:p w14:paraId="6B80083D" w14:textId="77777777" w:rsidR="0018337E" w:rsidRPr="0018337E" w:rsidRDefault="0018337E" w:rsidP="0018337E">
            <w:pPr>
              <w:autoSpaceDE w:val="0"/>
              <w:autoSpaceDN w:val="0"/>
              <w:adjustRightInd w:val="0"/>
              <w:jc w:val="center"/>
              <w:rPr>
                <w:rFonts w:ascii="Arial" w:hAnsi="Arial"/>
                <w:b/>
                <w:bCs/>
              </w:rPr>
            </w:pPr>
          </w:p>
          <w:p w14:paraId="29C8F6C9" w14:textId="77777777" w:rsidR="0018337E" w:rsidRPr="0018337E" w:rsidRDefault="0018337E" w:rsidP="0018337E">
            <w:pPr>
              <w:autoSpaceDE w:val="0"/>
              <w:autoSpaceDN w:val="0"/>
              <w:adjustRightInd w:val="0"/>
              <w:jc w:val="center"/>
              <w:rPr>
                <w:rFonts w:ascii="Arial" w:hAnsi="Arial"/>
                <w:b/>
                <w:bCs/>
              </w:rPr>
            </w:pPr>
          </w:p>
          <w:p w14:paraId="1DB042C8" w14:textId="77777777" w:rsidR="0018337E" w:rsidRPr="0018337E" w:rsidRDefault="0018337E" w:rsidP="0018337E">
            <w:pPr>
              <w:autoSpaceDE w:val="0"/>
              <w:autoSpaceDN w:val="0"/>
              <w:adjustRightInd w:val="0"/>
              <w:jc w:val="center"/>
              <w:rPr>
                <w:rFonts w:ascii="Arial" w:hAnsi="Arial"/>
                <w:b/>
                <w:bCs/>
              </w:rPr>
            </w:pPr>
          </w:p>
          <w:p w14:paraId="0DFEAA42" w14:textId="77777777" w:rsidR="0018337E" w:rsidRPr="0018337E" w:rsidRDefault="0018337E" w:rsidP="0018337E">
            <w:pPr>
              <w:autoSpaceDE w:val="0"/>
              <w:autoSpaceDN w:val="0"/>
              <w:adjustRightInd w:val="0"/>
              <w:jc w:val="center"/>
              <w:rPr>
                <w:rFonts w:ascii="Arial" w:hAnsi="Arial"/>
                <w:b/>
                <w:bCs/>
              </w:rPr>
            </w:pPr>
          </w:p>
          <w:p w14:paraId="7DD650E8" w14:textId="77777777" w:rsidR="0018337E" w:rsidRPr="0018337E" w:rsidRDefault="0018337E" w:rsidP="0018337E">
            <w:pPr>
              <w:autoSpaceDE w:val="0"/>
              <w:autoSpaceDN w:val="0"/>
              <w:adjustRightInd w:val="0"/>
              <w:jc w:val="center"/>
              <w:rPr>
                <w:rFonts w:ascii="Arial" w:hAnsi="Arial"/>
                <w:b/>
                <w:bCs/>
              </w:rPr>
            </w:pPr>
          </w:p>
          <w:p w14:paraId="21EAD78F" w14:textId="77777777" w:rsidR="0018337E" w:rsidRPr="0018337E" w:rsidRDefault="0018337E" w:rsidP="0018337E">
            <w:pPr>
              <w:autoSpaceDE w:val="0"/>
              <w:autoSpaceDN w:val="0"/>
              <w:adjustRightInd w:val="0"/>
              <w:jc w:val="center"/>
              <w:rPr>
                <w:rFonts w:ascii="Arial" w:hAnsi="Arial"/>
                <w:b/>
                <w:bCs/>
              </w:rPr>
            </w:pPr>
          </w:p>
          <w:p w14:paraId="495C456B" w14:textId="77777777" w:rsidR="0018337E" w:rsidRPr="0018337E" w:rsidRDefault="0018337E" w:rsidP="0018337E">
            <w:pPr>
              <w:autoSpaceDE w:val="0"/>
              <w:autoSpaceDN w:val="0"/>
              <w:adjustRightInd w:val="0"/>
              <w:jc w:val="center"/>
              <w:rPr>
                <w:rFonts w:ascii="Arial" w:hAnsi="Arial"/>
                <w:b/>
                <w:bCs/>
              </w:rPr>
            </w:pPr>
          </w:p>
          <w:p w14:paraId="73DFE3BF" w14:textId="77777777" w:rsidR="0018337E" w:rsidRPr="0018337E" w:rsidRDefault="0018337E" w:rsidP="0018337E">
            <w:pPr>
              <w:autoSpaceDE w:val="0"/>
              <w:autoSpaceDN w:val="0"/>
              <w:adjustRightInd w:val="0"/>
              <w:jc w:val="center"/>
              <w:rPr>
                <w:rFonts w:ascii="Arial" w:hAnsi="Arial"/>
                <w:b/>
                <w:bCs/>
              </w:rPr>
            </w:pPr>
          </w:p>
          <w:p w14:paraId="6F311A55" w14:textId="77777777" w:rsidR="0018337E" w:rsidRPr="0018337E" w:rsidRDefault="0018337E" w:rsidP="0018337E">
            <w:pPr>
              <w:autoSpaceDE w:val="0"/>
              <w:autoSpaceDN w:val="0"/>
              <w:adjustRightInd w:val="0"/>
              <w:jc w:val="center"/>
              <w:rPr>
                <w:rFonts w:ascii="Arial" w:hAnsi="Arial"/>
                <w:b/>
                <w:bCs/>
                <w:color w:val="A6A6A6" w:themeColor="background1" w:themeShade="A6"/>
              </w:rPr>
            </w:pPr>
          </w:p>
        </w:tc>
        <w:tc>
          <w:tcPr>
            <w:tcW w:w="2062" w:type="pct"/>
            <w:tcBorders>
              <w:right w:val="nil"/>
            </w:tcBorders>
            <w:vAlign w:val="center"/>
          </w:tcPr>
          <w:p w14:paraId="1A9CBB69" w14:textId="77777777" w:rsidR="00BC09A0" w:rsidRPr="00BC09A0" w:rsidRDefault="00BC09A0" w:rsidP="00BC09A0">
            <w:pPr>
              <w:rPr>
                <w:color w:val="FF0000"/>
              </w:rPr>
            </w:pPr>
            <w:r w:rsidRPr="00BC09A0">
              <w:rPr>
                <w:color w:val="FF0000"/>
              </w:rPr>
              <w:t>Attentiveness</w:t>
            </w:r>
          </w:p>
          <w:p w14:paraId="49CC2A23" w14:textId="77777777" w:rsidR="0018337E" w:rsidRPr="0018337E" w:rsidRDefault="0018337E" w:rsidP="0018337E">
            <w:r w:rsidRPr="0018337E">
              <w:t xml:space="preserve">Executive function </w:t>
            </w:r>
          </w:p>
          <w:p w14:paraId="387952E9" w14:textId="77777777" w:rsidR="0018337E" w:rsidRPr="0018337E" w:rsidRDefault="0018337E" w:rsidP="0018337E">
            <w:r w:rsidRPr="0018337E">
              <w:t xml:space="preserve">Ability to maintain and focus attention </w:t>
            </w:r>
          </w:p>
          <w:p w14:paraId="216E9874" w14:textId="77777777" w:rsidR="0018337E" w:rsidRPr="0018337E" w:rsidRDefault="0018337E" w:rsidP="0018337E">
            <w:r w:rsidRPr="0018337E">
              <w:t>Attention</w:t>
            </w:r>
          </w:p>
          <w:p w14:paraId="2ADB4B85" w14:textId="77777777" w:rsidR="0018337E" w:rsidRPr="0018337E" w:rsidRDefault="0018337E" w:rsidP="0018337E">
            <w:r w:rsidRPr="0018337E">
              <w:t>Attention during instructions</w:t>
            </w:r>
          </w:p>
          <w:p w14:paraId="39ECFBB1" w14:textId="77777777" w:rsidR="0018337E" w:rsidRPr="0018337E" w:rsidRDefault="0018337E" w:rsidP="0018337E">
            <w:r w:rsidRPr="0018337E">
              <w:t xml:space="preserve">Attention Regulation </w:t>
            </w:r>
          </w:p>
          <w:p w14:paraId="05FA6A03" w14:textId="77777777" w:rsidR="0018337E" w:rsidRPr="0018337E" w:rsidRDefault="0018337E" w:rsidP="0018337E">
            <w:r w:rsidRPr="0018337E">
              <w:t>Focused interest</w:t>
            </w:r>
          </w:p>
          <w:p w14:paraId="72C1B05B" w14:textId="77777777" w:rsidR="0018337E" w:rsidRPr="0018337E" w:rsidRDefault="0018337E" w:rsidP="0018337E">
            <w:pPr>
              <w:autoSpaceDE w:val="0"/>
              <w:autoSpaceDN w:val="0"/>
              <w:adjustRightInd w:val="0"/>
            </w:pPr>
            <w:r w:rsidRPr="0018337E">
              <w:t>Orientation of attention to learning</w:t>
            </w:r>
          </w:p>
          <w:p w14:paraId="0B9786E7" w14:textId="77777777" w:rsidR="0018337E" w:rsidRPr="0018337E" w:rsidRDefault="0018337E" w:rsidP="0018337E">
            <w:pPr>
              <w:autoSpaceDE w:val="0"/>
              <w:autoSpaceDN w:val="0"/>
              <w:adjustRightInd w:val="0"/>
            </w:pPr>
            <w:r w:rsidRPr="0018337E">
              <w:t xml:space="preserve">Paying attention to the teacher </w:t>
            </w:r>
          </w:p>
          <w:p w14:paraId="4F1EF880" w14:textId="77777777" w:rsidR="0018337E" w:rsidRPr="0018337E" w:rsidRDefault="0018337E" w:rsidP="0018337E">
            <w:pPr>
              <w:autoSpaceDE w:val="0"/>
              <w:autoSpaceDN w:val="0"/>
              <w:adjustRightInd w:val="0"/>
            </w:pPr>
            <w:r w:rsidRPr="0018337E">
              <w:t xml:space="preserve">Planning </w:t>
            </w:r>
            <w:r w:rsidRPr="0018337E">
              <w:br/>
              <w:t xml:space="preserve">Reasoning </w:t>
            </w:r>
          </w:p>
          <w:p w14:paraId="72302342" w14:textId="77777777" w:rsidR="0018337E" w:rsidRPr="0018337E" w:rsidRDefault="0018337E" w:rsidP="0018337E">
            <w:pPr>
              <w:autoSpaceDE w:val="0"/>
              <w:autoSpaceDN w:val="0"/>
              <w:adjustRightInd w:val="0"/>
              <w:rPr>
                <w:b/>
                <w:bCs/>
                <w:color w:val="0070C0"/>
              </w:rPr>
            </w:pPr>
            <w:r w:rsidRPr="0018337E">
              <w:t>Sustained focus</w:t>
            </w:r>
            <w:r w:rsidRPr="0018337E">
              <w:rPr>
                <w:b/>
                <w:bCs/>
              </w:rPr>
              <w:t xml:space="preserve"> </w:t>
            </w:r>
          </w:p>
        </w:tc>
      </w:tr>
      <w:tr w:rsidR="0018337E" w:rsidRPr="0018337E" w14:paraId="08AC4B1B" w14:textId="77777777" w:rsidTr="009B49F0">
        <w:trPr>
          <w:trHeight w:val="251"/>
        </w:trPr>
        <w:tc>
          <w:tcPr>
            <w:tcW w:w="701" w:type="pct"/>
            <w:tcBorders>
              <w:top w:val="nil"/>
              <w:left w:val="nil"/>
              <w:bottom w:val="nil"/>
              <w:right w:val="nil"/>
            </w:tcBorders>
          </w:tcPr>
          <w:p w14:paraId="26214DFF" w14:textId="77777777" w:rsidR="0018337E" w:rsidRPr="0018337E" w:rsidRDefault="0018337E" w:rsidP="0018337E">
            <w:pPr>
              <w:tabs>
                <w:tab w:val="right" w:pos="1440"/>
              </w:tabs>
              <w:autoSpaceDE w:val="0"/>
              <w:autoSpaceDN w:val="0"/>
              <w:adjustRightInd w:val="0"/>
              <w:rPr>
                <w:rFonts w:ascii="Arial" w:hAnsi="Arial"/>
                <w:b/>
                <w:bCs/>
                <w:sz w:val="28"/>
                <w:szCs w:val="28"/>
              </w:rPr>
            </w:pPr>
            <w:r w:rsidRPr="0018337E">
              <w:rPr>
                <w:rFonts w:ascii="Arial" w:hAnsi="Arial"/>
                <w:bCs/>
                <w:sz w:val="28"/>
                <w:szCs w:val="28"/>
              </w:rPr>
              <w:tab/>
              <w:t>Low</w:t>
            </w:r>
          </w:p>
        </w:tc>
        <w:tc>
          <w:tcPr>
            <w:tcW w:w="4299" w:type="pct"/>
            <w:gridSpan w:val="2"/>
            <w:tcBorders>
              <w:top w:val="single" w:sz="4" w:space="0" w:color="auto"/>
              <w:left w:val="nil"/>
              <w:bottom w:val="nil"/>
              <w:right w:val="nil"/>
            </w:tcBorders>
          </w:tcPr>
          <w:p w14:paraId="66B9ED13"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bCs/>
              </w:rPr>
            </w:pPr>
            <w:r w:rsidRPr="0018337E">
              <w:rPr>
                <w:rFonts w:ascii="Arial" w:hAnsi="Arial"/>
                <w:bCs/>
                <w:sz w:val="28"/>
                <w:szCs w:val="28"/>
              </w:rPr>
              <w:tab/>
            </w:r>
            <w:r w:rsidRPr="0018337E">
              <w:rPr>
                <w:rFonts w:ascii="Arial" w:hAnsi="Arial"/>
                <w:bCs/>
              </w:rPr>
              <w:t>C O G N I T I VE</w:t>
            </w:r>
          </w:p>
          <w:p w14:paraId="05C8F003" w14:textId="77777777" w:rsidR="0018337E" w:rsidRPr="0018337E" w:rsidRDefault="0018337E" w:rsidP="0018337E">
            <w:pPr>
              <w:tabs>
                <w:tab w:val="center" w:pos="5337"/>
                <w:tab w:val="right" w:pos="11214"/>
              </w:tabs>
              <w:autoSpaceDE w:val="0"/>
              <w:autoSpaceDN w:val="0"/>
              <w:adjustRightInd w:val="0"/>
              <w:rPr>
                <w:rFonts w:ascii="Arial" w:hAnsi="Arial"/>
                <w:bCs/>
                <w:sz w:val="28"/>
                <w:szCs w:val="28"/>
              </w:rPr>
            </w:pPr>
            <w:r w:rsidRPr="0018337E">
              <w:rPr>
                <w:rFonts w:ascii="Arial" w:hAnsi="Arial"/>
                <w:bCs/>
                <w:sz w:val="28"/>
                <w:szCs w:val="28"/>
              </w:rPr>
              <w:tab/>
            </w:r>
          </w:p>
        </w:tc>
      </w:tr>
    </w:tbl>
    <w:p w14:paraId="7E4CDE39" w14:textId="013AEF30" w:rsidR="00E875F6" w:rsidRDefault="00E875F6" w:rsidP="00F315A5">
      <w:pPr>
        <w:pStyle w:val="Caption"/>
        <w:ind w:left="450" w:firstLine="540"/>
        <w:rPr>
          <w:noProof/>
        </w:rPr>
      </w:pPr>
      <w:bookmarkStart w:id="17" w:name="_Toc44346048"/>
      <w:r>
        <w:t xml:space="preserve">Figure </w:t>
      </w:r>
      <w:fldSimple w:instr=" SEQ Figure \* ARABIC ">
        <w:r w:rsidR="002039BE">
          <w:rPr>
            <w:noProof/>
          </w:rPr>
          <w:t>1</w:t>
        </w:r>
        <w:bookmarkEnd w:id="17"/>
      </w:fldSimple>
    </w:p>
    <w:p w14:paraId="6913AC17" w14:textId="5F2545BA" w:rsidR="00F315A5" w:rsidRPr="00F315A5" w:rsidRDefault="00F315A5" w:rsidP="00F315A5">
      <w:pPr>
        <w:rPr>
          <w:i/>
          <w:iCs/>
        </w:rPr>
      </w:pPr>
      <w:r>
        <w:tab/>
      </w:r>
      <w:r w:rsidR="007C1CBE">
        <w:t xml:space="preserve">  </w:t>
      </w:r>
      <w:r>
        <w:rPr>
          <w:i/>
          <w:iCs/>
        </w:rPr>
        <w:t xml:space="preserve">Mapping of the previous research conceptualizations of AtL </w:t>
      </w:r>
    </w:p>
    <w:p w14:paraId="3D2DA4BE" w14:textId="77777777" w:rsidR="00F315A5" w:rsidRPr="00F315A5" w:rsidRDefault="00F315A5" w:rsidP="00F315A5">
      <w:pPr>
        <w:spacing w:after="160" w:line="259" w:lineRule="auto"/>
        <w:ind w:left="810" w:firstLine="180"/>
        <w:rPr>
          <w:color w:val="auto"/>
          <w:sz w:val="20"/>
          <w:szCs w:val="20"/>
        </w:rPr>
      </w:pPr>
      <w:r w:rsidRPr="00F315A5">
        <w:rPr>
          <w:i/>
          <w:iCs/>
          <w:color w:val="auto"/>
          <w:sz w:val="20"/>
          <w:szCs w:val="20"/>
        </w:rPr>
        <w:t>Note</w:t>
      </w:r>
      <w:r w:rsidRPr="00F315A5">
        <w:rPr>
          <w:color w:val="auto"/>
          <w:sz w:val="20"/>
          <w:szCs w:val="20"/>
        </w:rPr>
        <w:t xml:space="preserve">: Red=National Educational Goals Panel’s original definition. </w:t>
      </w:r>
    </w:p>
    <w:p w14:paraId="0AB30FB8" w14:textId="77777777" w:rsidR="00F315A5" w:rsidRPr="00F315A5" w:rsidRDefault="00F315A5" w:rsidP="00F315A5"/>
    <w:p w14:paraId="52134568" w14:textId="77777777" w:rsidR="0018337E" w:rsidRPr="0018337E" w:rsidRDefault="0018337E" w:rsidP="0018337E">
      <w:pPr>
        <w:spacing w:after="160" w:line="259" w:lineRule="auto"/>
        <w:rPr>
          <w:rFonts w:asciiTheme="minorHAnsi" w:hAnsiTheme="minorHAnsi" w:cstheme="minorBidi"/>
          <w:color w:val="auto"/>
          <w:sz w:val="22"/>
          <w:szCs w:val="22"/>
        </w:rPr>
      </w:pPr>
    </w:p>
    <w:p w14:paraId="485A9A9F" w14:textId="77777777" w:rsidR="0018337E" w:rsidRPr="0018337E" w:rsidRDefault="0018337E" w:rsidP="0018337E">
      <w:pPr>
        <w:spacing w:after="160" w:line="259" w:lineRule="auto"/>
        <w:rPr>
          <w:rFonts w:asciiTheme="minorHAnsi" w:hAnsiTheme="minorHAnsi" w:cstheme="minorBidi"/>
          <w:color w:val="auto"/>
          <w:sz w:val="22"/>
          <w:szCs w:val="22"/>
        </w:rPr>
      </w:pPr>
    </w:p>
    <w:tbl>
      <w:tblPr>
        <w:tblStyle w:val="TableGrid7"/>
        <w:tblW w:w="5000" w:type="pct"/>
        <w:tblLook w:val="04A0" w:firstRow="1" w:lastRow="0" w:firstColumn="1" w:lastColumn="0" w:noHBand="0" w:noVBand="1"/>
      </w:tblPr>
      <w:tblGrid>
        <w:gridCol w:w="1879"/>
        <w:gridCol w:w="5767"/>
        <w:gridCol w:w="5314"/>
      </w:tblGrid>
      <w:tr w:rsidR="0018337E" w:rsidRPr="0018337E" w14:paraId="7C5AA22B" w14:textId="77777777" w:rsidTr="0085520F">
        <w:trPr>
          <w:trHeight w:val="3240"/>
        </w:trPr>
        <w:tc>
          <w:tcPr>
            <w:tcW w:w="725" w:type="pct"/>
            <w:vMerge w:val="restart"/>
            <w:tcBorders>
              <w:top w:val="nil"/>
              <w:left w:val="nil"/>
              <w:right w:val="single" w:sz="4" w:space="0" w:color="auto"/>
            </w:tcBorders>
          </w:tcPr>
          <w:p w14:paraId="56EA988E" w14:textId="77777777" w:rsidR="0018337E" w:rsidRPr="0018337E" w:rsidRDefault="0018337E" w:rsidP="0018337E">
            <w:pPr>
              <w:tabs>
                <w:tab w:val="right" w:pos="1368"/>
              </w:tabs>
              <w:autoSpaceDE w:val="0"/>
              <w:autoSpaceDN w:val="0"/>
              <w:adjustRightInd w:val="0"/>
              <w:rPr>
                <w:rFonts w:ascii="Arial" w:hAnsi="Arial"/>
                <w:bCs/>
                <w:sz w:val="28"/>
                <w:szCs w:val="28"/>
              </w:rPr>
            </w:pPr>
            <w:r w:rsidRPr="0018337E">
              <w:rPr>
                <w:rFonts w:ascii="Arial" w:hAnsi="Arial"/>
                <w:bCs/>
                <w:sz w:val="28"/>
                <w:szCs w:val="28"/>
              </w:rPr>
              <w:tab/>
              <w:t>High</w:t>
            </w:r>
          </w:p>
          <w:p w14:paraId="00EB74C7" w14:textId="77777777" w:rsidR="0018337E" w:rsidRPr="0018337E" w:rsidRDefault="0018337E" w:rsidP="0018337E">
            <w:pPr>
              <w:tabs>
                <w:tab w:val="right" w:pos="576"/>
                <w:tab w:val="right" w:pos="2538"/>
              </w:tabs>
              <w:autoSpaceDE w:val="0"/>
              <w:autoSpaceDN w:val="0"/>
              <w:adjustRightInd w:val="0"/>
              <w:rPr>
                <w:rFonts w:ascii="Arial" w:hAnsi="Arial"/>
                <w:bCs/>
                <w:sz w:val="28"/>
                <w:szCs w:val="28"/>
              </w:rPr>
            </w:pPr>
          </w:p>
          <w:p w14:paraId="63EBAD10" w14:textId="77777777" w:rsidR="0018337E" w:rsidRPr="0018337E" w:rsidRDefault="0018337E" w:rsidP="0018337E">
            <w:pPr>
              <w:tabs>
                <w:tab w:val="right" w:pos="576"/>
                <w:tab w:val="right" w:pos="2538"/>
              </w:tabs>
              <w:autoSpaceDE w:val="0"/>
              <w:autoSpaceDN w:val="0"/>
              <w:adjustRightInd w:val="0"/>
              <w:rPr>
                <w:rFonts w:ascii="Arial" w:hAnsi="Arial"/>
                <w:bCs/>
                <w:sz w:val="28"/>
                <w:szCs w:val="28"/>
              </w:rPr>
            </w:pPr>
          </w:p>
          <w:p w14:paraId="635B368C" w14:textId="77777777" w:rsidR="0018337E" w:rsidRPr="0018337E" w:rsidRDefault="0018337E" w:rsidP="0018337E">
            <w:pPr>
              <w:tabs>
                <w:tab w:val="right" w:pos="576"/>
                <w:tab w:val="right" w:pos="2538"/>
              </w:tabs>
              <w:autoSpaceDE w:val="0"/>
              <w:autoSpaceDN w:val="0"/>
              <w:adjustRightInd w:val="0"/>
              <w:rPr>
                <w:rFonts w:ascii="Arial" w:hAnsi="Arial"/>
                <w:bCs/>
                <w:sz w:val="28"/>
                <w:szCs w:val="28"/>
              </w:rPr>
            </w:pPr>
          </w:p>
          <w:tbl>
            <w:tblPr>
              <w:tblStyle w:val="TableGrid7"/>
              <w:tblW w:w="421" w:type="dxa"/>
              <w:tblInd w:w="1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
            </w:tblGrid>
            <w:tr w:rsidR="0018337E" w:rsidRPr="0018337E" w14:paraId="229E0996" w14:textId="77777777" w:rsidTr="0018337E">
              <w:trPr>
                <w:cantSplit/>
                <w:trHeight w:val="2078"/>
              </w:trPr>
              <w:tc>
                <w:tcPr>
                  <w:tcW w:w="421" w:type="dxa"/>
                  <w:textDirection w:val="tbRl"/>
                  <w:vAlign w:val="center"/>
                </w:tcPr>
                <w:p w14:paraId="3D488834" w14:textId="77777777" w:rsidR="0018337E" w:rsidRPr="0018337E" w:rsidRDefault="0018337E" w:rsidP="0018337E">
                  <w:pPr>
                    <w:tabs>
                      <w:tab w:val="right" w:pos="2538"/>
                    </w:tabs>
                    <w:autoSpaceDE w:val="0"/>
                    <w:autoSpaceDN w:val="0"/>
                    <w:adjustRightInd w:val="0"/>
                    <w:spacing w:line="240" w:lineRule="exact"/>
                    <w:ind w:left="113" w:right="158"/>
                    <w:jc w:val="center"/>
                    <w:rPr>
                      <w:rFonts w:ascii="Arial" w:hAnsi="Arial"/>
                      <w:bCs/>
                    </w:rPr>
                  </w:pPr>
                  <w:r w:rsidRPr="0018337E">
                    <w:rPr>
                      <w:rFonts w:ascii="Arial" w:hAnsi="Arial"/>
                      <w:bCs/>
                    </w:rPr>
                    <w:t xml:space="preserve">BEHAVIORAL </w:t>
                  </w:r>
                </w:p>
              </w:tc>
            </w:tr>
          </w:tbl>
          <w:p w14:paraId="23E2790A" w14:textId="77777777" w:rsidR="0018337E" w:rsidRPr="0018337E" w:rsidRDefault="0018337E" w:rsidP="0018337E">
            <w:pPr>
              <w:tabs>
                <w:tab w:val="right" w:pos="2538"/>
              </w:tabs>
              <w:autoSpaceDE w:val="0"/>
              <w:autoSpaceDN w:val="0"/>
              <w:adjustRightInd w:val="0"/>
              <w:ind w:right="162"/>
              <w:rPr>
                <w:rFonts w:ascii="Arial" w:hAnsi="Arial"/>
                <w:bCs/>
                <w:sz w:val="28"/>
                <w:szCs w:val="28"/>
              </w:rPr>
            </w:pPr>
          </w:p>
          <w:p w14:paraId="424A3B4A" w14:textId="77777777" w:rsidR="0018337E" w:rsidRPr="0018337E" w:rsidRDefault="0018337E" w:rsidP="0018337E">
            <w:pPr>
              <w:tabs>
                <w:tab w:val="right" w:pos="576"/>
              </w:tabs>
              <w:autoSpaceDE w:val="0"/>
              <w:autoSpaceDN w:val="0"/>
              <w:adjustRightInd w:val="0"/>
              <w:rPr>
                <w:rFonts w:ascii="Arial" w:hAnsi="Arial"/>
                <w:bCs/>
                <w:sz w:val="28"/>
                <w:szCs w:val="28"/>
              </w:rPr>
            </w:pPr>
          </w:p>
          <w:p w14:paraId="34D16ABD" w14:textId="77777777" w:rsidR="0018337E" w:rsidRPr="0018337E" w:rsidRDefault="0018337E" w:rsidP="0018337E">
            <w:pPr>
              <w:tabs>
                <w:tab w:val="right" w:pos="576"/>
              </w:tabs>
              <w:autoSpaceDE w:val="0"/>
              <w:autoSpaceDN w:val="0"/>
              <w:adjustRightInd w:val="0"/>
              <w:rPr>
                <w:rFonts w:ascii="Arial" w:hAnsi="Arial"/>
                <w:bCs/>
                <w:sz w:val="28"/>
                <w:szCs w:val="28"/>
              </w:rPr>
            </w:pPr>
          </w:p>
          <w:p w14:paraId="60F89ADE" w14:textId="77777777" w:rsidR="0018337E" w:rsidRPr="0018337E" w:rsidRDefault="0018337E" w:rsidP="0018337E">
            <w:pPr>
              <w:tabs>
                <w:tab w:val="right" w:pos="576"/>
              </w:tabs>
              <w:autoSpaceDE w:val="0"/>
              <w:autoSpaceDN w:val="0"/>
              <w:adjustRightInd w:val="0"/>
              <w:rPr>
                <w:rFonts w:ascii="Arial" w:hAnsi="Arial"/>
                <w:bCs/>
                <w:sz w:val="28"/>
                <w:szCs w:val="28"/>
              </w:rPr>
            </w:pPr>
          </w:p>
          <w:p w14:paraId="3C5A180E" w14:textId="77777777" w:rsidR="0018337E" w:rsidRPr="0018337E" w:rsidRDefault="0018337E" w:rsidP="0018337E">
            <w:pPr>
              <w:tabs>
                <w:tab w:val="right" w:pos="1368"/>
              </w:tabs>
              <w:autoSpaceDE w:val="0"/>
              <w:autoSpaceDN w:val="0"/>
              <w:adjustRightInd w:val="0"/>
              <w:rPr>
                <w:rFonts w:ascii="Arial" w:hAnsi="Arial"/>
                <w:bCs/>
                <w:sz w:val="28"/>
                <w:szCs w:val="28"/>
              </w:rPr>
            </w:pPr>
          </w:p>
        </w:tc>
        <w:tc>
          <w:tcPr>
            <w:tcW w:w="2225" w:type="pct"/>
            <w:tcBorders>
              <w:top w:val="nil"/>
              <w:left w:val="single" w:sz="4" w:space="0" w:color="auto"/>
            </w:tcBorders>
            <w:vAlign w:val="center"/>
          </w:tcPr>
          <w:p w14:paraId="6759B005" w14:textId="77777777" w:rsidR="0018337E" w:rsidRPr="0018337E" w:rsidRDefault="0018337E" w:rsidP="0018337E">
            <w:pPr>
              <w:autoSpaceDE w:val="0"/>
              <w:autoSpaceDN w:val="0"/>
              <w:adjustRightInd w:val="0"/>
            </w:pPr>
            <w:r w:rsidRPr="0018337E">
              <w:t xml:space="preserve">On task behavior, staying on task </w:t>
            </w:r>
          </w:p>
          <w:p w14:paraId="76C28EF9" w14:textId="77777777" w:rsidR="0018337E" w:rsidRPr="0018337E" w:rsidRDefault="0018337E" w:rsidP="0018337E">
            <w:r w:rsidRPr="0018337E">
              <w:t>Organization</w:t>
            </w:r>
          </w:p>
          <w:p w14:paraId="20F3DA86" w14:textId="77777777" w:rsidR="0018337E" w:rsidRPr="0018337E" w:rsidRDefault="0018337E" w:rsidP="0018337E">
            <w:r w:rsidRPr="0018337E">
              <w:t>Sitting still</w:t>
            </w:r>
          </w:p>
          <w:p w14:paraId="46130818" w14:textId="77777777" w:rsidR="0018337E" w:rsidRPr="0018337E" w:rsidRDefault="0018337E" w:rsidP="0018337E">
            <w:r w:rsidRPr="0018337E">
              <w:t>Responsibility</w:t>
            </w:r>
          </w:p>
          <w:p w14:paraId="632A4A26" w14:textId="77777777" w:rsidR="0018337E" w:rsidRPr="0018337E" w:rsidRDefault="0018337E" w:rsidP="0018337E">
            <w:r w:rsidRPr="0018337E">
              <w:t>Self-control</w:t>
            </w:r>
          </w:p>
          <w:p w14:paraId="686B6DF1" w14:textId="77777777" w:rsidR="0018337E" w:rsidRPr="0018337E" w:rsidRDefault="0018337E" w:rsidP="0018337E">
            <w:r w:rsidRPr="0018337E">
              <w:t>Self-direction</w:t>
            </w:r>
          </w:p>
          <w:p w14:paraId="7C65A418" w14:textId="77777777" w:rsidR="0018337E" w:rsidRPr="0018337E" w:rsidRDefault="0018337E" w:rsidP="0018337E">
            <w:r w:rsidRPr="0018337E">
              <w:t>Self-regulation</w:t>
            </w:r>
          </w:p>
          <w:p w14:paraId="62551BFC" w14:textId="77777777" w:rsidR="0018337E" w:rsidRPr="0018337E" w:rsidRDefault="0018337E" w:rsidP="0018337E">
            <w:r w:rsidRPr="0018337E">
              <w:t>Working independently</w:t>
            </w:r>
          </w:p>
          <w:p w14:paraId="761F88B5" w14:textId="77777777" w:rsidR="0018337E" w:rsidRPr="0018337E" w:rsidRDefault="0018337E" w:rsidP="0018337E">
            <w:pPr>
              <w:rPr>
                <w:b/>
                <w:bCs/>
              </w:rPr>
            </w:pPr>
            <w:r w:rsidRPr="0018337E">
              <w:t xml:space="preserve"> </w:t>
            </w:r>
          </w:p>
          <w:p w14:paraId="32CC72C1" w14:textId="77777777" w:rsidR="0018337E" w:rsidRPr="0018337E" w:rsidRDefault="0018337E" w:rsidP="0018337E">
            <w:pPr>
              <w:autoSpaceDE w:val="0"/>
              <w:autoSpaceDN w:val="0"/>
              <w:adjustRightInd w:val="0"/>
              <w:jc w:val="center"/>
              <w:rPr>
                <w:b/>
                <w:bCs/>
                <w:color w:val="FF0000"/>
              </w:rPr>
            </w:pPr>
          </w:p>
        </w:tc>
        <w:tc>
          <w:tcPr>
            <w:tcW w:w="2050" w:type="pct"/>
            <w:tcBorders>
              <w:top w:val="nil"/>
              <w:right w:val="nil"/>
            </w:tcBorders>
            <w:vAlign w:val="center"/>
          </w:tcPr>
          <w:p w14:paraId="685B1846" w14:textId="77777777" w:rsidR="0018337E" w:rsidRPr="0018337E" w:rsidRDefault="0018337E" w:rsidP="0018337E">
            <w:r w:rsidRPr="0018337E">
              <w:t xml:space="preserve">Behavioral Disposition toward learning </w:t>
            </w:r>
          </w:p>
          <w:p w14:paraId="09BF1E2F" w14:textId="77777777" w:rsidR="0018337E" w:rsidRPr="0018337E" w:rsidRDefault="0018337E" w:rsidP="0018337E">
            <w:r w:rsidRPr="0018337E">
              <w:t>Compliance</w:t>
            </w:r>
          </w:p>
          <w:p w14:paraId="03F5A202" w14:textId="77777777" w:rsidR="0018337E" w:rsidRPr="0018337E" w:rsidRDefault="0018337E" w:rsidP="0018337E">
            <w:r w:rsidRPr="0018337E">
              <w:t>Contribution of questions or observations at appropriate times</w:t>
            </w:r>
          </w:p>
          <w:p w14:paraId="0154CB4C" w14:textId="77777777" w:rsidR="0018337E" w:rsidRPr="0018337E" w:rsidRDefault="0018337E" w:rsidP="0018337E">
            <w:r w:rsidRPr="0018337E">
              <w:t>Following directions</w:t>
            </w:r>
          </w:p>
          <w:p w14:paraId="2D07C84D" w14:textId="77777777" w:rsidR="0018337E" w:rsidRPr="0018337E" w:rsidRDefault="0018337E" w:rsidP="0018337E">
            <w:r w:rsidRPr="0018337E">
              <w:t>Following teacher directions</w:t>
            </w:r>
          </w:p>
          <w:p w14:paraId="1E9BF377" w14:textId="77777777" w:rsidR="0018337E" w:rsidRPr="0018337E" w:rsidRDefault="0018337E" w:rsidP="0018337E">
            <w:r w:rsidRPr="0018337E">
              <w:t>Level of participation in learning activities</w:t>
            </w:r>
          </w:p>
          <w:p w14:paraId="5FD7D1C4" w14:textId="77777777" w:rsidR="0018337E" w:rsidRPr="0018337E" w:rsidRDefault="0018337E" w:rsidP="0018337E">
            <w:pPr>
              <w:autoSpaceDE w:val="0"/>
              <w:autoSpaceDN w:val="0"/>
              <w:adjustRightInd w:val="0"/>
            </w:pPr>
            <w:r w:rsidRPr="0018337E">
              <w:t>Listening to instruction</w:t>
            </w:r>
          </w:p>
          <w:p w14:paraId="759730DE" w14:textId="77777777" w:rsidR="0018337E" w:rsidRPr="0018337E" w:rsidRDefault="0018337E" w:rsidP="0018337E">
            <w:pPr>
              <w:autoSpaceDE w:val="0"/>
              <w:autoSpaceDN w:val="0"/>
              <w:adjustRightInd w:val="0"/>
            </w:pPr>
            <w:r w:rsidRPr="0018337E">
              <w:t xml:space="preserve">Listening to the teacher </w:t>
            </w:r>
          </w:p>
          <w:p w14:paraId="443AA2F1" w14:textId="77777777" w:rsidR="0018337E" w:rsidRPr="0018337E" w:rsidRDefault="0018337E" w:rsidP="0018337E">
            <w:pPr>
              <w:autoSpaceDE w:val="0"/>
              <w:autoSpaceDN w:val="0"/>
              <w:adjustRightInd w:val="0"/>
              <w:rPr>
                <w:b/>
                <w:bCs/>
              </w:rPr>
            </w:pPr>
            <w:r w:rsidRPr="0018337E">
              <w:t>Rule Adherence</w:t>
            </w:r>
            <w:r w:rsidRPr="0018337E">
              <w:rPr>
                <w:b/>
                <w:bCs/>
              </w:rPr>
              <w:t xml:space="preserve"> </w:t>
            </w:r>
          </w:p>
          <w:p w14:paraId="1889DFC7" w14:textId="2FF863E8" w:rsidR="0018337E" w:rsidRPr="0018337E" w:rsidRDefault="0018337E" w:rsidP="0018337E">
            <w:pPr>
              <w:rPr>
                <w:b/>
                <w:bCs/>
                <w:color w:val="00B050"/>
              </w:rPr>
            </w:pPr>
            <w:r w:rsidRPr="0018337E">
              <w:t xml:space="preserve">Accomplishment of tasks </w:t>
            </w:r>
            <w:proofErr w:type="gramStart"/>
            <w:r w:rsidRPr="0018337E">
              <w:t>in a limited/given</w:t>
            </w:r>
            <w:proofErr w:type="gramEnd"/>
            <w:r w:rsidRPr="0018337E">
              <w:t xml:space="preserve"> time </w:t>
            </w:r>
          </w:p>
        </w:tc>
      </w:tr>
      <w:tr w:rsidR="0018337E" w:rsidRPr="0018337E" w14:paraId="26DFBABE" w14:textId="77777777" w:rsidTr="0085520F">
        <w:trPr>
          <w:trHeight w:val="3240"/>
        </w:trPr>
        <w:tc>
          <w:tcPr>
            <w:tcW w:w="725" w:type="pct"/>
            <w:vMerge/>
            <w:tcBorders>
              <w:left w:val="nil"/>
              <w:bottom w:val="nil"/>
              <w:right w:val="single" w:sz="4" w:space="0" w:color="auto"/>
            </w:tcBorders>
          </w:tcPr>
          <w:p w14:paraId="3C0C3366" w14:textId="77777777" w:rsidR="0018337E" w:rsidRPr="0018337E" w:rsidRDefault="0018337E" w:rsidP="0018337E">
            <w:pPr>
              <w:tabs>
                <w:tab w:val="right" w:pos="1368"/>
              </w:tabs>
              <w:autoSpaceDE w:val="0"/>
              <w:autoSpaceDN w:val="0"/>
              <w:adjustRightInd w:val="0"/>
              <w:rPr>
                <w:rFonts w:ascii="Arial" w:hAnsi="Arial"/>
                <w:bCs/>
                <w:sz w:val="28"/>
                <w:szCs w:val="28"/>
              </w:rPr>
            </w:pPr>
          </w:p>
        </w:tc>
        <w:tc>
          <w:tcPr>
            <w:tcW w:w="2225" w:type="pct"/>
            <w:tcBorders>
              <w:top w:val="nil"/>
              <w:left w:val="single" w:sz="4" w:space="0" w:color="auto"/>
            </w:tcBorders>
            <w:vAlign w:val="center"/>
          </w:tcPr>
          <w:p w14:paraId="3B1C998F" w14:textId="77777777" w:rsidR="0018337E" w:rsidRPr="0018337E" w:rsidRDefault="0018337E" w:rsidP="0018337E">
            <w:pPr>
              <w:autoSpaceDE w:val="0"/>
              <w:autoSpaceDN w:val="0"/>
              <w:adjustRightInd w:val="0"/>
              <w:jc w:val="center"/>
              <w:rPr>
                <w:b/>
                <w:bCs/>
              </w:rPr>
            </w:pPr>
          </w:p>
          <w:p w14:paraId="533BE40E" w14:textId="77777777" w:rsidR="0018337E" w:rsidRPr="0018337E" w:rsidRDefault="0018337E" w:rsidP="0018337E">
            <w:pPr>
              <w:autoSpaceDE w:val="0"/>
              <w:autoSpaceDN w:val="0"/>
              <w:adjustRightInd w:val="0"/>
              <w:jc w:val="center"/>
              <w:rPr>
                <w:b/>
                <w:bCs/>
              </w:rPr>
            </w:pPr>
          </w:p>
          <w:p w14:paraId="3BA8D683" w14:textId="77777777" w:rsidR="0018337E" w:rsidRPr="0018337E" w:rsidRDefault="0018337E" w:rsidP="0018337E">
            <w:pPr>
              <w:autoSpaceDE w:val="0"/>
              <w:autoSpaceDN w:val="0"/>
              <w:adjustRightInd w:val="0"/>
              <w:jc w:val="center"/>
              <w:rPr>
                <w:b/>
                <w:bCs/>
              </w:rPr>
            </w:pPr>
          </w:p>
          <w:p w14:paraId="573A28DE" w14:textId="77777777" w:rsidR="0018337E" w:rsidRPr="0018337E" w:rsidRDefault="0018337E" w:rsidP="0018337E">
            <w:pPr>
              <w:rPr>
                <w:b/>
                <w:bCs/>
                <w:color w:val="A6A6A6" w:themeColor="background1" w:themeShade="A6"/>
              </w:rPr>
            </w:pPr>
          </w:p>
        </w:tc>
        <w:tc>
          <w:tcPr>
            <w:tcW w:w="2050" w:type="pct"/>
            <w:tcBorders>
              <w:right w:val="nil"/>
            </w:tcBorders>
            <w:vAlign w:val="center"/>
          </w:tcPr>
          <w:p w14:paraId="6D3EBF36" w14:textId="77777777" w:rsidR="0018337E" w:rsidRPr="0018337E" w:rsidRDefault="0018337E" w:rsidP="0018337E">
            <w:r w:rsidRPr="0018337E">
              <w:t>Cooperating with other students</w:t>
            </w:r>
          </w:p>
          <w:p w14:paraId="1B3A7068" w14:textId="77777777" w:rsidR="0018337E" w:rsidRPr="0018337E" w:rsidRDefault="0018337E" w:rsidP="0018337E">
            <w:r w:rsidRPr="0018337E">
              <w:t>Participating in groups</w:t>
            </w:r>
          </w:p>
          <w:p w14:paraId="2BF70DF0" w14:textId="77777777" w:rsidR="0018337E" w:rsidRPr="0018337E" w:rsidRDefault="0018337E" w:rsidP="0018337E">
            <w:r w:rsidRPr="0018337E">
              <w:t>Peer collaboration</w:t>
            </w:r>
          </w:p>
          <w:p w14:paraId="3FDE86F4" w14:textId="77777777" w:rsidR="0018337E" w:rsidRPr="0018337E" w:rsidRDefault="0018337E" w:rsidP="0018337E">
            <w:r w:rsidRPr="0018337E">
              <w:t xml:space="preserve">Peer communication </w:t>
            </w:r>
          </w:p>
          <w:p w14:paraId="56EC2584" w14:textId="77777777" w:rsidR="0018337E" w:rsidRPr="0018337E" w:rsidRDefault="0018337E" w:rsidP="0018337E">
            <w:r w:rsidRPr="0018337E">
              <w:t xml:space="preserve">Positive social interaction skills </w:t>
            </w:r>
          </w:p>
          <w:p w14:paraId="3C6821DA" w14:textId="77777777" w:rsidR="0018337E" w:rsidRPr="0018337E" w:rsidRDefault="0018337E" w:rsidP="0018337E">
            <w:r w:rsidRPr="0018337E">
              <w:t>Prosocial skills</w:t>
            </w:r>
          </w:p>
          <w:p w14:paraId="01E78D6D" w14:textId="77777777" w:rsidR="0018337E" w:rsidRPr="0018337E" w:rsidRDefault="0018337E" w:rsidP="0018337E">
            <w:r w:rsidRPr="0018337E">
              <w:t xml:space="preserve">Social competence </w:t>
            </w:r>
          </w:p>
          <w:p w14:paraId="2B295149" w14:textId="77777777" w:rsidR="0018337E" w:rsidRPr="0018337E" w:rsidRDefault="0018337E" w:rsidP="0018337E">
            <w:pPr>
              <w:rPr>
                <w:b/>
                <w:bCs/>
              </w:rPr>
            </w:pPr>
            <w:r w:rsidRPr="0018337E">
              <w:t xml:space="preserve">Working collaboratively with adults or peers </w:t>
            </w:r>
          </w:p>
          <w:p w14:paraId="6B202A52" w14:textId="77777777" w:rsidR="0018337E" w:rsidRPr="0018337E" w:rsidRDefault="0018337E" w:rsidP="0018337E">
            <w:pPr>
              <w:autoSpaceDE w:val="0"/>
              <w:autoSpaceDN w:val="0"/>
              <w:adjustRightInd w:val="0"/>
              <w:jc w:val="center"/>
              <w:rPr>
                <w:b/>
                <w:bCs/>
              </w:rPr>
            </w:pPr>
          </w:p>
          <w:p w14:paraId="4C048399" w14:textId="77777777" w:rsidR="0018337E" w:rsidRPr="0018337E" w:rsidRDefault="0018337E" w:rsidP="0018337E">
            <w:pPr>
              <w:autoSpaceDE w:val="0"/>
              <w:autoSpaceDN w:val="0"/>
              <w:adjustRightInd w:val="0"/>
              <w:jc w:val="center"/>
              <w:rPr>
                <w:b/>
                <w:bCs/>
              </w:rPr>
            </w:pPr>
          </w:p>
          <w:p w14:paraId="64396F81" w14:textId="77777777" w:rsidR="0018337E" w:rsidRPr="0018337E" w:rsidRDefault="0018337E" w:rsidP="0018337E">
            <w:pPr>
              <w:autoSpaceDE w:val="0"/>
              <w:autoSpaceDN w:val="0"/>
              <w:adjustRightInd w:val="0"/>
              <w:jc w:val="center"/>
              <w:rPr>
                <w:b/>
                <w:bCs/>
              </w:rPr>
            </w:pPr>
          </w:p>
          <w:p w14:paraId="0A77896C" w14:textId="77777777" w:rsidR="0018337E" w:rsidRPr="0018337E" w:rsidRDefault="0018337E" w:rsidP="0018337E">
            <w:pPr>
              <w:autoSpaceDE w:val="0"/>
              <w:autoSpaceDN w:val="0"/>
              <w:adjustRightInd w:val="0"/>
              <w:jc w:val="center"/>
              <w:rPr>
                <w:b/>
                <w:bCs/>
                <w:color w:val="0070C0"/>
              </w:rPr>
            </w:pPr>
          </w:p>
        </w:tc>
      </w:tr>
      <w:tr w:rsidR="0018337E" w:rsidRPr="0018337E" w14:paraId="4EBF03E1" w14:textId="77777777" w:rsidTr="0085520F">
        <w:tc>
          <w:tcPr>
            <w:tcW w:w="725" w:type="pct"/>
            <w:tcBorders>
              <w:top w:val="nil"/>
              <w:left w:val="nil"/>
              <w:bottom w:val="nil"/>
              <w:right w:val="nil"/>
            </w:tcBorders>
          </w:tcPr>
          <w:p w14:paraId="700BE1F0" w14:textId="77777777" w:rsidR="0018337E" w:rsidRPr="0018337E" w:rsidRDefault="0018337E" w:rsidP="0018337E">
            <w:pPr>
              <w:tabs>
                <w:tab w:val="right" w:pos="1440"/>
              </w:tabs>
              <w:autoSpaceDE w:val="0"/>
              <w:autoSpaceDN w:val="0"/>
              <w:adjustRightInd w:val="0"/>
              <w:rPr>
                <w:rFonts w:ascii="Arial" w:hAnsi="Arial"/>
                <w:b/>
                <w:bCs/>
                <w:sz w:val="28"/>
                <w:szCs w:val="28"/>
              </w:rPr>
            </w:pPr>
            <w:r w:rsidRPr="0018337E">
              <w:rPr>
                <w:rFonts w:ascii="Arial" w:hAnsi="Arial"/>
                <w:bCs/>
                <w:sz w:val="28"/>
                <w:szCs w:val="28"/>
              </w:rPr>
              <w:tab/>
              <w:t>Low</w:t>
            </w:r>
          </w:p>
        </w:tc>
        <w:tc>
          <w:tcPr>
            <w:tcW w:w="4275" w:type="pct"/>
            <w:gridSpan w:val="2"/>
            <w:tcBorders>
              <w:top w:val="single" w:sz="4" w:space="0" w:color="auto"/>
              <w:left w:val="nil"/>
              <w:bottom w:val="nil"/>
              <w:right w:val="nil"/>
            </w:tcBorders>
          </w:tcPr>
          <w:p w14:paraId="12E7A901"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bCs/>
              </w:rPr>
            </w:pPr>
            <w:r w:rsidRPr="0018337E">
              <w:rPr>
                <w:rFonts w:ascii="Arial" w:hAnsi="Arial"/>
                <w:bCs/>
              </w:rPr>
              <w:t xml:space="preserve">SOCIAL </w:t>
            </w:r>
          </w:p>
          <w:p w14:paraId="5C4B45BB" w14:textId="77777777" w:rsidR="0018337E" w:rsidRPr="0018337E" w:rsidRDefault="0018337E" w:rsidP="0018337E">
            <w:pPr>
              <w:tabs>
                <w:tab w:val="center" w:pos="5337"/>
                <w:tab w:val="right" w:pos="11214"/>
              </w:tabs>
              <w:autoSpaceDE w:val="0"/>
              <w:autoSpaceDN w:val="0"/>
              <w:adjustRightInd w:val="0"/>
              <w:rPr>
                <w:rFonts w:ascii="Arial" w:hAnsi="Arial"/>
                <w:bCs/>
                <w:sz w:val="28"/>
                <w:szCs w:val="28"/>
              </w:rPr>
            </w:pPr>
            <w:r w:rsidRPr="0018337E">
              <w:rPr>
                <w:rFonts w:ascii="Arial" w:hAnsi="Arial"/>
                <w:bCs/>
                <w:sz w:val="28"/>
                <w:szCs w:val="28"/>
              </w:rPr>
              <w:tab/>
            </w:r>
          </w:p>
        </w:tc>
      </w:tr>
    </w:tbl>
    <w:p w14:paraId="7B5F4073" w14:textId="77777777" w:rsidR="0018337E" w:rsidRPr="0018337E" w:rsidRDefault="0018337E" w:rsidP="0018337E">
      <w:pPr>
        <w:spacing w:after="160" w:line="259" w:lineRule="auto"/>
        <w:rPr>
          <w:rFonts w:asciiTheme="minorHAnsi" w:hAnsiTheme="minorHAnsi" w:cstheme="minorBidi"/>
          <w:color w:val="auto"/>
          <w:sz w:val="22"/>
          <w:szCs w:val="22"/>
        </w:rPr>
      </w:pPr>
    </w:p>
    <w:p w14:paraId="630D1183" w14:textId="50D0E5B7" w:rsidR="0018337E" w:rsidRPr="005521D2" w:rsidRDefault="007C1CBE" w:rsidP="0018337E">
      <w:pPr>
        <w:spacing w:after="160" w:line="259" w:lineRule="auto"/>
        <w:rPr>
          <w:i/>
          <w:iCs/>
          <w:color w:val="auto"/>
          <w:sz w:val="22"/>
          <w:szCs w:val="22"/>
        </w:rPr>
        <w:sectPr w:rsidR="0018337E" w:rsidRPr="005521D2" w:rsidSect="00D86CCC">
          <w:type w:val="continuous"/>
          <w:pgSz w:w="15840" w:h="12240" w:orient="landscape"/>
          <w:pgMar w:top="1440" w:right="1440" w:bottom="1440" w:left="1440" w:header="720" w:footer="720" w:gutter="0"/>
          <w:cols w:space="720"/>
          <w:docGrid w:linePitch="360"/>
        </w:sectPr>
      </w:pPr>
      <w:r>
        <w:rPr>
          <w:rFonts w:asciiTheme="minorHAnsi" w:hAnsiTheme="minorHAnsi" w:cstheme="minorBidi"/>
          <w:color w:val="auto"/>
          <w:sz w:val="22"/>
          <w:szCs w:val="22"/>
        </w:rPr>
        <w:t xml:space="preserve">         </w:t>
      </w:r>
      <w:r>
        <w:rPr>
          <w:i/>
          <w:iCs/>
          <w:color w:val="auto"/>
        </w:rPr>
        <w:t xml:space="preserve"> </w:t>
      </w:r>
      <w:r w:rsidR="0018337E" w:rsidRPr="005521D2">
        <w:rPr>
          <w:i/>
          <w:iCs/>
          <w:color w:val="auto"/>
        </w:rPr>
        <w:t xml:space="preserve">Figure 1 cont. </w:t>
      </w:r>
    </w:p>
    <w:p w14:paraId="0765C953" w14:textId="0524F2BC" w:rsidR="0018337E" w:rsidRPr="0018337E" w:rsidRDefault="0018337E" w:rsidP="009974B7">
      <w:pPr>
        <w:spacing w:after="160"/>
        <w:contextualSpacing/>
        <w:rPr>
          <w:color w:val="auto"/>
        </w:rPr>
      </w:pPr>
      <w:r w:rsidRPr="0018337E">
        <w:rPr>
          <w:color w:val="auto"/>
        </w:rPr>
        <w:lastRenderedPageBreak/>
        <w:t xml:space="preserve">were created. Connecting the social and behavioral domains has been supported by previous literature linking children’s social and behavioral competence </w:t>
      </w:r>
      <w:r w:rsidR="009A6864" w:rsidRPr="009A6864">
        <w:t xml:space="preserve">(Bornstein et al., 2010; </w:t>
      </w:r>
      <w:proofErr w:type="spellStart"/>
      <w:r w:rsidR="009A6864" w:rsidRPr="009A6864">
        <w:t>Coolahan</w:t>
      </w:r>
      <w:proofErr w:type="spellEnd"/>
      <w:r w:rsidR="009A6864" w:rsidRPr="009A6864">
        <w:t xml:space="preserve">, </w:t>
      </w:r>
      <w:proofErr w:type="spellStart"/>
      <w:r w:rsidR="009A6864" w:rsidRPr="009A6864">
        <w:t>Fantuzzo</w:t>
      </w:r>
      <w:proofErr w:type="spellEnd"/>
      <w:r w:rsidR="009A6864" w:rsidRPr="009A6864">
        <w:t>, Mendez, &amp; McDermott, 2000; McClelland &amp; Morrison, 2003)</w:t>
      </w:r>
      <w:r w:rsidRPr="0018337E">
        <w:rPr>
          <w:color w:val="auto"/>
        </w:rPr>
        <w:t xml:space="preserve">. For example, McClelland et al. (2006) include behavioral aspects when they define social competence as responsibility, independence, and cooperation. Positive social development includes children’s ability to relate to teachers and peers and cooperate in the classroom and may help children attend to and internalize classroom rules </w:t>
      </w:r>
      <w:r w:rsidR="009A6864" w:rsidRPr="009A6864">
        <w:t>(Stipek et al., 2010)</w:t>
      </w:r>
      <w:r w:rsidRPr="0018337E">
        <w:rPr>
          <w:color w:val="auto"/>
        </w:rPr>
        <w:t xml:space="preserve">. </w:t>
      </w:r>
    </w:p>
    <w:p w14:paraId="66E93CDB" w14:textId="164E7CC4" w:rsidR="0018337E" w:rsidRPr="0018337E" w:rsidRDefault="0018337E" w:rsidP="0018337E">
      <w:pPr>
        <w:spacing w:after="160"/>
        <w:ind w:firstLine="720"/>
        <w:contextualSpacing/>
        <w:rPr>
          <w:color w:val="auto"/>
        </w:rPr>
      </w:pPr>
      <w:r w:rsidRPr="0018337E">
        <w:rPr>
          <w:color w:val="auto"/>
        </w:rPr>
        <w:t xml:space="preserve">As evident in Figure 1, five of the NEGP’s original indicators of AtL map onto the high cognitive/high emotional domain, the exception is attention/focus. This consistency offers insight into how the NEGP may have conceptualized AtL as the intersection of cognitive and emotional development. While this mapping underscores the multiple </w:t>
      </w:r>
      <w:proofErr w:type="gramStart"/>
      <w:r w:rsidRPr="0018337E">
        <w:rPr>
          <w:color w:val="auto"/>
        </w:rPr>
        <w:t>ways</w:t>
      </w:r>
      <w:proofErr w:type="gramEnd"/>
      <w:r w:rsidRPr="0018337E">
        <w:rPr>
          <w:color w:val="auto"/>
        </w:rPr>
        <w:t xml:space="preserve"> the construct has been operationalized across studies, it </w:t>
      </w:r>
      <w:r w:rsidR="00C827DE">
        <w:rPr>
          <w:color w:val="auto"/>
        </w:rPr>
        <w:t xml:space="preserve">also </w:t>
      </w:r>
      <w:r w:rsidRPr="0018337E">
        <w:rPr>
          <w:color w:val="auto"/>
        </w:rPr>
        <w:t xml:space="preserve">highlights how AtL is similar to other constructs. For example, aspects of AtL seen in the behavioral/social axes may overlap with social competence and classroom behavior. Behaviors in the high emotion/low cognitive quadrant may better reflect effortful control or emotion regulation and not AtL. Future researchers could examine how their conceptualization of AtL maps onto these developmental domains to provide greater consistency. </w:t>
      </w:r>
    </w:p>
    <w:p w14:paraId="1CD0973F" w14:textId="77777777" w:rsidR="0018337E" w:rsidRPr="0018337E" w:rsidRDefault="0018337E" w:rsidP="0018337E">
      <w:pPr>
        <w:spacing w:after="160"/>
        <w:contextualSpacing/>
        <w:rPr>
          <w:color w:val="auto"/>
        </w:rPr>
      </w:pPr>
      <w:r w:rsidRPr="0018337E">
        <w:rPr>
          <w:b/>
          <w:bCs/>
          <w:color w:val="auto"/>
        </w:rPr>
        <w:tab/>
      </w:r>
      <w:r w:rsidRPr="0018337E">
        <w:rPr>
          <w:color w:val="auto"/>
        </w:rPr>
        <w:t xml:space="preserve">Overall, this conceptualization of AtL demonstrates the discrepancies in the operationalization of AtL across the 42 studies. Many studies do not map onto the original NEGP’s operationalization of AtL, and there is wide variation within quadrants of terms used. Even the large number of attributes across multiple domains sheds light on the potential for this construct to be too wide-reaching. This conceptualization is also useful for examining how measurements map onto the framework. As we will see, there are times when operationalization conflicts with measurement, and when measurements are not consistently used to assess AtL. </w:t>
      </w:r>
    </w:p>
    <w:p w14:paraId="0946FEC4" w14:textId="6BC37565" w:rsidR="0018337E" w:rsidRPr="0018337E" w:rsidRDefault="0018337E" w:rsidP="009974B7">
      <w:pPr>
        <w:pStyle w:val="Heading1"/>
      </w:pPr>
      <w:bookmarkStart w:id="18" w:name="_Toc46265464"/>
      <w:r w:rsidRPr="0018337E">
        <w:lastRenderedPageBreak/>
        <w:t>The Jingle Issue: Areas of Misalignment across Operationalization and Measurement</w:t>
      </w:r>
      <w:bookmarkEnd w:id="18"/>
    </w:p>
    <w:p w14:paraId="03A8657F" w14:textId="7395A773" w:rsidR="0018337E" w:rsidRPr="0018337E" w:rsidRDefault="0018337E" w:rsidP="0018337E">
      <w:pPr>
        <w:spacing w:after="160"/>
        <w:ind w:firstLine="720"/>
        <w:contextualSpacing/>
        <w:rPr>
          <w:color w:val="auto"/>
        </w:rPr>
      </w:pPr>
      <w:r w:rsidRPr="0018337E">
        <w:rPr>
          <w:color w:val="auto"/>
        </w:rPr>
        <w:t xml:space="preserve">An umbrella term refers to a general concept that covers a </w:t>
      </w:r>
      <w:r w:rsidR="000B4B73">
        <w:rPr>
          <w:color w:val="auto"/>
        </w:rPr>
        <w:t>broad</w:t>
      </w:r>
      <w:r w:rsidRPr="0018337E">
        <w:rPr>
          <w:color w:val="auto"/>
        </w:rPr>
        <w:t xml:space="preserve"> scope. While umbrella terms may be useful for capturing a </w:t>
      </w:r>
      <w:r w:rsidR="009974B7" w:rsidRPr="0018337E">
        <w:rPr>
          <w:color w:val="auto"/>
        </w:rPr>
        <w:t>multitude</w:t>
      </w:r>
      <w:r w:rsidRPr="0018337E">
        <w:rPr>
          <w:color w:val="auto"/>
        </w:rPr>
        <w:t xml:space="preserve"> of behaviors, one of the potential dangers is the construct covers too wide a range to be conceptually meaningful. This over-stretching is considered a jingle fallacy </w:t>
      </w:r>
      <w:r w:rsidR="009A6864" w:rsidRPr="009A6864">
        <w:t>(</w:t>
      </w:r>
      <w:proofErr w:type="spellStart"/>
      <w:r w:rsidR="009A6864" w:rsidRPr="009A6864">
        <w:t>Borghans</w:t>
      </w:r>
      <w:proofErr w:type="spellEnd"/>
      <w:r w:rsidR="009A6864" w:rsidRPr="009A6864">
        <w:t xml:space="preserve"> et al., 2008)</w:t>
      </w:r>
      <w:r w:rsidRPr="0018337E">
        <w:rPr>
          <w:color w:val="auto"/>
        </w:rPr>
        <w:t xml:space="preserve">. The operationalization of AtL presents such a jingle fallacy, with behaviors, dispositions, and characteristics that span across social, behavioral, cognitive, and emotional domains. A jingle fallacy can also occur when a construct is measured in a variety of </w:t>
      </w:r>
      <w:r w:rsidR="0085520F">
        <w:rPr>
          <w:color w:val="auto"/>
        </w:rPr>
        <w:t>dissimilar</w:t>
      </w:r>
      <w:r w:rsidR="00BC09A0">
        <w:rPr>
          <w:color w:val="auto"/>
        </w:rPr>
        <w:t xml:space="preserve"> ways</w:t>
      </w:r>
      <w:r w:rsidRPr="0018337E">
        <w:rPr>
          <w:color w:val="auto"/>
        </w:rPr>
        <w:t>. Here, each assessment, although different, is measuring the same construct</w:t>
      </w:r>
      <w:r w:rsidR="00BC09A0">
        <w:rPr>
          <w:color w:val="auto"/>
        </w:rPr>
        <w:t xml:space="preserve">, but only </w:t>
      </w:r>
      <w:r w:rsidRPr="0018337E">
        <w:rPr>
          <w:color w:val="auto"/>
        </w:rPr>
        <w:t>because the construct has the same name</w:t>
      </w:r>
      <w:r w:rsidR="00BC09A0">
        <w:rPr>
          <w:color w:val="auto"/>
        </w:rPr>
        <w:t xml:space="preserve"> across studies</w:t>
      </w:r>
      <w:r w:rsidRPr="0018337E">
        <w:rPr>
          <w:color w:val="auto"/>
        </w:rPr>
        <w:t xml:space="preserve">. Indeed, the various ways </w:t>
      </w:r>
      <w:r w:rsidR="0085520F">
        <w:rPr>
          <w:color w:val="auto"/>
        </w:rPr>
        <w:t>A</w:t>
      </w:r>
      <w:r w:rsidRPr="0018337E">
        <w:rPr>
          <w:color w:val="auto"/>
        </w:rPr>
        <w:t xml:space="preserve">tL has been measured and the inconsistency in the measurement and operationalization of AtL represent a jingle fallacy. </w:t>
      </w:r>
    </w:p>
    <w:p w14:paraId="6E4A66C4" w14:textId="3194966B" w:rsidR="0018337E" w:rsidRPr="0018337E" w:rsidRDefault="0018337E" w:rsidP="0018337E">
      <w:pPr>
        <w:spacing w:after="160"/>
        <w:ind w:firstLine="720"/>
        <w:contextualSpacing/>
        <w:rPr>
          <w:color w:val="auto"/>
        </w:rPr>
      </w:pPr>
      <w:r w:rsidRPr="0018337E">
        <w:rPr>
          <w:color w:val="auto"/>
        </w:rPr>
        <w:t>A review of the studies showed that while each study had a distinct operationalization of the term AtL, there were some commonalities in measurement. Fourteen different measures of AtL were present across studies, representing teacher report, direct assessment, and observation. Teacher-rated AtL measurements included published measurements specifically for AtL—the ECLS-K Approaches to Learning scale (ECLS-K scale)</w:t>
      </w:r>
      <w:r w:rsidR="00734A24">
        <w:rPr>
          <w:color w:val="auto"/>
        </w:rPr>
        <w:t xml:space="preserve"> and</w:t>
      </w:r>
      <w:r w:rsidRPr="0018337E">
        <w:rPr>
          <w:color w:val="auto"/>
        </w:rPr>
        <w:t xml:space="preserve"> the Preschool Learning Behaviors Scale (PLBS). Other measures were published measures of something else not specifically AtL, i.e., the School Readiness Questionnaire (SRQ), the Teacher Rating Scale of School Adjustment (TRSSA), the Social Skills Rating Scale (SSRS), the Learning to Learn Scale, the Devereaux Early Childhood Assessment (DECA) the Mock Report Card, and the Cooper-</w:t>
      </w:r>
      <w:proofErr w:type="spellStart"/>
      <w:r w:rsidRPr="0018337E">
        <w:rPr>
          <w:color w:val="auto"/>
        </w:rPr>
        <w:t>Farran</w:t>
      </w:r>
      <w:proofErr w:type="spellEnd"/>
      <w:r w:rsidRPr="0018337E">
        <w:rPr>
          <w:color w:val="auto"/>
        </w:rPr>
        <w:t xml:space="preserve"> Behavioral Rating Scale. Three different studies used research</w:t>
      </w:r>
      <w:r w:rsidR="00734A24">
        <w:rPr>
          <w:color w:val="auto"/>
        </w:rPr>
        <w:t>er</w:t>
      </w:r>
      <w:r w:rsidRPr="0018337E">
        <w:rPr>
          <w:color w:val="auto"/>
        </w:rPr>
        <w:t xml:space="preserve">-created measures of AtL </w:t>
      </w:r>
      <w:r w:rsidR="009A6864" w:rsidRPr="009A6864">
        <w:t>(</w:t>
      </w:r>
      <w:proofErr w:type="spellStart"/>
      <w:r w:rsidR="009A6864" w:rsidRPr="009A6864">
        <w:t>Barbu</w:t>
      </w:r>
      <w:proofErr w:type="spellEnd"/>
      <w:r w:rsidR="009A6864" w:rsidRPr="009A6864">
        <w:t xml:space="preserve"> et al., 2015; McCoy et al., 2015; Neuenschwander et al., 2012)</w:t>
      </w:r>
      <w:r w:rsidRPr="0018337E">
        <w:rPr>
          <w:color w:val="auto"/>
        </w:rPr>
        <w:t xml:space="preserve">. Many studies used the ECLS-K (12 </w:t>
      </w:r>
      <w:r w:rsidRPr="0018337E">
        <w:rPr>
          <w:color w:val="auto"/>
        </w:rPr>
        <w:lastRenderedPageBreak/>
        <w:t>included in this study, but 25 included in the original scan), while many also used the PLBS. Three studies used various observation-based measures, including the Child Observation o</w:t>
      </w:r>
      <w:r w:rsidR="00734A24">
        <w:rPr>
          <w:color w:val="auto"/>
        </w:rPr>
        <w:t xml:space="preserve">f </w:t>
      </w:r>
      <w:r w:rsidRPr="0018337E">
        <w:rPr>
          <w:color w:val="auto"/>
        </w:rPr>
        <w:t xml:space="preserve">Preschool </w:t>
      </w:r>
      <w:r w:rsidR="009A6864" w:rsidRPr="009A6864">
        <w:t xml:space="preserve">(Nesbitt, </w:t>
      </w:r>
      <w:proofErr w:type="spellStart"/>
      <w:r w:rsidR="009A6864" w:rsidRPr="009A6864">
        <w:t>Farran</w:t>
      </w:r>
      <w:proofErr w:type="spellEnd"/>
      <w:r w:rsidR="009A6864" w:rsidRPr="009A6864">
        <w:t xml:space="preserve">, &amp; </w:t>
      </w:r>
      <w:proofErr w:type="spellStart"/>
      <w:r w:rsidR="009A6864" w:rsidRPr="009A6864">
        <w:t>Fuhs</w:t>
      </w:r>
      <w:proofErr w:type="spellEnd"/>
      <w:r w:rsidR="009A6864" w:rsidRPr="009A6864">
        <w:t>, 2015)</w:t>
      </w:r>
      <w:r w:rsidRPr="0018337E">
        <w:rPr>
          <w:color w:val="auto"/>
        </w:rPr>
        <w:t xml:space="preserve">, the inCLASS </w:t>
      </w:r>
      <w:r w:rsidR="009A6864" w:rsidRPr="009A6864">
        <w:t>(</w:t>
      </w:r>
      <w:proofErr w:type="spellStart"/>
      <w:r w:rsidR="009A6864" w:rsidRPr="009A6864">
        <w:t>Vitiello</w:t>
      </w:r>
      <w:proofErr w:type="spellEnd"/>
      <w:r w:rsidR="009A6864" w:rsidRPr="009A6864">
        <w:t xml:space="preserve"> &amp; Greenfield, 2017)</w:t>
      </w:r>
      <w:r w:rsidRPr="0018337E">
        <w:rPr>
          <w:color w:val="auto"/>
        </w:rPr>
        <w:t xml:space="preserve">, and the Observed Child Engagement Scale </w:t>
      </w:r>
      <w:r w:rsidR="009A6864" w:rsidRPr="009A6864">
        <w:t>(</w:t>
      </w:r>
      <w:proofErr w:type="spellStart"/>
      <w:r w:rsidR="009A6864" w:rsidRPr="009A6864">
        <w:t>Rimm</w:t>
      </w:r>
      <w:proofErr w:type="spellEnd"/>
      <w:r w:rsidR="009A6864" w:rsidRPr="009A6864">
        <w:t xml:space="preserve">-Kaufman, </w:t>
      </w:r>
      <w:proofErr w:type="spellStart"/>
      <w:r w:rsidR="009A6864" w:rsidRPr="009A6864">
        <w:t>Curby</w:t>
      </w:r>
      <w:proofErr w:type="spellEnd"/>
      <w:r w:rsidR="009A6864" w:rsidRPr="009A6864">
        <w:t>, Grimm, Nathanson, &amp; Brock, 2009)</w:t>
      </w:r>
      <w:r w:rsidRPr="0018337E">
        <w:rPr>
          <w:color w:val="auto"/>
        </w:rPr>
        <w:t xml:space="preserve">. Cerda et al. </w:t>
      </w:r>
      <w:r w:rsidR="009A6864" w:rsidRPr="009A6864">
        <w:t>(2014)</w:t>
      </w:r>
      <w:r w:rsidRPr="0018337E">
        <w:rPr>
          <w:color w:val="auto"/>
        </w:rPr>
        <w:t xml:space="preserve"> directly assessed effortful control, one aspect of AtL, through various inhibitory control tasks. George and Greenfield (2005) measured AtL through a problem-solving task. </w:t>
      </w:r>
    </w:p>
    <w:p w14:paraId="37555ECC" w14:textId="605C1A23" w:rsidR="0018337E" w:rsidRPr="0018337E" w:rsidRDefault="0018337E" w:rsidP="0018337E">
      <w:pPr>
        <w:spacing w:after="160"/>
        <w:ind w:firstLine="720"/>
        <w:contextualSpacing/>
        <w:rPr>
          <w:color w:val="auto"/>
        </w:rPr>
      </w:pPr>
      <w:r w:rsidRPr="0018337E">
        <w:rPr>
          <w:color w:val="auto"/>
        </w:rPr>
        <w:t xml:space="preserve">For each of the five measures (DECA, SRQ, SSRS, </w:t>
      </w:r>
      <w:r w:rsidR="00576230">
        <w:rPr>
          <w:color w:val="auto"/>
        </w:rPr>
        <w:t xml:space="preserve">ECLS-K, </w:t>
      </w:r>
      <w:r w:rsidRPr="0018337E">
        <w:rPr>
          <w:color w:val="auto"/>
        </w:rPr>
        <w:t xml:space="preserve">and the PLBS), that provided enough item-level information for analysis, the items were mapped onto the conceptual framework and examined (see Figure 2). In this way, it was possible to see whether there was alignment across operationalization and measurement. For example, the DECA was highest in descriptors in the high social/low behavior quadrant and the high emotional/low cognitive quadrant. However, </w:t>
      </w:r>
      <w:proofErr w:type="spellStart"/>
      <w:r w:rsidRPr="0018337E">
        <w:rPr>
          <w:color w:val="auto"/>
        </w:rPr>
        <w:t>Barbu</w:t>
      </w:r>
      <w:proofErr w:type="spellEnd"/>
      <w:r w:rsidRPr="0018337E">
        <w:rPr>
          <w:color w:val="auto"/>
        </w:rPr>
        <w:t xml:space="preserve"> et al.’s </w:t>
      </w:r>
      <w:r w:rsidR="009A6864" w:rsidRPr="009A6864">
        <w:t>(2015)</w:t>
      </w:r>
      <w:r w:rsidRPr="0018337E">
        <w:rPr>
          <w:color w:val="auto"/>
        </w:rPr>
        <w:t xml:space="preserve"> operationalization of AtL (using the NEGP) lies mostly in the high cognitive, high emotional quadrant</w:t>
      </w:r>
      <w:r w:rsidR="0085520F">
        <w:rPr>
          <w:color w:val="auto"/>
        </w:rPr>
        <w:t xml:space="preserve">, indicating </w:t>
      </w:r>
      <w:r w:rsidRPr="0018337E">
        <w:rPr>
          <w:color w:val="auto"/>
        </w:rPr>
        <w:t xml:space="preserve">the DECA may not be a valid measure of AtL according to the NEGP’s definition. Similarly, George and Greenfield (2005) used the SSRS, which was highest in the high social/low behavior and the high social/high behavioral quadrant. However, their operationalization included terms like “curiosity, persistence, flexibility, inventiveness, engagement with new activities, and preference for challenge,” which lies mostly in the high cognitive/high emotion quadrant </w:t>
      </w:r>
      <w:r w:rsidR="009A6864" w:rsidRPr="009A6864">
        <w:t>(George &amp; Greenfield, 2005, p. 70)</w:t>
      </w:r>
      <w:r w:rsidRPr="0018337E">
        <w:rPr>
          <w:color w:val="auto"/>
        </w:rPr>
        <w:t xml:space="preserve">. </w:t>
      </w:r>
    </w:p>
    <w:p w14:paraId="7CFF2DAD" w14:textId="3B26C8E3" w:rsidR="009974B7" w:rsidRPr="0018337E" w:rsidRDefault="0018337E" w:rsidP="0085520F">
      <w:pPr>
        <w:spacing w:after="160"/>
        <w:ind w:firstLine="720"/>
        <w:contextualSpacing/>
        <w:rPr>
          <w:color w:val="auto"/>
        </w:rPr>
      </w:pPr>
      <w:r w:rsidRPr="0018337E">
        <w:rPr>
          <w:color w:val="auto"/>
        </w:rPr>
        <w:t xml:space="preserve">There were several misalignments between the operationalization and measurement approaches. There were at least four different studies that operationalized AtL according to the original NEGP description of AtL (initiative, curiosity, engagement and persistence, and reasoning and problem-solving skills). However, each one used a separate measurement of AtL </w:t>
      </w:r>
      <w:r w:rsidRPr="0018337E">
        <w:rPr>
          <w:color w:val="auto"/>
        </w:rPr>
        <w:lastRenderedPageBreak/>
        <w:t xml:space="preserve">(see Table </w:t>
      </w:r>
      <w:r w:rsidR="00BC09A0">
        <w:rPr>
          <w:color w:val="auto"/>
        </w:rPr>
        <w:t>3</w:t>
      </w:r>
      <w:r w:rsidRPr="0018337E">
        <w:rPr>
          <w:color w:val="auto"/>
        </w:rPr>
        <w:t xml:space="preserve">). Two studies used measures specifically designed to measure AtL (ECLS-K and PLBS). </w:t>
      </w:r>
      <w:r w:rsidR="00BB55FB">
        <w:rPr>
          <w:color w:val="auto"/>
        </w:rPr>
        <w:t xml:space="preserve">Others included the </w:t>
      </w:r>
      <w:r w:rsidRPr="0018337E">
        <w:rPr>
          <w:color w:val="auto"/>
        </w:rPr>
        <w:t>Teacher Rating Scales of Early Academic Competence</w:t>
      </w:r>
      <w:r w:rsidR="00BB55FB">
        <w:rPr>
          <w:color w:val="auto"/>
        </w:rPr>
        <w:t xml:space="preserve">, </w:t>
      </w:r>
      <w:r w:rsidRPr="0018337E">
        <w:rPr>
          <w:color w:val="auto"/>
        </w:rPr>
        <w:t xml:space="preserve">a </w:t>
      </w:r>
      <w:r w:rsidR="00BC09A0">
        <w:rPr>
          <w:color w:val="auto"/>
        </w:rPr>
        <w:t>“</w:t>
      </w:r>
      <w:r w:rsidRPr="0018337E">
        <w:rPr>
          <w:color w:val="auto"/>
        </w:rPr>
        <w:t xml:space="preserve">strength-based </w:t>
      </w:r>
      <w:r w:rsidR="00BC09A0" w:rsidRPr="0018337E">
        <w:rPr>
          <w:color w:val="auto"/>
        </w:rPr>
        <w:t xml:space="preserve">measure </w:t>
      </w:r>
      <w:r w:rsidR="00BC09A0">
        <w:rPr>
          <w:color w:val="auto"/>
        </w:rPr>
        <w:t>intended</w:t>
      </w:r>
      <w:r w:rsidR="009974B7" w:rsidRPr="0018337E">
        <w:rPr>
          <w:color w:val="auto"/>
        </w:rPr>
        <w:t xml:space="preserve"> to screen a wide array of skills, behaviors, and attitudes indicative of school success” </w:t>
      </w:r>
      <w:r w:rsidR="009A6864" w:rsidRPr="009A6864">
        <w:t>(Reid et al., 2014, p. 539)</w:t>
      </w:r>
      <w:r w:rsidR="009974B7" w:rsidRPr="0018337E">
        <w:rPr>
          <w:color w:val="auto"/>
        </w:rPr>
        <w:t xml:space="preserve">. </w:t>
      </w:r>
      <w:r w:rsidR="00BB55FB">
        <w:rPr>
          <w:color w:val="auto"/>
        </w:rPr>
        <w:t>T</w:t>
      </w:r>
      <w:r w:rsidR="009974B7" w:rsidRPr="0018337E">
        <w:rPr>
          <w:color w:val="auto"/>
        </w:rPr>
        <w:t xml:space="preserve">he academic enablers </w:t>
      </w:r>
      <w:r w:rsidR="00BB55FB">
        <w:rPr>
          <w:color w:val="auto"/>
        </w:rPr>
        <w:t xml:space="preserve">subscale of this measure </w:t>
      </w:r>
      <w:r w:rsidR="009974B7" w:rsidRPr="0018337E">
        <w:rPr>
          <w:color w:val="auto"/>
        </w:rPr>
        <w:t xml:space="preserve">is not explicitly designed to measure AtL; instead, it focuses on engagement, motivation, self-regulation, motor, interpersonal, and emotional competence. Finally, the DECA has been used in numerous studies as a measure of children’s protective factors </w:t>
      </w:r>
      <w:r w:rsidR="009A6864" w:rsidRPr="009A6864">
        <w:t xml:space="preserve">(De </w:t>
      </w:r>
      <w:proofErr w:type="spellStart"/>
      <w:r w:rsidR="009A6864" w:rsidRPr="009A6864">
        <w:t>Feyter</w:t>
      </w:r>
      <w:proofErr w:type="spellEnd"/>
      <w:r w:rsidR="009A6864" w:rsidRPr="009A6864">
        <w:t xml:space="preserve"> &amp; </w:t>
      </w:r>
      <w:proofErr w:type="spellStart"/>
      <w:r w:rsidR="009A6864" w:rsidRPr="009A6864">
        <w:t>Winsler</w:t>
      </w:r>
      <w:proofErr w:type="spellEnd"/>
      <w:r w:rsidR="009A6864" w:rsidRPr="009A6864">
        <w:t xml:space="preserve">, 2009; </w:t>
      </w:r>
      <w:proofErr w:type="spellStart"/>
      <w:r w:rsidR="009A6864" w:rsidRPr="009A6864">
        <w:t>LeBuffe</w:t>
      </w:r>
      <w:proofErr w:type="spellEnd"/>
      <w:r w:rsidR="009A6864" w:rsidRPr="009A6864">
        <w:t xml:space="preserve"> &amp; Shapiro, 2004; Maier, </w:t>
      </w:r>
      <w:proofErr w:type="spellStart"/>
      <w:r w:rsidR="009A6864" w:rsidRPr="009A6864">
        <w:t>Vitiello</w:t>
      </w:r>
      <w:proofErr w:type="spellEnd"/>
      <w:r w:rsidR="009A6864" w:rsidRPr="009A6864">
        <w:t>, &amp; Greenfield, 2012)</w:t>
      </w:r>
      <w:r w:rsidR="009974B7" w:rsidRPr="0018337E">
        <w:rPr>
          <w:color w:val="auto"/>
        </w:rPr>
        <w:t xml:space="preserve">. </w:t>
      </w:r>
    </w:p>
    <w:p w14:paraId="4341A10B" w14:textId="7E847449" w:rsidR="00BC09A0" w:rsidRDefault="00BC09A0" w:rsidP="00BC09A0">
      <w:pPr>
        <w:pStyle w:val="Caption"/>
        <w:keepNext/>
      </w:pPr>
      <w:bookmarkStart w:id="19" w:name="_Toc44366119"/>
      <w:r>
        <w:t xml:space="preserve">Table </w:t>
      </w:r>
      <w:fldSimple w:instr=" SEQ Table \* ARABIC ">
        <w:r w:rsidR="002039BE">
          <w:rPr>
            <w:noProof/>
          </w:rPr>
          <w:t>3</w:t>
        </w:r>
        <w:bookmarkEnd w:id="19"/>
      </w:fldSimple>
    </w:p>
    <w:p w14:paraId="47CBF917" w14:textId="77777777" w:rsidR="00BC09A0" w:rsidRPr="0018337E" w:rsidRDefault="00BC09A0" w:rsidP="00BC09A0">
      <w:pPr>
        <w:spacing w:line="276" w:lineRule="auto"/>
        <w:rPr>
          <w:rFonts w:eastAsia="Arial" w:cs="Arial"/>
          <w:i/>
          <w:iCs/>
          <w:color w:val="auto"/>
          <w:szCs w:val="22"/>
          <w:lang w:val="en"/>
        </w:rPr>
      </w:pPr>
      <w:r w:rsidRPr="0018337E">
        <w:rPr>
          <w:rFonts w:eastAsia="Arial" w:cs="Arial"/>
          <w:i/>
          <w:iCs/>
          <w:color w:val="auto"/>
          <w:szCs w:val="22"/>
          <w:lang w:val="en"/>
        </w:rPr>
        <w:t xml:space="preserve">Studies using NEGP definition of AtL </w:t>
      </w:r>
    </w:p>
    <w:p w14:paraId="771FB5E1" w14:textId="77777777" w:rsidR="00BC09A0" w:rsidRPr="0018337E" w:rsidRDefault="00BC09A0" w:rsidP="00BC09A0">
      <w:pPr>
        <w:spacing w:line="276" w:lineRule="auto"/>
        <w:rPr>
          <w:rFonts w:eastAsia="Arial" w:cs="Arial"/>
          <w:color w:val="auto"/>
          <w:szCs w:val="22"/>
          <w:lang w:val="en"/>
        </w:rPr>
      </w:pPr>
    </w:p>
    <w:tbl>
      <w:tblPr>
        <w:tblStyle w:val="TableGrid7"/>
        <w:tblW w:w="0" w:type="auto"/>
        <w:tblLook w:val="04A0" w:firstRow="1" w:lastRow="0" w:firstColumn="1" w:lastColumn="0" w:noHBand="0" w:noVBand="1"/>
      </w:tblPr>
      <w:tblGrid>
        <w:gridCol w:w="2979"/>
        <w:gridCol w:w="3095"/>
        <w:gridCol w:w="3125"/>
      </w:tblGrid>
      <w:tr w:rsidR="00BC09A0" w:rsidRPr="00E31D47" w14:paraId="1CA387B1" w14:textId="77777777" w:rsidTr="00D138C4">
        <w:trPr>
          <w:trHeight w:val="288"/>
        </w:trPr>
        <w:tc>
          <w:tcPr>
            <w:tcW w:w="2979" w:type="dxa"/>
            <w:tcBorders>
              <w:top w:val="single" w:sz="4" w:space="0" w:color="auto"/>
              <w:left w:val="nil"/>
              <w:bottom w:val="single" w:sz="4" w:space="0" w:color="auto"/>
              <w:right w:val="nil"/>
            </w:tcBorders>
          </w:tcPr>
          <w:p w14:paraId="1691605E" w14:textId="77777777" w:rsidR="00BC09A0" w:rsidRPr="00E31D47" w:rsidRDefault="00BC09A0" w:rsidP="00D138C4">
            <w:pPr>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Study</w:t>
            </w:r>
          </w:p>
        </w:tc>
        <w:tc>
          <w:tcPr>
            <w:tcW w:w="3095" w:type="dxa"/>
            <w:tcBorders>
              <w:top w:val="single" w:sz="4" w:space="0" w:color="auto"/>
              <w:left w:val="nil"/>
              <w:bottom w:val="single" w:sz="4" w:space="0" w:color="auto"/>
              <w:right w:val="nil"/>
            </w:tcBorders>
          </w:tcPr>
          <w:p w14:paraId="622AB1B7" w14:textId="77777777" w:rsidR="00BC09A0" w:rsidRPr="00E31D47" w:rsidRDefault="00BC09A0" w:rsidP="00D138C4">
            <w:pPr>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Description</w:t>
            </w:r>
          </w:p>
        </w:tc>
        <w:tc>
          <w:tcPr>
            <w:tcW w:w="3125" w:type="dxa"/>
            <w:tcBorders>
              <w:top w:val="single" w:sz="4" w:space="0" w:color="auto"/>
              <w:left w:val="nil"/>
              <w:bottom w:val="single" w:sz="4" w:space="0" w:color="auto"/>
              <w:right w:val="nil"/>
            </w:tcBorders>
          </w:tcPr>
          <w:p w14:paraId="1AF0A2D5" w14:textId="77777777" w:rsidR="00BC09A0" w:rsidRPr="00E31D47" w:rsidRDefault="00BC09A0" w:rsidP="00D138C4">
            <w:pPr>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Measurement</w:t>
            </w:r>
          </w:p>
        </w:tc>
      </w:tr>
      <w:tr w:rsidR="00BC09A0" w:rsidRPr="00E31D47" w14:paraId="78B0A98C" w14:textId="77777777" w:rsidTr="00D138C4">
        <w:trPr>
          <w:trHeight w:val="1175"/>
        </w:trPr>
        <w:tc>
          <w:tcPr>
            <w:tcW w:w="2979" w:type="dxa"/>
            <w:tcBorders>
              <w:top w:val="single" w:sz="4" w:space="0" w:color="auto"/>
              <w:left w:val="nil"/>
              <w:bottom w:val="nil"/>
              <w:right w:val="nil"/>
            </w:tcBorders>
          </w:tcPr>
          <w:p w14:paraId="489961A0" w14:textId="77777777" w:rsidR="00BC09A0" w:rsidRPr="00E31D47" w:rsidRDefault="00BC09A0" w:rsidP="00D138C4">
            <w:pPr>
              <w:contextualSpacing/>
              <w:rPr>
                <w:rFonts w:ascii="Times New Roman" w:hAnsi="Times New Roman" w:cs="Times New Roman"/>
                <w:sz w:val="24"/>
                <w:szCs w:val="24"/>
                <w:lang w:val="en"/>
              </w:rPr>
            </w:pPr>
            <w:proofErr w:type="spellStart"/>
            <w:r w:rsidRPr="00E31D47">
              <w:rPr>
                <w:rFonts w:ascii="Times New Roman" w:hAnsi="Times New Roman" w:cs="Times New Roman"/>
                <w:sz w:val="24"/>
                <w:szCs w:val="24"/>
                <w:lang w:val="en"/>
              </w:rPr>
              <w:t>Barbu</w:t>
            </w:r>
            <w:proofErr w:type="spellEnd"/>
            <w:r w:rsidRPr="00E31D47">
              <w:rPr>
                <w:rFonts w:ascii="Times New Roman" w:hAnsi="Times New Roman" w:cs="Times New Roman"/>
                <w:sz w:val="24"/>
                <w:szCs w:val="24"/>
                <w:lang w:val="en"/>
              </w:rPr>
              <w:t xml:space="preserve"> et al. (2015) </w:t>
            </w:r>
          </w:p>
        </w:tc>
        <w:tc>
          <w:tcPr>
            <w:tcW w:w="3095" w:type="dxa"/>
            <w:tcBorders>
              <w:top w:val="single" w:sz="4" w:space="0" w:color="auto"/>
              <w:left w:val="nil"/>
              <w:bottom w:val="nil"/>
              <w:right w:val="nil"/>
            </w:tcBorders>
          </w:tcPr>
          <w:p w14:paraId="3F43062D" w14:textId="77777777" w:rsidR="00BC09A0" w:rsidRPr="00E31D47" w:rsidRDefault="00BC09A0" w:rsidP="00D138C4">
            <w:pPr>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initiative, curiosity, engagement, persistence, reasoning, and problem-solving skills</w:t>
            </w:r>
          </w:p>
        </w:tc>
        <w:tc>
          <w:tcPr>
            <w:tcW w:w="3125" w:type="dxa"/>
            <w:tcBorders>
              <w:top w:val="single" w:sz="4" w:space="0" w:color="auto"/>
              <w:left w:val="nil"/>
              <w:bottom w:val="nil"/>
              <w:right w:val="nil"/>
            </w:tcBorders>
          </w:tcPr>
          <w:p w14:paraId="0950B807" w14:textId="77777777" w:rsidR="00BC09A0" w:rsidRPr="00E31D47" w:rsidRDefault="00BC09A0" w:rsidP="00D138C4">
            <w:pPr>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DECA</w:t>
            </w:r>
          </w:p>
        </w:tc>
      </w:tr>
      <w:tr w:rsidR="00BC09A0" w:rsidRPr="00E31D47" w14:paraId="3FCF4A20" w14:textId="77777777" w:rsidTr="00D138C4">
        <w:trPr>
          <w:trHeight w:val="1026"/>
        </w:trPr>
        <w:tc>
          <w:tcPr>
            <w:tcW w:w="2979" w:type="dxa"/>
            <w:tcBorders>
              <w:top w:val="nil"/>
              <w:left w:val="nil"/>
              <w:bottom w:val="nil"/>
              <w:right w:val="nil"/>
            </w:tcBorders>
          </w:tcPr>
          <w:p w14:paraId="2C656B3A" w14:textId="77777777" w:rsidR="00BC09A0" w:rsidRPr="00E31D47" w:rsidRDefault="00BC09A0" w:rsidP="00D138C4">
            <w:pPr>
              <w:contextualSpacing/>
              <w:rPr>
                <w:rFonts w:ascii="Times New Roman" w:hAnsi="Times New Roman" w:cs="Times New Roman"/>
                <w:sz w:val="24"/>
                <w:szCs w:val="24"/>
                <w:lang w:val="en"/>
              </w:rPr>
            </w:pPr>
            <w:proofErr w:type="spellStart"/>
            <w:r w:rsidRPr="00E31D47">
              <w:rPr>
                <w:rFonts w:ascii="Times New Roman" w:hAnsi="Times New Roman" w:cs="Times New Roman"/>
                <w:sz w:val="24"/>
                <w:szCs w:val="24"/>
                <w:lang w:val="en"/>
              </w:rPr>
              <w:t>Bulotsky</w:t>
            </w:r>
            <w:proofErr w:type="spellEnd"/>
            <w:r w:rsidRPr="00E31D47">
              <w:rPr>
                <w:rFonts w:ascii="Times New Roman" w:hAnsi="Times New Roman" w:cs="Times New Roman"/>
                <w:sz w:val="24"/>
                <w:szCs w:val="24"/>
                <w:lang w:val="en"/>
              </w:rPr>
              <w:t xml:space="preserve">-Shearer et al. (2011) </w:t>
            </w:r>
          </w:p>
        </w:tc>
        <w:tc>
          <w:tcPr>
            <w:tcW w:w="3095" w:type="dxa"/>
            <w:tcBorders>
              <w:top w:val="nil"/>
              <w:left w:val="nil"/>
              <w:bottom w:val="nil"/>
              <w:right w:val="nil"/>
            </w:tcBorders>
          </w:tcPr>
          <w:p w14:paraId="49CF6437" w14:textId="77777777" w:rsidR="00BC09A0" w:rsidRPr="00E31D47" w:rsidRDefault="00BC09A0" w:rsidP="00D138C4">
            <w:pPr>
              <w:autoSpaceDE w:val="0"/>
              <w:autoSpaceDN w:val="0"/>
              <w:adjustRightInd w:val="0"/>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Initiative and curiosity, engagement and persistence, and reasoning and problem-solving skills</w:t>
            </w:r>
          </w:p>
        </w:tc>
        <w:tc>
          <w:tcPr>
            <w:tcW w:w="3125" w:type="dxa"/>
            <w:tcBorders>
              <w:top w:val="nil"/>
              <w:left w:val="nil"/>
              <w:bottom w:val="nil"/>
              <w:right w:val="nil"/>
            </w:tcBorders>
          </w:tcPr>
          <w:p w14:paraId="34446B25" w14:textId="77777777" w:rsidR="00BC09A0" w:rsidRPr="00E31D47" w:rsidRDefault="00BC09A0" w:rsidP="00D138C4">
            <w:pPr>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PLBS</w:t>
            </w:r>
          </w:p>
        </w:tc>
      </w:tr>
      <w:tr w:rsidR="00BC09A0" w:rsidRPr="00E31D47" w14:paraId="0F05A444" w14:textId="77777777" w:rsidTr="00D138C4">
        <w:trPr>
          <w:trHeight w:val="1475"/>
        </w:trPr>
        <w:tc>
          <w:tcPr>
            <w:tcW w:w="2979" w:type="dxa"/>
            <w:tcBorders>
              <w:top w:val="nil"/>
              <w:left w:val="nil"/>
              <w:bottom w:val="nil"/>
              <w:right w:val="nil"/>
            </w:tcBorders>
          </w:tcPr>
          <w:p w14:paraId="0E5B85BE" w14:textId="77777777" w:rsidR="00BC09A0" w:rsidRPr="00E31D47" w:rsidRDefault="00BC09A0" w:rsidP="00D138C4">
            <w:pPr>
              <w:contextualSpacing/>
              <w:rPr>
                <w:rFonts w:ascii="Times New Roman" w:hAnsi="Times New Roman" w:cs="Times New Roman"/>
                <w:sz w:val="24"/>
                <w:szCs w:val="24"/>
                <w:lang w:val="en"/>
              </w:rPr>
            </w:pPr>
            <w:r w:rsidRPr="00E31D47">
              <w:rPr>
                <w:rFonts w:ascii="Times New Roman" w:hAnsi="Times New Roman" w:cs="Times New Roman"/>
                <w:sz w:val="24"/>
                <w:szCs w:val="24"/>
                <w:lang w:val="en"/>
              </w:rPr>
              <w:t xml:space="preserve">Hair et al. (2006) </w:t>
            </w:r>
          </w:p>
        </w:tc>
        <w:tc>
          <w:tcPr>
            <w:tcW w:w="3095" w:type="dxa"/>
            <w:tcBorders>
              <w:top w:val="nil"/>
              <w:left w:val="nil"/>
              <w:bottom w:val="nil"/>
              <w:right w:val="nil"/>
            </w:tcBorders>
          </w:tcPr>
          <w:p w14:paraId="682694E0" w14:textId="77777777" w:rsidR="00BC09A0" w:rsidRPr="00E31D47" w:rsidRDefault="00BC09A0" w:rsidP="00D138C4">
            <w:pPr>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openness and curiosity to tasks and challenges, task persistence, imagination, attentiveness, and cognitive learning style</w:t>
            </w:r>
          </w:p>
        </w:tc>
        <w:tc>
          <w:tcPr>
            <w:tcW w:w="3125" w:type="dxa"/>
            <w:tcBorders>
              <w:top w:val="nil"/>
              <w:left w:val="nil"/>
              <w:bottom w:val="nil"/>
              <w:right w:val="nil"/>
            </w:tcBorders>
          </w:tcPr>
          <w:p w14:paraId="2B2A40D3" w14:textId="77777777" w:rsidR="00BC09A0" w:rsidRPr="00E31D47" w:rsidRDefault="00BC09A0" w:rsidP="00D138C4">
            <w:pPr>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ECLS-K AtL Scale</w:t>
            </w:r>
          </w:p>
        </w:tc>
      </w:tr>
      <w:tr w:rsidR="00BC09A0" w:rsidRPr="00E31D47" w14:paraId="525779EF" w14:textId="77777777" w:rsidTr="00D138C4">
        <w:trPr>
          <w:trHeight w:val="876"/>
        </w:trPr>
        <w:tc>
          <w:tcPr>
            <w:tcW w:w="2979" w:type="dxa"/>
            <w:tcBorders>
              <w:top w:val="nil"/>
              <w:left w:val="nil"/>
              <w:bottom w:val="single" w:sz="4" w:space="0" w:color="auto"/>
              <w:right w:val="nil"/>
            </w:tcBorders>
          </w:tcPr>
          <w:p w14:paraId="667B6E5C" w14:textId="77777777" w:rsidR="00BC09A0" w:rsidRPr="00E31D47" w:rsidRDefault="00BC09A0" w:rsidP="00D138C4">
            <w:pPr>
              <w:contextualSpacing/>
              <w:rPr>
                <w:rFonts w:ascii="Times New Roman" w:hAnsi="Times New Roman" w:cs="Times New Roman"/>
                <w:sz w:val="24"/>
                <w:szCs w:val="24"/>
                <w:lang w:val="en"/>
              </w:rPr>
            </w:pPr>
            <w:r w:rsidRPr="00E31D47">
              <w:rPr>
                <w:rFonts w:ascii="Times New Roman" w:hAnsi="Times New Roman" w:cs="Times New Roman"/>
                <w:sz w:val="24"/>
                <w:szCs w:val="24"/>
                <w:lang w:val="en"/>
              </w:rPr>
              <w:t xml:space="preserve">Reid et al. (2014) </w:t>
            </w:r>
          </w:p>
        </w:tc>
        <w:tc>
          <w:tcPr>
            <w:tcW w:w="3095" w:type="dxa"/>
            <w:tcBorders>
              <w:top w:val="nil"/>
              <w:left w:val="nil"/>
              <w:bottom w:val="single" w:sz="4" w:space="0" w:color="auto"/>
              <w:right w:val="nil"/>
            </w:tcBorders>
          </w:tcPr>
          <w:p w14:paraId="2845BF54" w14:textId="77777777" w:rsidR="00BC09A0" w:rsidRPr="00E31D47" w:rsidRDefault="00BC09A0" w:rsidP="00D138C4">
            <w:pPr>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openness and curiosity about new tasks, task persistence, and imagination</w:t>
            </w:r>
          </w:p>
        </w:tc>
        <w:tc>
          <w:tcPr>
            <w:tcW w:w="3125" w:type="dxa"/>
            <w:tcBorders>
              <w:top w:val="nil"/>
              <w:left w:val="nil"/>
              <w:bottom w:val="single" w:sz="4" w:space="0" w:color="auto"/>
              <w:right w:val="nil"/>
            </w:tcBorders>
          </w:tcPr>
          <w:p w14:paraId="16C9AF51" w14:textId="77777777" w:rsidR="00BC09A0" w:rsidRPr="00E31D47" w:rsidRDefault="00BC09A0" w:rsidP="00D138C4">
            <w:pPr>
              <w:contextualSpacing/>
              <w:jc w:val="center"/>
              <w:rPr>
                <w:rFonts w:ascii="Times New Roman" w:hAnsi="Times New Roman" w:cs="Times New Roman"/>
                <w:sz w:val="24"/>
                <w:szCs w:val="24"/>
                <w:lang w:val="en"/>
              </w:rPr>
            </w:pPr>
            <w:r w:rsidRPr="00E31D47">
              <w:rPr>
                <w:rFonts w:ascii="Times New Roman" w:hAnsi="Times New Roman" w:cs="Times New Roman"/>
                <w:sz w:val="24"/>
                <w:szCs w:val="24"/>
                <w:lang w:val="en"/>
              </w:rPr>
              <w:t>Teacher Rating Scales of Early Academic Competence</w:t>
            </w:r>
          </w:p>
        </w:tc>
      </w:tr>
    </w:tbl>
    <w:p w14:paraId="612279AC" w14:textId="415931D2" w:rsidR="00BC09A0" w:rsidRPr="0018337E" w:rsidRDefault="00BC09A0" w:rsidP="0018337E">
      <w:pPr>
        <w:spacing w:after="160"/>
        <w:ind w:firstLine="720"/>
        <w:contextualSpacing/>
        <w:rPr>
          <w:color w:val="auto"/>
        </w:rPr>
        <w:sectPr w:rsidR="00BC09A0" w:rsidRPr="0018337E" w:rsidSect="00D86CCC">
          <w:type w:val="continuous"/>
          <w:pgSz w:w="12240" w:h="15840"/>
          <w:pgMar w:top="1440" w:right="1440" w:bottom="1440" w:left="1440" w:header="720" w:footer="720" w:gutter="0"/>
          <w:cols w:space="720"/>
          <w:docGrid w:linePitch="360"/>
        </w:sectPr>
      </w:pPr>
    </w:p>
    <w:tbl>
      <w:tblPr>
        <w:tblStyle w:val="TableGrid7"/>
        <w:tblW w:w="5000" w:type="pct"/>
        <w:tblLook w:val="04A0" w:firstRow="1" w:lastRow="0" w:firstColumn="1" w:lastColumn="0" w:noHBand="0" w:noVBand="1"/>
      </w:tblPr>
      <w:tblGrid>
        <w:gridCol w:w="1817"/>
        <w:gridCol w:w="5798"/>
        <w:gridCol w:w="5345"/>
      </w:tblGrid>
      <w:tr w:rsidR="0018337E" w:rsidRPr="0018337E" w14:paraId="46A9CBAB" w14:textId="77777777" w:rsidTr="005521D2">
        <w:trPr>
          <w:trHeight w:val="2872"/>
        </w:trPr>
        <w:tc>
          <w:tcPr>
            <w:tcW w:w="701" w:type="pct"/>
            <w:vMerge w:val="restart"/>
            <w:tcBorders>
              <w:top w:val="nil"/>
              <w:left w:val="nil"/>
              <w:right w:val="single" w:sz="4" w:space="0" w:color="auto"/>
            </w:tcBorders>
          </w:tcPr>
          <w:p w14:paraId="02A292DB" w14:textId="77777777"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r w:rsidRPr="0018337E">
              <w:rPr>
                <w:rFonts w:ascii="Arial" w:hAnsi="Arial" w:cs="Arial"/>
                <w:bCs/>
                <w:sz w:val="28"/>
                <w:szCs w:val="28"/>
                <w:lang w:val="en"/>
              </w:rPr>
              <w:lastRenderedPageBreak/>
              <w:tab/>
              <w:t>High</w:t>
            </w:r>
          </w:p>
          <w:p w14:paraId="31E88718"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p w14:paraId="40936BA7"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p w14:paraId="7295BE88"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tbl>
            <w:tblPr>
              <w:tblStyle w:val="TableGrid7"/>
              <w:tblW w:w="325" w:type="dxa"/>
              <w:tblInd w:w="1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
            </w:tblGrid>
            <w:tr w:rsidR="0018337E" w:rsidRPr="0018337E" w14:paraId="66014FCB" w14:textId="77777777" w:rsidTr="005521D2">
              <w:trPr>
                <w:cantSplit/>
                <w:trHeight w:val="1005"/>
              </w:trPr>
              <w:tc>
                <w:tcPr>
                  <w:tcW w:w="325" w:type="dxa"/>
                </w:tcPr>
                <w:p w14:paraId="75BB5194"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cs="Arial"/>
                      <w:bCs/>
                      <w:lang w:val="en"/>
                    </w:rPr>
                  </w:pPr>
                  <w:r w:rsidRPr="0018337E">
                    <w:rPr>
                      <w:rFonts w:ascii="Arial" w:hAnsi="Arial" w:cs="Arial"/>
                      <w:bCs/>
                      <w:lang w:val="en"/>
                    </w:rPr>
                    <w:t>E M O T I O N</w:t>
                  </w:r>
                </w:p>
                <w:p w14:paraId="2E358371"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cs="Arial"/>
                      <w:bCs/>
                      <w:lang w:val="en"/>
                    </w:rPr>
                  </w:pPr>
                  <w:r w:rsidRPr="0018337E">
                    <w:rPr>
                      <w:rFonts w:ascii="Arial" w:hAnsi="Arial" w:cs="Arial"/>
                      <w:bCs/>
                      <w:lang w:val="en"/>
                    </w:rPr>
                    <w:t>A</w:t>
                  </w:r>
                </w:p>
                <w:p w14:paraId="56005673"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cs="Arial"/>
                      <w:bCs/>
                      <w:lang w:val="en"/>
                    </w:rPr>
                  </w:pPr>
                  <w:r w:rsidRPr="0018337E">
                    <w:rPr>
                      <w:rFonts w:ascii="Arial" w:hAnsi="Arial" w:cs="Arial"/>
                      <w:bCs/>
                      <w:lang w:val="en"/>
                    </w:rPr>
                    <w:t>L</w:t>
                  </w:r>
                </w:p>
              </w:tc>
            </w:tr>
          </w:tbl>
          <w:p w14:paraId="5B5F0CAA" w14:textId="77777777" w:rsidR="0018337E" w:rsidRPr="0018337E" w:rsidRDefault="0018337E" w:rsidP="0018337E">
            <w:pPr>
              <w:tabs>
                <w:tab w:val="right" w:pos="2538"/>
              </w:tabs>
              <w:autoSpaceDE w:val="0"/>
              <w:autoSpaceDN w:val="0"/>
              <w:adjustRightInd w:val="0"/>
              <w:spacing w:line="276" w:lineRule="auto"/>
              <w:ind w:right="162"/>
              <w:rPr>
                <w:rFonts w:ascii="Arial" w:hAnsi="Arial" w:cs="Arial"/>
                <w:bCs/>
                <w:sz w:val="28"/>
                <w:szCs w:val="28"/>
                <w:lang w:val="en"/>
              </w:rPr>
            </w:pPr>
          </w:p>
          <w:p w14:paraId="6875C181" w14:textId="77777777"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088D5359" w14:textId="77777777"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30C33CDF" w14:textId="77777777"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4D03120D" w14:textId="177D4391" w:rsidR="0018337E" w:rsidRPr="0018337E" w:rsidRDefault="0085520F" w:rsidP="0018337E">
            <w:pPr>
              <w:tabs>
                <w:tab w:val="right" w:pos="1368"/>
              </w:tabs>
              <w:autoSpaceDE w:val="0"/>
              <w:autoSpaceDN w:val="0"/>
              <w:adjustRightInd w:val="0"/>
              <w:spacing w:line="276" w:lineRule="auto"/>
              <w:rPr>
                <w:rFonts w:ascii="Arial" w:hAnsi="Arial" w:cs="Arial"/>
                <w:bCs/>
                <w:sz w:val="28"/>
                <w:szCs w:val="28"/>
                <w:lang w:val="en"/>
              </w:rPr>
            </w:pPr>
            <w:r w:rsidRPr="0018337E">
              <w:rPr>
                <w:rFonts w:cs="Arial"/>
                <w:noProof/>
                <w:lang w:val="en"/>
              </w:rPr>
              <mc:AlternateContent>
                <mc:Choice Requires="wps">
                  <w:drawing>
                    <wp:anchor distT="45720" distB="45720" distL="114300" distR="114300" simplePos="0" relativeHeight="251636736" behindDoc="0" locked="0" layoutInCell="1" allowOverlap="1" wp14:anchorId="0FEE4CA1" wp14:editId="4DF34BE6">
                      <wp:simplePos x="0" y="0"/>
                      <wp:positionH relativeFrom="column">
                        <wp:posOffset>466737</wp:posOffset>
                      </wp:positionH>
                      <wp:positionV relativeFrom="paragraph">
                        <wp:posOffset>275769</wp:posOffset>
                      </wp:positionV>
                      <wp:extent cx="2360930" cy="1404620"/>
                      <wp:effectExtent l="0" t="0" r="22860"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8DB6946" w14:textId="77777777" w:rsidR="00DE2FE4" w:rsidRPr="004009F5" w:rsidRDefault="00DE2FE4" w:rsidP="0018337E">
                                  <w:pPr>
                                    <w:spacing w:line="240" w:lineRule="auto"/>
                                    <w:contextualSpacing/>
                                  </w:pPr>
                                  <w:r w:rsidRPr="004009F5">
                                    <w:t xml:space="preserve">Legend of Studies: </w:t>
                                  </w:r>
                                </w:p>
                                <w:p w14:paraId="74627DD7" w14:textId="77777777" w:rsidR="00DE2FE4" w:rsidRPr="004009F5" w:rsidRDefault="00DE2FE4" w:rsidP="0018337E">
                                  <w:pPr>
                                    <w:spacing w:line="240" w:lineRule="auto"/>
                                    <w:contextualSpacing/>
                                  </w:pPr>
                                  <w:r w:rsidRPr="004009F5">
                                    <w:t>Black: PLBS (items reverse-coded)</w:t>
                                  </w:r>
                                </w:p>
                                <w:p w14:paraId="01829207" w14:textId="77777777" w:rsidR="00DE2FE4" w:rsidRPr="004009F5" w:rsidRDefault="00DE2FE4" w:rsidP="0018337E">
                                  <w:pPr>
                                    <w:spacing w:line="240" w:lineRule="auto"/>
                                    <w:contextualSpacing/>
                                  </w:pPr>
                                  <w:r w:rsidRPr="004009F5">
                                    <w:t>Red: ECLS-K</w:t>
                                  </w:r>
                                </w:p>
                                <w:p w14:paraId="0928BFD5" w14:textId="77777777" w:rsidR="00DE2FE4" w:rsidRPr="004009F5" w:rsidRDefault="00DE2FE4" w:rsidP="0018337E">
                                  <w:pPr>
                                    <w:spacing w:line="240" w:lineRule="auto"/>
                                    <w:contextualSpacing/>
                                  </w:pPr>
                                  <w:r w:rsidRPr="004009F5">
                                    <w:t>Blue: SSRS</w:t>
                                  </w:r>
                                </w:p>
                                <w:p w14:paraId="7B540513" w14:textId="77777777" w:rsidR="00DE2FE4" w:rsidRPr="004009F5" w:rsidRDefault="00DE2FE4" w:rsidP="0018337E">
                                  <w:pPr>
                                    <w:spacing w:line="240" w:lineRule="auto"/>
                                    <w:contextualSpacing/>
                                  </w:pPr>
                                  <w:r w:rsidRPr="004009F5">
                                    <w:t>Green: DECA</w:t>
                                  </w:r>
                                </w:p>
                                <w:p w14:paraId="6153A62B" w14:textId="77777777" w:rsidR="00DE2FE4" w:rsidRPr="004009F5" w:rsidRDefault="00DE2FE4" w:rsidP="0018337E">
                                  <w:pPr>
                                    <w:spacing w:line="240" w:lineRule="auto"/>
                                    <w:contextualSpacing/>
                                  </w:pPr>
                                  <w:r w:rsidRPr="004009F5">
                                    <w:t>Purple: SRQ</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FEE4CA1" id="_x0000_t202" coordsize="21600,21600" o:spt="202" path="m,l,21600r21600,l21600,xe">
                      <v:stroke joinstyle="miter"/>
                      <v:path gradientshapeok="t" o:connecttype="rect"/>
                    </v:shapetype>
                    <v:shape id="Text Box 2" o:spid="_x0000_s1026" type="#_x0000_t202" style="position:absolute;margin-left:36.75pt;margin-top:21.7pt;width:185.9pt;height:110.6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">
                      <v:textbox style="mso-fit-shape-to-text:t">
                        <w:txbxContent>
                          <w:p w14:paraId="58DB6946" w14:textId="77777777" w:rsidR="00DE2FE4" w:rsidRPr="004009F5" w:rsidRDefault="00DE2FE4" w:rsidP="0018337E">
                            <w:pPr>
                              <w:spacing w:line="240" w:lineRule="auto"/>
                              <w:contextualSpacing/>
                            </w:pPr>
                            <w:r w:rsidRPr="004009F5">
                              <w:t xml:space="preserve">Legend of Studies: </w:t>
                            </w:r>
                          </w:p>
                          <w:p w14:paraId="74627DD7" w14:textId="77777777" w:rsidR="00DE2FE4" w:rsidRPr="004009F5" w:rsidRDefault="00DE2FE4" w:rsidP="0018337E">
                            <w:pPr>
                              <w:spacing w:line="240" w:lineRule="auto"/>
                              <w:contextualSpacing/>
                            </w:pPr>
                            <w:r w:rsidRPr="004009F5">
                              <w:t>Black: PLBS (items reverse-coded)</w:t>
                            </w:r>
                          </w:p>
                          <w:p w14:paraId="01829207" w14:textId="77777777" w:rsidR="00DE2FE4" w:rsidRPr="004009F5" w:rsidRDefault="00DE2FE4" w:rsidP="0018337E">
                            <w:pPr>
                              <w:spacing w:line="240" w:lineRule="auto"/>
                              <w:contextualSpacing/>
                            </w:pPr>
                            <w:r w:rsidRPr="004009F5">
                              <w:t>Red: ECLS-K</w:t>
                            </w:r>
                          </w:p>
                          <w:p w14:paraId="0928BFD5" w14:textId="77777777" w:rsidR="00DE2FE4" w:rsidRPr="004009F5" w:rsidRDefault="00DE2FE4" w:rsidP="0018337E">
                            <w:pPr>
                              <w:spacing w:line="240" w:lineRule="auto"/>
                              <w:contextualSpacing/>
                            </w:pPr>
                            <w:r w:rsidRPr="004009F5">
                              <w:t>Blue: SSRS</w:t>
                            </w:r>
                          </w:p>
                          <w:p w14:paraId="7B540513" w14:textId="77777777" w:rsidR="00DE2FE4" w:rsidRPr="004009F5" w:rsidRDefault="00DE2FE4" w:rsidP="0018337E">
                            <w:pPr>
                              <w:spacing w:line="240" w:lineRule="auto"/>
                              <w:contextualSpacing/>
                            </w:pPr>
                            <w:r w:rsidRPr="004009F5">
                              <w:t>Green: DECA</w:t>
                            </w:r>
                          </w:p>
                          <w:p w14:paraId="6153A62B" w14:textId="77777777" w:rsidR="00DE2FE4" w:rsidRPr="004009F5" w:rsidRDefault="00DE2FE4" w:rsidP="0018337E">
                            <w:pPr>
                              <w:spacing w:line="240" w:lineRule="auto"/>
                              <w:contextualSpacing/>
                            </w:pPr>
                            <w:r w:rsidRPr="004009F5">
                              <w:t>Purple: SRQ</w:t>
                            </w:r>
                          </w:p>
                        </w:txbxContent>
                      </v:textbox>
                    </v:shape>
                  </w:pict>
                </mc:Fallback>
              </mc:AlternateContent>
            </w:r>
          </w:p>
        </w:tc>
        <w:tc>
          <w:tcPr>
            <w:tcW w:w="2237" w:type="pct"/>
            <w:tcBorders>
              <w:top w:val="nil"/>
              <w:left w:val="single" w:sz="4" w:space="0" w:color="auto"/>
            </w:tcBorders>
            <w:vAlign w:val="center"/>
          </w:tcPr>
          <w:p w14:paraId="09D84ACD" w14:textId="77777777" w:rsidR="0018337E" w:rsidRPr="0018337E" w:rsidRDefault="0018337E" w:rsidP="0018337E">
            <w:pPr>
              <w:spacing w:line="276" w:lineRule="auto"/>
              <w:rPr>
                <w:rFonts w:cs="Arial"/>
              </w:rPr>
            </w:pPr>
            <w:r w:rsidRPr="0018337E">
              <w:rPr>
                <w:rFonts w:cs="Arial"/>
              </w:rPr>
              <w:t>Displays reluctance to tackle new activities</w:t>
            </w:r>
          </w:p>
          <w:p w14:paraId="49BA584A" w14:textId="77777777" w:rsidR="0018337E" w:rsidRPr="0018337E" w:rsidRDefault="0018337E" w:rsidP="0018337E">
            <w:pPr>
              <w:spacing w:line="276" w:lineRule="auto"/>
              <w:rPr>
                <w:rFonts w:cs="Arial"/>
              </w:rPr>
            </w:pPr>
            <w:r w:rsidRPr="0018337E">
              <w:rPr>
                <w:rFonts w:cs="Arial"/>
              </w:rPr>
              <w:t>Resistant or fearful about new activities</w:t>
            </w:r>
          </w:p>
          <w:p w14:paraId="0CD9E31B" w14:textId="77777777" w:rsidR="0018337E" w:rsidRPr="0018337E" w:rsidRDefault="0018337E" w:rsidP="0018337E">
            <w:pPr>
              <w:spacing w:line="276" w:lineRule="auto"/>
              <w:rPr>
                <w:rFonts w:cs="Arial"/>
              </w:rPr>
            </w:pPr>
            <w:r w:rsidRPr="0018337E">
              <w:rPr>
                <w:rFonts w:cs="Arial"/>
              </w:rPr>
              <w:t>Too unenergetic for interest or effort</w:t>
            </w:r>
          </w:p>
          <w:p w14:paraId="1DEA3C95" w14:textId="77777777" w:rsidR="0018337E" w:rsidRPr="0018337E" w:rsidRDefault="0018337E" w:rsidP="0018337E">
            <w:pPr>
              <w:spacing w:line="276" w:lineRule="auto"/>
              <w:rPr>
                <w:rFonts w:cs="Arial"/>
              </w:rPr>
            </w:pPr>
            <w:r w:rsidRPr="0018337E">
              <w:rPr>
                <w:rFonts w:cs="Arial"/>
              </w:rPr>
              <w:t>Shows little interest in activities</w:t>
            </w:r>
          </w:p>
          <w:p w14:paraId="3E22D554" w14:textId="77777777" w:rsidR="0018337E" w:rsidRPr="0018337E" w:rsidRDefault="0018337E" w:rsidP="0018337E">
            <w:pPr>
              <w:spacing w:line="276" w:lineRule="auto"/>
              <w:rPr>
                <w:rFonts w:cs="Arial"/>
              </w:rPr>
            </w:pPr>
            <w:r w:rsidRPr="0018337E">
              <w:rPr>
                <w:rFonts w:cs="Arial"/>
              </w:rPr>
              <w:t>Acts without taking time to look or think</w:t>
            </w:r>
          </w:p>
          <w:p w14:paraId="595ED001" w14:textId="77777777" w:rsidR="0018337E" w:rsidRPr="0018337E" w:rsidRDefault="0018337E" w:rsidP="0018337E">
            <w:pPr>
              <w:spacing w:line="276" w:lineRule="auto"/>
              <w:rPr>
                <w:rFonts w:cs="Arial"/>
              </w:rPr>
            </w:pPr>
            <w:r w:rsidRPr="0018337E">
              <w:rPr>
                <w:rFonts w:cs="Arial"/>
              </w:rPr>
              <w:t>Don’t-care attitude to success or failure</w:t>
            </w:r>
          </w:p>
          <w:p w14:paraId="255EA40F" w14:textId="77777777" w:rsidR="0018337E" w:rsidRPr="0018337E" w:rsidRDefault="0018337E" w:rsidP="0018337E">
            <w:pPr>
              <w:autoSpaceDE w:val="0"/>
              <w:autoSpaceDN w:val="0"/>
              <w:adjustRightInd w:val="0"/>
              <w:spacing w:line="276" w:lineRule="auto"/>
              <w:rPr>
                <w:color w:val="FF0000"/>
                <w:lang w:val="en"/>
              </w:rPr>
            </w:pPr>
            <w:r w:rsidRPr="0018337E">
              <w:rPr>
                <w:color w:val="FF0000"/>
                <w:lang w:val="en"/>
              </w:rPr>
              <w:t xml:space="preserve">Easily Adapts to Changes in Routine </w:t>
            </w:r>
          </w:p>
          <w:p w14:paraId="3AC8AA4B" w14:textId="77777777" w:rsidR="0018337E" w:rsidRPr="0018337E" w:rsidRDefault="0018337E" w:rsidP="0018337E">
            <w:pPr>
              <w:autoSpaceDE w:val="0"/>
              <w:autoSpaceDN w:val="0"/>
              <w:adjustRightInd w:val="0"/>
              <w:spacing w:line="276" w:lineRule="auto"/>
              <w:rPr>
                <w:rFonts w:ascii="Arial" w:hAnsi="Arial" w:cs="Arial"/>
                <w:b/>
                <w:bCs/>
                <w:color w:val="FF0000"/>
                <w:sz w:val="32"/>
                <w:szCs w:val="32"/>
                <w:lang w:val="en"/>
              </w:rPr>
            </w:pPr>
            <w:r w:rsidRPr="0018337E">
              <w:rPr>
                <w:color w:val="FF0000"/>
                <w:lang w:val="en"/>
              </w:rPr>
              <w:t>Controls Temper (SC</w:t>
            </w:r>
            <w:r w:rsidRPr="0018337E">
              <w:rPr>
                <w:b/>
                <w:bCs/>
                <w:color w:val="FF0000"/>
                <w:lang w:val="en"/>
              </w:rPr>
              <w:t>)</w:t>
            </w:r>
            <w:r w:rsidRPr="0018337E">
              <w:rPr>
                <w:rFonts w:ascii="Arial" w:hAnsi="Arial" w:cs="Arial"/>
                <w:b/>
                <w:bCs/>
                <w:color w:val="FF0000"/>
                <w:sz w:val="32"/>
                <w:szCs w:val="32"/>
                <w:lang w:val="en"/>
              </w:rPr>
              <w:t xml:space="preserve"> </w:t>
            </w:r>
          </w:p>
          <w:p w14:paraId="3F39C6BA" w14:textId="77777777"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Looks forward to activities</w:t>
            </w:r>
          </w:p>
          <w:p w14:paraId="2689B25A" w14:textId="77777777"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Controls anger</w:t>
            </w:r>
          </w:p>
          <w:p w14:paraId="0B8BE5F0" w14:textId="77777777"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Show patience</w:t>
            </w:r>
          </w:p>
          <w:p w14:paraId="1100E75B" w14:textId="77777777"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Handles frustration</w:t>
            </w:r>
          </w:p>
          <w:p w14:paraId="6AB84641" w14:textId="77777777"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Accepts another choice</w:t>
            </w:r>
          </w:p>
          <w:p w14:paraId="3A6C0E4B" w14:textId="77777777"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Calms self</w:t>
            </w:r>
          </w:p>
          <w:p w14:paraId="5E6D358D" w14:textId="77777777"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 xml:space="preserve">Shows confidence in abilities </w:t>
            </w:r>
          </w:p>
          <w:p w14:paraId="1EAC480D" w14:textId="77777777" w:rsidR="0018337E" w:rsidRPr="0018337E" w:rsidRDefault="0018337E" w:rsidP="0018337E">
            <w:pPr>
              <w:autoSpaceDE w:val="0"/>
              <w:autoSpaceDN w:val="0"/>
              <w:adjustRightInd w:val="0"/>
              <w:spacing w:line="276" w:lineRule="auto"/>
              <w:rPr>
                <w:rFonts w:ascii="Arial" w:hAnsi="Arial" w:cs="Arial"/>
                <w:b/>
                <w:bCs/>
                <w:color w:val="FF0000"/>
                <w:sz w:val="28"/>
                <w:szCs w:val="28"/>
                <w:lang w:val="en"/>
              </w:rPr>
            </w:pPr>
          </w:p>
        </w:tc>
        <w:tc>
          <w:tcPr>
            <w:tcW w:w="2062" w:type="pct"/>
            <w:tcBorders>
              <w:top w:val="nil"/>
              <w:right w:val="nil"/>
            </w:tcBorders>
            <w:vAlign w:val="center"/>
          </w:tcPr>
          <w:p w14:paraId="5254EECB" w14:textId="77777777" w:rsidR="0018337E" w:rsidRPr="0018337E" w:rsidRDefault="0018337E" w:rsidP="0018337E">
            <w:pPr>
              <w:spacing w:line="276" w:lineRule="auto"/>
            </w:pPr>
            <w:r w:rsidRPr="0018337E">
              <w:t>Easily gives up activities</w:t>
            </w:r>
          </w:p>
          <w:p w14:paraId="1F59B3F2" w14:textId="77777777" w:rsidR="0018337E" w:rsidRPr="0018337E" w:rsidRDefault="0018337E" w:rsidP="0018337E">
            <w:pPr>
              <w:spacing w:line="276" w:lineRule="auto"/>
            </w:pPr>
            <w:r w:rsidRPr="0018337E">
              <w:t>Says tasks too hard, makes no attempt</w:t>
            </w:r>
          </w:p>
          <w:p w14:paraId="4F59085B" w14:textId="77777777" w:rsidR="0018337E" w:rsidRPr="0018337E" w:rsidRDefault="0018337E" w:rsidP="0018337E">
            <w:pPr>
              <w:spacing w:line="276" w:lineRule="auto"/>
            </w:pPr>
            <w:r w:rsidRPr="0018337E">
              <w:t>Tears when faced with difficulty</w:t>
            </w:r>
          </w:p>
          <w:p w14:paraId="25A262CD" w14:textId="77777777" w:rsidR="0018337E" w:rsidRPr="0018337E" w:rsidRDefault="0018337E" w:rsidP="0018337E">
            <w:pPr>
              <w:autoSpaceDE w:val="0"/>
              <w:autoSpaceDN w:val="0"/>
              <w:adjustRightInd w:val="0"/>
              <w:spacing w:line="276" w:lineRule="auto"/>
            </w:pPr>
            <w:r w:rsidRPr="0018337E">
              <w:t>Tries but concentration soon fades</w:t>
            </w:r>
          </w:p>
          <w:p w14:paraId="61B520D9" w14:textId="26BBD3A3" w:rsidR="0018337E" w:rsidRPr="0018337E" w:rsidRDefault="0018337E" w:rsidP="0018337E">
            <w:pPr>
              <w:autoSpaceDE w:val="0"/>
              <w:autoSpaceDN w:val="0"/>
              <w:adjustRightInd w:val="0"/>
              <w:spacing w:line="276" w:lineRule="auto"/>
              <w:rPr>
                <w:color w:val="FF0000"/>
                <w:lang w:val="en"/>
              </w:rPr>
            </w:pPr>
            <w:r w:rsidRPr="0018337E">
              <w:rPr>
                <w:color w:val="FF0000"/>
                <w:lang w:val="en"/>
              </w:rPr>
              <w:t xml:space="preserve">Eager to </w:t>
            </w:r>
            <w:r w:rsidR="000B4B73">
              <w:rPr>
                <w:color w:val="FF0000"/>
                <w:lang w:val="en"/>
              </w:rPr>
              <w:t>l</w:t>
            </w:r>
            <w:r w:rsidRPr="0018337E">
              <w:rPr>
                <w:color w:val="FF0000"/>
                <w:lang w:val="en"/>
              </w:rPr>
              <w:t xml:space="preserve">earn new things </w:t>
            </w:r>
          </w:p>
          <w:p w14:paraId="7CB9FE85" w14:textId="77777777" w:rsidR="0018337E" w:rsidRPr="0018337E" w:rsidRDefault="0018337E" w:rsidP="0018337E">
            <w:pPr>
              <w:autoSpaceDE w:val="0"/>
              <w:autoSpaceDN w:val="0"/>
              <w:adjustRightInd w:val="0"/>
              <w:spacing w:line="276" w:lineRule="auto"/>
              <w:rPr>
                <w:b/>
                <w:bCs/>
                <w:color w:val="FF0000"/>
                <w:lang w:val="en"/>
              </w:rPr>
            </w:pPr>
            <w:r w:rsidRPr="0018337E">
              <w:rPr>
                <w:color w:val="FF0000"/>
                <w:lang w:val="en"/>
              </w:rPr>
              <w:t>Persists in completing tasks</w:t>
            </w:r>
            <w:r w:rsidRPr="0018337E">
              <w:rPr>
                <w:b/>
                <w:bCs/>
                <w:color w:val="FF0000"/>
                <w:lang w:val="en"/>
              </w:rPr>
              <w:t xml:space="preserve"> </w:t>
            </w:r>
          </w:p>
          <w:p w14:paraId="06661E6B" w14:textId="77777777"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Keeps trying when unsuccessful</w:t>
            </w:r>
          </w:p>
          <w:p w14:paraId="16A9AA24" w14:textId="77777777"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Tries different ways to solve problems</w:t>
            </w:r>
          </w:p>
          <w:p w14:paraId="05F0F48F" w14:textId="1893369F"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 xml:space="preserve">Chooses a </w:t>
            </w:r>
            <w:r w:rsidR="000B4B73">
              <w:rPr>
                <w:color w:val="70AD47" w:themeColor="accent6"/>
              </w:rPr>
              <w:t>difficult task</w:t>
            </w:r>
            <w:r w:rsidRPr="0018337E">
              <w:rPr>
                <w:color w:val="70AD47" w:themeColor="accent6"/>
              </w:rPr>
              <w:t xml:space="preserve"> </w:t>
            </w:r>
          </w:p>
          <w:p w14:paraId="07E2BE63" w14:textId="77777777" w:rsidR="0018337E" w:rsidRPr="0018337E" w:rsidRDefault="0018337E" w:rsidP="0018337E">
            <w:pPr>
              <w:autoSpaceDE w:val="0"/>
              <w:autoSpaceDN w:val="0"/>
              <w:adjustRightInd w:val="0"/>
              <w:spacing w:line="276" w:lineRule="auto"/>
              <w:rPr>
                <w:color w:val="70AD47" w:themeColor="accent6"/>
                <w:lang w:val="en"/>
              </w:rPr>
            </w:pPr>
            <w:r w:rsidRPr="0018337E">
              <w:rPr>
                <w:color w:val="70AD47" w:themeColor="accent6"/>
                <w:lang w:val="en"/>
              </w:rPr>
              <w:t xml:space="preserve">Shows an interest in learning new things </w:t>
            </w:r>
          </w:p>
          <w:p w14:paraId="20AE846E" w14:textId="77777777" w:rsidR="0018337E" w:rsidRPr="0018337E" w:rsidRDefault="0018337E" w:rsidP="0018337E">
            <w:pPr>
              <w:autoSpaceDE w:val="0"/>
              <w:autoSpaceDN w:val="0"/>
              <w:adjustRightInd w:val="0"/>
              <w:spacing w:line="276" w:lineRule="auto"/>
              <w:rPr>
                <w:color w:val="7030A0"/>
                <w:lang w:val="en"/>
              </w:rPr>
            </w:pPr>
            <w:r w:rsidRPr="0018337E">
              <w:rPr>
                <w:color w:val="7030A0"/>
                <w:lang w:val="en"/>
              </w:rPr>
              <w:t xml:space="preserve">Enthusiastic about learning </w:t>
            </w:r>
          </w:p>
          <w:p w14:paraId="621B26BB" w14:textId="77777777" w:rsidR="0018337E" w:rsidRPr="0018337E" w:rsidRDefault="0018337E" w:rsidP="0018337E">
            <w:pPr>
              <w:autoSpaceDE w:val="0"/>
              <w:autoSpaceDN w:val="0"/>
              <w:adjustRightInd w:val="0"/>
              <w:spacing w:line="276" w:lineRule="auto"/>
              <w:rPr>
                <w:b/>
                <w:bCs/>
                <w:lang w:val="en"/>
              </w:rPr>
            </w:pPr>
          </w:p>
        </w:tc>
      </w:tr>
      <w:tr w:rsidR="0018337E" w:rsidRPr="0018337E" w14:paraId="4040D2BA" w14:textId="77777777" w:rsidTr="005521D2">
        <w:trPr>
          <w:trHeight w:val="2872"/>
        </w:trPr>
        <w:tc>
          <w:tcPr>
            <w:tcW w:w="701" w:type="pct"/>
            <w:vMerge/>
            <w:tcBorders>
              <w:left w:val="nil"/>
              <w:bottom w:val="nil"/>
              <w:right w:val="single" w:sz="4" w:space="0" w:color="auto"/>
            </w:tcBorders>
          </w:tcPr>
          <w:p w14:paraId="7AF742FF" w14:textId="77777777"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p>
        </w:tc>
        <w:tc>
          <w:tcPr>
            <w:tcW w:w="2237" w:type="pct"/>
            <w:tcBorders>
              <w:top w:val="nil"/>
              <w:left w:val="single" w:sz="4" w:space="0" w:color="auto"/>
            </w:tcBorders>
            <w:vAlign w:val="center"/>
          </w:tcPr>
          <w:p w14:paraId="7AD235B5" w14:textId="3BFA96F0" w:rsidR="0018337E" w:rsidRPr="0018337E" w:rsidRDefault="0018337E" w:rsidP="0018337E">
            <w:pPr>
              <w:autoSpaceDE w:val="0"/>
              <w:autoSpaceDN w:val="0"/>
              <w:adjustRightInd w:val="0"/>
              <w:spacing w:line="276" w:lineRule="auto"/>
              <w:jc w:val="center"/>
              <w:rPr>
                <w:rFonts w:ascii="Arial" w:hAnsi="Arial" w:cs="Arial"/>
                <w:b/>
                <w:bCs/>
                <w:lang w:val="en"/>
              </w:rPr>
            </w:pPr>
          </w:p>
          <w:p w14:paraId="6D63515E"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163583A7"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1E0864ED"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4314A7F9"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0A7CC710"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6FED6EDA"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02C28A53"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7C413FA1" w14:textId="77777777" w:rsidR="0018337E" w:rsidRPr="0018337E" w:rsidRDefault="0018337E" w:rsidP="0018337E">
            <w:pPr>
              <w:autoSpaceDE w:val="0"/>
              <w:autoSpaceDN w:val="0"/>
              <w:adjustRightInd w:val="0"/>
              <w:spacing w:line="276" w:lineRule="auto"/>
              <w:jc w:val="center"/>
              <w:rPr>
                <w:rFonts w:ascii="Arial" w:hAnsi="Arial" w:cs="Arial"/>
                <w:b/>
                <w:bCs/>
                <w:color w:val="A6A6A6" w:themeColor="background1" w:themeShade="A6"/>
                <w:sz w:val="28"/>
                <w:szCs w:val="28"/>
                <w:lang w:val="en"/>
              </w:rPr>
            </w:pPr>
          </w:p>
        </w:tc>
        <w:tc>
          <w:tcPr>
            <w:tcW w:w="2062" w:type="pct"/>
            <w:tcBorders>
              <w:right w:val="nil"/>
            </w:tcBorders>
            <w:vAlign w:val="center"/>
          </w:tcPr>
          <w:p w14:paraId="6E330D82" w14:textId="77777777" w:rsidR="0018337E" w:rsidRPr="0018337E" w:rsidRDefault="0018337E" w:rsidP="0018337E">
            <w:pPr>
              <w:spacing w:line="276" w:lineRule="auto"/>
              <w:rPr>
                <w:color w:val="FF0000"/>
              </w:rPr>
            </w:pPr>
            <w:r w:rsidRPr="0018337E">
              <w:rPr>
                <w:color w:val="FF0000"/>
              </w:rPr>
              <w:t xml:space="preserve">Pays Attention </w:t>
            </w:r>
          </w:p>
          <w:p w14:paraId="379A151C" w14:textId="77777777" w:rsidR="0018337E" w:rsidRPr="0018337E" w:rsidRDefault="0018337E" w:rsidP="0018337E">
            <w:pPr>
              <w:spacing w:line="276" w:lineRule="auto"/>
            </w:pPr>
            <w:proofErr w:type="gramStart"/>
            <w:r w:rsidRPr="0018337E">
              <w:t>Doesn’t</w:t>
            </w:r>
            <w:proofErr w:type="gramEnd"/>
            <w:r w:rsidRPr="0018337E">
              <w:t xml:space="preserve"> stick to activities as expected</w:t>
            </w:r>
          </w:p>
          <w:p w14:paraId="2D28A7C4" w14:textId="77777777" w:rsidR="0018337E" w:rsidRPr="0018337E" w:rsidRDefault="0018337E" w:rsidP="0018337E">
            <w:pPr>
              <w:spacing w:line="276" w:lineRule="auto"/>
            </w:pPr>
            <w:r w:rsidRPr="0018337E">
              <w:t>Cannot settle into an activity</w:t>
            </w:r>
          </w:p>
          <w:p w14:paraId="0BB8E6D1" w14:textId="77777777" w:rsidR="0018337E" w:rsidRPr="0018337E" w:rsidRDefault="0018337E" w:rsidP="0018337E">
            <w:pPr>
              <w:spacing w:line="276" w:lineRule="auto"/>
            </w:pPr>
            <w:r w:rsidRPr="0018337E">
              <w:t>Easily distracted or seeks distraction</w:t>
            </w:r>
          </w:p>
          <w:p w14:paraId="4F7BA6E2" w14:textId="77777777" w:rsidR="0018337E" w:rsidRPr="0018337E" w:rsidRDefault="0018337E" w:rsidP="0018337E">
            <w:pPr>
              <w:spacing w:line="276" w:lineRule="auto"/>
            </w:pPr>
            <w:proofErr w:type="gramStart"/>
            <w:r w:rsidRPr="0018337E">
              <w:t>Doesn’t</w:t>
            </w:r>
            <w:proofErr w:type="gramEnd"/>
            <w:r w:rsidRPr="0018337E">
              <w:t xml:space="preserve"> pay attention to teacher/aide</w:t>
            </w:r>
          </w:p>
          <w:p w14:paraId="55BE0677" w14:textId="77777777" w:rsidR="0018337E" w:rsidRPr="0018337E" w:rsidRDefault="0018337E" w:rsidP="0018337E">
            <w:pPr>
              <w:spacing w:line="276" w:lineRule="auto"/>
              <w:rPr>
                <w:color w:val="4472C4" w:themeColor="accent1"/>
              </w:rPr>
            </w:pPr>
            <w:r w:rsidRPr="0018337E">
              <w:rPr>
                <w:color w:val="4472C4" w:themeColor="accent1"/>
              </w:rPr>
              <w:t xml:space="preserve">Ignores peer distractions </w:t>
            </w:r>
          </w:p>
          <w:p w14:paraId="760ADF50" w14:textId="77777777" w:rsidR="0018337E" w:rsidRPr="0018337E" w:rsidRDefault="0018337E" w:rsidP="0018337E">
            <w:pPr>
              <w:autoSpaceDE w:val="0"/>
              <w:autoSpaceDN w:val="0"/>
              <w:adjustRightInd w:val="0"/>
              <w:spacing w:line="276" w:lineRule="auto"/>
              <w:rPr>
                <w:color w:val="70AD47" w:themeColor="accent6"/>
                <w:lang w:val="en"/>
              </w:rPr>
            </w:pPr>
            <w:r w:rsidRPr="0018337E">
              <w:rPr>
                <w:color w:val="70AD47" w:themeColor="accent6"/>
                <w:lang w:val="en"/>
              </w:rPr>
              <w:t>Makes decisions for himself</w:t>
            </w:r>
          </w:p>
          <w:p w14:paraId="1A260955" w14:textId="77777777" w:rsidR="0018337E" w:rsidRPr="0018337E" w:rsidRDefault="0018337E" w:rsidP="0018337E">
            <w:pPr>
              <w:autoSpaceDE w:val="0"/>
              <w:autoSpaceDN w:val="0"/>
              <w:adjustRightInd w:val="0"/>
              <w:spacing w:line="276" w:lineRule="auto"/>
              <w:rPr>
                <w:color w:val="70AD47" w:themeColor="accent6"/>
                <w:lang w:val="en"/>
              </w:rPr>
            </w:pPr>
            <w:r w:rsidRPr="0018337E">
              <w:rPr>
                <w:color w:val="70AD47" w:themeColor="accent6"/>
                <w:lang w:val="en"/>
              </w:rPr>
              <w:t xml:space="preserve">Remembers important information </w:t>
            </w:r>
          </w:p>
        </w:tc>
      </w:tr>
      <w:tr w:rsidR="0018337E" w:rsidRPr="0018337E" w14:paraId="2549C3A4" w14:textId="77777777" w:rsidTr="005521D2">
        <w:trPr>
          <w:trHeight w:val="530"/>
        </w:trPr>
        <w:tc>
          <w:tcPr>
            <w:tcW w:w="701" w:type="pct"/>
            <w:tcBorders>
              <w:top w:val="nil"/>
              <w:left w:val="nil"/>
              <w:bottom w:val="nil"/>
              <w:right w:val="nil"/>
            </w:tcBorders>
          </w:tcPr>
          <w:p w14:paraId="11E1030A" w14:textId="77777777" w:rsidR="0018337E" w:rsidRPr="0018337E" w:rsidRDefault="0018337E" w:rsidP="0018337E">
            <w:pPr>
              <w:tabs>
                <w:tab w:val="right" w:pos="1440"/>
              </w:tabs>
              <w:autoSpaceDE w:val="0"/>
              <w:autoSpaceDN w:val="0"/>
              <w:adjustRightInd w:val="0"/>
              <w:spacing w:line="276" w:lineRule="auto"/>
              <w:rPr>
                <w:rFonts w:ascii="Arial" w:hAnsi="Arial" w:cs="Arial"/>
                <w:b/>
                <w:bCs/>
                <w:sz w:val="28"/>
                <w:szCs w:val="28"/>
                <w:lang w:val="en"/>
              </w:rPr>
            </w:pPr>
            <w:r w:rsidRPr="0018337E">
              <w:rPr>
                <w:rFonts w:ascii="Arial" w:hAnsi="Arial" w:cs="Arial"/>
                <w:bCs/>
                <w:sz w:val="28"/>
                <w:szCs w:val="28"/>
                <w:lang w:val="en"/>
              </w:rPr>
              <w:tab/>
              <w:t>Low</w:t>
            </w:r>
          </w:p>
        </w:tc>
        <w:tc>
          <w:tcPr>
            <w:tcW w:w="4299" w:type="pct"/>
            <w:gridSpan w:val="2"/>
            <w:tcBorders>
              <w:top w:val="single" w:sz="4" w:space="0" w:color="auto"/>
              <w:left w:val="nil"/>
              <w:bottom w:val="nil"/>
              <w:right w:val="nil"/>
            </w:tcBorders>
          </w:tcPr>
          <w:p w14:paraId="003E4578"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cs="Arial"/>
                <w:bCs/>
                <w:lang w:val="en"/>
              </w:rPr>
            </w:pPr>
            <w:r w:rsidRPr="0018337E">
              <w:rPr>
                <w:rFonts w:ascii="Arial" w:hAnsi="Arial" w:cs="Arial"/>
                <w:bCs/>
                <w:sz w:val="28"/>
                <w:szCs w:val="28"/>
                <w:lang w:val="en"/>
              </w:rPr>
              <w:tab/>
            </w:r>
            <w:r w:rsidRPr="0018337E">
              <w:rPr>
                <w:rFonts w:ascii="Arial" w:hAnsi="Arial" w:cs="Arial"/>
                <w:bCs/>
                <w:lang w:val="en"/>
              </w:rPr>
              <w:t>C O G N I T I VE</w:t>
            </w:r>
          </w:p>
          <w:p w14:paraId="6FFBADDC" w14:textId="77777777" w:rsidR="0018337E" w:rsidRPr="0018337E" w:rsidRDefault="0018337E" w:rsidP="0018337E">
            <w:pPr>
              <w:tabs>
                <w:tab w:val="center" w:pos="5337"/>
                <w:tab w:val="right" w:pos="11214"/>
              </w:tabs>
              <w:autoSpaceDE w:val="0"/>
              <w:autoSpaceDN w:val="0"/>
              <w:adjustRightInd w:val="0"/>
              <w:spacing w:line="276" w:lineRule="auto"/>
              <w:rPr>
                <w:rFonts w:ascii="Arial" w:hAnsi="Arial" w:cs="Arial"/>
                <w:bCs/>
                <w:sz w:val="28"/>
                <w:szCs w:val="28"/>
                <w:lang w:val="en"/>
              </w:rPr>
            </w:pPr>
            <w:r w:rsidRPr="0018337E">
              <w:rPr>
                <w:rFonts w:ascii="Arial" w:hAnsi="Arial" w:cs="Arial"/>
                <w:bCs/>
                <w:sz w:val="28"/>
                <w:szCs w:val="28"/>
                <w:lang w:val="en"/>
              </w:rPr>
              <w:tab/>
            </w:r>
          </w:p>
        </w:tc>
      </w:tr>
    </w:tbl>
    <w:p w14:paraId="211CE584" w14:textId="3ABE3A13" w:rsidR="00E875F6" w:rsidRDefault="00E875F6" w:rsidP="0085520F">
      <w:pPr>
        <w:pStyle w:val="Caption"/>
        <w:ind w:left="900"/>
        <w:rPr>
          <w:noProof/>
        </w:rPr>
      </w:pPr>
      <w:bookmarkStart w:id="20" w:name="_Toc44346049"/>
      <w:r>
        <w:t xml:space="preserve">Figure </w:t>
      </w:r>
      <w:fldSimple w:instr=" SEQ Figure \* ARABIC ">
        <w:r w:rsidR="002039BE">
          <w:rPr>
            <w:noProof/>
          </w:rPr>
          <w:t>2</w:t>
        </w:r>
        <w:bookmarkEnd w:id="20"/>
      </w:fldSimple>
      <w:bookmarkStart w:id="21" w:name="_Toc43147850"/>
    </w:p>
    <w:p w14:paraId="1AE61601" w14:textId="0262F9B9" w:rsidR="005521D2" w:rsidRPr="005521D2" w:rsidRDefault="007C1CBE" w:rsidP="005521D2">
      <w:pPr>
        <w:rPr>
          <w:i/>
          <w:iCs/>
        </w:rPr>
      </w:pPr>
      <w:r>
        <w:rPr>
          <w:i/>
          <w:iCs/>
        </w:rPr>
        <w:t xml:space="preserve">       </w:t>
      </w:r>
      <w:r w:rsidR="005521D2">
        <w:rPr>
          <w:i/>
          <w:iCs/>
        </w:rPr>
        <w:t xml:space="preserve"> </w:t>
      </w:r>
      <w:r w:rsidR="005521D2" w:rsidRPr="005521D2">
        <w:rPr>
          <w:i/>
          <w:iCs/>
        </w:rPr>
        <w:t>Mapping of the AtL Operationalizations by Assessment</w:t>
      </w:r>
    </w:p>
    <w:bookmarkEnd w:id="21"/>
    <w:p w14:paraId="3BB6B1B8" w14:textId="77777777" w:rsidR="0018337E" w:rsidRPr="0018337E" w:rsidRDefault="0018337E" w:rsidP="0018337E">
      <w:pPr>
        <w:spacing w:line="276" w:lineRule="auto"/>
        <w:rPr>
          <w:rFonts w:eastAsia="Arial" w:cs="Arial"/>
          <w:color w:val="auto"/>
          <w:szCs w:val="22"/>
          <w:lang w:val="en"/>
        </w:rPr>
      </w:pPr>
    </w:p>
    <w:tbl>
      <w:tblPr>
        <w:tblStyle w:val="TableGrid7"/>
        <w:tblW w:w="5000" w:type="pct"/>
        <w:tblLook w:val="04A0" w:firstRow="1" w:lastRow="0" w:firstColumn="1" w:lastColumn="0" w:noHBand="0" w:noVBand="1"/>
      </w:tblPr>
      <w:tblGrid>
        <w:gridCol w:w="1879"/>
        <w:gridCol w:w="5765"/>
        <w:gridCol w:w="5316"/>
      </w:tblGrid>
      <w:tr w:rsidR="0018337E" w:rsidRPr="0018337E" w14:paraId="55F6FB65" w14:textId="77777777" w:rsidTr="0085520F">
        <w:trPr>
          <w:trHeight w:val="3094"/>
        </w:trPr>
        <w:tc>
          <w:tcPr>
            <w:tcW w:w="725" w:type="pct"/>
            <w:vMerge w:val="restart"/>
            <w:tcBorders>
              <w:top w:val="nil"/>
              <w:left w:val="nil"/>
              <w:right w:val="single" w:sz="4" w:space="0" w:color="auto"/>
            </w:tcBorders>
          </w:tcPr>
          <w:p w14:paraId="6ACCC19F" w14:textId="77777777"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r w:rsidRPr="0018337E">
              <w:rPr>
                <w:rFonts w:ascii="Arial" w:hAnsi="Arial" w:cs="Arial"/>
                <w:bCs/>
                <w:sz w:val="28"/>
                <w:szCs w:val="28"/>
                <w:lang w:val="en"/>
              </w:rPr>
              <w:tab/>
              <w:t>High</w:t>
            </w:r>
          </w:p>
          <w:p w14:paraId="4C2CF289"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p w14:paraId="736162AF"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p w14:paraId="7A13C982"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tbl>
            <w:tblPr>
              <w:tblStyle w:val="TableGrid7"/>
              <w:tblW w:w="423"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3"/>
            </w:tblGrid>
            <w:tr w:rsidR="0018337E" w:rsidRPr="0018337E" w14:paraId="338FD3EB" w14:textId="77777777" w:rsidTr="0018337E">
              <w:trPr>
                <w:cantSplit/>
                <w:trHeight w:val="1984"/>
              </w:trPr>
              <w:tc>
                <w:tcPr>
                  <w:tcW w:w="423" w:type="dxa"/>
                  <w:textDirection w:val="tbRl"/>
                  <w:vAlign w:val="center"/>
                </w:tcPr>
                <w:p w14:paraId="64267CD5" w14:textId="77777777" w:rsidR="0018337E" w:rsidRPr="0018337E" w:rsidRDefault="0018337E" w:rsidP="0018337E">
                  <w:pPr>
                    <w:tabs>
                      <w:tab w:val="right" w:pos="2538"/>
                    </w:tabs>
                    <w:autoSpaceDE w:val="0"/>
                    <w:autoSpaceDN w:val="0"/>
                    <w:adjustRightInd w:val="0"/>
                    <w:spacing w:line="240" w:lineRule="exact"/>
                    <w:ind w:left="113" w:right="158"/>
                    <w:jc w:val="center"/>
                    <w:rPr>
                      <w:rFonts w:ascii="Arial" w:hAnsi="Arial" w:cs="Arial"/>
                      <w:bCs/>
                      <w:lang w:val="en"/>
                    </w:rPr>
                  </w:pPr>
                  <w:r w:rsidRPr="0018337E">
                    <w:rPr>
                      <w:rFonts w:ascii="Arial" w:hAnsi="Arial" w:cs="Arial"/>
                      <w:bCs/>
                      <w:lang w:val="en"/>
                    </w:rPr>
                    <w:t xml:space="preserve">BEHAVIORAL </w:t>
                  </w:r>
                </w:p>
              </w:tc>
            </w:tr>
          </w:tbl>
          <w:p w14:paraId="2FC19E5C" w14:textId="77777777" w:rsidR="0018337E" w:rsidRPr="0018337E" w:rsidRDefault="0018337E" w:rsidP="0018337E">
            <w:pPr>
              <w:tabs>
                <w:tab w:val="right" w:pos="2538"/>
              </w:tabs>
              <w:autoSpaceDE w:val="0"/>
              <w:autoSpaceDN w:val="0"/>
              <w:adjustRightInd w:val="0"/>
              <w:spacing w:line="276" w:lineRule="auto"/>
              <w:ind w:right="162"/>
              <w:rPr>
                <w:rFonts w:ascii="Arial" w:hAnsi="Arial" w:cs="Arial"/>
                <w:bCs/>
                <w:sz w:val="28"/>
                <w:szCs w:val="28"/>
                <w:lang w:val="en"/>
              </w:rPr>
            </w:pPr>
          </w:p>
          <w:p w14:paraId="31E50DE8" w14:textId="77777777"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3B5358FE" w14:textId="77777777"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0789EEB4" w14:textId="77777777"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51972E7B" w14:textId="65CA2BBA"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p>
        </w:tc>
        <w:tc>
          <w:tcPr>
            <w:tcW w:w="2224" w:type="pct"/>
            <w:tcBorders>
              <w:top w:val="nil"/>
              <w:left w:val="single" w:sz="4" w:space="0" w:color="auto"/>
            </w:tcBorders>
            <w:vAlign w:val="center"/>
          </w:tcPr>
          <w:p w14:paraId="2FDEFC47" w14:textId="77777777" w:rsidR="0018337E" w:rsidRPr="0018337E" w:rsidRDefault="0018337E" w:rsidP="0018337E">
            <w:pPr>
              <w:autoSpaceDE w:val="0"/>
              <w:autoSpaceDN w:val="0"/>
              <w:adjustRightInd w:val="0"/>
              <w:spacing w:line="276" w:lineRule="auto"/>
            </w:pPr>
            <w:r w:rsidRPr="0018337E">
              <w:t>Takes refuge in helplessness</w:t>
            </w:r>
          </w:p>
          <w:p w14:paraId="1880F03C" w14:textId="77777777" w:rsidR="0018337E" w:rsidRPr="0018337E" w:rsidRDefault="0018337E" w:rsidP="0018337E">
            <w:pPr>
              <w:autoSpaceDE w:val="0"/>
              <w:autoSpaceDN w:val="0"/>
              <w:adjustRightInd w:val="0"/>
              <w:spacing w:line="276" w:lineRule="auto"/>
            </w:pPr>
            <w:r w:rsidRPr="0018337E">
              <w:t>Remains dependent on adults for what to do</w:t>
            </w:r>
          </w:p>
          <w:p w14:paraId="258CE95E" w14:textId="77777777" w:rsidR="0018337E" w:rsidRPr="0018337E" w:rsidRDefault="0018337E" w:rsidP="0018337E">
            <w:pPr>
              <w:autoSpaceDE w:val="0"/>
              <w:autoSpaceDN w:val="0"/>
              <w:adjustRightInd w:val="0"/>
              <w:spacing w:line="276" w:lineRule="auto"/>
            </w:pPr>
            <w:proofErr w:type="gramStart"/>
            <w:r w:rsidRPr="0018337E">
              <w:t>Doesn’t</w:t>
            </w:r>
            <w:proofErr w:type="gramEnd"/>
            <w:r w:rsidRPr="0018337E">
              <w:t xml:space="preserve"> work well when in bad moods</w:t>
            </w:r>
          </w:p>
          <w:p w14:paraId="29E17E23" w14:textId="77777777" w:rsidR="0018337E" w:rsidRPr="0018337E" w:rsidRDefault="0018337E" w:rsidP="0018337E">
            <w:pPr>
              <w:autoSpaceDE w:val="0"/>
              <w:autoSpaceDN w:val="0"/>
              <w:adjustRightInd w:val="0"/>
              <w:spacing w:line="276" w:lineRule="auto"/>
              <w:rPr>
                <w:color w:val="4472C4" w:themeColor="accent1"/>
                <w:lang w:val="en"/>
              </w:rPr>
            </w:pPr>
            <w:r w:rsidRPr="0018337E">
              <w:rPr>
                <w:color w:val="4472C4" w:themeColor="accent1"/>
                <w:lang w:val="en"/>
              </w:rPr>
              <w:t xml:space="preserve">Uses free time in an acceptable way </w:t>
            </w:r>
          </w:p>
          <w:p w14:paraId="4AB0C707" w14:textId="77777777" w:rsidR="0018337E" w:rsidRPr="0018337E" w:rsidRDefault="0018337E" w:rsidP="0018337E">
            <w:pPr>
              <w:autoSpaceDE w:val="0"/>
              <w:autoSpaceDN w:val="0"/>
              <w:adjustRightInd w:val="0"/>
              <w:spacing w:line="276" w:lineRule="auto"/>
              <w:rPr>
                <w:color w:val="4472C4" w:themeColor="accent1"/>
                <w:lang w:val="en"/>
              </w:rPr>
            </w:pPr>
            <w:r w:rsidRPr="0018337E">
              <w:rPr>
                <w:color w:val="4472C4" w:themeColor="accent1"/>
                <w:lang w:val="en"/>
              </w:rPr>
              <w:t>Uses time appropriately while waiting for help</w:t>
            </w:r>
          </w:p>
          <w:p w14:paraId="7AD027DD" w14:textId="77777777" w:rsidR="0018337E" w:rsidRPr="0018337E" w:rsidRDefault="0018337E" w:rsidP="0018337E">
            <w:pPr>
              <w:autoSpaceDE w:val="0"/>
              <w:autoSpaceDN w:val="0"/>
              <w:adjustRightInd w:val="0"/>
              <w:spacing w:line="276" w:lineRule="auto"/>
              <w:rPr>
                <w:color w:val="70AD47" w:themeColor="accent6"/>
              </w:rPr>
            </w:pPr>
            <w:r w:rsidRPr="0018337E">
              <w:rPr>
                <w:color w:val="70AD47" w:themeColor="accent6"/>
              </w:rPr>
              <w:t xml:space="preserve">Seems uninterested in other children </w:t>
            </w:r>
          </w:p>
          <w:p w14:paraId="1E963EB3" w14:textId="77777777" w:rsidR="0018337E" w:rsidRPr="0018337E" w:rsidRDefault="0018337E" w:rsidP="0018337E">
            <w:pPr>
              <w:autoSpaceDE w:val="0"/>
              <w:autoSpaceDN w:val="0"/>
              <w:adjustRightInd w:val="0"/>
              <w:spacing w:line="276" w:lineRule="auto"/>
              <w:rPr>
                <w:color w:val="7030A0"/>
              </w:rPr>
            </w:pPr>
            <w:r w:rsidRPr="0018337E">
              <w:rPr>
                <w:color w:val="7030A0"/>
              </w:rPr>
              <w:t>Careful with work</w:t>
            </w:r>
          </w:p>
          <w:p w14:paraId="04F024C9" w14:textId="77777777" w:rsidR="0018337E" w:rsidRPr="0018337E" w:rsidRDefault="0018337E" w:rsidP="0018337E">
            <w:pPr>
              <w:autoSpaceDE w:val="0"/>
              <w:autoSpaceDN w:val="0"/>
              <w:adjustRightInd w:val="0"/>
              <w:spacing w:line="276" w:lineRule="auto"/>
              <w:rPr>
                <w:color w:val="7030A0"/>
              </w:rPr>
            </w:pPr>
            <w:r w:rsidRPr="0018337E">
              <w:rPr>
                <w:color w:val="7030A0"/>
              </w:rPr>
              <w:t>Sits at table</w:t>
            </w:r>
          </w:p>
          <w:p w14:paraId="0BBFD8A3" w14:textId="77777777" w:rsidR="0018337E" w:rsidRPr="0018337E" w:rsidRDefault="0018337E" w:rsidP="0018337E">
            <w:pPr>
              <w:autoSpaceDE w:val="0"/>
              <w:autoSpaceDN w:val="0"/>
              <w:adjustRightInd w:val="0"/>
              <w:spacing w:line="276" w:lineRule="auto"/>
              <w:rPr>
                <w:color w:val="FF0000"/>
              </w:rPr>
            </w:pPr>
            <w:r w:rsidRPr="0018337E">
              <w:rPr>
                <w:color w:val="7030A0"/>
              </w:rPr>
              <w:t xml:space="preserve">Works independently </w:t>
            </w:r>
            <w:r w:rsidRPr="0018337E">
              <w:rPr>
                <w:color w:val="FF0000"/>
              </w:rPr>
              <w:tab/>
            </w:r>
          </w:p>
          <w:p w14:paraId="59E69FBC" w14:textId="77777777" w:rsidR="0018337E" w:rsidRPr="0018337E" w:rsidRDefault="0018337E" w:rsidP="0018337E">
            <w:pPr>
              <w:autoSpaceDE w:val="0"/>
              <w:autoSpaceDN w:val="0"/>
              <w:adjustRightInd w:val="0"/>
              <w:spacing w:line="276" w:lineRule="auto"/>
              <w:rPr>
                <w:color w:val="FF0000"/>
                <w:lang w:val="en"/>
              </w:rPr>
            </w:pPr>
            <w:r w:rsidRPr="0018337E">
              <w:rPr>
                <w:color w:val="FF0000"/>
                <w:lang w:val="en"/>
              </w:rPr>
              <w:t xml:space="preserve">Keeps belongings organized </w:t>
            </w:r>
          </w:p>
        </w:tc>
        <w:tc>
          <w:tcPr>
            <w:tcW w:w="2051" w:type="pct"/>
            <w:tcBorders>
              <w:top w:val="nil"/>
              <w:right w:val="nil"/>
            </w:tcBorders>
            <w:vAlign w:val="center"/>
          </w:tcPr>
          <w:p w14:paraId="7F8AC3D0" w14:textId="77777777" w:rsidR="0018337E" w:rsidRPr="0018337E" w:rsidRDefault="0018337E" w:rsidP="0018337E">
            <w:pPr>
              <w:spacing w:line="276" w:lineRule="auto"/>
              <w:rPr>
                <w:sz w:val="20"/>
                <w:szCs w:val="20"/>
              </w:rPr>
            </w:pPr>
            <w:proofErr w:type="gramStart"/>
            <w:r w:rsidRPr="0018337E">
              <w:rPr>
                <w:sz w:val="20"/>
                <w:szCs w:val="20"/>
              </w:rPr>
              <w:t>Doesn’t</w:t>
            </w:r>
            <w:proofErr w:type="gramEnd"/>
            <w:r w:rsidRPr="0018337E">
              <w:rPr>
                <w:sz w:val="20"/>
                <w:szCs w:val="20"/>
              </w:rPr>
              <w:t xml:space="preserve"> pay attention to teacher/aide</w:t>
            </w:r>
          </w:p>
          <w:p w14:paraId="0986FE93" w14:textId="77777777" w:rsidR="0018337E" w:rsidRPr="0018337E" w:rsidRDefault="0018337E" w:rsidP="0018337E">
            <w:pPr>
              <w:spacing w:line="276" w:lineRule="auto"/>
              <w:rPr>
                <w:sz w:val="20"/>
                <w:szCs w:val="20"/>
              </w:rPr>
            </w:pPr>
            <w:r w:rsidRPr="0018337E">
              <w:rPr>
                <w:sz w:val="20"/>
                <w:szCs w:val="20"/>
              </w:rPr>
              <w:t>Uncooperative in group activities</w:t>
            </w:r>
          </w:p>
          <w:p w14:paraId="1AE0F232" w14:textId="77777777" w:rsidR="0018337E" w:rsidRPr="0018337E" w:rsidRDefault="0018337E" w:rsidP="0018337E">
            <w:pPr>
              <w:spacing w:line="276" w:lineRule="auto"/>
              <w:rPr>
                <w:sz w:val="20"/>
                <w:szCs w:val="20"/>
              </w:rPr>
            </w:pPr>
            <w:r w:rsidRPr="0018337E">
              <w:rPr>
                <w:sz w:val="20"/>
                <w:szCs w:val="20"/>
              </w:rPr>
              <w:t>Aggressive or hostile when frustrated</w:t>
            </w:r>
          </w:p>
          <w:p w14:paraId="42B822C2" w14:textId="77777777" w:rsidR="0018337E" w:rsidRPr="0018337E" w:rsidRDefault="0018337E" w:rsidP="0018337E">
            <w:pPr>
              <w:spacing w:line="276" w:lineRule="auto"/>
              <w:rPr>
                <w:color w:val="4472C4" w:themeColor="accent1"/>
                <w:sz w:val="20"/>
                <w:szCs w:val="20"/>
                <w:lang w:val="en"/>
              </w:rPr>
            </w:pPr>
            <w:r w:rsidRPr="0018337E">
              <w:rPr>
                <w:color w:val="4472C4" w:themeColor="accent1"/>
                <w:sz w:val="20"/>
                <w:szCs w:val="20"/>
                <w:lang w:val="en"/>
              </w:rPr>
              <w:t xml:space="preserve">Questions unfair rules </w:t>
            </w:r>
          </w:p>
          <w:p w14:paraId="2D1A47F7" w14:textId="77777777" w:rsidR="0018337E" w:rsidRPr="0018337E" w:rsidRDefault="0018337E" w:rsidP="0018337E">
            <w:pPr>
              <w:spacing w:line="276" w:lineRule="auto"/>
              <w:rPr>
                <w:color w:val="4472C4" w:themeColor="accent1"/>
                <w:sz w:val="20"/>
                <w:szCs w:val="20"/>
                <w:lang w:val="en"/>
              </w:rPr>
            </w:pPr>
            <w:r w:rsidRPr="0018337E">
              <w:rPr>
                <w:color w:val="4472C4" w:themeColor="accent1"/>
                <w:sz w:val="20"/>
                <w:szCs w:val="20"/>
                <w:lang w:val="en"/>
              </w:rPr>
              <w:t>Responds to peer pressure</w:t>
            </w:r>
          </w:p>
          <w:p w14:paraId="6447A040" w14:textId="77777777" w:rsidR="0018337E" w:rsidRPr="0018337E" w:rsidRDefault="0018337E" w:rsidP="0018337E">
            <w:pPr>
              <w:spacing w:line="276" w:lineRule="auto"/>
              <w:rPr>
                <w:color w:val="4472C4" w:themeColor="accent1"/>
                <w:sz w:val="20"/>
                <w:szCs w:val="20"/>
                <w:lang w:val="en"/>
              </w:rPr>
            </w:pPr>
            <w:r w:rsidRPr="0018337E">
              <w:rPr>
                <w:color w:val="4472C4" w:themeColor="accent1"/>
                <w:sz w:val="20"/>
                <w:szCs w:val="20"/>
                <w:lang w:val="en"/>
              </w:rPr>
              <w:t>Receives criticism</w:t>
            </w:r>
          </w:p>
          <w:p w14:paraId="2ADBA911" w14:textId="77777777" w:rsidR="0018337E" w:rsidRPr="0018337E" w:rsidRDefault="0018337E" w:rsidP="0018337E">
            <w:pPr>
              <w:spacing w:line="276" w:lineRule="auto"/>
              <w:rPr>
                <w:color w:val="4472C4" w:themeColor="accent1"/>
                <w:sz w:val="20"/>
                <w:szCs w:val="20"/>
                <w:lang w:val="en"/>
              </w:rPr>
            </w:pPr>
            <w:r w:rsidRPr="0018337E">
              <w:rPr>
                <w:color w:val="4472C4" w:themeColor="accent1"/>
                <w:sz w:val="20"/>
                <w:szCs w:val="20"/>
                <w:lang w:val="en"/>
              </w:rPr>
              <w:t>Tell you when treatment is unfair</w:t>
            </w:r>
          </w:p>
          <w:p w14:paraId="47F1C7A5" w14:textId="77777777" w:rsidR="0018337E" w:rsidRPr="0018337E" w:rsidRDefault="0018337E" w:rsidP="0018337E">
            <w:pPr>
              <w:spacing w:line="276" w:lineRule="auto"/>
              <w:rPr>
                <w:color w:val="70AD47" w:themeColor="accent6"/>
                <w:sz w:val="20"/>
                <w:szCs w:val="20"/>
                <w:lang w:val="en"/>
              </w:rPr>
            </w:pPr>
            <w:r w:rsidRPr="0018337E">
              <w:rPr>
                <w:color w:val="70AD47" w:themeColor="accent6"/>
                <w:sz w:val="20"/>
                <w:szCs w:val="20"/>
                <w:lang w:val="en"/>
              </w:rPr>
              <w:t>Acts in a way that makes adults smile</w:t>
            </w:r>
          </w:p>
          <w:p w14:paraId="2184CFF2" w14:textId="77777777" w:rsidR="0018337E" w:rsidRPr="0018337E" w:rsidRDefault="0018337E" w:rsidP="0018337E">
            <w:pPr>
              <w:spacing w:line="276" w:lineRule="auto"/>
              <w:rPr>
                <w:color w:val="70AD47" w:themeColor="accent6"/>
                <w:sz w:val="20"/>
                <w:szCs w:val="20"/>
                <w:lang w:val="en"/>
              </w:rPr>
            </w:pPr>
            <w:r w:rsidRPr="0018337E">
              <w:rPr>
                <w:color w:val="70AD47" w:themeColor="accent6"/>
                <w:sz w:val="20"/>
                <w:szCs w:val="20"/>
                <w:lang w:val="en"/>
              </w:rPr>
              <w:t>Asks adults to read to him</w:t>
            </w:r>
          </w:p>
          <w:p w14:paraId="7F2A49EE" w14:textId="77777777" w:rsidR="0018337E" w:rsidRPr="0018337E" w:rsidRDefault="0018337E" w:rsidP="0018337E">
            <w:pPr>
              <w:spacing w:line="276" w:lineRule="auto"/>
              <w:rPr>
                <w:color w:val="70AD47" w:themeColor="accent6"/>
                <w:sz w:val="20"/>
                <w:szCs w:val="20"/>
                <w:lang w:val="en"/>
              </w:rPr>
            </w:pPr>
            <w:r w:rsidRPr="0018337E">
              <w:rPr>
                <w:color w:val="70AD47" w:themeColor="accent6"/>
                <w:sz w:val="20"/>
                <w:szCs w:val="20"/>
                <w:lang w:val="en"/>
              </w:rPr>
              <w:t>Listens and respects others</w:t>
            </w:r>
          </w:p>
          <w:p w14:paraId="1463398F" w14:textId="77777777" w:rsidR="0018337E" w:rsidRPr="0018337E" w:rsidRDefault="0018337E" w:rsidP="0018337E">
            <w:pPr>
              <w:spacing w:line="276" w:lineRule="auto"/>
              <w:rPr>
                <w:color w:val="70AD47" w:themeColor="accent6"/>
                <w:sz w:val="20"/>
                <w:szCs w:val="20"/>
                <w:lang w:val="en"/>
              </w:rPr>
            </w:pPr>
            <w:r w:rsidRPr="0018337E">
              <w:rPr>
                <w:color w:val="70AD47" w:themeColor="accent6"/>
                <w:sz w:val="20"/>
                <w:szCs w:val="20"/>
                <w:lang w:val="en"/>
              </w:rPr>
              <w:t>Plays well with others</w:t>
            </w:r>
          </w:p>
          <w:p w14:paraId="3DA3CD6F" w14:textId="77777777" w:rsidR="0018337E" w:rsidRPr="0018337E" w:rsidRDefault="0018337E" w:rsidP="0018337E">
            <w:pPr>
              <w:spacing w:line="276" w:lineRule="auto"/>
              <w:rPr>
                <w:color w:val="70AD47" w:themeColor="accent6"/>
                <w:sz w:val="20"/>
                <w:szCs w:val="20"/>
                <w:lang w:val="en"/>
              </w:rPr>
            </w:pPr>
            <w:r w:rsidRPr="0018337E">
              <w:rPr>
                <w:color w:val="70AD47" w:themeColor="accent6"/>
                <w:sz w:val="20"/>
                <w:szCs w:val="20"/>
                <w:lang w:val="en"/>
              </w:rPr>
              <w:t>Shares with other children</w:t>
            </w:r>
          </w:p>
          <w:p w14:paraId="500CF4CA" w14:textId="77777777" w:rsidR="0018337E" w:rsidRPr="0018337E" w:rsidRDefault="0018337E" w:rsidP="0018337E">
            <w:pPr>
              <w:spacing w:line="276" w:lineRule="auto"/>
              <w:rPr>
                <w:color w:val="7030A0"/>
                <w:sz w:val="20"/>
                <w:szCs w:val="20"/>
                <w:lang w:val="en"/>
              </w:rPr>
            </w:pPr>
            <w:r w:rsidRPr="0018337E">
              <w:rPr>
                <w:color w:val="7030A0"/>
                <w:sz w:val="20"/>
                <w:szCs w:val="20"/>
                <w:lang w:val="en"/>
              </w:rPr>
              <w:t>Follows rules and routines</w:t>
            </w:r>
          </w:p>
          <w:p w14:paraId="1C17BE94" w14:textId="77777777" w:rsidR="0018337E" w:rsidRPr="0018337E" w:rsidRDefault="0018337E" w:rsidP="0018337E">
            <w:pPr>
              <w:spacing w:line="276" w:lineRule="auto"/>
              <w:rPr>
                <w:b/>
                <w:bCs/>
                <w:color w:val="00B050"/>
                <w:lang w:val="en"/>
              </w:rPr>
            </w:pPr>
            <w:r w:rsidRPr="0018337E">
              <w:rPr>
                <w:color w:val="7030A0"/>
                <w:sz w:val="20"/>
                <w:szCs w:val="20"/>
                <w:lang w:val="en"/>
              </w:rPr>
              <w:t>Follows teacher directions</w:t>
            </w:r>
            <w:r w:rsidRPr="0018337E">
              <w:rPr>
                <w:b/>
                <w:bCs/>
                <w:color w:val="7030A0"/>
                <w:sz w:val="20"/>
                <w:szCs w:val="20"/>
                <w:lang w:val="en"/>
              </w:rPr>
              <w:t xml:space="preserve"> </w:t>
            </w:r>
          </w:p>
        </w:tc>
      </w:tr>
      <w:tr w:rsidR="0018337E" w:rsidRPr="0018337E" w14:paraId="0C6AADC3" w14:textId="77777777" w:rsidTr="0085520F">
        <w:trPr>
          <w:trHeight w:val="3094"/>
        </w:trPr>
        <w:tc>
          <w:tcPr>
            <w:tcW w:w="725" w:type="pct"/>
            <w:vMerge/>
            <w:tcBorders>
              <w:left w:val="nil"/>
              <w:bottom w:val="nil"/>
              <w:right w:val="single" w:sz="4" w:space="0" w:color="auto"/>
            </w:tcBorders>
          </w:tcPr>
          <w:p w14:paraId="7F174467" w14:textId="77777777"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p>
        </w:tc>
        <w:tc>
          <w:tcPr>
            <w:tcW w:w="2224" w:type="pct"/>
            <w:tcBorders>
              <w:top w:val="nil"/>
              <w:left w:val="single" w:sz="4" w:space="0" w:color="auto"/>
            </w:tcBorders>
            <w:vAlign w:val="center"/>
          </w:tcPr>
          <w:p w14:paraId="3AA82724" w14:textId="17FC7050" w:rsidR="0018337E" w:rsidRPr="0018337E" w:rsidRDefault="0085520F" w:rsidP="0018337E">
            <w:pPr>
              <w:autoSpaceDE w:val="0"/>
              <w:autoSpaceDN w:val="0"/>
              <w:adjustRightInd w:val="0"/>
              <w:spacing w:line="276" w:lineRule="auto"/>
              <w:jc w:val="center"/>
              <w:rPr>
                <w:b/>
                <w:bCs/>
                <w:lang w:val="en"/>
              </w:rPr>
            </w:pPr>
            <w:r w:rsidRPr="0018337E">
              <w:rPr>
                <w:rFonts w:cs="Arial"/>
                <w:noProof/>
                <w:lang w:val="en"/>
              </w:rPr>
              <mc:AlternateContent>
                <mc:Choice Requires="wps">
                  <w:drawing>
                    <wp:anchor distT="45720" distB="45720" distL="114300" distR="114300" simplePos="0" relativeHeight="251650048" behindDoc="0" locked="0" layoutInCell="1" allowOverlap="1" wp14:anchorId="112E9E85" wp14:editId="3513C2D4">
                      <wp:simplePos x="0" y="0"/>
                      <wp:positionH relativeFrom="column">
                        <wp:posOffset>-370840</wp:posOffset>
                      </wp:positionH>
                      <wp:positionV relativeFrom="paragraph">
                        <wp:posOffset>-31115</wp:posOffset>
                      </wp:positionV>
                      <wp:extent cx="2360930" cy="1404620"/>
                      <wp:effectExtent l="0" t="0" r="22860" b="241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11AB661" w14:textId="77777777" w:rsidR="00DE2FE4" w:rsidRPr="004009F5" w:rsidRDefault="00DE2FE4" w:rsidP="0018337E">
                                  <w:pPr>
                                    <w:spacing w:line="240" w:lineRule="auto"/>
                                    <w:contextualSpacing/>
                                  </w:pPr>
                                  <w:r w:rsidRPr="004009F5">
                                    <w:t xml:space="preserve">Legend of Studies: </w:t>
                                  </w:r>
                                </w:p>
                                <w:p w14:paraId="58D3A39E" w14:textId="77777777" w:rsidR="00DE2FE4" w:rsidRPr="004009F5" w:rsidRDefault="00DE2FE4" w:rsidP="0018337E">
                                  <w:pPr>
                                    <w:spacing w:line="240" w:lineRule="auto"/>
                                    <w:contextualSpacing/>
                                  </w:pPr>
                                  <w:r w:rsidRPr="004009F5">
                                    <w:t>Black: PLBS (items reverse-coded)</w:t>
                                  </w:r>
                                </w:p>
                                <w:p w14:paraId="4A38D251" w14:textId="77777777" w:rsidR="00DE2FE4" w:rsidRPr="004009F5" w:rsidRDefault="00DE2FE4" w:rsidP="0018337E">
                                  <w:pPr>
                                    <w:spacing w:line="240" w:lineRule="auto"/>
                                    <w:contextualSpacing/>
                                  </w:pPr>
                                  <w:r w:rsidRPr="004009F5">
                                    <w:t>Red: ECLS-K</w:t>
                                  </w:r>
                                </w:p>
                                <w:p w14:paraId="00E9592D" w14:textId="77777777" w:rsidR="00DE2FE4" w:rsidRPr="004009F5" w:rsidRDefault="00DE2FE4" w:rsidP="0018337E">
                                  <w:pPr>
                                    <w:spacing w:line="240" w:lineRule="auto"/>
                                    <w:contextualSpacing/>
                                  </w:pPr>
                                  <w:r w:rsidRPr="004009F5">
                                    <w:t>Blue: SSRS</w:t>
                                  </w:r>
                                </w:p>
                                <w:p w14:paraId="130ECE78" w14:textId="77777777" w:rsidR="00DE2FE4" w:rsidRPr="004009F5" w:rsidRDefault="00DE2FE4" w:rsidP="0018337E">
                                  <w:pPr>
                                    <w:spacing w:line="240" w:lineRule="auto"/>
                                    <w:contextualSpacing/>
                                  </w:pPr>
                                  <w:r w:rsidRPr="004009F5">
                                    <w:t>Green: DECA</w:t>
                                  </w:r>
                                </w:p>
                                <w:p w14:paraId="3A139123" w14:textId="77777777" w:rsidR="00DE2FE4" w:rsidRDefault="00DE2FE4" w:rsidP="0018337E">
                                  <w:pPr>
                                    <w:spacing w:line="240" w:lineRule="auto"/>
                                    <w:contextualSpacing/>
                                  </w:pPr>
                                  <w:r w:rsidRPr="004009F5">
                                    <w:t>Purple: SRQ</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2E9E85" id="_x0000_s1027" type="#_x0000_t202" style="position:absolute;left:0;text-align:left;margin-left:-29.2pt;margin-top:-2.45pt;width:185.9pt;height:110.6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taJwIAAE0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">
                      <v:textbox style="mso-fit-shape-to-text:t">
                        <w:txbxContent>
                          <w:p w14:paraId="611AB661" w14:textId="77777777" w:rsidR="00DE2FE4" w:rsidRPr="004009F5" w:rsidRDefault="00DE2FE4" w:rsidP="0018337E">
                            <w:pPr>
                              <w:spacing w:line="240" w:lineRule="auto"/>
                              <w:contextualSpacing/>
                            </w:pPr>
                            <w:r w:rsidRPr="004009F5">
                              <w:t xml:space="preserve">Legend of Studies: </w:t>
                            </w:r>
                          </w:p>
                          <w:p w14:paraId="58D3A39E" w14:textId="77777777" w:rsidR="00DE2FE4" w:rsidRPr="004009F5" w:rsidRDefault="00DE2FE4" w:rsidP="0018337E">
                            <w:pPr>
                              <w:spacing w:line="240" w:lineRule="auto"/>
                              <w:contextualSpacing/>
                            </w:pPr>
                            <w:r w:rsidRPr="004009F5">
                              <w:t>Black: PLBS (items reverse-coded)</w:t>
                            </w:r>
                          </w:p>
                          <w:p w14:paraId="4A38D251" w14:textId="77777777" w:rsidR="00DE2FE4" w:rsidRPr="004009F5" w:rsidRDefault="00DE2FE4" w:rsidP="0018337E">
                            <w:pPr>
                              <w:spacing w:line="240" w:lineRule="auto"/>
                              <w:contextualSpacing/>
                            </w:pPr>
                            <w:r w:rsidRPr="004009F5">
                              <w:t>Red: ECLS-K</w:t>
                            </w:r>
                          </w:p>
                          <w:p w14:paraId="00E9592D" w14:textId="77777777" w:rsidR="00DE2FE4" w:rsidRPr="004009F5" w:rsidRDefault="00DE2FE4" w:rsidP="0018337E">
                            <w:pPr>
                              <w:spacing w:line="240" w:lineRule="auto"/>
                              <w:contextualSpacing/>
                            </w:pPr>
                            <w:r w:rsidRPr="004009F5">
                              <w:t>Blue: SSRS</w:t>
                            </w:r>
                          </w:p>
                          <w:p w14:paraId="130ECE78" w14:textId="77777777" w:rsidR="00DE2FE4" w:rsidRPr="004009F5" w:rsidRDefault="00DE2FE4" w:rsidP="0018337E">
                            <w:pPr>
                              <w:spacing w:line="240" w:lineRule="auto"/>
                              <w:contextualSpacing/>
                            </w:pPr>
                            <w:r w:rsidRPr="004009F5">
                              <w:t>Green: DECA</w:t>
                            </w:r>
                          </w:p>
                          <w:p w14:paraId="3A139123" w14:textId="77777777" w:rsidR="00DE2FE4" w:rsidRDefault="00DE2FE4" w:rsidP="0018337E">
                            <w:pPr>
                              <w:spacing w:line="240" w:lineRule="auto"/>
                              <w:contextualSpacing/>
                            </w:pPr>
                            <w:r w:rsidRPr="004009F5">
                              <w:t>Purple: SRQ</w:t>
                            </w:r>
                          </w:p>
                        </w:txbxContent>
                      </v:textbox>
                    </v:shape>
                  </w:pict>
                </mc:Fallback>
              </mc:AlternateContent>
            </w:r>
          </w:p>
          <w:p w14:paraId="5FF27681" w14:textId="77777777" w:rsidR="0018337E" w:rsidRPr="0018337E" w:rsidRDefault="0018337E" w:rsidP="0018337E">
            <w:pPr>
              <w:autoSpaceDE w:val="0"/>
              <w:autoSpaceDN w:val="0"/>
              <w:adjustRightInd w:val="0"/>
              <w:spacing w:line="276" w:lineRule="auto"/>
              <w:jc w:val="center"/>
              <w:rPr>
                <w:b/>
                <w:bCs/>
                <w:lang w:val="en"/>
              </w:rPr>
            </w:pPr>
          </w:p>
          <w:p w14:paraId="73B91850" w14:textId="77777777" w:rsidR="0018337E" w:rsidRPr="0018337E" w:rsidRDefault="0018337E" w:rsidP="0018337E">
            <w:pPr>
              <w:autoSpaceDE w:val="0"/>
              <w:autoSpaceDN w:val="0"/>
              <w:adjustRightInd w:val="0"/>
              <w:spacing w:line="276" w:lineRule="auto"/>
              <w:jc w:val="center"/>
              <w:rPr>
                <w:b/>
                <w:bCs/>
                <w:lang w:val="en"/>
              </w:rPr>
            </w:pPr>
          </w:p>
          <w:p w14:paraId="1EE6B305" w14:textId="77777777" w:rsidR="0018337E" w:rsidRPr="0018337E" w:rsidRDefault="0018337E" w:rsidP="0018337E">
            <w:pPr>
              <w:spacing w:line="276" w:lineRule="auto"/>
              <w:rPr>
                <w:b/>
                <w:bCs/>
                <w:color w:val="A6A6A6" w:themeColor="background1" w:themeShade="A6"/>
                <w:lang w:val="en"/>
              </w:rPr>
            </w:pPr>
          </w:p>
        </w:tc>
        <w:tc>
          <w:tcPr>
            <w:tcW w:w="2051" w:type="pct"/>
            <w:tcBorders>
              <w:right w:val="nil"/>
            </w:tcBorders>
            <w:vAlign w:val="center"/>
          </w:tcPr>
          <w:p w14:paraId="136E8755" w14:textId="77777777" w:rsidR="0018337E" w:rsidRPr="0018337E" w:rsidRDefault="0018337E" w:rsidP="009974B7">
            <w:pPr>
              <w:contextualSpacing/>
              <w:rPr>
                <w:sz w:val="18"/>
                <w:szCs w:val="18"/>
              </w:rPr>
            </w:pPr>
            <w:r w:rsidRPr="0018337E">
              <w:rPr>
                <w:sz w:val="18"/>
                <w:szCs w:val="18"/>
              </w:rPr>
              <w:t>Hesitant talking about activities</w:t>
            </w:r>
          </w:p>
          <w:p w14:paraId="124A8A6B" w14:textId="77777777" w:rsidR="0018337E" w:rsidRPr="0018337E" w:rsidRDefault="0018337E" w:rsidP="009974B7">
            <w:pPr>
              <w:contextualSpacing/>
              <w:rPr>
                <w:sz w:val="18"/>
                <w:szCs w:val="18"/>
              </w:rPr>
            </w:pPr>
            <w:r w:rsidRPr="0018337E">
              <w:rPr>
                <w:sz w:val="18"/>
                <w:szCs w:val="18"/>
              </w:rPr>
              <w:t>Headaches or pains to avoid participation</w:t>
            </w:r>
          </w:p>
          <w:p w14:paraId="50ACE9BC" w14:textId="77777777" w:rsidR="0018337E" w:rsidRPr="0018337E" w:rsidRDefault="0018337E" w:rsidP="009974B7">
            <w:pPr>
              <w:contextualSpacing/>
              <w:rPr>
                <w:sz w:val="18"/>
                <w:szCs w:val="18"/>
              </w:rPr>
            </w:pPr>
            <w:r w:rsidRPr="0018337E">
              <w:rPr>
                <w:sz w:val="18"/>
                <w:szCs w:val="18"/>
              </w:rPr>
              <w:t>Shows little desire to please teacher/aide</w:t>
            </w:r>
          </w:p>
          <w:p w14:paraId="148FBA59" w14:textId="77777777" w:rsidR="0018337E" w:rsidRPr="0018337E" w:rsidRDefault="0018337E" w:rsidP="009974B7">
            <w:pPr>
              <w:contextualSpacing/>
              <w:rPr>
                <w:sz w:val="18"/>
                <w:szCs w:val="18"/>
              </w:rPr>
            </w:pPr>
            <w:r w:rsidRPr="0018337E">
              <w:rPr>
                <w:sz w:val="18"/>
                <w:szCs w:val="18"/>
              </w:rPr>
              <w:t>Unwilling to be helped in difficulty</w:t>
            </w:r>
          </w:p>
          <w:p w14:paraId="68ECB522" w14:textId="77777777" w:rsidR="0018337E" w:rsidRPr="0018337E" w:rsidRDefault="0018337E" w:rsidP="009974B7">
            <w:pPr>
              <w:autoSpaceDE w:val="0"/>
              <w:autoSpaceDN w:val="0"/>
              <w:adjustRightInd w:val="0"/>
              <w:contextualSpacing/>
              <w:rPr>
                <w:color w:val="4472C4" w:themeColor="accent1"/>
                <w:sz w:val="18"/>
                <w:szCs w:val="18"/>
                <w:lang w:val="en"/>
              </w:rPr>
            </w:pPr>
            <w:r w:rsidRPr="0018337E">
              <w:rPr>
                <w:color w:val="4472C4" w:themeColor="accent1"/>
                <w:sz w:val="18"/>
                <w:szCs w:val="18"/>
                <w:lang w:val="en"/>
              </w:rPr>
              <w:t>Introduces himself</w:t>
            </w:r>
          </w:p>
          <w:p w14:paraId="5BEDBA28" w14:textId="77777777" w:rsidR="0018337E" w:rsidRPr="0018337E" w:rsidRDefault="0018337E" w:rsidP="009974B7">
            <w:pPr>
              <w:autoSpaceDE w:val="0"/>
              <w:autoSpaceDN w:val="0"/>
              <w:adjustRightInd w:val="0"/>
              <w:contextualSpacing/>
              <w:rPr>
                <w:color w:val="4472C4" w:themeColor="accent1"/>
                <w:sz w:val="18"/>
                <w:szCs w:val="18"/>
                <w:lang w:val="en"/>
              </w:rPr>
            </w:pPr>
            <w:r w:rsidRPr="0018337E">
              <w:rPr>
                <w:color w:val="4472C4" w:themeColor="accent1"/>
                <w:sz w:val="18"/>
                <w:szCs w:val="18"/>
                <w:lang w:val="en"/>
              </w:rPr>
              <w:t>Compromises in conflicts</w:t>
            </w:r>
          </w:p>
          <w:p w14:paraId="4A0B8472" w14:textId="0EB2DF99" w:rsidR="0018337E" w:rsidRPr="0018337E" w:rsidRDefault="0018337E" w:rsidP="009974B7">
            <w:pPr>
              <w:autoSpaceDE w:val="0"/>
              <w:autoSpaceDN w:val="0"/>
              <w:adjustRightInd w:val="0"/>
              <w:contextualSpacing/>
              <w:rPr>
                <w:color w:val="4472C4" w:themeColor="accent1"/>
                <w:sz w:val="18"/>
                <w:szCs w:val="18"/>
                <w:lang w:val="en"/>
              </w:rPr>
            </w:pPr>
            <w:r w:rsidRPr="0018337E">
              <w:rPr>
                <w:color w:val="4472C4" w:themeColor="accent1"/>
                <w:sz w:val="18"/>
                <w:szCs w:val="18"/>
                <w:lang w:val="en"/>
              </w:rPr>
              <w:t>Invites other</w:t>
            </w:r>
            <w:r w:rsidR="000B4B73">
              <w:rPr>
                <w:color w:val="4472C4" w:themeColor="accent1"/>
                <w:sz w:val="18"/>
                <w:szCs w:val="18"/>
                <w:lang w:val="en"/>
              </w:rPr>
              <w:t>s</w:t>
            </w:r>
            <w:r w:rsidRPr="0018337E">
              <w:rPr>
                <w:color w:val="4472C4" w:themeColor="accent1"/>
                <w:sz w:val="18"/>
                <w:szCs w:val="18"/>
                <w:lang w:val="en"/>
              </w:rPr>
              <w:t xml:space="preserve"> to join</w:t>
            </w:r>
          </w:p>
          <w:p w14:paraId="36E4E32E" w14:textId="77777777" w:rsidR="0018337E" w:rsidRPr="0018337E" w:rsidRDefault="0018337E" w:rsidP="009974B7">
            <w:pPr>
              <w:autoSpaceDE w:val="0"/>
              <w:autoSpaceDN w:val="0"/>
              <w:adjustRightInd w:val="0"/>
              <w:contextualSpacing/>
              <w:rPr>
                <w:color w:val="4472C4" w:themeColor="accent1"/>
                <w:sz w:val="18"/>
                <w:szCs w:val="18"/>
                <w:lang w:val="en"/>
              </w:rPr>
            </w:pPr>
            <w:r w:rsidRPr="0018337E">
              <w:rPr>
                <w:color w:val="4472C4" w:themeColor="accent1"/>
                <w:sz w:val="18"/>
                <w:szCs w:val="18"/>
                <w:lang w:val="en"/>
              </w:rPr>
              <w:t>Initiates conversation</w:t>
            </w:r>
          </w:p>
          <w:p w14:paraId="05EC266B" w14:textId="77777777" w:rsidR="0018337E" w:rsidRPr="0018337E" w:rsidRDefault="0018337E" w:rsidP="009974B7">
            <w:pPr>
              <w:autoSpaceDE w:val="0"/>
              <w:autoSpaceDN w:val="0"/>
              <w:adjustRightInd w:val="0"/>
              <w:contextualSpacing/>
              <w:rPr>
                <w:color w:val="4472C4" w:themeColor="accent1"/>
                <w:sz w:val="18"/>
                <w:szCs w:val="18"/>
                <w:lang w:val="en"/>
              </w:rPr>
            </w:pPr>
            <w:r w:rsidRPr="0018337E">
              <w:rPr>
                <w:color w:val="4472C4" w:themeColor="accent1"/>
                <w:sz w:val="18"/>
                <w:szCs w:val="18"/>
                <w:lang w:val="en"/>
              </w:rPr>
              <w:t>Accepts peer ideas</w:t>
            </w:r>
          </w:p>
          <w:p w14:paraId="4F8A8E05" w14:textId="77777777" w:rsidR="0018337E" w:rsidRPr="0018337E" w:rsidRDefault="0018337E" w:rsidP="009974B7">
            <w:pPr>
              <w:autoSpaceDE w:val="0"/>
              <w:autoSpaceDN w:val="0"/>
              <w:adjustRightInd w:val="0"/>
              <w:contextualSpacing/>
              <w:rPr>
                <w:color w:val="4472C4" w:themeColor="accent1"/>
                <w:sz w:val="18"/>
                <w:szCs w:val="18"/>
                <w:lang w:val="en"/>
              </w:rPr>
            </w:pPr>
            <w:r w:rsidRPr="0018337E">
              <w:rPr>
                <w:color w:val="4472C4" w:themeColor="accent1"/>
                <w:sz w:val="18"/>
                <w:szCs w:val="18"/>
                <w:lang w:val="en"/>
              </w:rPr>
              <w:t>Cooperates with peers</w:t>
            </w:r>
          </w:p>
          <w:p w14:paraId="117723AC" w14:textId="77777777" w:rsidR="0018337E" w:rsidRPr="0018337E" w:rsidRDefault="0018337E" w:rsidP="009974B7">
            <w:pPr>
              <w:autoSpaceDE w:val="0"/>
              <w:autoSpaceDN w:val="0"/>
              <w:adjustRightInd w:val="0"/>
              <w:contextualSpacing/>
              <w:rPr>
                <w:color w:val="4472C4" w:themeColor="accent1"/>
                <w:sz w:val="18"/>
                <w:szCs w:val="18"/>
                <w:lang w:val="en"/>
              </w:rPr>
            </w:pPr>
            <w:r w:rsidRPr="0018337E">
              <w:rPr>
                <w:color w:val="4472C4" w:themeColor="accent1"/>
                <w:sz w:val="18"/>
                <w:szCs w:val="18"/>
                <w:lang w:val="en"/>
              </w:rPr>
              <w:t>Volunteers to help others</w:t>
            </w:r>
          </w:p>
          <w:p w14:paraId="22A02666" w14:textId="77777777" w:rsidR="0018337E" w:rsidRPr="0018337E" w:rsidRDefault="0018337E" w:rsidP="009974B7">
            <w:pPr>
              <w:autoSpaceDE w:val="0"/>
              <w:autoSpaceDN w:val="0"/>
              <w:adjustRightInd w:val="0"/>
              <w:contextualSpacing/>
              <w:rPr>
                <w:color w:val="4472C4" w:themeColor="accent1"/>
                <w:sz w:val="18"/>
                <w:szCs w:val="18"/>
                <w:lang w:val="en"/>
              </w:rPr>
            </w:pPr>
            <w:r w:rsidRPr="0018337E">
              <w:rPr>
                <w:color w:val="4472C4" w:themeColor="accent1"/>
                <w:sz w:val="18"/>
                <w:szCs w:val="18"/>
                <w:lang w:val="en"/>
              </w:rPr>
              <w:t>Joins ongoing activity</w:t>
            </w:r>
          </w:p>
          <w:p w14:paraId="74EDD145" w14:textId="77777777" w:rsidR="0018337E" w:rsidRPr="0018337E" w:rsidRDefault="0018337E" w:rsidP="009974B7">
            <w:pPr>
              <w:autoSpaceDE w:val="0"/>
              <w:autoSpaceDN w:val="0"/>
              <w:adjustRightInd w:val="0"/>
              <w:contextualSpacing/>
              <w:rPr>
                <w:color w:val="70AD47" w:themeColor="accent6"/>
                <w:sz w:val="18"/>
                <w:szCs w:val="18"/>
                <w:lang w:val="en"/>
              </w:rPr>
            </w:pPr>
            <w:r w:rsidRPr="0018337E">
              <w:rPr>
                <w:color w:val="70AD47" w:themeColor="accent6"/>
                <w:sz w:val="18"/>
                <w:szCs w:val="18"/>
                <w:lang w:val="en"/>
              </w:rPr>
              <w:t xml:space="preserve">Seems happy to see guardian </w:t>
            </w:r>
          </w:p>
          <w:p w14:paraId="62824970" w14:textId="77777777" w:rsidR="0018337E" w:rsidRPr="0018337E" w:rsidRDefault="0018337E" w:rsidP="009974B7">
            <w:pPr>
              <w:autoSpaceDE w:val="0"/>
              <w:autoSpaceDN w:val="0"/>
              <w:adjustRightInd w:val="0"/>
              <w:contextualSpacing/>
              <w:rPr>
                <w:color w:val="70AD47" w:themeColor="accent6"/>
                <w:sz w:val="18"/>
                <w:szCs w:val="18"/>
                <w:lang w:val="en"/>
              </w:rPr>
            </w:pPr>
            <w:r w:rsidRPr="0018337E">
              <w:rPr>
                <w:color w:val="70AD47" w:themeColor="accent6"/>
                <w:sz w:val="18"/>
                <w:szCs w:val="18"/>
                <w:lang w:val="en"/>
              </w:rPr>
              <w:t>Shows affection for familiar adults</w:t>
            </w:r>
          </w:p>
          <w:p w14:paraId="3B4833D1" w14:textId="77777777" w:rsidR="0018337E" w:rsidRPr="0018337E" w:rsidRDefault="0018337E" w:rsidP="009974B7">
            <w:pPr>
              <w:autoSpaceDE w:val="0"/>
              <w:autoSpaceDN w:val="0"/>
              <w:adjustRightInd w:val="0"/>
              <w:contextualSpacing/>
              <w:rPr>
                <w:color w:val="70AD47" w:themeColor="accent6"/>
                <w:sz w:val="18"/>
                <w:szCs w:val="18"/>
                <w:lang w:val="en"/>
              </w:rPr>
            </w:pPr>
            <w:r w:rsidRPr="0018337E">
              <w:rPr>
                <w:color w:val="70AD47" w:themeColor="accent6"/>
                <w:sz w:val="18"/>
                <w:szCs w:val="18"/>
                <w:lang w:val="en"/>
              </w:rPr>
              <w:t xml:space="preserve">Trusts familiar adults </w:t>
            </w:r>
          </w:p>
          <w:p w14:paraId="5BF8A281" w14:textId="77777777" w:rsidR="0018337E" w:rsidRPr="0018337E" w:rsidRDefault="0018337E" w:rsidP="009974B7">
            <w:pPr>
              <w:autoSpaceDE w:val="0"/>
              <w:autoSpaceDN w:val="0"/>
              <w:adjustRightInd w:val="0"/>
              <w:contextualSpacing/>
              <w:rPr>
                <w:color w:val="70AD47" w:themeColor="accent6"/>
                <w:sz w:val="18"/>
                <w:szCs w:val="18"/>
                <w:lang w:val="en"/>
              </w:rPr>
            </w:pPr>
            <w:r w:rsidRPr="0018337E">
              <w:rPr>
                <w:color w:val="70AD47" w:themeColor="accent6"/>
                <w:sz w:val="18"/>
                <w:szCs w:val="18"/>
                <w:lang w:val="en"/>
              </w:rPr>
              <w:t>Seeks help when hurt</w:t>
            </w:r>
          </w:p>
          <w:p w14:paraId="6C7F16F0" w14:textId="77777777" w:rsidR="0018337E" w:rsidRPr="0018337E" w:rsidRDefault="0018337E" w:rsidP="009974B7">
            <w:pPr>
              <w:autoSpaceDE w:val="0"/>
              <w:autoSpaceDN w:val="0"/>
              <w:adjustRightInd w:val="0"/>
              <w:contextualSpacing/>
              <w:rPr>
                <w:color w:val="70AD47" w:themeColor="accent6"/>
                <w:sz w:val="18"/>
                <w:szCs w:val="18"/>
                <w:lang w:val="en"/>
              </w:rPr>
            </w:pPr>
            <w:r w:rsidRPr="0018337E">
              <w:rPr>
                <w:color w:val="70AD47" w:themeColor="accent6"/>
                <w:sz w:val="18"/>
                <w:szCs w:val="18"/>
                <w:lang w:val="en"/>
              </w:rPr>
              <w:t>Appears happy when playing with others</w:t>
            </w:r>
          </w:p>
          <w:p w14:paraId="629FDA7D" w14:textId="77777777" w:rsidR="0018337E" w:rsidRPr="0018337E" w:rsidRDefault="0018337E" w:rsidP="009974B7">
            <w:pPr>
              <w:autoSpaceDE w:val="0"/>
              <w:autoSpaceDN w:val="0"/>
              <w:adjustRightInd w:val="0"/>
              <w:contextualSpacing/>
              <w:rPr>
                <w:color w:val="70AD47" w:themeColor="accent6"/>
                <w:sz w:val="18"/>
                <w:szCs w:val="18"/>
                <w:lang w:val="en"/>
              </w:rPr>
            </w:pPr>
            <w:r w:rsidRPr="0018337E">
              <w:rPr>
                <w:color w:val="70AD47" w:themeColor="accent6"/>
                <w:sz w:val="18"/>
                <w:szCs w:val="18"/>
                <w:lang w:val="en"/>
              </w:rPr>
              <w:t>Shows preference for a familiar adult</w:t>
            </w:r>
          </w:p>
          <w:p w14:paraId="298DDD6E" w14:textId="77777777" w:rsidR="0018337E" w:rsidRPr="0018337E" w:rsidRDefault="0018337E" w:rsidP="009974B7">
            <w:pPr>
              <w:autoSpaceDE w:val="0"/>
              <w:autoSpaceDN w:val="0"/>
              <w:adjustRightInd w:val="0"/>
              <w:contextualSpacing/>
              <w:rPr>
                <w:color w:val="70AD47" w:themeColor="accent6"/>
                <w:sz w:val="18"/>
                <w:szCs w:val="18"/>
                <w:lang w:val="en"/>
              </w:rPr>
            </w:pPr>
            <w:r w:rsidRPr="0018337E">
              <w:rPr>
                <w:color w:val="70AD47" w:themeColor="accent6"/>
                <w:sz w:val="18"/>
                <w:szCs w:val="18"/>
                <w:lang w:val="en"/>
              </w:rPr>
              <w:t>Cooperates with others</w:t>
            </w:r>
          </w:p>
          <w:p w14:paraId="42748DA4" w14:textId="77777777" w:rsidR="0018337E" w:rsidRPr="0018337E" w:rsidRDefault="0018337E" w:rsidP="009974B7">
            <w:pPr>
              <w:autoSpaceDE w:val="0"/>
              <w:autoSpaceDN w:val="0"/>
              <w:adjustRightInd w:val="0"/>
              <w:contextualSpacing/>
              <w:rPr>
                <w:b/>
                <w:bCs/>
                <w:color w:val="0070C0"/>
                <w:sz w:val="18"/>
                <w:szCs w:val="18"/>
                <w:lang w:val="en"/>
              </w:rPr>
            </w:pPr>
            <w:r w:rsidRPr="0018337E">
              <w:rPr>
                <w:color w:val="70AD47" w:themeColor="accent6"/>
                <w:sz w:val="18"/>
                <w:szCs w:val="18"/>
                <w:lang w:val="en"/>
              </w:rPr>
              <w:t>Organizes play with other children</w:t>
            </w:r>
          </w:p>
        </w:tc>
      </w:tr>
      <w:tr w:rsidR="0018337E" w:rsidRPr="0018337E" w14:paraId="40D08B16" w14:textId="77777777" w:rsidTr="0085520F">
        <w:trPr>
          <w:trHeight w:val="583"/>
        </w:trPr>
        <w:tc>
          <w:tcPr>
            <w:tcW w:w="725" w:type="pct"/>
            <w:tcBorders>
              <w:top w:val="nil"/>
              <w:left w:val="nil"/>
              <w:bottom w:val="nil"/>
              <w:right w:val="nil"/>
            </w:tcBorders>
          </w:tcPr>
          <w:p w14:paraId="7398DBDE" w14:textId="77777777" w:rsidR="0018337E" w:rsidRPr="0018337E" w:rsidRDefault="0018337E" w:rsidP="0018337E">
            <w:pPr>
              <w:tabs>
                <w:tab w:val="right" w:pos="1440"/>
              </w:tabs>
              <w:autoSpaceDE w:val="0"/>
              <w:autoSpaceDN w:val="0"/>
              <w:adjustRightInd w:val="0"/>
              <w:spacing w:line="276" w:lineRule="auto"/>
              <w:rPr>
                <w:rFonts w:ascii="Arial" w:hAnsi="Arial" w:cs="Arial"/>
                <w:b/>
                <w:bCs/>
                <w:sz w:val="28"/>
                <w:szCs w:val="28"/>
                <w:lang w:val="en"/>
              </w:rPr>
            </w:pPr>
            <w:r w:rsidRPr="0018337E">
              <w:rPr>
                <w:rFonts w:ascii="Arial" w:hAnsi="Arial" w:cs="Arial"/>
                <w:bCs/>
                <w:sz w:val="28"/>
                <w:szCs w:val="28"/>
                <w:lang w:val="en"/>
              </w:rPr>
              <w:tab/>
              <w:t>Low</w:t>
            </w:r>
          </w:p>
        </w:tc>
        <w:tc>
          <w:tcPr>
            <w:tcW w:w="4275" w:type="pct"/>
            <w:gridSpan w:val="2"/>
            <w:tcBorders>
              <w:top w:val="single" w:sz="4" w:space="0" w:color="auto"/>
              <w:left w:val="nil"/>
              <w:bottom w:val="nil"/>
              <w:right w:val="nil"/>
            </w:tcBorders>
          </w:tcPr>
          <w:p w14:paraId="4A37BF2C"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cs="Arial"/>
                <w:bCs/>
                <w:lang w:val="en"/>
              </w:rPr>
            </w:pPr>
            <w:r w:rsidRPr="0018337E">
              <w:rPr>
                <w:rFonts w:ascii="Arial" w:hAnsi="Arial" w:cs="Arial"/>
                <w:bCs/>
                <w:lang w:val="en"/>
              </w:rPr>
              <w:t xml:space="preserve">SOCIAL </w:t>
            </w:r>
          </w:p>
          <w:p w14:paraId="57ADC7A3" w14:textId="79E0127F" w:rsidR="0018337E" w:rsidRPr="0018337E" w:rsidRDefault="0018337E" w:rsidP="0018337E">
            <w:pPr>
              <w:tabs>
                <w:tab w:val="center" w:pos="5337"/>
                <w:tab w:val="right" w:pos="11214"/>
              </w:tabs>
              <w:autoSpaceDE w:val="0"/>
              <w:autoSpaceDN w:val="0"/>
              <w:adjustRightInd w:val="0"/>
              <w:spacing w:line="276" w:lineRule="auto"/>
              <w:rPr>
                <w:bCs/>
                <w:lang w:val="en"/>
              </w:rPr>
            </w:pPr>
          </w:p>
        </w:tc>
      </w:tr>
    </w:tbl>
    <w:p w14:paraId="1B74A0CA" w14:textId="77777777" w:rsidR="0018337E" w:rsidRPr="0018337E" w:rsidRDefault="0018337E" w:rsidP="0018337E">
      <w:pPr>
        <w:spacing w:line="276" w:lineRule="auto"/>
        <w:rPr>
          <w:rFonts w:eastAsia="Arial" w:cs="Arial"/>
          <w:color w:val="auto"/>
          <w:szCs w:val="22"/>
          <w:lang w:val="en"/>
        </w:rPr>
        <w:sectPr w:rsidR="0018337E" w:rsidRPr="0018337E" w:rsidSect="00D86CCC">
          <w:type w:val="continuous"/>
          <w:pgSz w:w="15840" w:h="12240" w:orient="landscape"/>
          <w:pgMar w:top="1440" w:right="1440" w:bottom="1440" w:left="1440" w:header="720" w:footer="720" w:gutter="0"/>
          <w:cols w:space="720"/>
          <w:docGrid w:linePitch="360"/>
        </w:sectPr>
      </w:pPr>
    </w:p>
    <w:p w14:paraId="6DFC6D95" w14:textId="4F45E255" w:rsidR="00BC09A0" w:rsidRDefault="00BC09A0" w:rsidP="00BC09A0">
      <w:pPr>
        <w:ind w:firstLine="720"/>
        <w:contextualSpacing/>
        <w:rPr>
          <w:color w:val="auto"/>
        </w:rPr>
      </w:pPr>
      <w:r w:rsidRPr="0018337E">
        <w:rPr>
          <w:color w:val="auto"/>
        </w:rPr>
        <w:lastRenderedPageBreak/>
        <w:t>Many studies used the ECLS-K for their measure of AtL but were not consistent in the operationalization of AtL (see Figure 3). Across eight separate studies, AtL was operationalized to include aspects across four distinct quadrants, although there was considerable range within these. Common in all studies was the inclusion of some aspect</w:t>
      </w:r>
      <w:r w:rsidR="000B4B73">
        <w:rPr>
          <w:color w:val="auto"/>
        </w:rPr>
        <w:t>s</w:t>
      </w:r>
      <w:r w:rsidRPr="0018337E">
        <w:rPr>
          <w:color w:val="auto"/>
        </w:rPr>
        <w:t xml:space="preserve"> of attention. Five of the eight </w:t>
      </w:r>
    </w:p>
    <w:p w14:paraId="1408FEE2" w14:textId="59CEFFA9" w:rsidR="0018337E" w:rsidRPr="0018337E" w:rsidRDefault="0018337E" w:rsidP="0018337E">
      <w:pPr>
        <w:spacing w:after="160"/>
        <w:contextualSpacing/>
        <w:rPr>
          <w:color w:val="auto"/>
        </w:rPr>
      </w:pPr>
      <w:r w:rsidRPr="0018337E">
        <w:rPr>
          <w:color w:val="auto"/>
        </w:rPr>
        <w:t xml:space="preserve">studies similarly included persistence. The ECLS-K includes an item on pays attention as well as persists. Although the ECLS-K also includes an item on “easily adapts to changes in routines,” none of the operationalizations of AtL include this. The scale also does not mention interacting with peers, yet three studies include social skills—peer collaboration, participating in groups, and cooperating with others. Figure 3 demonstrates a lack of consistency in terms of these studies. </w:t>
      </w:r>
    </w:p>
    <w:p w14:paraId="3826DA47" w14:textId="20AE829E" w:rsidR="0018337E" w:rsidRPr="0018337E" w:rsidRDefault="0018337E" w:rsidP="0018337E">
      <w:pPr>
        <w:spacing w:after="160"/>
        <w:ind w:firstLine="720"/>
        <w:contextualSpacing/>
        <w:rPr>
          <w:color w:val="auto"/>
        </w:rPr>
      </w:pPr>
      <w:r w:rsidRPr="0018337E">
        <w:rPr>
          <w:color w:val="auto"/>
        </w:rPr>
        <w:t xml:space="preserve">One final area of misalignment was particular to one study. Hooper et al. </w:t>
      </w:r>
      <w:r w:rsidR="009A6864" w:rsidRPr="009A6864">
        <w:t>(2010)</w:t>
      </w:r>
      <w:r w:rsidRPr="0018337E">
        <w:rPr>
          <w:color w:val="auto"/>
        </w:rPr>
        <w:t xml:space="preserve"> used the term Approaches to Learning but operationalized it as attention. They described the desire to measure attention in young children, yet they used the ELCS-K AtL scale. </w:t>
      </w:r>
      <w:r w:rsidR="000B4B73">
        <w:rPr>
          <w:color w:val="auto"/>
        </w:rPr>
        <w:t>A</w:t>
      </w:r>
      <w:r w:rsidRPr="0018337E">
        <w:rPr>
          <w:color w:val="auto"/>
        </w:rPr>
        <w:t xml:space="preserve">lthough </w:t>
      </w:r>
      <w:r w:rsidR="000B4B73">
        <w:rPr>
          <w:color w:val="auto"/>
        </w:rPr>
        <w:t xml:space="preserve">the use of the </w:t>
      </w:r>
      <w:r w:rsidRPr="0018337E">
        <w:rPr>
          <w:color w:val="auto"/>
        </w:rPr>
        <w:t>term (AtL) and measurement (ECLS-K scale)</w:t>
      </w:r>
      <w:r w:rsidR="000B4B73">
        <w:rPr>
          <w:color w:val="auto"/>
        </w:rPr>
        <w:t xml:space="preserve"> was consistent, </w:t>
      </w:r>
      <w:r w:rsidRPr="0018337E">
        <w:rPr>
          <w:color w:val="auto"/>
        </w:rPr>
        <w:t>th</w:t>
      </w:r>
      <w:r w:rsidR="000B4B73">
        <w:rPr>
          <w:color w:val="auto"/>
        </w:rPr>
        <w:t>e</w:t>
      </w:r>
      <w:r w:rsidRPr="0018337E">
        <w:rPr>
          <w:color w:val="auto"/>
        </w:rPr>
        <w:t xml:space="preserve"> operationalization of AtL as attention is not in line with previous conceptualizations of AtL using the same scale. While the ELCS-K scale does include the item “pays attention well,” it also contains five other items that do not relate to attention. </w:t>
      </w:r>
    </w:p>
    <w:p w14:paraId="338913E9" w14:textId="62FB61A0" w:rsidR="00BB55FB" w:rsidRPr="0018337E" w:rsidRDefault="0018337E" w:rsidP="00BB55FB">
      <w:pPr>
        <w:spacing w:after="160"/>
        <w:contextualSpacing/>
        <w:rPr>
          <w:color w:val="2E2E2E"/>
        </w:rPr>
      </w:pPr>
      <w:r w:rsidRPr="0018337E">
        <w:rPr>
          <w:color w:val="FF0000"/>
        </w:rPr>
        <w:tab/>
      </w:r>
      <w:r w:rsidRPr="0018337E">
        <w:rPr>
          <w:color w:val="auto"/>
        </w:rPr>
        <w:t xml:space="preserve">While not misaligned, </w:t>
      </w:r>
      <w:proofErr w:type="spellStart"/>
      <w:r w:rsidRPr="0018337E">
        <w:rPr>
          <w:color w:val="auto"/>
        </w:rPr>
        <w:t>Bustamente’s</w:t>
      </w:r>
      <w:proofErr w:type="spellEnd"/>
      <w:r w:rsidRPr="0018337E">
        <w:rPr>
          <w:color w:val="auto"/>
        </w:rPr>
        <w:t xml:space="preserve"> inclusion of AtL in four separate studies is, at times, inconsistent across operationalization and measurement </w:t>
      </w:r>
      <w:r w:rsidR="009A6864" w:rsidRPr="009A6864">
        <w:t>(Bustamante &amp; Hindman, 2018, 2019; Bustamante et al., 2017; Bustamante, White, &amp; Greenfield, 2018)</w:t>
      </w:r>
      <w:r w:rsidRPr="0018337E">
        <w:rPr>
          <w:color w:val="auto"/>
        </w:rPr>
        <w:t xml:space="preserve">. In 2017 and 2018, he examined the link between AtL and preschool science. In 2017, Bustamante et al. described AtL as “motivation, persistence, initiative, and a positive disposition towards learning (p. 112). He measured AtL using the learning-to-learn scale. In 2018, he similarly described it as </w:t>
      </w:r>
      <w:r w:rsidRPr="0018337E">
        <w:rPr>
          <w:color w:val="2E2E2E"/>
        </w:rPr>
        <w:t xml:space="preserve">persistence, </w:t>
      </w:r>
      <w:r w:rsidRPr="0018337E">
        <w:rPr>
          <w:color w:val="auto"/>
        </w:rPr>
        <w:lastRenderedPageBreak/>
        <w:t xml:space="preserve">motivation, and flexible thinking, but went on to operationalize it using the subdomains of the learning-to-learn scale. He measured it using the learning-to-learn scale as he did in the previous study. In a separate study in 2018 with Hindman, </w:t>
      </w:r>
      <w:proofErr w:type="spellStart"/>
      <w:r w:rsidRPr="0018337E">
        <w:rPr>
          <w:color w:val="auto"/>
        </w:rPr>
        <w:t>Bustamente</w:t>
      </w:r>
      <w:proofErr w:type="spellEnd"/>
      <w:r w:rsidRPr="0018337E">
        <w:rPr>
          <w:color w:val="auto"/>
        </w:rPr>
        <w:t xml:space="preserve"> referred to Head Start’s definition of AtL as persistence, sustained focus, peer communication/collaboration, and openness to new</w:t>
      </w:r>
      <w:r w:rsidR="00BB55FB">
        <w:rPr>
          <w:color w:val="auto"/>
        </w:rPr>
        <w:t xml:space="preserve"> </w:t>
      </w:r>
      <w:r w:rsidR="00BB55FB" w:rsidRPr="0018337E">
        <w:rPr>
          <w:color w:val="2E2E2E"/>
        </w:rPr>
        <w:t>and challenging experiences. In this study, Bustamante used a nationally representative dataset that employed the AtL scale used in the ELCS-K. In 2019, Bustamante and Hindman described AtL as “investigating a new idea, solving a problem that arises in a challenging activity, or working collaboratively with adults or peers to complete an assignment” (p. 3). Although they describe the discrete components of AtL as those subscales of the learning-to-learn scale, they measure AtL using the ECLS-K scale. Acknowledging the limitations of using nationally representative data with pre-existing measures selected, it seems misaligned to describe AtL as measured one way but operationalized another. Interestingly, in 2019, Bustamante and Hindman state, “s</w:t>
      </w:r>
      <w:r w:rsidR="00BB55FB" w:rsidRPr="0018337E">
        <w:rPr>
          <w:color w:val="auto"/>
        </w:rPr>
        <w:t>imply put, approaches to learning skills can be thought of as applications of executive functioning and social-emotional skills to independent and collaborative learning situations across a wide range of domains</w:t>
      </w:r>
      <w:r w:rsidR="00BB55FB">
        <w:rPr>
          <w:color w:val="auto"/>
        </w:rPr>
        <w:t>”</w:t>
      </w:r>
      <w:r w:rsidR="00BB55FB" w:rsidRPr="0018337E">
        <w:rPr>
          <w:color w:val="auto"/>
        </w:rPr>
        <w:t xml:space="preserve"> (p. 5). This</w:t>
      </w:r>
      <w:r w:rsidR="000B4B73">
        <w:rPr>
          <w:color w:val="auto"/>
        </w:rPr>
        <w:t xml:space="preserve"> description </w:t>
      </w:r>
      <w:r w:rsidR="00BB55FB" w:rsidRPr="0018337E">
        <w:rPr>
          <w:color w:val="auto"/>
        </w:rPr>
        <w:t xml:space="preserve">highlights the positioning of AtL as a manifestation of executive function and omits aspects of initiative, creativity, and problem-solving. </w:t>
      </w:r>
    </w:p>
    <w:p w14:paraId="459095C8" w14:textId="2CCD9E73" w:rsidR="0018337E" w:rsidRPr="0018337E" w:rsidRDefault="0018337E" w:rsidP="0018337E">
      <w:pPr>
        <w:spacing w:after="160"/>
        <w:contextualSpacing/>
        <w:rPr>
          <w:color w:val="auto"/>
        </w:rPr>
        <w:sectPr w:rsidR="0018337E" w:rsidRPr="0018337E" w:rsidSect="00D86CCC">
          <w:type w:val="continuous"/>
          <w:pgSz w:w="12240" w:h="15840"/>
          <w:pgMar w:top="1440" w:right="1440" w:bottom="1440" w:left="1440" w:header="720" w:footer="720" w:gutter="0"/>
          <w:cols w:space="720"/>
          <w:docGrid w:linePitch="360"/>
        </w:sectPr>
      </w:pPr>
    </w:p>
    <w:tbl>
      <w:tblPr>
        <w:tblStyle w:val="TableGrid7"/>
        <w:tblW w:w="5000" w:type="pct"/>
        <w:tblLook w:val="04A0" w:firstRow="1" w:lastRow="0" w:firstColumn="1" w:lastColumn="0" w:noHBand="0" w:noVBand="1"/>
      </w:tblPr>
      <w:tblGrid>
        <w:gridCol w:w="1817"/>
        <w:gridCol w:w="5798"/>
        <w:gridCol w:w="5345"/>
      </w:tblGrid>
      <w:tr w:rsidR="0018337E" w:rsidRPr="0018337E" w14:paraId="5A4E5AEC" w14:textId="77777777" w:rsidTr="0085520F">
        <w:trPr>
          <w:trHeight w:val="4140"/>
        </w:trPr>
        <w:tc>
          <w:tcPr>
            <w:tcW w:w="701" w:type="pct"/>
            <w:vMerge w:val="restart"/>
            <w:tcBorders>
              <w:top w:val="nil"/>
              <w:left w:val="nil"/>
              <w:right w:val="single" w:sz="4" w:space="0" w:color="auto"/>
            </w:tcBorders>
          </w:tcPr>
          <w:p w14:paraId="56CEF824" w14:textId="77777777"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r w:rsidRPr="0018337E">
              <w:rPr>
                <w:rFonts w:ascii="Arial" w:hAnsi="Arial" w:cs="Arial"/>
                <w:bCs/>
                <w:sz w:val="28"/>
                <w:szCs w:val="28"/>
                <w:lang w:val="en"/>
              </w:rPr>
              <w:lastRenderedPageBreak/>
              <w:tab/>
              <w:t>High</w:t>
            </w:r>
          </w:p>
          <w:p w14:paraId="5D1258CA"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p w14:paraId="23E523D0"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p w14:paraId="289BA1A7"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tbl>
            <w:tblPr>
              <w:tblStyle w:val="TableGrid7"/>
              <w:tblW w:w="257" w:type="dxa"/>
              <w:tblInd w:w="1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
            </w:tblGrid>
            <w:tr w:rsidR="0018337E" w:rsidRPr="0018337E" w14:paraId="1A5A3922" w14:textId="77777777" w:rsidTr="0018337E">
              <w:trPr>
                <w:cantSplit/>
                <w:trHeight w:val="1134"/>
              </w:trPr>
              <w:tc>
                <w:tcPr>
                  <w:tcW w:w="257" w:type="dxa"/>
                </w:tcPr>
                <w:p w14:paraId="75955B42"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cs="Arial"/>
                      <w:bCs/>
                      <w:lang w:val="en"/>
                    </w:rPr>
                  </w:pPr>
                  <w:r w:rsidRPr="0018337E">
                    <w:rPr>
                      <w:rFonts w:ascii="Arial" w:hAnsi="Arial" w:cs="Arial"/>
                      <w:bCs/>
                      <w:lang w:val="en"/>
                    </w:rPr>
                    <w:t>E M O T I O N</w:t>
                  </w:r>
                </w:p>
                <w:p w14:paraId="7DDAD9C6"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cs="Arial"/>
                      <w:bCs/>
                      <w:lang w:val="en"/>
                    </w:rPr>
                  </w:pPr>
                  <w:r w:rsidRPr="0018337E">
                    <w:rPr>
                      <w:rFonts w:ascii="Arial" w:hAnsi="Arial" w:cs="Arial"/>
                      <w:bCs/>
                      <w:lang w:val="en"/>
                    </w:rPr>
                    <w:t>A</w:t>
                  </w:r>
                </w:p>
                <w:p w14:paraId="4FE18939"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cs="Arial"/>
                      <w:bCs/>
                      <w:lang w:val="en"/>
                    </w:rPr>
                  </w:pPr>
                  <w:r w:rsidRPr="0018337E">
                    <w:rPr>
                      <w:rFonts w:ascii="Arial" w:hAnsi="Arial" w:cs="Arial"/>
                      <w:bCs/>
                      <w:lang w:val="en"/>
                    </w:rPr>
                    <w:t>L</w:t>
                  </w:r>
                </w:p>
              </w:tc>
            </w:tr>
          </w:tbl>
          <w:p w14:paraId="124E96A2" w14:textId="77777777" w:rsidR="0018337E" w:rsidRPr="0018337E" w:rsidRDefault="0018337E" w:rsidP="0018337E">
            <w:pPr>
              <w:tabs>
                <w:tab w:val="right" w:pos="2538"/>
              </w:tabs>
              <w:autoSpaceDE w:val="0"/>
              <w:autoSpaceDN w:val="0"/>
              <w:adjustRightInd w:val="0"/>
              <w:spacing w:line="276" w:lineRule="auto"/>
              <w:ind w:right="162"/>
              <w:rPr>
                <w:rFonts w:ascii="Arial" w:hAnsi="Arial" w:cs="Arial"/>
                <w:bCs/>
                <w:sz w:val="28"/>
                <w:szCs w:val="28"/>
                <w:lang w:val="en"/>
              </w:rPr>
            </w:pPr>
          </w:p>
          <w:p w14:paraId="6BF5910D" w14:textId="1BD6C685"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46CA9583" w14:textId="1F0C853F"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64D68ABE" w14:textId="77777777"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15959828" w14:textId="77777777"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p>
        </w:tc>
        <w:tc>
          <w:tcPr>
            <w:tcW w:w="2237" w:type="pct"/>
            <w:tcBorders>
              <w:top w:val="nil"/>
              <w:left w:val="single" w:sz="4" w:space="0" w:color="auto"/>
            </w:tcBorders>
            <w:vAlign w:val="center"/>
          </w:tcPr>
          <w:p w14:paraId="26FAF70C"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04E449E6"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44F3BB6B"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5569E0EB"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59E68A89"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7C5D8A93"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2B9A1D51"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52638644" w14:textId="77777777" w:rsidR="0018337E" w:rsidRPr="0018337E" w:rsidRDefault="0018337E" w:rsidP="0018337E">
            <w:pPr>
              <w:autoSpaceDE w:val="0"/>
              <w:autoSpaceDN w:val="0"/>
              <w:adjustRightInd w:val="0"/>
              <w:spacing w:line="276" w:lineRule="auto"/>
              <w:jc w:val="center"/>
              <w:rPr>
                <w:rFonts w:ascii="Arial" w:hAnsi="Arial" w:cs="Arial"/>
                <w:b/>
                <w:bCs/>
                <w:color w:val="FF0000"/>
                <w:lang w:val="en"/>
              </w:rPr>
            </w:pPr>
          </w:p>
        </w:tc>
        <w:tc>
          <w:tcPr>
            <w:tcW w:w="2062" w:type="pct"/>
            <w:tcBorders>
              <w:top w:val="nil"/>
              <w:right w:val="nil"/>
            </w:tcBorders>
            <w:vAlign w:val="center"/>
          </w:tcPr>
          <w:p w14:paraId="4F22B060" w14:textId="77777777" w:rsidR="0018337E" w:rsidRPr="0018337E" w:rsidRDefault="0018337E" w:rsidP="0018337E">
            <w:pPr>
              <w:autoSpaceDE w:val="0"/>
              <w:autoSpaceDN w:val="0"/>
              <w:adjustRightInd w:val="0"/>
              <w:spacing w:line="276" w:lineRule="auto"/>
              <w:rPr>
                <w:lang w:val="en"/>
              </w:rPr>
            </w:pPr>
            <w:r w:rsidRPr="0018337E">
              <w:rPr>
                <w:lang w:val="en"/>
              </w:rPr>
              <w:t>Persistence</w:t>
            </w:r>
          </w:p>
          <w:p w14:paraId="00D52C45" w14:textId="77777777" w:rsidR="0018337E" w:rsidRPr="0018337E" w:rsidRDefault="0018337E" w:rsidP="0018337E">
            <w:pPr>
              <w:autoSpaceDE w:val="0"/>
              <w:autoSpaceDN w:val="0"/>
              <w:adjustRightInd w:val="0"/>
              <w:spacing w:line="276" w:lineRule="auto"/>
              <w:rPr>
                <w:color w:val="7030A0"/>
                <w:lang w:val="en"/>
              </w:rPr>
            </w:pPr>
            <w:r w:rsidRPr="0018337E">
              <w:rPr>
                <w:color w:val="7030A0"/>
                <w:lang w:val="en"/>
              </w:rPr>
              <w:t>Persistence</w:t>
            </w:r>
          </w:p>
          <w:p w14:paraId="0D0FFAEF" w14:textId="77777777" w:rsidR="0018337E" w:rsidRPr="0018337E" w:rsidRDefault="0018337E" w:rsidP="0018337E">
            <w:pPr>
              <w:autoSpaceDE w:val="0"/>
              <w:autoSpaceDN w:val="0"/>
              <w:adjustRightInd w:val="0"/>
              <w:spacing w:line="276" w:lineRule="auto"/>
              <w:rPr>
                <w:color w:val="00B050"/>
                <w:lang w:val="en"/>
              </w:rPr>
            </w:pPr>
            <w:r w:rsidRPr="0018337E">
              <w:rPr>
                <w:color w:val="00B050"/>
                <w:lang w:val="en"/>
              </w:rPr>
              <w:t>Persistence</w:t>
            </w:r>
          </w:p>
          <w:p w14:paraId="391A4837" w14:textId="2F4980B1" w:rsidR="0018337E" w:rsidRPr="0018337E" w:rsidRDefault="0018337E" w:rsidP="0018337E">
            <w:pPr>
              <w:autoSpaceDE w:val="0"/>
              <w:autoSpaceDN w:val="0"/>
              <w:adjustRightInd w:val="0"/>
              <w:spacing w:line="276" w:lineRule="auto"/>
              <w:rPr>
                <w:color w:val="00B050"/>
                <w:lang w:val="en"/>
              </w:rPr>
            </w:pPr>
            <w:r w:rsidRPr="0018337E">
              <w:rPr>
                <w:color w:val="00B050"/>
                <w:lang w:val="en"/>
              </w:rPr>
              <w:t>Openness to new experiences</w:t>
            </w:r>
            <w:r w:rsidR="007C1CBE">
              <w:rPr>
                <w:color w:val="00B050"/>
                <w:lang w:val="en"/>
              </w:rPr>
              <w:t xml:space="preserve"> </w:t>
            </w:r>
          </w:p>
          <w:p w14:paraId="40513D76" w14:textId="77777777" w:rsidR="0018337E" w:rsidRPr="0018337E" w:rsidRDefault="0018337E" w:rsidP="0018337E">
            <w:pPr>
              <w:autoSpaceDE w:val="0"/>
              <w:autoSpaceDN w:val="0"/>
              <w:adjustRightInd w:val="0"/>
              <w:spacing w:line="276" w:lineRule="auto"/>
              <w:rPr>
                <w:color w:val="FF0000"/>
                <w:lang w:val="en"/>
              </w:rPr>
            </w:pPr>
            <w:r w:rsidRPr="0018337E">
              <w:rPr>
                <w:color w:val="FF0000"/>
                <w:lang w:val="en"/>
              </w:rPr>
              <w:t>Persistence</w:t>
            </w:r>
          </w:p>
          <w:p w14:paraId="07AFA100" w14:textId="77777777" w:rsidR="0018337E" w:rsidRPr="0018337E" w:rsidRDefault="0018337E" w:rsidP="0018337E">
            <w:pPr>
              <w:autoSpaceDE w:val="0"/>
              <w:autoSpaceDN w:val="0"/>
              <w:adjustRightInd w:val="0"/>
              <w:spacing w:line="276" w:lineRule="auto"/>
              <w:rPr>
                <w:color w:val="FF0000"/>
                <w:lang w:val="en"/>
              </w:rPr>
            </w:pPr>
            <w:r w:rsidRPr="0018337E">
              <w:rPr>
                <w:color w:val="FF0000"/>
                <w:lang w:val="en"/>
              </w:rPr>
              <w:t>Flexibility</w:t>
            </w:r>
          </w:p>
          <w:p w14:paraId="77C03B43" w14:textId="77777777" w:rsidR="0018337E" w:rsidRPr="0018337E" w:rsidRDefault="0018337E" w:rsidP="0018337E">
            <w:pPr>
              <w:autoSpaceDE w:val="0"/>
              <w:autoSpaceDN w:val="0"/>
              <w:adjustRightInd w:val="0"/>
              <w:spacing w:line="276" w:lineRule="auto"/>
              <w:rPr>
                <w:color w:val="FFC000"/>
                <w:lang w:val="en"/>
              </w:rPr>
            </w:pPr>
            <w:r w:rsidRPr="0018337E">
              <w:rPr>
                <w:color w:val="FFC000"/>
                <w:lang w:val="en"/>
              </w:rPr>
              <w:t>Persistence</w:t>
            </w:r>
          </w:p>
          <w:p w14:paraId="24AE775F" w14:textId="77777777" w:rsidR="0018337E" w:rsidRPr="0018337E" w:rsidRDefault="0018337E" w:rsidP="0018337E">
            <w:pPr>
              <w:spacing w:line="276" w:lineRule="auto"/>
              <w:rPr>
                <w:rFonts w:cs="Arial"/>
                <w:color w:val="FF00FF"/>
                <w:lang w:val="en"/>
              </w:rPr>
            </w:pPr>
            <w:r w:rsidRPr="0018337E">
              <w:rPr>
                <w:rFonts w:cs="Arial"/>
                <w:color w:val="FF00FF"/>
                <w:lang w:val="en"/>
              </w:rPr>
              <w:t>Selective challenging tasks</w:t>
            </w:r>
          </w:p>
          <w:p w14:paraId="54263F11" w14:textId="09BADCA3" w:rsidR="0018337E" w:rsidRPr="0018337E" w:rsidRDefault="0018337E" w:rsidP="0018337E">
            <w:pPr>
              <w:autoSpaceDE w:val="0"/>
              <w:autoSpaceDN w:val="0"/>
              <w:adjustRightInd w:val="0"/>
              <w:spacing w:line="276" w:lineRule="auto"/>
              <w:rPr>
                <w:b/>
                <w:bCs/>
                <w:lang w:val="en"/>
              </w:rPr>
            </w:pPr>
            <w:r w:rsidRPr="0018337E">
              <w:rPr>
                <w:rFonts w:cs="Arial"/>
                <w:color w:val="FF00FF"/>
                <w:lang w:val="en"/>
              </w:rPr>
              <w:t>Exer</w:t>
            </w:r>
            <w:r w:rsidR="000B4B73">
              <w:rPr>
                <w:rFonts w:cs="Arial"/>
                <w:color w:val="FF00FF"/>
                <w:lang w:val="en"/>
              </w:rPr>
              <w:t>t</w:t>
            </w:r>
            <w:r w:rsidRPr="0018337E">
              <w:rPr>
                <w:rFonts w:cs="Arial"/>
                <w:color w:val="FF00FF"/>
                <w:lang w:val="en"/>
              </w:rPr>
              <w:t>ing intense effort</w:t>
            </w:r>
          </w:p>
        </w:tc>
      </w:tr>
      <w:tr w:rsidR="0018337E" w:rsidRPr="0018337E" w14:paraId="3A6609E6" w14:textId="77777777" w:rsidTr="0085520F">
        <w:trPr>
          <w:trHeight w:val="3240"/>
        </w:trPr>
        <w:tc>
          <w:tcPr>
            <w:tcW w:w="701" w:type="pct"/>
            <w:vMerge/>
            <w:tcBorders>
              <w:left w:val="nil"/>
              <w:bottom w:val="nil"/>
              <w:right w:val="single" w:sz="4" w:space="0" w:color="auto"/>
            </w:tcBorders>
          </w:tcPr>
          <w:p w14:paraId="0B02F138" w14:textId="77777777"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p>
        </w:tc>
        <w:tc>
          <w:tcPr>
            <w:tcW w:w="2237" w:type="pct"/>
            <w:tcBorders>
              <w:top w:val="nil"/>
              <w:left w:val="single" w:sz="4" w:space="0" w:color="auto"/>
            </w:tcBorders>
            <w:vAlign w:val="center"/>
          </w:tcPr>
          <w:p w14:paraId="0AECB0E3" w14:textId="198AA899" w:rsidR="0018337E" w:rsidRPr="0018337E" w:rsidRDefault="0085520F" w:rsidP="0018337E">
            <w:pPr>
              <w:autoSpaceDE w:val="0"/>
              <w:autoSpaceDN w:val="0"/>
              <w:adjustRightInd w:val="0"/>
              <w:spacing w:line="276" w:lineRule="auto"/>
              <w:jc w:val="center"/>
              <w:rPr>
                <w:rFonts w:ascii="Arial" w:hAnsi="Arial" w:cs="Arial"/>
                <w:b/>
                <w:bCs/>
                <w:lang w:val="en"/>
              </w:rPr>
            </w:pPr>
            <w:r w:rsidRPr="0018337E">
              <w:rPr>
                <w:rFonts w:cs="Arial"/>
                <w:noProof/>
                <w:lang w:val="en"/>
              </w:rPr>
              <mc:AlternateContent>
                <mc:Choice Requires="wps">
                  <w:drawing>
                    <wp:anchor distT="45720" distB="45720" distL="114300" distR="114300" simplePos="0" relativeHeight="251676672" behindDoc="0" locked="0" layoutInCell="1" allowOverlap="1" wp14:anchorId="1A39D0C1" wp14:editId="44862BA9">
                      <wp:simplePos x="0" y="0"/>
                      <wp:positionH relativeFrom="column">
                        <wp:posOffset>-301625</wp:posOffset>
                      </wp:positionH>
                      <wp:positionV relativeFrom="paragraph">
                        <wp:posOffset>-55880</wp:posOffset>
                      </wp:positionV>
                      <wp:extent cx="1940560" cy="1535430"/>
                      <wp:effectExtent l="0" t="0" r="21590" b="266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0560" cy="1535430"/>
                              </a:xfrm>
                              <a:prstGeom prst="rect">
                                <a:avLst/>
                              </a:prstGeom>
                              <a:solidFill>
                                <a:srgbClr val="FFFFFF"/>
                              </a:solidFill>
                              <a:ln w="9525">
                                <a:solidFill>
                                  <a:srgbClr val="000000"/>
                                </a:solidFill>
                                <a:miter lim="800000"/>
                                <a:headEnd/>
                                <a:tailEnd/>
                              </a:ln>
                            </wps:spPr>
                            <wps:txbx>
                              <w:txbxContent>
                                <w:p w14:paraId="1BB3ABE5" w14:textId="77777777" w:rsidR="00DE2FE4" w:rsidRPr="00E73279" w:rsidRDefault="00DE2FE4" w:rsidP="0018337E">
                                  <w:pPr>
                                    <w:spacing w:line="240" w:lineRule="auto"/>
                                    <w:contextualSpacing/>
                                  </w:pPr>
                                  <w:r w:rsidRPr="00E73279">
                                    <w:t xml:space="preserve">Legend of Studies: </w:t>
                                  </w:r>
                                </w:p>
                                <w:p w14:paraId="56D62697" w14:textId="77777777" w:rsidR="00DE2FE4" w:rsidRPr="00E73279" w:rsidRDefault="00DE2FE4" w:rsidP="0018337E">
                                  <w:pPr>
                                    <w:spacing w:line="240" w:lineRule="auto"/>
                                    <w:contextualSpacing/>
                                  </w:pPr>
                                  <w:r w:rsidRPr="00E73279">
                                    <w:t>Black: Bumgarner</w:t>
                                  </w:r>
                                </w:p>
                                <w:p w14:paraId="709343BF" w14:textId="77777777" w:rsidR="00DE2FE4" w:rsidRPr="00E73279" w:rsidRDefault="00DE2FE4" w:rsidP="0018337E">
                                  <w:pPr>
                                    <w:spacing w:line="240" w:lineRule="auto"/>
                                    <w:contextualSpacing/>
                                  </w:pPr>
                                  <w:r w:rsidRPr="00E73279">
                                    <w:t xml:space="preserve">Blue: Elliot </w:t>
                                  </w:r>
                                </w:p>
                                <w:p w14:paraId="5C9AEEDF" w14:textId="77777777" w:rsidR="00DE2FE4" w:rsidRPr="00E73279" w:rsidRDefault="00DE2FE4" w:rsidP="0018337E">
                                  <w:pPr>
                                    <w:spacing w:line="240" w:lineRule="auto"/>
                                    <w:contextualSpacing/>
                                  </w:pPr>
                                  <w:r w:rsidRPr="00E73279">
                                    <w:t>Green: Bustamante</w:t>
                                  </w:r>
                                </w:p>
                                <w:p w14:paraId="3ECABDD9" w14:textId="77777777" w:rsidR="00DE2FE4" w:rsidRPr="00E73279" w:rsidRDefault="00DE2FE4" w:rsidP="0018337E">
                                  <w:pPr>
                                    <w:spacing w:line="240" w:lineRule="auto"/>
                                    <w:contextualSpacing/>
                                  </w:pPr>
                                  <w:r w:rsidRPr="00E73279">
                                    <w:t xml:space="preserve">Purple: DiPerna </w:t>
                                  </w:r>
                                </w:p>
                                <w:p w14:paraId="02E209B3" w14:textId="77777777" w:rsidR="00DE2FE4" w:rsidRPr="00E73279" w:rsidRDefault="00DE2FE4" w:rsidP="0018337E">
                                  <w:pPr>
                                    <w:spacing w:line="240" w:lineRule="auto"/>
                                    <w:contextualSpacing/>
                                  </w:pPr>
                                  <w:r w:rsidRPr="00E73279">
                                    <w:t xml:space="preserve">Red: Li-Grinning </w:t>
                                  </w:r>
                                </w:p>
                                <w:p w14:paraId="349ABFAA" w14:textId="77777777" w:rsidR="00DE2FE4" w:rsidRPr="00E73279" w:rsidRDefault="00DE2FE4" w:rsidP="0018337E">
                                  <w:pPr>
                                    <w:spacing w:line="240" w:lineRule="auto"/>
                                    <w:contextualSpacing/>
                                  </w:pPr>
                                  <w:r w:rsidRPr="00E73279">
                                    <w:t xml:space="preserve">Orange: Morgan </w:t>
                                  </w:r>
                                </w:p>
                                <w:p w14:paraId="2FB7B9F9" w14:textId="77777777" w:rsidR="00DE2FE4" w:rsidRPr="00E73279" w:rsidRDefault="00DE2FE4" w:rsidP="0018337E">
                                  <w:pPr>
                                    <w:spacing w:line="240" w:lineRule="auto"/>
                                    <w:contextualSpacing/>
                                  </w:pPr>
                                  <w:r w:rsidRPr="00E73279">
                                    <w:t xml:space="preserve">Pink: Robinson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9D0C1" id="_x0000_s1028" type="#_x0000_t202" style="position:absolute;left:0;text-align:left;margin-left:-23.75pt;margin-top:-4.4pt;width:152.8pt;height:120.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">
                      <v:textbox>
                        <w:txbxContent>
                          <w:p w14:paraId="1BB3ABE5" w14:textId="77777777" w:rsidR="00DE2FE4" w:rsidRPr="00E73279" w:rsidRDefault="00DE2FE4" w:rsidP="0018337E">
                            <w:pPr>
                              <w:spacing w:line="240" w:lineRule="auto"/>
                              <w:contextualSpacing/>
                            </w:pPr>
                            <w:r w:rsidRPr="00E73279">
                              <w:t xml:space="preserve">Legend of Studies: </w:t>
                            </w:r>
                          </w:p>
                          <w:p w14:paraId="56D62697" w14:textId="77777777" w:rsidR="00DE2FE4" w:rsidRPr="00E73279" w:rsidRDefault="00DE2FE4" w:rsidP="0018337E">
                            <w:pPr>
                              <w:spacing w:line="240" w:lineRule="auto"/>
                              <w:contextualSpacing/>
                            </w:pPr>
                            <w:r w:rsidRPr="00E73279">
                              <w:t>Black: Bumgarner</w:t>
                            </w:r>
                          </w:p>
                          <w:p w14:paraId="709343BF" w14:textId="77777777" w:rsidR="00DE2FE4" w:rsidRPr="00E73279" w:rsidRDefault="00DE2FE4" w:rsidP="0018337E">
                            <w:pPr>
                              <w:spacing w:line="240" w:lineRule="auto"/>
                              <w:contextualSpacing/>
                            </w:pPr>
                            <w:r w:rsidRPr="00E73279">
                              <w:t xml:space="preserve">Blue: Elliot </w:t>
                            </w:r>
                          </w:p>
                          <w:p w14:paraId="5C9AEEDF" w14:textId="77777777" w:rsidR="00DE2FE4" w:rsidRPr="00E73279" w:rsidRDefault="00DE2FE4" w:rsidP="0018337E">
                            <w:pPr>
                              <w:spacing w:line="240" w:lineRule="auto"/>
                              <w:contextualSpacing/>
                            </w:pPr>
                            <w:r w:rsidRPr="00E73279">
                              <w:t>Green: Bustamante</w:t>
                            </w:r>
                          </w:p>
                          <w:p w14:paraId="3ECABDD9" w14:textId="77777777" w:rsidR="00DE2FE4" w:rsidRPr="00E73279" w:rsidRDefault="00DE2FE4" w:rsidP="0018337E">
                            <w:pPr>
                              <w:spacing w:line="240" w:lineRule="auto"/>
                              <w:contextualSpacing/>
                            </w:pPr>
                            <w:r w:rsidRPr="00E73279">
                              <w:t xml:space="preserve">Purple: DiPerna </w:t>
                            </w:r>
                          </w:p>
                          <w:p w14:paraId="02E209B3" w14:textId="77777777" w:rsidR="00DE2FE4" w:rsidRPr="00E73279" w:rsidRDefault="00DE2FE4" w:rsidP="0018337E">
                            <w:pPr>
                              <w:spacing w:line="240" w:lineRule="auto"/>
                              <w:contextualSpacing/>
                            </w:pPr>
                            <w:r w:rsidRPr="00E73279">
                              <w:t xml:space="preserve">Red: Li-Grinning </w:t>
                            </w:r>
                          </w:p>
                          <w:p w14:paraId="349ABFAA" w14:textId="77777777" w:rsidR="00DE2FE4" w:rsidRPr="00E73279" w:rsidRDefault="00DE2FE4" w:rsidP="0018337E">
                            <w:pPr>
                              <w:spacing w:line="240" w:lineRule="auto"/>
                              <w:contextualSpacing/>
                            </w:pPr>
                            <w:r w:rsidRPr="00E73279">
                              <w:t xml:space="preserve">Orange: Morgan </w:t>
                            </w:r>
                          </w:p>
                          <w:p w14:paraId="2FB7B9F9" w14:textId="77777777" w:rsidR="00DE2FE4" w:rsidRPr="00E73279" w:rsidRDefault="00DE2FE4" w:rsidP="0018337E">
                            <w:pPr>
                              <w:spacing w:line="240" w:lineRule="auto"/>
                              <w:contextualSpacing/>
                            </w:pPr>
                            <w:r w:rsidRPr="00E73279">
                              <w:t xml:space="preserve">Pink: Robinson </w:t>
                            </w:r>
                          </w:p>
                        </w:txbxContent>
                      </v:textbox>
                    </v:shape>
                  </w:pict>
                </mc:Fallback>
              </mc:AlternateContent>
            </w:r>
          </w:p>
          <w:p w14:paraId="354AA924"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0C479828"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31A4F459"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203ECE8E"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2486D75C"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6400999E"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06124142" w14:textId="77777777" w:rsidR="0018337E" w:rsidRPr="0018337E" w:rsidRDefault="0018337E" w:rsidP="0018337E">
            <w:pPr>
              <w:autoSpaceDE w:val="0"/>
              <w:autoSpaceDN w:val="0"/>
              <w:adjustRightInd w:val="0"/>
              <w:spacing w:line="276" w:lineRule="auto"/>
              <w:jc w:val="center"/>
              <w:rPr>
                <w:rFonts w:ascii="Arial" w:hAnsi="Arial" w:cs="Arial"/>
                <w:b/>
                <w:bCs/>
                <w:lang w:val="en"/>
              </w:rPr>
            </w:pPr>
          </w:p>
          <w:p w14:paraId="055E21F3" w14:textId="77777777" w:rsidR="0018337E" w:rsidRPr="0018337E" w:rsidRDefault="0018337E" w:rsidP="0018337E">
            <w:pPr>
              <w:autoSpaceDE w:val="0"/>
              <w:autoSpaceDN w:val="0"/>
              <w:adjustRightInd w:val="0"/>
              <w:spacing w:line="276" w:lineRule="auto"/>
              <w:jc w:val="center"/>
              <w:rPr>
                <w:rFonts w:ascii="Arial" w:hAnsi="Arial" w:cs="Arial"/>
                <w:b/>
                <w:bCs/>
                <w:color w:val="A6A6A6" w:themeColor="background1" w:themeShade="A6"/>
                <w:lang w:val="en"/>
              </w:rPr>
            </w:pPr>
          </w:p>
        </w:tc>
        <w:tc>
          <w:tcPr>
            <w:tcW w:w="2062" w:type="pct"/>
            <w:tcBorders>
              <w:right w:val="nil"/>
            </w:tcBorders>
            <w:vAlign w:val="center"/>
          </w:tcPr>
          <w:p w14:paraId="074917C2" w14:textId="77777777" w:rsidR="0018337E" w:rsidRPr="0018337E" w:rsidRDefault="0018337E" w:rsidP="0018337E">
            <w:pPr>
              <w:autoSpaceDE w:val="0"/>
              <w:autoSpaceDN w:val="0"/>
              <w:adjustRightInd w:val="0"/>
              <w:spacing w:line="276" w:lineRule="auto"/>
              <w:rPr>
                <w:color w:val="FF00FF"/>
                <w:lang w:val="en"/>
              </w:rPr>
            </w:pPr>
            <w:r w:rsidRPr="0018337E">
              <w:rPr>
                <w:color w:val="FF00FF"/>
                <w:lang w:val="en"/>
              </w:rPr>
              <w:t xml:space="preserve">Concentration </w:t>
            </w:r>
          </w:p>
          <w:p w14:paraId="1A2134F6" w14:textId="77777777" w:rsidR="0018337E" w:rsidRPr="0018337E" w:rsidRDefault="0018337E" w:rsidP="0018337E">
            <w:pPr>
              <w:autoSpaceDE w:val="0"/>
              <w:autoSpaceDN w:val="0"/>
              <w:adjustRightInd w:val="0"/>
              <w:spacing w:line="276" w:lineRule="auto"/>
              <w:rPr>
                <w:rFonts w:cs="Arial"/>
                <w:color w:val="F4B083" w:themeColor="accent2" w:themeTint="99"/>
                <w:lang w:val="en"/>
              </w:rPr>
            </w:pPr>
            <w:r w:rsidRPr="0018337E">
              <w:rPr>
                <w:rFonts w:cs="Arial"/>
                <w:color w:val="F4B083" w:themeColor="accent2" w:themeTint="99"/>
                <w:lang w:val="en"/>
              </w:rPr>
              <w:t>Attentiveness</w:t>
            </w:r>
          </w:p>
          <w:p w14:paraId="06F97FC9" w14:textId="77777777" w:rsidR="0018337E" w:rsidRPr="0018337E" w:rsidRDefault="0018337E" w:rsidP="0018337E">
            <w:pPr>
              <w:autoSpaceDE w:val="0"/>
              <w:autoSpaceDN w:val="0"/>
              <w:adjustRightInd w:val="0"/>
              <w:spacing w:line="276" w:lineRule="auto"/>
              <w:rPr>
                <w:rFonts w:cs="Arial"/>
                <w:color w:val="FF0000"/>
                <w:lang w:val="en"/>
              </w:rPr>
            </w:pPr>
            <w:r w:rsidRPr="0018337E">
              <w:rPr>
                <w:rFonts w:cs="Arial"/>
                <w:color w:val="FF0000"/>
                <w:lang w:val="en"/>
              </w:rPr>
              <w:t>Attentiveness</w:t>
            </w:r>
          </w:p>
          <w:p w14:paraId="2CA80143" w14:textId="77777777" w:rsidR="0018337E" w:rsidRPr="0018337E" w:rsidRDefault="0018337E" w:rsidP="0018337E">
            <w:pPr>
              <w:spacing w:line="276" w:lineRule="auto"/>
              <w:rPr>
                <w:rFonts w:cs="Arial"/>
                <w:color w:val="0070C0"/>
                <w:lang w:val="en"/>
              </w:rPr>
            </w:pPr>
            <w:r w:rsidRPr="0018337E">
              <w:rPr>
                <w:rFonts w:cs="Arial"/>
                <w:color w:val="0070C0"/>
                <w:lang w:val="en"/>
              </w:rPr>
              <w:t xml:space="preserve">Remain focused/engaged </w:t>
            </w:r>
          </w:p>
          <w:p w14:paraId="44452681" w14:textId="60AF0D5D" w:rsidR="0018337E" w:rsidRPr="0018337E" w:rsidRDefault="0018337E" w:rsidP="0018337E">
            <w:pPr>
              <w:autoSpaceDE w:val="0"/>
              <w:autoSpaceDN w:val="0"/>
              <w:adjustRightInd w:val="0"/>
              <w:spacing w:line="276" w:lineRule="auto"/>
              <w:rPr>
                <w:rFonts w:cs="Arial"/>
                <w:color w:val="0070C0"/>
                <w:lang w:val="en"/>
              </w:rPr>
            </w:pPr>
            <w:r w:rsidRPr="0018337E">
              <w:rPr>
                <w:rFonts w:cs="Arial"/>
                <w:color w:val="0070C0"/>
                <w:lang w:val="en"/>
              </w:rPr>
              <w:t xml:space="preserve">Paying attention to </w:t>
            </w:r>
            <w:r w:rsidR="000B4B73">
              <w:rPr>
                <w:rFonts w:cs="Arial"/>
                <w:color w:val="0070C0"/>
                <w:lang w:val="en"/>
              </w:rPr>
              <w:t xml:space="preserve">the </w:t>
            </w:r>
            <w:r w:rsidRPr="0018337E">
              <w:rPr>
                <w:rFonts w:cs="Arial"/>
                <w:color w:val="0070C0"/>
                <w:lang w:val="en"/>
              </w:rPr>
              <w:t>teacher</w:t>
            </w:r>
          </w:p>
          <w:p w14:paraId="2BE3016D" w14:textId="77777777" w:rsidR="0018337E" w:rsidRPr="0018337E" w:rsidRDefault="0018337E" w:rsidP="0018337E">
            <w:pPr>
              <w:spacing w:line="276" w:lineRule="auto"/>
              <w:rPr>
                <w:rFonts w:cs="Arial"/>
                <w:color w:val="7030A0"/>
                <w:lang w:val="en"/>
              </w:rPr>
            </w:pPr>
            <w:r w:rsidRPr="0018337E">
              <w:rPr>
                <w:rFonts w:cs="Arial"/>
                <w:color w:val="7030A0"/>
                <w:lang w:val="en"/>
              </w:rPr>
              <w:t xml:space="preserve">Attention regulation </w:t>
            </w:r>
          </w:p>
          <w:p w14:paraId="3EBA6EEA" w14:textId="77777777" w:rsidR="0018337E" w:rsidRPr="0018337E" w:rsidRDefault="0018337E" w:rsidP="0018337E">
            <w:pPr>
              <w:autoSpaceDE w:val="0"/>
              <w:autoSpaceDN w:val="0"/>
              <w:adjustRightInd w:val="0"/>
              <w:spacing w:line="276" w:lineRule="auto"/>
              <w:rPr>
                <w:rFonts w:cs="Arial"/>
                <w:color w:val="7030A0"/>
                <w:lang w:val="en"/>
              </w:rPr>
            </w:pPr>
            <w:r w:rsidRPr="0018337E">
              <w:rPr>
                <w:rFonts w:cs="Arial"/>
                <w:color w:val="7030A0"/>
                <w:lang w:val="en"/>
              </w:rPr>
              <w:t>Staying on task</w:t>
            </w:r>
          </w:p>
          <w:p w14:paraId="113DE951" w14:textId="77777777" w:rsidR="0018337E" w:rsidRPr="0018337E" w:rsidRDefault="0018337E" w:rsidP="0018337E">
            <w:pPr>
              <w:autoSpaceDE w:val="0"/>
              <w:autoSpaceDN w:val="0"/>
              <w:adjustRightInd w:val="0"/>
              <w:spacing w:line="276" w:lineRule="auto"/>
              <w:rPr>
                <w:rFonts w:cs="Arial"/>
                <w:color w:val="70AD47" w:themeColor="accent6"/>
                <w:lang w:val="en"/>
              </w:rPr>
            </w:pPr>
            <w:r w:rsidRPr="0018337E">
              <w:rPr>
                <w:rFonts w:cs="Arial"/>
                <w:color w:val="70AD47" w:themeColor="accent6"/>
                <w:lang w:val="en"/>
              </w:rPr>
              <w:t>Focus</w:t>
            </w:r>
          </w:p>
          <w:p w14:paraId="0F2C87E5" w14:textId="77777777" w:rsidR="0018337E" w:rsidRPr="0018337E" w:rsidRDefault="0018337E" w:rsidP="0018337E">
            <w:pPr>
              <w:autoSpaceDE w:val="0"/>
              <w:autoSpaceDN w:val="0"/>
              <w:adjustRightInd w:val="0"/>
              <w:spacing w:line="276" w:lineRule="auto"/>
              <w:rPr>
                <w:color w:val="0070C0"/>
                <w:lang w:val="en"/>
              </w:rPr>
            </w:pPr>
            <w:r w:rsidRPr="0018337E">
              <w:rPr>
                <w:lang w:val="en"/>
              </w:rPr>
              <w:t xml:space="preserve">Attentiveness </w:t>
            </w:r>
          </w:p>
        </w:tc>
      </w:tr>
      <w:tr w:rsidR="0018337E" w:rsidRPr="0018337E" w14:paraId="32741EE4" w14:textId="77777777" w:rsidTr="0085520F">
        <w:tc>
          <w:tcPr>
            <w:tcW w:w="701" w:type="pct"/>
            <w:tcBorders>
              <w:top w:val="nil"/>
              <w:left w:val="nil"/>
              <w:bottom w:val="nil"/>
              <w:right w:val="nil"/>
            </w:tcBorders>
          </w:tcPr>
          <w:p w14:paraId="77968EBF" w14:textId="77777777" w:rsidR="0018337E" w:rsidRPr="0018337E" w:rsidRDefault="0018337E" w:rsidP="0018337E">
            <w:pPr>
              <w:tabs>
                <w:tab w:val="right" w:pos="1440"/>
              </w:tabs>
              <w:autoSpaceDE w:val="0"/>
              <w:autoSpaceDN w:val="0"/>
              <w:adjustRightInd w:val="0"/>
              <w:spacing w:line="276" w:lineRule="auto"/>
              <w:rPr>
                <w:rFonts w:ascii="Arial" w:hAnsi="Arial" w:cs="Arial"/>
                <w:b/>
                <w:bCs/>
                <w:sz w:val="28"/>
                <w:szCs w:val="28"/>
                <w:lang w:val="en"/>
              </w:rPr>
            </w:pPr>
            <w:r w:rsidRPr="0018337E">
              <w:rPr>
                <w:rFonts w:ascii="Arial" w:hAnsi="Arial" w:cs="Arial"/>
                <w:bCs/>
                <w:sz w:val="28"/>
                <w:szCs w:val="28"/>
                <w:lang w:val="en"/>
              </w:rPr>
              <w:tab/>
              <w:t>Low</w:t>
            </w:r>
          </w:p>
        </w:tc>
        <w:tc>
          <w:tcPr>
            <w:tcW w:w="4299" w:type="pct"/>
            <w:gridSpan w:val="2"/>
            <w:tcBorders>
              <w:top w:val="single" w:sz="4" w:space="0" w:color="auto"/>
              <w:left w:val="nil"/>
              <w:bottom w:val="nil"/>
              <w:right w:val="nil"/>
            </w:tcBorders>
          </w:tcPr>
          <w:p w14:paraId="65EF3F8D"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cs="Arial"/>
                <w:bCs/>
                <w:lang w:val="en"/>
              </w:rPr>
            </w:pPr>
            <w:r w:rsidRPr="0018337E">
              <w:rPr>
                <w:rFonts w:ascii="Arial" w:hAnsi="Arial" w:cs="Arial"/>
                <w:bCs/>
                <w:sz w:val="28"/>
                <w:szCs w:val="28"/>
                <w:lang w:val="en"/>
              </w:rPr>
              <w:tab/>
            </w:r>
            <w:r w:rsidRPr="0018337E">
              <w:rPr>
                <w:rFonts w:ascii="Arial" w:hAnsi="Arial" w:cs="Arial"/>
                <w:bCs/>
                <w:lang w:val="en"/>
              </w:rPr>
              <w:t>C O G N I T I VE</w:t>
            </w:r>
          </w:p>
          <w:p w14:paraId="26660254" w14:textId="77777777" w:rsidR="0018337E" w:rsidRPr="0018337E" w:rsidRDefault="0018337E" w:rsidP="0018337E">
            <w:pPr>
              <w:tabs>
                <w:tab w:val="center" w:pos="5337"/>
                <w:tab w:val="right" w:pos="11214"/>
              </w:tabs>
              <w:autoSpaceDE w:val="0"/>
              <w:autoSpaceDN w:val="0"/>
              <w:adjustRightInd w:val="0"/>
              <w:spacing w:line="276" w:lineRule="auto"/>
              <w:rPr>
                <w:rFonts w:ascii="Arial" w:hAnsi="Arial" w:cs="Arial"/>
                <w:bCs/>
                <w:sz w:val="28"/>
                <w:szCs w:val="28"/>
                <w:lang w:val="en"/>
              </w:rPr>
            </w:pPr>
            <w:r w:rsidRPr="0018337E">
              <w:rPr>
                <w:rFonts w:ascii="Arial" w:hAnsi="Arial" w:cs="Arial"/>
                <w:bCs/>
                <w:sz w:val="28"/>
                <w:szCs w:val="28"/>
                <w:lang w:val="en"/>
              </w:rPr>
              <w:tab/>
            </w:r>
          </w:p>
        </w:tc>
      </w:tr>
    </w:tbl>
    <w:p w14:paraId="3FAF8D2F" w14:textId="77777777" w:rsidR="00E875F6" w:rsidRDefault="00E875F6" w:rsidP="0018337E">
      <w:pPr>
        <w:spacing w:line="276" w:lineRule="auto"/>
        <w:rPr>
          <w:rFonts w:eastAsia="Arial" w:cs="Arial"/>
          <w:color w:val="auto"/>
          <w:szCs w:val="22"/>
          <w:lang w:val="en"/>
        </w:rPr>
      </w:pPr>
    </w:p>
    <w:p w14:paraId="7D5FABBB" w14:textId="0A0B2AF7" w:rsidR="00E875F6" w:rsidRDefault="00E875F6" w:rsidP="0085520F">
      <w:pPr>
        <w:pStyle w:val="Caption"/>
        <w:ind w:left="990"/>
        <w:rPr>
          <w:rFonts w:eastAsia="Arial" w:cs="Arial"/>
          <w:szCs w:val="22"/>
          <w:lang w:val="en"/>
        </w:rPr>
      </w:pPr>
      <w:bookmarkStart w:id="22" w:name="_Toc44346050"/>
      <w:r>
        <w:t xml:space="preserve">Figure </w:t>
      </w:r>
      <w:fldSimple w:instr=" SEQ Figure \* ARABIC ">
        <w:r w:rsidR="002039BE">
          <w:rPr>
            <w:noProof/>
          </w:rPr>
          <w:t>3</w:t>
        </w:r>
        <w:bookmarkEnd w:id="22"/>
      </w:fldSimple>
    </w:p>
    <w:p w14:paraId="2BD1EA85" w14:textId="34349DFE" w:rsidR="0018337E" w:rsidRPr="0018337E" w:rsidRDefault="007C1CBE" w:rsidP="0085520F">
      <w:pPr>
        <w:spacing w:line="276" w:lineRule="auto"/>
        <w:ind w:left="810"/>
        <w:rPr>
          <w:rFonts w:eastAsia="Arial" w:cs="Arial"/>
          <w:color w:val="auto"/>
          <w:szCs w:val="22"/>
          <w:lang w:val="en"/>
        </w:rPr>
      </w:pPr>
      <w:r>
        <w:rPr>
          <w:rFonts w:eastAsia="Arial" w:cs="Arial"/>
          <w:color w:val="auto"/>
          <w:szCs w:val="22"/>
          <w:lang w:val="en"/>
        </w:rPr>
        <w:t xml:space="preserve"> </w:t>
      </w:r>
      <w:r w:rsidR="0018337E" w:rsidRPr="0018337E">
        <w:rPr>
          <w:rFonts w:eastAsia="Arial" w:cs="Arial"/>
          <w:i/>
          <w:iCs/>
          <w:color w:val="auto"/>
          <w:szCs w:val="22"/>
          <w:lang w:val="en"/>
        </w:rPr>
        <w:t>Operationalizations of AtL</w:t>
      </w:r>
      <w:r w:rsidR="0018337E" w:rsidRPr="0018337E">
        <w:rPr>
          <w:rFonts w:eastAsia="Arial" w:cs="Arial"/>
          <w:color w:val="auto"/>
          <w:szCs w:val="22"/>
          <w:lang w:val="en"/>
        </w:rPr>
        <w:t xml:space="preserve"> </w:t>
      </w:r>
      <w:r w:rsidR="0018337E" w:rsidRPr="006D668A">
        <w:rPr>
          <w:rFonts w:eastAsia="Arial" w:cs="Arial"/>
          <w:i/>
          <w:iCs/>
          <w:color w:val="auto"/>
          <w:szCs w:val="22"/>
          <w:lang w:val="en"/>
        </w:rPr>
        <w:t xml:space="preserve">using ECLS-K AtL Scale </w:t>
      </w:r>
    </w:p>
    <w:p w14:paraId="2F1EB40E" w14:textId="77777777" w:rsidR="0018337E" w:rsidRPr="0018337E" w:rsidRDefault="0018337E" w:rsidP="0018337E">
      <w:pPr>
        <w:spacing w:line="276" w:lineRule="auto"/>
        <w:rPr>
          <w:rFonts w:eastAsia="Arial" w:cs="Arial"/>
          <w:color w:val="auto"/>
          <w:szCs w:val="22"/>
          <w:lang w:val="en"/>
        </w:rPr>
      </w:pPr>
    </w:p>
    <w:p w14:paraId="47EE385B" w14:textId="77777777" w:rsidR="0018337E" w:rsidRPr="0018337E" w:rsidRDefault="0018337E" w:rsidP="0018337E">
      <w:pPr>
        <w:spacing w:line="276" w:lineRule="auto"/>
        <w:rPr>
          <w:rFonts w:eastAsia="Arial" w:cs="Arial"/>
          <w:color w:val="auto"/>
          <w:szCs w:val="22"/>
          <w:lang w:val="en"/>
        </w:rPr>
      </w:pPr>
    </w:p>
    <w:p w14:paraId="18F4C88A" w14:textId="77777777" w:rsidR="0018337E" w:rsidRPr="0018337E" w:rsidRDefault="0018337E" w:rsidP="0018337E">
      <w:pPr>
        <w:spacing w:line="276" w:lineRule="auto"/>
        <w:rPr>
          <w:rFonts w:eastAsia="Arial" w:cs="Arial"/>
          <w:color w:val="auto"/>
          <w:szCs w:val="22"/>
          <w:lang w:val="en"/>
        </w:rPr>
      </w:pPr>
    </w:p>
    <w:tbl>
      <w:tblPr>
        <w:tblStyle w:val="TableGrid7"/>
        <w:tblW w:w="12546" w:type="dxa"/>
        <w:tblInd w:w="18" w:type="dxa"/>
        <w:tblLook w:val="04A0" w:firstRow="1" w:lastRow="0" w:firstColumn="1" w:lastColumn="0" w:noHBand="0" w:noVBand="1"/>
      </w:tblPr>
      <w:tblGrid>
        <w:gridCol w:w="1820"/>
        <w:gridCol w:w="5585"/>
        <w:gridCol w:w="5141"/>
      </w:tblGrid>
      <w:tr w:rsidR="0018337E" w:rsidRPr="0018337E" w14:paraId="1DD737A6" w14:textId="77777777" w:rsidTr="0018337E">
        <w:trPr>
          <w:trHeight w:val="3240"/>
        </w:trPr>
        <w:tc>
          <w:tcPr>
            <w:tcW w:w="1760" w:type="dxa"/>
            <w:vMerge w:val="restart"/>
            <w:tcBorders>
              <w:top w:val="nil"/>
              <w:left w:val="nil"/>
              <w:right w:val="single" w:sz="4" w:space="0" w:color="auto"/>
            </w:tcBorders>
          </w:tcPr>
          <w:p w14:paraId="01BE0292" w14:textId="77777777"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r w:rsidRPr="0018337E">
              <w:rPr>
                <w:rFonts w:ascii="Arial" w:hAnsi="Arial" w:cs="Arial"/>
                <w:bCs/>
                <w:sz w:val="28"/>
                <w:szCs w:val="28"/>
                <w:lang w:val="en"/>
              </w:rPr>
              <w:tab/>
              <w:t>High</w:t>
            </w:r>
          </w:p>
          <w:p w14:paraId="7175437F"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p w14:paraId="3AAB62A4" w14:textId="77777777"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p w14:paraId="5BF3EF97" w14:textId="229A8ED1" w:rsidR="0018337E" w:rsidRPr="0018337E" w:rsidRDefault="0018337E" w:rsidP="0018337E">
            <w:pPr>
              <w:tabs>
                <w:tab w:val="right" w:pos="576"/>
                <w:tab w:val="right" w:pos="2538"/>
              </w:tabs>
              <w:autoSpaceDE w:val="0"/>
              <w:autoSpaceDN w:val="0"/>
              <w:adjustRightInd w:val="0"/>
              <w:spacing w:line="276" w:lineRule="auto"/>
              <w:rPr>
                <w:rFonts w:ascii="Arial" w:hAnsi="Arial" w:cs="Arial"/>
                <w:bCs/>
                <w:sz w:val="28"/>
                <w:szCs w:val="28"/>
                <w:lang w:val="en"/>
              </w:rPr>
            </w:pPr>
          </w:p>
          <w:tbl>
            <w:tblPr>
              <w:tblStyle w:val="TableGrid7"/>
              <w:tblW w:w="421" w:type="dxa"/>
              <w:tblInd w:w="1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
            </w:tblGrid>
            <w:tr w:rsidR="0018337E" w:rsidRPr="0018337E" w14:paraId="5645D5A7" w14:textId="77777777" w:rsidTr="0018337E">
              <w:trPr>
                <w:cantSplit/>
                <w:trHeight w:val="2078"/>
              </w:trPr>
              <w:tc>
                <w:tcPr>
                  <w:tcW w:w="421" w:type="dxa"/>
                  <w:textDirection w:val="tbRl"/>
                  <w:vAlign w:val="center"/>
                </w:tcPr>
                <w:p w14:paraId="383B4EAB" w14:textId="77777777" w:rsidR="0018337E" w:rsidRPr="0018337E" w:rsidRDefault="0018337E" w:rsidP="0018337E">
                  <w:pPr>
                    <w:tabs>
                      <w:tab w:val="right" w:pos="2538"/>
                    </w:tabs>
                    <w:autoSpaceDE w:val="0"/>
                    <w:autoSpaceDN w:val="0"/>
                    <w:adjustRightInd w:val="0"/>
                    <w:spacing w:line="240" w:lineRule="exact"/>
                    <w:ind w:left="113" w:right="158"/>
                    <w:jc w:val="center"/>
                    <w:rPr>
                      <w:rFonts w:ascii="Arial" w:hAnsi="Arial" w:cs="Arial"/>
                      <w:bCs/>
                      <w:lang w:val="en"/>
                    </w:rPr>
                  </w:pPr>
                  <w:r w:rsidRPr="0018337E">
                    <w:rPr>
                      <w:rFonts w:ascii="Arial" w:hAnsi="Arial" w:cs="Arial"/>
                      <w:bCs/>
                      <w:lang w:val="en"/>
                    </w:rPr>
                    <w:t xml:space="preserve">BEHAVIORAL </w:t>
                  </w:r>
                </w:p>
              </w:tc>
            </w:tr>
          </w:tbl>
          <w:p w14:paraId="50225836" w14:textId="7B40FB79" w:rsidR="0018337E" w:rsidRPr="0018337E" w:rsidRDefault="0018337E" w:rsidP="0018337E">
            <w:pPr>
              <w:tabs>
                <w:tab w:val="right" w:pos="2538"/>
              </w:tabs>
              <w:autoSpaceDE w:val="0"/>
              <w:autoSpaceDN w:val="0"/>
              <w:adjustRightInd w:val="0"/>
              <w:spacing w:line="276" w:lineRule="auto"/>
              <w:ind w:right="162"/>
              <w:rPr>
                <w:rFonts w:ascii="Arial" w:hAnsi="Arial" w:cs="Arial"/>
                <w:bCs/>
                <w:sz w:val="28"/>
                <w:szCs w:val="28"/>
                <w:lang w:val="en"/>
              </w:rPr>
            </w:pPr>
          </w:p>
          <w:p w14:paraId="509EE2B6" w14:textId="033E75F7"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7A6C4AD0" w14:textId="77777777"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277F0094" w14:textId="77777777" w:rsidR="0018337E" w:rsidRPr="0018337E" w:rsidRDefault="0018337E" w:rsidP="0018337E">
            <w:pPr>
              <w:tabs>
                <w:tab w:val="right" w:pos="576"/>
              </w:tabs>
              <w:autoSpaceDE w:val="0"/>
              <w:autoSpaceDN w:val="0"/>
              <w:adjustRightInd w:val="0"/>
              <w:spacing w:line="276" w:lineRule="auto"/>
              <w:rPr>
                <w:rFonts w:ascii="Arial" w:hAnsi="Arial" w:cs="Arial"/>
                <w:bCs/>
                <w:sz w:val="28"/>
                <w:szCs w:val="28"/>
                <w:lang w:val="en"/>
              </w:rPr>
            </w:pPr>
          </w:p>
          <w:p w14:paraId="4E4600B6" w14:textId="77777777"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p>
        </w:tc>
        <w:tc>
          <w:tcPr>
            <w:tcW w:w="5613" w:type="dxa"/>
            <w:tcBorders>
              <w:top w:val="nil"/>
              <w:left w:val="single" w:sz="4" w:space="0" w:color="auto"/>
            </w:tcBorders>
            <w:vAlign w:val="center"/>
          </w:tcPr>
          <w:p w14:paraId="6E9622E0" w14:textId="77777777" w:rsidR="0018337E" w:rsidRPr="0018337E" w:rsidRDefault="0018337E" w:rsidP="0018337E">
            <w:pPr>
              <w:spacing w:line="276" w:lineRule="auto"/>
              <w:rPr>
                <w:lang w:val="en"/>
              </w:rPr>
            </w:pPr>
            <w:r w:rsidRPr="0018337E">
              <w:rPr>
                <w:lang w:val="en"/>
              </w:rPr>
              <w:t>Self-control</w:t>
            </w:r>
          </w:p>
          <w:p w14:paraId="10C4E6A3" w14:textId="77777777" w:rsidR="0018337E" w:rsidRPr="0018337E" w:rsidRDefault="0018337E" w:rsidP="0018337E">
            <w:pPr>
              <w:spacing w:line="276" w:lineRule="auto"/>
              <w:rPr>
                <w:lang w:val="en"/>
              </w:rPr>
            </w:pPr>
            <w:r w:rsidRPr="0018337E">
              <w:rPr>
                <w:lang w:val="en"/>
              </w:rPr>
              <w:t>Independence</w:t>
            </w:r>
          </w:p>
          <w:p w14:paraId="6CD0A70C" w14:textId="77777777" w:rsidR="0018337E" w:rsidRPr="0018337E" w:rsidRDefault="0018337E" w:rsidP="0018337E">
            <w:pPr>
              <w:spacing w:line="276" w:lineRule="auto"/>
              <w:rPr>
                <w:lang w:val="en"/>
              </w:rPr>
            </w:pPr>
            <w:r w:rsidRPr="0018337E">
              <w:rPr>
                <w:lang w:val="en"/>
              </w:rPr>
              <w:t>Responsibility</w:t>
            </w:r>
          </w:p>
          <w:p w14:paraId="1BA55B2B" w14:textId="77777777" w:rsidR="0018337E" w:rsidRPr="0018337E" w:rsidRDefault="0018337E" w:rsidP="0018337E">
            <w:pPr>
              <w:spacing w:line="276" w:lineRule="auto"/>
              <w:rPr>
                <w:b/>
                <w:bCs/>
                <w:color w:val="FF0000"/>
                <w:lang w:val="en"/>
              </w:rPr>
            </w:pPr>
            <w:r w:rsidRPr="0018337E">
              <w:rPr>
                <w:color w:val="FF0000"/>
                <w:lang w:val="en"/>
              </w:rPr>
              <w:t>Organization</w:t>
            </w:r>
          </w:p>
          <w:p w14:paraId="31A73200" w14:textId="77777777" w:rsidR="0018337E" w:rsidRPr="0018337E" w:rsidRDefault="0018337E" w:rsidP="0018337E">
            <w:pPr>
              <w:autoSpaceDE w:val="0"/>
              <w:autoSpaceDN w:val="0"/>
              <w:adjustRightInd w:val="0"/>
              <w:spacing w:line="276" w:lineRule="auto"/>
              <w:jc w:val="center"/>
              <w:rPr>
                <w:b/>
                <w:bCs/>
                <w:color w:val="FF0000"/>
                <w:lang w:val="en"/>
              </w:rPr>
            </w:pPr>
          </w:p>
        </w:tc>
        <w:tc>
          <w:tcPr>
            <w:tcW w:w="5173" w:type="dxa"/>
            <w:tcBorders>
              <w:top w:val="nil"/>
              <w:right w:val="nil"/>
            </w:tcBorders>
            <w:vAlign w:val="center"/>
          </w:tcPr>
          <w:p w14:paraId="7635F85F" w14:textId="77777777" w:rsidR="0018337E" w:rsidRPr="0018337E" w:rsidRDefault="0018337E" w:rsidP="0018337E">
            <w:pPr>
              <w:spacing w:line="276" w:lineRule="auto"/>
              <w:rPr>
                <w:color w:val="ED7D31" w:themeColor="accent2"/>
                <w:lang w:val="en"/>
              </w:rPr>
            </w:pPr>
            <w:r w:rsidRPr="0018337E">
              <w:rPr>
                <w:b/>
                <w:bCs/>
                <w:color w:val="00B050"/>
                <w:lang w:val="en"/>
              </w:rPr>
              <w:t xml:space="preserve"> </w:t>
            </w:r>
            <w:r w:rsidRPr="0018337E">
              <w:rPr>
                <w:color w:val="ED7D31" w:themeColor="accent2"/>
                <w:lang w:val="en"/>
              </w:rPr>
              <w:t>Following Directions</w:t>
            </w:r>
          </w:p>
          <w:p w14:paraId="0F865491" w14:textId="77777777" w:rsidR="0018337E" w:rsidRPr="0018337E" w:rsidRDefault="0018337E" w:rsidP="0018337E">
            <w:pPr>
              <w:spacing w:line="276" w:lineRule="auto"/>
              <w:rPr>
                <w:color w:val="2E74B5" w:themeColor="accent5" w:themeShade="BF"/>
                <w:lang w:val="en"/>
              </w:rPr>
            </w:pPr>
            <w:r w:rsidRPr="0018337E">
              <w:rPr>
                <w:color w:val="2E74B5" w:themeColor="accent5" w:themeShade="BF"/>
                <w:lang w:val="en"/>
              </w:rPr>
              <w:t>Completing tasks when asked</w:t>
            </w:r>
          </w:p>
          <w:p w14:paraId="2F67027D" w14:textId="77777777" w:rsidR="0018337E" w:rsidRPr="0018337E" w:rsidRDefault="0018337E" w:rsidP="0018337E">
            <w:pPr>
              <w:spacing w:line="276" w:lineRule="auto"/>
              <w:rPr>
                <w:b/>
                <w:bCs/>
                <w:color w:val="00B050"/>
                <w:lang w:val="en"/>
              </w:rPr>
            </w:pPr>
          </w:p>
        </w:tc>
      </w:tr>
      <w:tr w:rsidR="0018337E" w:rsidRPr="0018337E" w14:paraId="03F59CCA" w14:textId="77777777" w:rsidTr="0018337E">
        <w:trPr>
          <w:trHeight w:val="3240"/>
        </w:trPr>
        <w:tc>
          <w:tcPr>
            <w:tcW w:w="1760" w:type="dxa"/>
            <w:vMerge/>
            <w:tcBorders>
              <w:left w:val="nil"/>
              <w:bottom w:val="nil"/>
              <w:right w:val="single" w:sz="4" w:space="0" w:color="auto"/>
            </w:tcBorders>
          </w:tcPr>
          <w:p w14:paraId="647EA4A8" w14:textId="77777777" w:rsidR="0018337E" w:rsidRPr="0018337E" w:rsidRDefault="0018337E" w:rsidP="0018337E">
            <w:pPr>
              <w:tabs>
                <w:tab w:val="right" w:pos="1368"/>
              </w:tabs>
              <w:autoSpaceDE w:val="0"/>
              <w:autoSpaceDN w:val="0"/>
              <w:adjustRightInd w:val="0"/>
              <w:spacing w:line="276" w:lineRule="auto"/>
              <w:rPr>
                <w:rFonts w:ascii="Arial" w:hAnsi="Arial" w:cs="Arial"/>
                <w:bCs/>
                <w:sz w:val="28"/>
                <w:szCs w:val="28"/>
                <w:lang w:val="en"/>
              </w:rPr>
            </w:pPr>
          </w:p>
        </w:tc>
        <w:tc>
          <w:tcPr>
            <w:tcW w:w="5613" w:type="dxa"/>
            <w:tcBorders>
              <w:top w:val="nil"/>
              <w:left w:val="single" w:sz="4" w:space="0" w:color="auto"/>
            </w:tcBorders>
            <w:vAlign w:val="center"/>
          </w:tcPr>
          <w:p w14:paraId="697FBA90" w14:textId="74BC3A12" w:rsidR="0018337E" w:rsidRPr="0018337E" w:rsidRDefault="0085520F" w:rsidP="0018337E">
            <w:pPr>
              <w:autoSpaceDE w:val="0"/>
              <w:autoSpaceDN w:val="0"/>
              <w:adjustRightInd w:val="0"/>
              <w:spacing w:line="276" w:lineRule="auto"/>
              <w:jc w:val="center"/>
              <w:rPr>
                <w:b/>
                <w:bCs/>
                <w:lang w:val="en"/>
              </w:rPr>
            </w:pPr>
            <w:r w:rsidRPr="0018337E">
              <w:rPr>
                <w:rFonts w:cs="Arial"/>
                <w:noProof/>
                <w:lang w:val="en"/>
              </w:rPr>
              <mc:AlternateContent>
                <mc:Choice Requires="wps">
                  <w:drawing>
                    <wp:anchor distT="45720" distB="45720" distL="114300" distR="114300" simplePos="0" relativeHeight="251663360" behindDoc="0" locked="0" layoutInCell="1" allowOverlap="1" wp14:anchorId="1EB64FAC" wp14:editId="0777B291">
                      <wp:simplePos x="0" y="0"/>
                      <wp:positionH relativeFrom="column">
                        <wp:posOffset>-384175</wp:posOffset>
                      </wp:positionH>
                      <wp:positionV relativeFrom="paragraph">
                        <wp:posOffset>-1905</wp:posOffset>
                      </wp:positionV>
                      <wp:extent cx="1552575" cy="1336675"/>
                      <wp:effectExtent l="0" t="0" r="28575" b="158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336675"/>
                              </a:xfrm>
                              <a:prstGeom prst="rect">
                                <a:avLst/>
                              </a:prstGeom>
                              <a:solidFill>
                                <a:srgbClr val="FFFFFF"/>
                              </a:solidFill>
                              <a:ln w="9525">
                                <a:solidFill>
                                  <a:srgbClr val="000000"/>
                                </a:solidFill>
                                <a:miter lim="800000"/>
                                <a:headEnd/>
                                <a:tailEnd/>
                              </a:ln>
                            </wps:spPr>
                            <wps:txbx>
                              <w:txbxContent>
                                <w:p w14:paraId="36664E70" w14:textId="77777777" w:rsidR="00DE2FE4" w:rsidRPr="00E73279" w:rsidRDefault="00DE2FE4" w:rsidP="0018337E">
                                  <w:pPr>
                                    <w:spacing w:line="240" w:lineRule="auto"/>
                                    <w:contextualSpacing/>
                                  </w:pPr>
                                  <w:r w:rsidRPr="00E73279">
                                    <w:t xml:space="preserve">Legend of Studies: </w:t>
                                  </w:r>
                                </w:p>
                                <w:p w14:paraId="0DDBF562" w14:textId="77777777" w:rsidR="00DE2FE4" w:rsidRPr="00E73279" w:rsidRDefault="00DE2FE4" w:rsidP="0018337E">
                                  <w:pPr>
                                    <w:spacing w:line="240" w:lineRule="auto"/>
                                    <w:contextualSpacing/>
                                  </w:pPr>
                                  <w:r w:rsidRPr="00E73279">
                                    <w:t>Black: Bumgarner</w:t>
                                  </w:r>
                                </w:p>
                                <w:p w14:paraId="4A616A25" w14:textId="77777777" w:rsidR="00DE2FE4" w:rsidRPr="00E73279" w:rsidRDefault="00DE2FE4" w:rsidP="0018337E">
                                  <w:pPr>
                                    <w:spacing w:line="240" w:lineRule="auto"/>
                                    <w:contextualSpacing/>
                                  </w:pPr>
                                  <w:r w:rsidRPr="00E73279">
                                    <w:t xml:space="preserve">Blue: Elliot </w:t>
                                  </w:r>
                                </w:p>
                                <w:p w14:paraId="1631FA77" w14:textId="77777777" w:rsidR="00DE2FE4" w:rsidRPr="00E73279" w:rsidRDefault="00DE2FE4" w:rsidP="0018337E">
                                  <w:pPr>
                                    <w:spacing w:line="240" w:lineRule="auto"/>
                                    <w:contextualSpacing/>
                                  </w:pPr>
                                  <w:r w:rsidRPr="00E73279">
                                    <w:t>Green: Bustamante</w:t>
                                  </w:r>
                                </w:p>
                                <w:p w14:paraId="166265B9" w14:textId="77777777" w:rsidR="00DE2FE4" w:rsidRPr="00E73279" w:rsidRDefault="00DE2FE4" w:rsidP="0018337E">
                                  <w:pPr>
                                    <w:spacing w:line="240" w:lineRule="auto"/>
                                    <w:contextualSpacing/>
                                  </w:pPr>
                                  <w:r w:rsidRPr="00E73279">
                                    <w:t xml:space="preserve">Purple: DiPerna </w:t>
                                  </w:r>
                                </w:p>
                                <w:p w14:paraId="57E5306A" w14:textId="77777777" w:rsidR="00DE2FE4" w:rsidRPr="00E73279" w:rsidRDefault="00DE2FE4" w:rsidP="0018337E">
                                  <w:pPr>
                                    <w:spacing w:line="240" w:lineRule="auto"/>
                                    <w:contextualSpacing/>
                                  </w:pPr>
                                  <w:r w:rsidRPr="00E73279">
                                    <w:t xml:space="preserve">Red: Li-Grinning </w:t>
                                  </w:r>
                                </w:p>
                                <w:p w14:paraId="0E7F33EB" w14:textId="77777777" w:rsidR="00DE2FE4" w:rsidRPr="00E73279" w:rsidRDefault="00DE2FE4" w:rsidP="0018337E">
                                  <w:r w:rsidRPr="00E73279">
                                    <w:t xml:space="preserve">Orange: Morgan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64FAC" id="_x0000_s1029" type="#_x0000_t202" style="position:absolute;left:0;text-align:left;margin-left:-30.25pt;margin-top:-.15pt;width:122.25pt;height:10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">
                      <v:textbox>
                        <w:txbxContent>
                          <w:p w14:paraId="36664E70" w14:textId="77777777" w:rsidR="00DE2FE4" w:rsidRPr="00E73279" w:rsidRDefault="00DE2FE4" w:rsidP="0018337E">
                            <w:pPr>
                              <w:spacing w:line="240" w:lineRule="auto"/>
                              <w:contextualSpacing/>
                            </w:pPr>
                            <w:r w:rsidRPr="00E73279">
                              <w:t xml:space="preserve">Legend of Studies: </w:t>
                            </w:r>
                          </w:p>
                          <w:p w14:paraId="0DDBF562" w14:textId="77777777" w:rsidR="00DE2FE4" w:rsidRPr="00E73279" w:rsidRDefault="00DE2FE4" w:rsidP="0018337E">
                            <w:pPr>
                              <w:spacing w:line="240" w:lineRule="auto"/>
                              <w:contextualSpacing/>
                            </w:pPr>
                            <w:r w:rsidRPr="00E73279">
                              <w:t>Black: Bumgarner</w:t>
                            </w:r>
                          </w:p>
                          <w:p w14:paraId="4A616A25" w14:textId="77777777" w:rsidR="00DE2FE4" w:rsidRPr="00E73279" w:rsidRDefault="00DE2FE4" w:rsidP="0018337E">
                            <w:pPr>
                              <w:spacing w:line="240" w:lineRule="auto"/>
                              <w:contextualSpacing/>
                            </w:pPr>
                            <w:r w:rsidRPr="00E73279">
                              <w:t xml:space="preserve">Blue: Elliot </w:t>
                            </w:r>
                          </w:p>
                          <w:p w14:paraId="1631FA77" w14:textId="77777777" w:rsidR="00DE2FE4" w:rsidRPr="00E73279" w:rsidRDefault="00DE2FE4" w:rsidP="0018337E">
                            <w:pPr>
                              <w:spacing w:line="240" w:lineRule="auto"/>
                              <w:contextualSpacing/>
                            </w:pPr>
                            <w:r w:rsidRPr="00E73279">
                              <w:t>Green: Bustamante</w:t>
                            </w:r>
                          </w:p>
                          <w:p w14:paraId="166265B9" w14:textId="77777777" w:rsidR="00DE2FE4" w:rsidRPr="00E73279" w:rsidRDefault="00DE2FE4" w:rsidP="0018337E">
                            <w:pPr>
                              <w:spacing w:line="240" w:lineRule="auto"/>
                              <w:contextualSpacing/>
                            </w:pPr>
                            <w:r w:rsidRPr="00E73279">
                              <w:t xml:space="preserve">Purple: DiPerna </w:t>
                            </w:r>
                          </w:p>
                          <w:p w14:paraId="57E5306A" w14:textId="77777777" w:rsidR="00DE2FE4" w:rsidRPr="00E73279" w:rsidRDefault="00DE2FE4" w:rsidP="0018337E">
                            <w:pPr>
                              <w:spacing w:line="240" w:lineRule="auto"/>
                              <w:contextualSpacing/>
                            </w:pPr>
                            <w:r w:rsidRPr="00E73279">
                              <w:t xml:space="preserve">Red: Li-Grinning </w:t>
                            </w:r>
                          </w:p>
                          <w:p w14:paraId="0E7F33EB" w14:textId="77777777" w:rsidR="00DE2FE4" w:rsidRPr="00E73279" w:rsidRDefault="00DE2FE4" w:rsidP="0018337E">
                            <w:r w:rsidRPr="00E73279">
                              <w:t xml:space="preserve">Orange: Morgan </w:t>
                            </w:r>
                          </w:p>
                        </w:txbxContent>
                      </v:textbox>
                    </v:shape>
                  </w:pict>
                </mc:Fallback>
              </mc:AlternateContent>
            </w:r>
          </w:p>
          <w:p w14:paraId="642517FA" w14:textId="057E5D65" w:rsidR="0018337E" w:rsidRPr="0018337E" w:rsidRDefault="0018337E" w:rsidP="0018337E">
            <w:pPr>
              <w:autoSpaceDE w:val="0"/>
              <w:autoSpaceDN w:val="0"/>
              <w:adjustRightInd w:val="0"/>
              <w:spacing w:line="276" w:lineRule="auto"/>
              <w:jc w:val="center"/>
              <w:rPr>
                <w:b/>
                <w:bCs/>
                <w:lang w:val="en"/>
              </w:rPr>
            </w:pPr>
          </w:p>
          <w:p w14:paraId="7E15C0B6" w14:textId="3FD77C6E" w:rsidR="0018337E" w:rsidRPr="0018337E" w:rsidRDefault="0018337E" w:rsidP="0018337E">
            <w:pPr>
              <w:autoSpaceDE w:val="0"/>
              <w:autoSpaceDN w:val="0"/>
              <w:adjustRightInd w:val="0"/>
              <w:spacing w:line="276" w:lineRule="auto"/>
              <w:jc w:val="center"/>
              <w:rPr>
                <w:b/>
                <w:bCs/>
                <w:lang w:val="en"/>
              </w:rPr>
            </w:pPr>
          </w:p>
          <w:p w14:paraId="238EFFBA" w14:textId="77777777" w:rsidR="0018337E" w:rsidRPr="0018337E" w:rsidRDefault="0018337E" w:rsidP="0018337E">
            <w:pPr>
              <w:spacing w:line="276" w:lineRule="auto"/>
              <w:rPr>
                <w:b/>
                <w:bCs/>
                <w:color w:val="A6A6A6" w:themeColor="background1" w:themeShade="A6"/>
                <w:lang w:val="en"/>
              </w:rPr>
            </w:pPr>
          </w:p>
        </w:tc>
        <w:tc>
          <w:tcPr>
            <w:tcW w:w="5173" w:type="dxa"/>
            <w:tcBorders>
              <w:right w:val="nil"/>
            </w:tcBorders>
            <w:vAlign w:val="center"/>
          </w:tcPr>
          <w:p w14:paraId="3FF554EB" w14:textId="77777777" w:rsidR="0018337E" w:rsidRPr="0018337E" w:rsidRDefault="0018337E" w:rsidP="0018337E">
            <w:pPr>
              <w:autoSpaceDE w:val="0"/>
              <w:autoSpaceDN w:val="0"/>
              <w:adjustRightInd w:val="0"/>
              <w:spacing w:line="276" w:lineRule="auto"/>
              <w:jc w:val="center"/>
              <w:rPr>
                <w:b/>
                <w:bCs/>
                <w:lang w:val="en"/>
              </w:rPr>
            </w:pPr>
          </w:p>
          <w:p w14:paraId="41C786C0" w14:textId="77777777" w:rsidR="0018337E" w:rsidRPr="0018337E" w:rsidRDefault="0018337E" w:rsidP="0018337E">
            <w:pPr>
              <w:autoSpaceDE w:val="0"/>
              <w:autoSpaceDN w:val="0"/>
              <w:adjustRightInd w:val="0"/>
              <w:spacing w:line="276" w:lineRule="auto"/>
              <w:rPr>
                <w:color w:val="00B050"/>
                <w:lang w:val="en"/>
              </w:rPr>
            </w:pPr>
            <w:r w:rsidRPr="0018337E">
              <w:rPr>
                <w:color w:val="00B050"/>
                <w:lang w:val="en"/>
              </w:rPr>
              <w:t xml:space="preserve">Peer Collaboration </w:t>
            </w:r>
          </w:p>
          <w:p w14:paraId="1E894340" w14:textId="77777777" w:rsidR="0018337E" w:rsidRPr="0018337E" w:rsidRDefault="0018337E" w:rsidP="0018337E">
            <w:pPr>
              <w:autoSpaceDE w:val="0"/>
              <w:autoSpaceDN w:val="0"/>
              <w:adjustRightInd w:val="0"/>
              <w:spacing w:line="276" w:lineRule="auto"/>
              <w:rPr>
                <w:color w:val="7030A0"/>
                <w:lang w:val="en"/>
              </w:rPr>
            </w:pPr>
            <w:r w:rsidRPr="0018337E">
              <w:rPr>
                <w:color w:val="7030A0"/>
                <w:lang w:val="en"/>
              </w:rPr>
              <w:t xml:space="preserve">Participating in groups </w:t>
            </w:r>
          </w:p>
          <w:p w14:paraId="12E5BD61" w14:textId="77777777" w:rsidR="0018337E" w:rsidRPr="0018337E" w:rsidRDefault="0018337E" w:rsidP="0018337E">
            <w:pPr>
              <w:autoSpaceDE w:val="0"/>
              <w:autoSpaceDN w:val="0"/>
              <w:adjustRightInd w:val="0"/>
              <w:spacing w:line="276" w:lineRule="auto"/>
              <w:rPr>
                <w:color w:val="2F5496" w:themeColor="accent1" w:themeShade="BF"/>
                <w:lang w:val="en"/>
              </w:rPr>
            </w:pPr>
            <w:r w:rsidRPr="0018337E">
              <w:rPr>
                <w:color w:val="2F5496" w:themeColor="accent1" w:themeShade="BF"/>
                <w:lang w:val="en"/>
              </w:rPr>
              <w:t xml:space="preserve">Cooperating with others </w:t>
            </w:r>
          </w:p>
          <w:p w14:paraId="129EDE86" w14:textId="77777777" w:rsidR="0018337E" w:rsidRPr="0018337E" w:rsidRDefault="0018337E" w:rsidP="0018337E">
            <w:pPr>
              <w:autoSpaceDE w:val="0"/>
              <w:autoSpaceDN w:val="0"/>
              <w:adjustRightInd w:val="0"/>
              <w:spacing w:line="276" w:lineRule="auto"/>
              <w:rPr>
                <w:color w:val="00B050"/>
                <w:lang w:val="en"/>
              </w:rPr>
            </w:pPr>
          </w:p>
          <w:p w14:paraId="73CB7B91" w14:textId="77777777" w:rsidR="0018337E" w:rsidRPr="0018337E" w:rsidRDefault="0018337E" w:rsidP="0018337E">
            <w:pPr>
              <w:autoSpaceDE w:val="0"/>
              <w:autoSpaceDN w:val="0"/>
              <w:adjustRightInd w:val="0"/>
              <w:spacing w:line="276" w:lineRule="auto"/>
              <w:jc w:val="center"/>
              <w:rPr>
                <w:b/>
                <w:bCs/>
                <w:lang w:val="en"/>
              </w:rPr>
            </w:pPr>
          </w:p>
          <w:p w14:paraId="60504F0D" w14:textId="77777777" w:rsidR="0018337E" w:rsidRPr="0018337E" w:rsidRDefault="0018337E" w:rsidP="0018337E">
            <w:pPr>
              <w:autoSpaceDE w:val="0"/>
              <w:autoSpaceDN w:val="0"/>
              <w:adjustRightInd w:val="0"/>
              <w:spacing w:line="276" w:lineRule="auto"/>
              <w:jc w:val="center"/>
              <w:rPr>
                <w:b/>
                <w:bCs/>
                <w:color w:val="0070C0"/>
                <w:lang w:val="en"/>
              </w:rPr>
            </w:pPr>
          </w:p>
        </w:tc>
      </w:tr>
      <w:tr w:rsidR="0018337E" w:rsidRPr="0018337E" w14:paraId="751C88AB" w14:textId="77777777" w:rsidTr="0018337E">
        <w:tc>
          <w:tcPr>
            <w:tcW w:w="1760" w:type="dxa"/>
            <w:tcBorders>
              <w:top w:val="nil"/>
              <w:left w:val="nil"/>
              <w:bottom w:val="nil"/>
              <w:right w:val="nil"/>
            </w:tcBorders>
          </w:tcPr>
          <w:p w14:paraId="008C968D" w14:textId="77777777" w:rsidR="0018337E" w:rsidRPr="0018337E" w:rsidRDefault="0018337E" w:rsidP="0018337E">
            <w:pPr>
              <w:tabs>
                <w:tab w:val="right" w:pos="1440"/>
              </w:tabs>
              <w:autoSpaceDE w:val="0"/>
              <w:autoSpaceDN w:val="0"/>
              <w:adjustRightInd w:val="0"/>
              <w:spacing w:line="276" w:lineRule="auto"/>
              <w:rPr>
                <w:rFonts w:ascii="Arial" w:hAnsi="Arial" w:cs="Arial"/>
                <w:b/>
                <w:bCs/>
                <w:sz w:val="28"/>
                <w:szCs w:val="28"/>
                <w:lang w:val="en"/>
              </w:rPr>
            </w:pPr>
            <w:r w:rsidRPr="0018337E">
              <w:rPr>
                <w:rFonts w:ascii="Arial" w:hAnsi="Arial" w:cs="Arial"/>
                <w:bCs/>
                <w:sz w:val="28"/>
                <w:szCs w:val="28"/>
                <w:lang w:val="en"/>
              </w:rPr>
              <w:tab/>
              <w:t>Low</w:t>
            </w:r>
          </w:p>
        </w:tc>
        <w:tc>
          <w:tcPr>
            <w:tcW w:w="10786" w:type="dxa"/>
            <w:gridSpan w:val="2"/>
            <w:tcBorders>
              <w:top w:val="single" w:sz="4" w:space="0" w:color="auto"/>
              <w:left w:val="nil"/>
              <w:bottom w:val="nil"/>
              <w:right w:val="nil"/>
            </w:tcBorders>
          </w:tcPr>
          <w:p w14:paraId="2C78564C" w14:textId="77777777" w:rsidR="0018337E" w:rsidRPr="0018337E" w:rsidRDefault="0018337E" w:rsidP="0018337E">
            <w:pPr>
              <w:tabs>
                <w:tab w:val="right" w:pos="2538"/>
              </w:tabs>
              <w:autoSpaceDE w:val="0"/>
              <w:autoSpaceDN w:val="0"/>
              <w:adjustRightInd w:val="0"/>
              <w:spacing w:line="240" w:lineRule="exact"/>
              <w:ind w:right="158"/>
              <w:jc w:val="center"/>
              <w:rPr>
                <w:rFonts w:ascii="Arial" w:hAnsi="Arial" w:cs="Arial"/>
                <w:bCs/>
                <w:lang w:val="en"/>
              </w:rPr>
            </w:pPr>
            <w:r w:rsidRPr="0018337E">
              <w:rPr>
                <w:rFonts w:ascii="Arial" w:hAnsi="Arial" w:cs="Arial"/>
                <w:bCs/>
                <w:lang w:val="en"/>
              </w:rPr>
              <w:t xml:space="preserve">SOCIAL </w:t>
            </w:r>
          </w:p>
          <w:p w14:paraId="1F93687F" w14:textId="77777777" w:rsidR="0018337E" w:rsidRPr="0018337E" w:rsidRDefault="0018337E" w:rsidP="0018337E">
            <w:pPr>
              <w:tabs>
                <w:tab w:val="center" w:pos="5337"/>
                <w:tab w:val="right" w:pos="11214"/>
              </w:tabs>
              <w:autoSpaceDE w:val="0"/>
              <w:autoSpaceDN w:val="0"/>
              <w:adjustRightInd w:val="0"/>
              <w:spacing w:line="276" w:lineRule="auto"/>
              <w:rPr>
                <w:rFonts w:ascii="Arial" w:hAnsi="Arial" w:cs="Arial"/>
                <w:bCs/>
                <w:sz w:val="28"/>
                <w:szCs w:val="28"/>
                <w:lang w:val="en"/>
              </w:rPr>
            </w:pPr>
            <w:r w:rsidRPr="0018337E">
              <w:rPr>
                <w:rFonts w:ascii="Arial" w:hAnsi="Arial" w:cs="Arial"/>
                <w:bCs/>
                <w:sz w:val="28"/>
                <w:szCs w:val="28"/>
                <w:lang w:val="en"/>
              </w:rPr>
              <w:tab/>
            </w:r>
          </w:p>
        </w:tc>
      </w:tr>
    </w:tbl>
    <w:p w14:paraId="62B3F6FA" w14:textId="61076BB7" w:rsidR="0018337E" w:rsidRPr="0018337E" w:rsidRDefault="0018337E" w:rsidP="0018337E">
      <w:pPr>
        <w:spacing w:line="276" w:lineRule="auto"/>
        <w:rPr>
          <w:rFonts w:eastAsia="Arial" w:cs="Arial"/>
          <w:color w:val="auto"/>
          <w:szCs w:val="22"/>
          <w:lang w:val="en"/>
        </w:rPr>
      </w:pPr>
    </w:p>
    <w:p w14:paraId="607E2EFF" w14:textId="63D62CAB" w:rsidR="0085520F" w:rsidRDefault="0018337E" w:rsidP="0085520F">
      <w:pPr>
        <w:spacing w:line="276" w:lineRule="auto"/>
        <w:ind w:left="990"/>
        <w:rPr>
          <w:rFonts w:eastAsia="Arial" w:cs="Arial"/>
          <w:color w:val="auto"/>
          <w:szCs w:val="22"/>
          <w:lang w:val="en"/>
        </w:rPr>
      </w:pPr>
      <w:r w:rsidRPr="0018337E">
        <w:rPr>
          <w:rFonts w:eastAsia="Arial" w:cs="Arial"/>
          <w:color w:val="auto"/>
          <w:szCs w:val="22"/>
          <w:lang w:val="en"/>
        </w:rPr>
        <w:t xml:space="preserve">Figure 3. </w:t>
      </w:r>
      <w:r w:rsidR="006D668A" w:rsidRPr="006D668A">
        <w:rPr>
          <w:rFonts w:eastAsia="Arial" w:cs="Arial"/>
          <w:i/>
          <w:iCs/>
          <w:color w:val="auto"/>
          <w:szCs w:val="22"/>
          <w:lang w:val="en"/>
        </w:rPr>
        <w:t>(cont.)</w:t>
      </w:r>
    </w:p>
    <w:p w14:paraId="4ED829A9" w14:textId="77777777" w:rsidR="0085520F" w:rsidRDefault="0085520F" w:rsidP="0085520F">
      <w:pPr>
        <w:spacing w:line="276" w:lineRule="auto"/>
        <w:ind w:left="990"/>
        <w:rPr>
          <w:rFonts w:eastAsia="Arial" w:cs="Arial"/>
          <w:color w:val="auto"/>
          <w:szCs w:val="22"/>
          <w:lang w:val="en"/>
        </w:rPr>
      </w:pPr>
    </w:p>
    <w:p w14:paraId="3A6588B0" w14:textId="77777777" w:rsidR="0018337E" w:rsidRPr="0018337E" w:rsidRDefault="0018337E" w:rsidP="0018337E">
      <w:pPr>
        <w:spacing w:after="160"/>
        <w:contextualSpacing/>
        <w:rPr>
          <w:color w:val="2E2E2E"/>
        </w:rPr>
        <w:sectPr w:rsidR="0018337E" w:rsidRPr="0018337E" w:rsidSect="00D86CCC">
          <w:type w:val="continuous"/>
          <w:pgSz w:w="15840" w:h="12240" w:orient="landscape"/>
          <w:pgMar w:top="1440" w:right="1440" w:bottom="1440" w:left="1440" w:header="720" w:footer="720" w:gutter="0"/>
          <w:cols w:space="720"/>
          <w:docGrid w:linePitch="360"/>
        </w:sectPr>
      </w:pPr>
    </w:p>
    <w:p w14:paraId="12A3F999" w14:textId="041B9BFD" w:rsidR="0018337E" w:rsidRPr="0018337E" w:rsidRDefault="0018337E" w:rsidP="009974B7">
      <w:pPr>
        <w:ind w:firstLine="720"/>
        <w:contextualSpacing/>
        <w:rPr>
          <w:b/>
          <w:bCs/>
          <w:color w:val="auto"/>
        </w:rPr>
      </w:pPr>
      <w:r w:rsidRPr="0018337E">
        <w:rPr>
          <w:color w:val="auto"/>
        </w:rPr>
        <w:lastRenderedPageBreak/>
        <w:t xml:space="preserve">The above section highlighted issues related to the jingle fallacy. As an umbrella term, AtL has been described and measured </w:t>
      </w:r>
      <w:r w:rsidR="000B4B73">
        <w:rPr>
          <w:color w:val="auto"/>
        </w:rPr>
        <w:t xml:space="preserve">in </w:t>
      </w:r>
      <w:r w:rsidRPr="0018337E">
        <w:rPr>
          <w:color w:val="auto"/>
        </w:rPr>
        <w:t>a wide variety of ways. In many cases, inconsistences across operationalization and measurement have resulted in conceptual and measurement clutter. Studies using the same measure of AtL have described it differently, while studies describing AtL</w:t>
      </w:r>
      <w:r w:rsidR="000B4B73">
        <w:rPr>
          <w:color w:val="auto"/>
        </w:rPr>
        <w:t>, in the same way,</w:t>
      </w:r>
      <w:r w:rsidRPr="0018337E">
        <w:rPr>
          <w:color w:val="auto"/>
        </w:rPr>
        <w:t xml:space="preserve"> have measured it differently. However, in examining the measurements of AtL, another issue </w:t>
      </w:r>
      <w:r w:rsidR="00BB55FB">
        <w:rPr>
          <w:color w:val="auto"/>
        </w:rPr>
        <w:t>wa</w:t>
      </w:r>
      <w:r w:rsidRPr="0018337E">
        <w:rPr>
          <w:color w:val="auto"/>
        </w:rPr>
        <w:t xml:space="preserve">s brought to the forefront—what happens when studies use the same </w:t>
      </w:r>
      <w:r w:rsidR="00BB55FB">
        <w:rPr>
          <w:color w:val="auto"/>
        </w:rPr>
        <w:t xml:space="preserve">assessment </w:t>
      </w:r>
      <w:r w:rsidRPr="0018337E">
        <w:rPr>
          <w:color w:val="auto"/>
        </w:rPr>
        <w:t xml:space="preserve">but measure different constructs? </w:t>
      </w:r>
    </w:p>
    <w:p w14:paraId="37AB10E3" w14:textId="585E19AC" w:rsidR="0018337E" w:rsidRPr="009974B7" w:rsidRDefault="0018337E" w:rsidP="009974B7">
      <w:pPr>
        <w:pStyle w:val="Heading1"/>
      </w:pPr>
      <w:bookmarkStart w:id="23" w:name="_Toc46265465"/>
      <w:r w:rsidRPr="009974B7">
        <w:t>The Jangle Issue: Inconsistencies Across Measurement</w:t>
      </w:r>
      <w:bookmarkEnd w:id="23"/>
    </w:p>
    <w:p w14:paraId="38B3B80C" w14:textId="16E87518" w:rsidR="0018337E" w:rsidRPr="0018337E" w:rsidRDefault="0018337E" w:rsidP="009974B7">
      <w:pPr>
        <w:contextualSpacing/>
        <w:rPr>
          <w:color w:val="auto"/>
        </w:rPr>
      </w:pPr>
      <w:r w:rsidRPr="0018337E">
        <w:rPr>
          <w:color w:val="auto"/>
        </w:rPr>
        <w:tab/>
        <w:t xml:space="preserve">Teachers, cognitive psychologists, and developmental scientists are interested in how children learn, and each field may view the topic from a different lens. Without communicating about their research, a jangle fallacy may result, when researchers study very similar topics but refer to them by different names. Such is the case for AtL, where there are three potentially related or overlapping constructs, adjustment, behavioral engagement in learning, classroom participation, very similar to AtL. In many cases, the same measurement tool has been used to measure each one of these constructs. </w:t>
      </w:r>
    </w:p>
    <w:p w14:paraId="61A86732" w14:textId="77777777" w:rsidR="0018337E" w:rsidRPr="0018337E" w:rsidRDefault="0018337E" w:rsidP="009974B7">
      <w:pPr>
        <w:pStyle w:val="Heading2"/>
      </w:pPr>
      <w:bookmarkStart w:id="24" w:name="_Toc46265466"/>
      <w:r w:rsidRPr="0018337E">
        <w:t>Adjustment</w:t>
      </w:r>
      <w:bookmarkEnd w:id="24"/>
      <w:r w:rsidRPr="0018337E">
        <w:t xml:space="preserve"> </w:t>
      </w:r>
    </w:p>
    <w:p w14:paraId="148BC3E8" w14:textId="422D80A2" w:rsidR="0018337E" w:rsidRPr="0018337E" w:rsidRDefault="0018337E" w:rsidP="0018337E">
      <w:pPr>
        <w:spacing w:after="160"/>
        <w:contextualSpacing/>
        <w:rPr>
          <w:color w:val="auto"/>
        </w:rPr>
      </w:pPr>
      <w:r w:rsidRPr="0018337E">
        <w:rPr>
          <w:color w:val="FF0000"/>
        </w:rPr>
        <w:tab/>
      </w:r>
      <w:r w:rsidRPr="0018337E">
        <w:rPr>
          <w:color w:val="auto"/>
        </w:rPr>
        <w:t xml:space="preserve">Approaches to learning is </w:t>
      </w:r>
      <w:proofErr w:type="gramStart"/>
      <w:r w:rsidRPr="0018337E">
        <w:rPr>
          <w:color w:val="auto"/>
        </w:rPr>
        <w:t>similar to</w:t>
      </w:r>
      <w:proofErr w:type="gramEnd"/>
      <w:r w:rsidRPr="0018337E">
        <w:rPr>
          <w:color w:val="auto"/>
        </w:rPr>
        <w:t xml:space="preserve"> a construct called </w:t>
      </w:r>
      <w:r w:rsidRPr="0018337E">
        <w:rPr>
          <w:i/>
          <w:iCs/>
          <w:color w:val="auto"/>
        </w:rPr>
        <w:t>adjustment</w:t>
      </w:r>
      <w:r w:rsidRPr="0018337E">
        <w:rPr>
          <w:color w:val="auto"/>
        </w:rPr>
        <w:t xml:space="preserve">, </w:t>
      </w:r>
      <w:r w:rsidR="006963DC" w:rsidRPr="0018337E">
        <w:rPr>
          <w:color w:val="auto"/>
        </w:rPr>
        <w:t xml:space="preserve">a broad term that describes children’s “school affect and attitude and their involvement of engagement with the school environment” </w:t>
      </w:r>
      <w:r w:rsidR="006963DC" w:rsidRPr="009A6864">
        <w:t>(Birch &amp; Ladd, 1997, p. 64)</w:t>
      </w:r>
      <w:r w:rsidR="006963DC" w:rsidRPr="0018337E">
        <w:rPr>
          <w:color w:val="auto"/>
        </w:rPr>
        <w:t>.</w:t>
      </w:r>
      <w:r w:rsidR="006963DC">
        <w:rPr>
          <w:color w:val="auto"/>
        </w:rPr>
        <w:t xml:space="preserve"> It is often used to</w:t>
      </w:r>
      <w:r w:rsidR="006963DC" w:rsidRPr="006963DC">
        <w:rPr>
          <w:color w:val="auto"/>
        </w:rPr>
        <w:t xml:space="preserve"> </w:t>
      </w:r>
      <w:r w:rsidR="006963DC">
        <w:rPr>
          <w:color w:val="auto"/>
        </w:rPr>
        <w:t xml:space="preserve">explain </w:t>
      </w:r>
      <w:r w:rsidRPr="0018337E">
        <w:rPr>
          <w:color w:val="auto"/>
        </w:rPr>
        <w:t xml:space="preserve">how children adapt to novel learning situations, such as the period of transition into preschool or kindergarten </w:t>
      </w:r>
      <w:r w:rsidR="009A6864" w:rsidRPr="009A6864">
        <w:t>(Sasser et al., 2015)</w:t>
      </w:r>
      <w:r w:rsidRPr="0018337E">
        <w:rPr>
          <w:color w:val="auto"/>
        </w:rPr>
        <w:t xml:space="preserve">. While previous literature may have focused on more cognitive aspects of adjustment, like academic achievement, the term has evolved to encompass children’s behavior and attitudes associated with learning </w:t>
      </w:r>
      <w:r w:rsidR="009A6864" w:rsidRPr="009A6864">
        <w:t xml:space="preserve">(Herndon, Bailey, </w:t>
      </w:r>
      <w:proofErr w:type="spellStart"/>
      <w:r w:rsidR="009A6864" w:rsidRPr="009A6864">
        <w:t>Shewark</w:t>
      </w:r>
      <w:proofErr w:type="spellEnd"/>
      <w:r w:rsidR="009A6864" w:rsidRPr="009A6864">
        <w:t>, Denham, &amp; Bassett, 2013)</w:t>
      </w:r>
      <w:r w:rsidRPr="0018337E">
        <w:rPr>
          <w:color w:val="auto"/>
        </w:rPr>
        <w:t xml:space="preserve">. It </w:t>
      </w:r>
      <w:r w:rsidRPr="0018337E">
        <w:rPr>
          <w:color w:val="auto"/>
        </w:rPr>
        <w:lastRenderedPageBreak/>
        <w:t xml:space="preserve">includes behavioral styles that enable children to form relationships with classmates and peers </w:t>
      </w:r>
      <w:r w:rsidR="009A6864" w:rsidRPr="009A6864">
        <w:t xml:space="preserve">(Ladd, Birch, &amp; </w:t>
      </w:r>
      <w:proofErr w:type="spellStart"/>
      <w:r w:rsidR="009A6864" w:rsidRPr="009A6864">
        <w:t>Buhs</w:t>
      </w:r>
      <w:proofErr w:type="spellEnd"/>
      <w:r w:rsidR="009A6864" w:rsidRPr="009A6864">
        <w:t>, 1999)</w:t>
      </w:r>
      <w:r w:rsidRPr="0018337E">
        <w:rPr>
          <w:color w:val="auto"/>
        </w:rPr>
        <w:t xml:space="preserve">. </w:t>
      </w:r>
    </w:p>
    <w:p w14:paraId="50E74D7C" w14:textId="353999CB" w:rsidR="0018337E" w:rsidRPr="0018337E" w:rsidRDefault="0018337E" w:rsidP="0018337E">
      <w:pPr>
        <w:spacing w:after="160"/>
        <w:ind w:firstLine="720"/>
        <w:contextualSpacing/>
        <w:rPr>
          <w:color w:val="auto"/>
        </w:rPr>
      </w:pPr>
      <w:r w:rsidRPr="0018337E">
        <w:rPr>
          <w:color w:val="auto"/>
        </w:rPr>
        <w:t>One measure of children’s adjustment is the Teacher Rating Scale of School Adjustment</w:t>
      </w:r>
      <w:r w:rsidR="006963DC">
        <w:rPr>
          <w:color w:val="auto"/>
        </w:rPr>
        <w:t xml:space="preserve"> (TRSSA)</w:t>
      </w:r>
      <w:r w:rsidRPr="0018337E">
        <w:rPr>
          <w:color w:val="auto"/>
        </w:rPr>
        <w:t xml:space="preserve">, which assesses the extent to which children enjoy school, cooperate with others, accept teachers' </w:t>
      </w:r>
      <w:r w:rsidR="006963DC" w:rsidRPr="0018337E">
        <w:rPr>
          <w:color w:val="auto"/>
        </w:rPr>
        <w:t>authority,</w:t>
      </w:r>
      <w:r w:rsidRPr="0018337E">
        <w:rPr>
          <w:color w:val="auto"/>
        </w:rPr>
        <w:t xml:space="preserve"> and follow classroom rules </w:t>
      </w:r>
      <w:r w:rsidR="009A6864" w:rsidRPr="009A6864">
        <w:t>(Birch &amp; Ladd, 1997)</w:t>
      </w:r>
      <w:r w:rsidRPr="0018337E">
        <w:rPr>
          <w:color w:val="auto"/>
        </w:rPr>
        <w:t xml:space="preserve">. More specifically, </w:t>
      </w:r>
      <w:r w:rsidR="006963DC">
        <w:rPr>
          <w:color w:val="auto"/>
        </w:rPr>
        <w:t>one</w:t>
      </w:r>
      <w:r w:rsidRPr="0018337E">
        <w:rPr>
          <w:color w:val="auto"/>
        </w:rPr>
        <w:t xml:space="preserve"> subscale of TR</w:t>
      </w:r>
      <w:r w:rsidR="006963DC">
        <w:rPr>
          <w:color w:val="auto"/>
        </w:rPr>
        <w:t>S</w:t>
      </w:r>
      <w:r w:rsidRPr="0018337E">
        <w:rPr>
          <w:color w:val="auto"/>
        </w:rPr>
        <w:t xml:space="preserve">SA is self-directed learning, which measures the degree to which children seek challenges, work independently, and are self-directed. It has been used in several studies as a measure of children’s adjustment </w:t>
      </w:r>
      <w:r w:rsidR="009A6864" w:rsidRPr="009A6864">
        <w:t xml:space="preserve">(Betts, Rotenberg, </w:t>
      </w:r>
      <w:proofErr w:type="spellStart"/>
      <w:r w:rsidR="009A6864" w:rsidRPr="009A6864">
        <w:t>Trueman</w:t>
      </w:r>
      <w:proofErr w:type="spellEnd"/>
      <w:r w:rsidR="009A6864" w:rsidRPr="009A6864">
        <w:t xml:space="preserve">, &amp; Stiller, 2012; Li &amp; Lau, 2019; Murray, Murray, &amp; </w:t>
      </w:r>
      <w:proofErr w:type="spellStart"/>
      <w:r w:rsidR="009A6864" w:rsidRPr="009A6864">
        <w:t>Waas</w:t>
      </w:r>
      <w:proofErr w:type="spellEnd"/>
      <w:r w:rsidR="009A6864" w:rsidRPr="009A6864">
        <w:t xml:space="preserve">, 2008; </w:t>
      </w:r>
      <w:proofErr w:type="spellStart"/>
      <w:r w:rsidR="009A6864" w:rsidRPr="009A6864">
        <w:t>Yoleri</w:t>
      </w:r>
      <w:proofErr w:type="spellEnd"/>
      <w:r w:rsidR="009A6864" w:rsidRPr="009A6864">
        <w:t>, 2015)</w:t>
      </w:r>
      <w:r w:rsidRPr="0018337E">
        <w:rPr>
          <w:color w:val="auto"/>
        </w:rPr>
        <w:t xml:space="preserve"> as well as children’s engagement </w:t>
      </w:r>
      <w:r w:rsidR="009A6864" w:rsidRPr="009A6864">
        <w:t>(</w:t>
      </w:r>
      <w:proofErr w:type="spellStart"/>
      <w:r w:rsidR="009A6864" w:rsidRPr="009A6864">
        <w:t>Cadima</w:t>
      </w:r>
      <w:proofErr w:type="spellEnd"/>
      <w:r w:rsidR="009A6864" w:rsidRPr="009A6864">
        <w:t xml:space="preserve">, </w:t>
      </w:r>
      <w:proofErr w:type="spellStart"/>
      <w:r w:rsidR="009A6864" w:rsidRPr="009A6864">
        <w:t>Doumen</w:t>
      </w:r>
      <w:proofErr w:type="spellEnd"/>
      <w:r w:rsidR="009A6864" w:rsidRPr="009A6864">
        <w:t xml:space="preserve">, </w:t>
      </w:r>
      <w:proofErr w:type="spellStart"/>
      <w:r w:rsidR="009A6864" w:rsidRPr="009A6864">
        <w:t>Verschueren</w:t>
      </w:r>
      <w:proofErr w:type="spellEnd"/>
      <w:r w:rsidR="009A6864" w:rsidRPr="009A6864">
        <w:t xml:space="preserve">, &amp; </w:t>
      </w:r>
      <w:proofErr w:type="spellStart"/>
      <w:r w:rsidR="009A6864" w:rsidRPr="009A6864">
        <w:t>Buyse</w:t>
      </w:r>
      <w:proofErr w:type="spellEnd"/>
      <w:r w:rsidR="009A6864" w:rsidRPr="009A6864">
        <w:t xml:space="preserve">, 2015; Hernández et al., 2018, 2016; </w:t>
      </w:r>
      <w:proofErr w:type="spellStart"/>
      <w:r w:rsidR="009A6864" w:rsidRPr="009A6864">
        <w:t>Lietaert</w:t>
      </w:r>
      <w:proofErr w:type="spellEnd"/>
      <w:r w:rsidR="009A6864" w:rsidRPr="009A6864">
        <w:t xml:space="preserve">, </w:t>
      </w:r>
      <w:proofErr w:type="spellStart"/>
      <w:r w:rsidR="009A6864" w:rsidRPr="009A6864">
        <w:t>Roorda</w:t>
      </w:r>
      <w:proofErr w:type="spellEnd"/>
      <w:r w:rsidR="009A6864" w:rsidRPr="009A6864">
        <w:t xml:space="preserve">, </w:t>
      </w:r>
      <w:proofErr w:type="spellStart"/>
      <w:r w:rsidR="009A6864" w:rsidRPr="009A6864">
        <w:t>Laevers</w:t>
      </w:r>
      <w:proofErr w:type="spellEnd"/>
      <w:r w:rsidR="009A6864" w:rsidRPr="009A6864">
        <w:t xml:space="preserve">, </w:t>
      </w:r>
      <w:proofErr w:type="spellStart"/>
      <w:r w:rsidR="009A6864" w:rsidRPr="009A6864">
        <w:t>Verschueren</w:t>
      </w:r>
      <w:proofErr w:type="spellEnd"/>
      <w:r w:rsidR="009A6864" w:rsidRPr="009A6864">
        <w:t xml:space="preserve">, &amp; </w:t>
      </w:r>
      <w:proofErr w:type="spellStart"/>
      <w:r w:rsidR="009A6864" w:rsidRPr="009A6864">
        <w:t>Fraine</w:t>
      </w:r>
      <w:proofErr w:type="spellEnd"/>
      <w:r w:rsidR="009A6864" w:rsidRPr="009A6864">
        <w:t>, 2015)</w:t>
      </w:r>
    </w:p>
    <w:p w14:paraId="54945C59" w14:textId="17AE6B0B" w:rsidR="0018337E" w:rsidRPr="0018337E" w:rsidRDefault="0018337E" w:rsidP="0018337E">
      <w:pPr>
        <w:spacing w:after="160"/>
        <w:ind w:firstLine="720"/>
        <w:contextualSpacing/>
        <w:rPr>
          <w:color w:val="auto"/>
        </w:rPr>
      </w:pPr>
      <w:r w:rsidRPr="0018337E">
        <w:rPr>
          <w:color w:val="auto"/>
        </w:rPr>
        <w:t xml:space="preserve">However, there are two issues related to the term adjustment. The first is the construct adjustment has been measured using AtL measurements. Two studies have measured adjustment using the PLBS: Herndon et al. </w:t>
      </w:r>
      <w:r w:rsidR="009A6864" w:rsidRPr="009A6864">
        <w:t>(2013)</w:t>
      </w:r>
      <w:r w:rsidRPr="0018337E">
        <w:rPr>
          <w:color w:val="auto"/>
        </w:rPr>
        <w:t xml:space="preserve"> measured the adjustment of Head Start children, and Bailey, Denham, </w:t>
      </w:r>
      <w:proofErr w:type="spellStart"/>
      <w:r w:rsidRPr="0018337E">
        <w:rPr>
          <w:color w:val="auto"/>
        </w:rPr>
        <w:t>Curby</w:t>
      </w:r>
      <w:proofErr w:type="spellEnd"/>
      <w:r w:rsidRPr="0018337E">
        <w:rPr>
          <w:color w:val="auto"/>
        </w:rPr>
        <w:t xml:space="preserve">, and Bassett </w:t>
      </w:r>
      <w:r w:rsidR="009A6864" w:rsidRPr="009A6864">
        <w:t>(2016)</w:t>
      </w:r>
      <w:r w:rsidRPr="0018337E">
        <w:rPr>
          <w:color w:val="auto"/>
        </w:rPr>
        <w:t xml:space="preserve"> measured preschool children’s school adjustment. Denham et al. </w:t>
      </w:r>
      <w:r w:rsidR="009A6864" w:rsidRPr="009A6864">
        <w:t>(2012)</w:t>
      </w:r>
      <w:r w:rsidRPr="0018337E">
        <w:rPr>
          <w:color w:val="auto"/>
        </w:rPr>
        <w:t xml:space="preserve"> measured adjustment using both the PLBS and the TRSSA. Finally, Harrison, </w:t>
      </w:r>
      <w:proofErr w:type="spellStart"/>
      <w:r w:rsidRPr="0018337E">
        <w:rPr>
          <w:color w:val="auto"/>
        </w:rPr>
        <w:t>McDleod</w:t>
      </w:r>
      <w:proofErr w:type="spellEnd"/>
      <w:r w:rsidRPr="0018337E">
        <w:rPr>
          <w:color w:val="auto"/>
        </w:rPr>
        <w:t xml:space="preserve">, Berthelsen, and Walker </w:t>
      </w:r>
      <w:r w:rsidR="009A6864" w:rsidRPr="009A6864">
        <w:t>(2009)</w:t>
      </w:r>
      <w:r w:rsidRPr="0018337E">
        <w:rPr>
          <w:color w:val="auto"/>
        </w:rPr>
        <w:t xml:space="preserve"> measured children’s school adjustment using the ECLS-K AtL scale. </w:t>
      </w:r>
    </w:p>
    <w:p w14:paraId="5AA7950D" w14:textId="5D542A32" w:rsidR="0018337E" w:rsidRPr="0018337E" w:rsidRDefault="0018337E" w:rsidP="0018337E">
      <w:pPr>
        <w:spacing w:after="160"/>
        <w:ind w:firstLine="720"/>
        <w:contextualSpacing/>
        <w:rPr>
          <w:color w:val="auto"/>
        </w:rPr>
      </w:pPr>
      <w:r w:rsidRPr="0018337E">
        <w:rPr>
          <w:color w:val="auto"/>
        </w:rPr>
        <w:t>In addition, the TRSSA, a measure of children’s adjustment, has been used to measure the construct of AtL. Daniels (2014) measured children’s</w:t>
      </w:r>
      <w:r w:rsidR="006963DC">
        <w:rPr>
          <w:color w:val="auto"/>
        </w:rPr>
        <w:t xml:space="preserve"> AtL</w:t>
      </w:r>
      <w:r w:rsidRPr="0018337E">
        <w:rPr>
          <w:color w:val="auto"/>
        </w:rPr>
        <w:t xml:space="preserve"> using</w:t>
      </w:r>
      <w:r w:rsidR="006963DC">
        <w:rPr>
          <w:color w:val="auto"/>
        </w:rPr>
        <w:t xml:space="preserve"> </w:t>
      </w:r>
      <w:r w:rsidRPr="0018337E">
        <w:rPr>
          <w:color w:val="auto"/>
        </w:rPr>
        <w:t xml:space="preserve">three subscales of the TRSSA, on-task classroom involvement, maturity, and positive orientation. Her study focused on AtL as children’s positive school-related attitudes that help them adapt to kindergarten. Stipek et al. </w:t>
      </w:r>
      <w:r w:rsidR="009A6864" w:rsidRPr="009A6864">
        <w:t>(2010)</w:t>
      </w:r>
      <w:r w:rsidRPr="0018337E">
        <w:rPr>
          <w:color w:val="auto"/>
        </w:rPr>
        <w:t xml:space="preserve"> measured children’s learning-related behaviors using four items from the TRSSA—</w:t>
      </w:r>
      <w:r w:rsidRPr="0018337E">
        <w:rPr>
          <w:color w:val="auto"/>
        </w:rPr>
        <w:lastRenderedPageBreak/>
        <w:t>works independently, seeks challenges, accepts responsibility</w:t>
      </w:r>
      <w:r w:rsidR="00576230">
        <w:rPr>
          <w:color w:val="auto"/>
        </w:rPr>
        <w:t>,</w:t>
      </w:r>
      <w:r w:rsidRPr="0018337E">
        <w:rPr>
          <w:color w:val="auto"/>
        </w:rPr>
        <w:t xml:space="preserve"> and is tuned in to what is going on. They describe learning-related behaviors as one component of self-regulation observable in the classroom. </w:t>
      </w:r>
    </w:p>
    <w:p w14:paraId="6A0E01F1" w14:textId="3E223812" w:rsidR="0018337E" w:rsidRPr="0018337E" w:rsidRDefault="0018337E" w:rsidP="0018337E">
      <w:pPr>
        <w:spacing w:after="160"/>
        <w:ind w:firstLine="720"/>
        <w:contextualSpacing/>
        <w:rPr>
          <w:color w:val="auto"/>
        </w:rPr>
      </w:pPr>
      <w:r w:rsidRPr="0018337E">
        <w:rPr>
          <w:color w:val="auto"/>
        </w:rPr>
        <w:t xml:space="preserve">These studies highlight the potential overlap between AtL and adjustment. In some studies, adjustment is evaluated through AtL measures, and in other studies, AtL is </w:t>
      </w:r>
      <w:r w:rsidR="00576230" w:rsidRPr="0018337E">
        <w:rPr>
          <w:color w:val="auto"/>
        </w:rPr>
        <w:t>rated through</w:t>
      </w:r>
      <w:r w:rsidRPr="0018337E">
        <w:rPr>
          <w:color w:val="auto"/>
        </w:rPr>
        <w:t xml:space="preserve"> adjustment measures. While adjustment highlights strategies children use as they adapt to novel learning environments, </w:t>
      </w:r>
      <w:r w:rsidR="000B4B73">
        <w:rPr>
          <w:color w:val="auto"/>
        </w:rPr>
        <w:t>adjustment may be</w:t>
      </w:r>
      <w:r w:rsidRPr="0018337E">
        <w:rPr>
          <w:color w:val="auto"/>
        </w:rPr>
        <w:t xml:space="preserve"> a form of AtL along a developmental sequence. As Stipek et al. (2010) point out, learning-related behaviors (like AtL or adjustment) have been shown to predict academic achievement; </w:t>
      </w:r>
      <w:r w:rsidR="006963DC">
        <w:rPr>
          <w:color w:val="auto"/>
        </w:rPr>
        <w:t xml:space="preserve">however, it is possible that </w:t>
      </w:r>
      <w:r w:rsidRPr="0018337E">
        <w:rPr>
          <w:color w:val="auto"/>
        </w:rPr>
        <w:t xml:space="preserve">academic achievement helps support adjustment or that the relationship is bidirectional. More clarity is needed when these constructs are used to study children’s academic performance to ensure that we adequately measure what we purport to measure and that it is conceptually distinct from other constructs. </w:t>
      </w:r>
    </w:p>
    <w:p w14:paraId="366D5BCF" w14:textId="77777777" w:rsidR="0018337E" w:rsidRPr="0018337E" w:rsidRDefault="0018337E" w:rsidP="009974B7">
      <w:pPr>
        <w:pStyle w:val="Heading2"/>
      </w:pPr>
      <w:bookmarkStart w:id="25" w:name="_Toc46265467"/>
      <w:r w:rsidRPr="0018337E">
        <w:t>Behavioral Engagement in Learning</w:t>
      </w:r>
      <w:bookmarkEnd w:id="25"/>
      <w:r w:rsidRPr="0018337E">
        <w:t xml:space="preserve"> </w:t>
      </w:r>
    </w:p>
    <w:p w14:paraId="1C67E533" w14:textId="41CDE2E1" w:rsidR="0018337E" w:rsidRPr="0018337E" w:rsidRDefault="0018337E" w:rsidP="0018337E">
      <w:pPr>
        <w:spacing w:after="160"/>
        <w:contextualSpacing/>
        <w:rPr>
          <w:color w:val="auto"/>
        </w:rPr>
      </w:pPr>
      <w:r w:rsidRPr="0018337E">
        <w:rPr>
          <w:color w:val="auto"/>
        </w:rPr>
        <w:tab/>
      </w:r>
      <w:r w:rsidR="006963DC" w:rsidRPr="0018337E">
        <w:rPr>
          <w:color w:val="auto"/>
        </w:rPr>
        <w:t xml:space="preserve">Previous studies have identified engagement as a multidimensional construct, including cognitive, behavioral, and emotional elements </w:t>
      </w:r>
      <w:r w:rsidR="006963DC" w:rsidRPr="009A6864">
        <w:t>(Fredricks, Blumenfeld, &amp; Paris, 2004; Parker, Nelson, &amp; Burns, 2010)</w:t>
      </w:r>
      <w:r w:rsidR="006963DC" w:rsidRPr="0018337E">
        <w:rPr>
          <w:color w:val="auto"/>
        </w:rPr>
        <w:t xml:space="preserve">. </w:t>
      </w:r>
      <w:r w:rsidRPr="0018337E">
        <w:rPr>
          <w:color w:val="auto"/>
        </w:rPr>
        <w:t>Behavioral engagement</w:t>
      </w:r>
      <w:r w:rsidR="006963DC">
        <w:rPr>
          <w:color w:val="auto"/>
        </w:rPr>
        <w:t xml:space="preserve"> (BE)</w:t>
      </w:r>
      <w:r w:rsidRPr="0018337E">
        <w:rPr>
          <w:color w:val="auto"/>
        </w:rPr>
        <w:t xml:space="preserve"> in learning describes “observable behaviors that children show during classroom learning activities” </w:t>
      </w:r>
      <w:r w:rsidR="009A6864" w:rsidRPr="009A6864">
        <w:t>(Robinson &amp; Mueller, 2014, p. 326)</w:t>
      </w:r>
      <w:r w:rsidRPr="0018337E">
        <w:rPr>
          <w:color w:val="auto"/>
        </w:rPr>
        <w:t xml:space="preserve">. </w:t>
      </w:r>
      <w:r w:rsidR="006963DC">
        <w:rPr>
          <w:color w:val="auto"/>
        </w:rPr>
        <w:t>BE</w:t>
      </w:r>
      <w:r w:rsidRPr="0018337E">
        <w:rPr>
          <w:color w:val="auto"/>
        </w:rPr>
        <w:t xml:space="preserve"> includes a range of actions that “exemplify students’ approaches to classroom learning” </w:t>
      </w:r>
      <w:r w:rsidR="009A6864" w:rsidRPr="009A6864">
        <w:t>(Robinson, 2013, p. 23)</w:t>
      </w:r>
      <w:r w:rsidR="000B4B73">
        <w:t>,</w:t>
      </w:r>
      <w:r w:rsidR="006963DC">
        <w:rPr>
          <w:color w:val="auto"/>
        </w:rPr>
        <w:t xml:space="preserve"> includ</w:t>
      </w:r>
      <w:r w:rsidR="00E226A6">
        <w:rPr>
          <w:color w:val="auto"/>
        </w:rPr>
        <w:t>ing</w:t>
      </w:r>
      <w:r w:rsidR="006963DC">
        <w:rPr>
          <w:color w:val="auto"/>
        </w:rPr>
        <w:t xml:space="preserve"> </w:t>
      </w:r>
      <w:r w:rsidR="006963DC" w:rsidRPr="0018337E">
        <w:rPr>
          <w:color w:val="auto"/>
        </w:rPr>
        <w:t xml:space="preserve">persistence, responding to teachers’ directions, and active participation </w:t>
      </w:r>
      <w:r w:rsidR="006963DC" w:rsidRPr="009A6864">
        <w:t>(</w:t>
      </w:r>
      <w:proofErr w:type="spellStart"/>
      <w:r w:rsidR="006963DC" w:rsidRPr="009A6864">
        <w:t>Bodovski</w:t>
      </w:r>
      <w:proofErr w:type="spellEnd"/>
      <w:r w:rsidR="006963DC" w:rsidRPr="009A6864">
        <w:t xml:space="preserve"> &amp; Farkas, 2007)</w:t>
      </w:r>
      <w:r w:rsidR="006963DC" w:rsidRPr="0018337E">
        <w:rPr>
          <w:color w:val="auto"/>
        </w:rPr>
        <w:t xml:space="preserve">. </w:t>
      </w:r>
      <w:r w:rsidR="00A6750A">
        <w:rPr>
          <w:color w:val="auto"/>
        </w:rPr>
        <w:t>It</w:t>
      </w:r>
      <w:r w:rsidR="00A6750A" w:rsidRPr="0018337E">
        <w:rPr>
          <w:color w:val="auto"/>
        </w:rPr>
        <w:t xml:space="preserve"> has also been conceptualized as involvement, attention, and self-reliance </w:t>
      </w:r>
      <w:r w:rsidR="00A6750A" w:rsidRPr="009A6864">
        <w:t>(</w:t>
      </w:r>
      <w:proofErr w:type="spellStart"/>
      <w:r w:rsidR="00A6750A" w:rsidRPr="009A6864">
        <w:t>Ponitz</w:t>
      </w:r>
      <w:proofErr w:type="spellEnd"/>
      <w:r w:rsidR="00A6750A" w:rsidRPr="009A6864">
        <w:t xml:space="preserve">, </w:t>
      </w:r>
      <w:proofErr w:type="spellStart"/>
      <w:r w:rsidR="00A6750A" w:rsidRPr="009A6864">
        <w:t>Rimm</w:t>
      </w:r>
      <w:proofErr w:type="spellEnd"/>
      <w:r w:rsidR="00A6750A" w:rsidRPr="009A6864">
        <w:t xml:space="preserve">-Kaufman, Grimm, &amp; </w:t>
      </w:r>
      <w:proofErr w:type="spellStart"/>
      <w:r w:rsidR="00A6750A" w:rsidRPr="009A6864">
        <w:t>Curby</w:t>
      </w:r>
      <w:proofErr w:type="spellEnd"/>
      <w:r w:rsidR="00A6750A" w:rsidRPr="009A6864">
        <w:t xml:space="preserve">, 2009; </w:t>
      </w:r>
      <w:proofErr w:type="spellStart"/>
      <w:r w:rsidR="00A6750A" w:rsidRPr="009A6864">
        <w:t>Rimm</w:t>
      </w:r>
      <w:proofErr w:type="spellEnd"/>
      <w:r w:rsidR="00A6750A" w:rsidRPr="009A6864">
        <w:t>-Kaufman et al., 2002)</w:t>
      </w:r>
      <w:r w:rsidR="00A6750A">
        <w:rPr>
          <w:color w:val="auto"/>
        </w:rPr>
        <w:t xml:space="preserve"> or </w:t>
      </w:r>
      <w:r w:rsidRPr="0018337E">
        <w:rPr>
          <w:color w:val="auto"/>
        </w:rPr>
        <w:t xml:space="preserve">active participation and focused involvement </w:t>
      </w:r>
      <w:r w:rsidR="009A6864" w:rsidRPr="009A6864">
        <w:t>(Halliday et al., 2018)</w:t>
      </w:r>
      <w:r w:rsidRPr="0018337E">
        <w:rPr>
          <w:color w:val="auto"/>
        </w:rPr>
        <w:t xml:space="preserve">. </w:t>
      </w:r>
    </w:p>
    <w:p w14:paraId="58D09690" w14:textId="34D1540A" w:rsidR="0018337E" w:rsidRPr="0018337E" w:rsidRDefault="0018337E" w:rsidP="0018337E">
      <w:pPr>
        <w:spacing w:after="160"/>
        <w:contextualSpacing/>
        <w:rPr>
          <w:color w:val="auto"/>
        </w:rPr>
      </w:pPr>
      <w:r w:rsidRPr="0018337E">
        <w:rPr>
          <w:color w:val="auto"/>
        </w:rPr>
        <w:lastRenderedPageBreak/>
        <w:tab/>
      </w:r>
      <w:r w:rsidR="00E226A6">
        <w:rPr>
          <w:color w:val="auto"/>
        </w:rPr>
        <w:t>BE</w:t>
      </w:r>
      <w:r w:rsidRPr="0018337E">
        <w:rPr>
          <w:color w:val="auto"/>
        </w:rPr>
        <w:t xml:space="preserve"> has been measured in various ways. Hughes and Kwok </w:t>
      </w:r>
      <w:r w:rsidR="009A6864" w:rsidRPr="009A6864">
        <w:t>(2007)</w:t>
      </w:r>
      <w:r w:rsidRPr="0018337E">
        <w:rPr>
          <w:color w:val="auto"/>
        </w:rPr>
        <w:t xml:space="preserve"> measured it using items from the Conscientious scale of the Big Five Inventory and the Social Competence Scale. Searle, Sawyer, Miller-Lewis, and </w:t>
      </w:r>
      <w:proofErr w:type="spellStart"/>
      <w:r w:rsidRPr="0018337E">
        <w:rPr>
          <w:color w:val="auto"/>
        </w:rPr>
        <w:t>Baghurst</w:t>
      </w:r>
      <w:proofErr w:type="spellEnd"/>
      <w:r w:rsidRPr="0018337E">
        <w:rPr>
          <w:color w:val="auto"/>
        </w:rPr>
        <w:t xml:space="preserve"> </w:t>
      </w:r>
      <w:r w:rsidR="009A6864" w:rsidRPr="009A6864">
        <w:t>(2014)</w:t>
      </w:r>
      <w:r w:rsidRPr="0018337E">
        <w:rPr>
          <w:color w:val="auto"/>
        </w:rPr>
        <w:t xml:space="preserve"> measured engagement using the Rochester Assessment Package for Schools engagement, which included items measuring behavior engagement, operationalized as</w:t>
      </w:r>
      <w:r w:rsidRPr="0018337E">
        <w:rPr>
          <w:rFonts w:asciiTheme="minorHAnsi" w:hAnsiTheme="minorHAnsi" w:cstheme="minorBidi"/>
          <w:color w:val="auto"/>
          <w:sz w:val="22"/>
          <w:szCs w:val="22"/>
        </w:rPr>
        <w:t xml:space="preserve"> </w:t>
      </w:r>
      <w:r w:rsidRPr="0018337E">
        <w:rPr>
          <w:color w:val="auto"/>
        </w:rPr>
        <w:t xml:space="preserve">effort, attention, persistence. Yang and Lamb </w:t>
      </w:r>
      <w:r w:rsidR="009A6864" w:rsidRPr="009A6864">
        <w:t>(2014)</w:t>
      </w:r>
      <w:r w:rsidRPr="0018337E">
        <w:rPr>
          <w:color w:val="auto"/>
        </w:rPr>
        <w:t xml:space="preserve"> examined behavioral engagement using a teacher-reported measure, the Child Behavior Rating Scale, which taps children’s behavior when completing tasks and engagement in social situations. Finally, in one study, engagement was measured via the TRSSA, specifically items rating children’s cooperative participation and self-directness </w:t>
      </w:r>
      <w:r w:rsidR="009A6864" w:rsidRPr="009A6864">
        <w:t>(Bryce et al., 2018)</w:t>
      </w:r>
      <w:r w:rsidRPr="0018337E">
        <w:rPr>
          <w:color w:val="auto"/>
        </w:rPr>
        <w:t xml:space="preserve">. </w:t>
      </w:r>
    </w:p>
    <w:p w14:paraId="552D05A0" w14:textId="1285B180" w:rsidR="0018337E" w:rsidRPr="0018337E" w:rsidRDefault="0018337E" w:rsidP="0018337E">
      <w:pPr>
        <w:spacing w:after="160"/>
        <w:ind w:firstLine="720"/>
        <w:contextualSpacing/>
        <w:rPr>
          <w:color w:val="auto"/>
        </w:rPr>
      </w:pPr>
      <w:r w:rsidRPr="0018337E">
        <w:rPr>
          <w:color w:val="auto"/>
        </w:rPr>
        <w:t xml:space="preserve">Engagement has also been measured via observation. Halliday et al. </w:t>
      </w:r>
      <w:r w:rsidR="009A6864" w:rsidRPr="009A6864">
        <w:t>(2018)</w:t>
      </w:r>
      <w:r w:rsidRPr="0018337E">
        <w:rPr>
          <w:color w:val="auto"/>
        </w:rPr>
        <w:t xml:space="preserve"> sought to create a laboratory-based measurement of global engagement, which included attention to instructions, on-task behavior, persistence, positive/negative affect, and strategy use. It has been studied through observational measures </w:t>
      </w:r>
      <w:r w:rsidR="009A6864" w:rsidRPr="009A6864">
        <w:t xml:space="preserve">(Guo, Sun, </w:t>
      </w:r>
      <w:proofErr w:type="spellStart"/>
      <w:r w:rsidR="009A6864" w:rsidRPr="009A6864">
        <w:t>Breit</w:t>
      </w:r>
      <w:proofErr w:type="spellEnd"/>
      <w:r w:rsidR="009A6864" w:rsidRPr="009A6864">
        <w:t xml:space="preserve">-Smith, Morrison, &amp; Connor, 2015; Parker et al., 2010; </w:t>
      </w:r>
      <w:proofErr w:type="spellStart"/>
      <w:r w:rsidR="009A6864" w:rsidRPr="009A6864">
        <w:t>Rimm</w:t>
      </w:r>
      <w:proofErr w:type="spellEnd"/>
      <w:r w:rsidR="009A6864" w:rsidRPr="009A6864">
        <w:t>-Kaufman et al., 2009)</w:t>
      </w:r>
      <w:r w:rsidRPr="0018337E">
        <w:rPr>
          <w:color w:val="auto"/>
        </w:rPr>
        <w:t xml:space="preserve">. Both </w:t>
      </w:r>
      <w:proofErr w:type="spellStart"/>
      <w:r w:rsidRPr="0018337E">
        <w:rPr>
          <w:color w:val="auto"/>
        </w:rPr>
        <w:t>R</w:t>
      </w:r>
      <w:r w:rsidR="00E226A6">
        <w:rPr>
          <w:color w:val="auto"/>
        </w:rPr>
        <w:t>im</w:t>
      </w:r>
      <w:r w:rsidRPr="0018337E">
        <w:rPr>
          <w:color w:val="auto"/>
        </w:rPr>
        <w:t>m</w:t>
      </w:r>
      <w:proofErr w:type="spellEnd"/>
      <w:r w:rsidRPr="0018337E">
        <w:rPr>
          <w:color w:val="auto"/>
        </w:rPr>
        <w:t xml:space="preserve">-Kaufman et al. (2009) and Guo et al. </w:t>
      </w:r>
      <w:r w:rsidR="009A6864" w:rsidRPr="009A6864">
        <w:t>(2015)</w:t>
      </w:r>
      <w:r w:rsidRPr="0018337E">
        <w:rPr>
          <w:color w:val="auto"/>
        </w:rPr>
        <w:t xml:space="preserve"> measured behavioral engagement using the classroom observation system. </w:t>
      </w:r>
      <w:proofErr w:type="spellStart"/>
      <w:r w:rsidRPr="0018337E">
        <w:rPr>
          <w:color w:val="auto"/>
        </w:rPr>
        <w:t>Rimm</w:t>
      </w:r>
      <w:proofErr w:type="spellEnd"/>
      <w:r w:rsidRPr="0018337E">
        <w:rPr>
          <w:color w:val="auto"/>
        </w:rPr>
        <w:t xml:space="preserve">-Kauffman et al. </w:t>
      </w:r>
      <w:r w:rsidR="009A6864" w:rsidRPr="009A6864">
        <w:t>(2009)</w:t>
      </w:r>
      <w:r w:rsidRPr="0018337E">
        <w:rPr>
          <w:color w:val="auto"/>
        </w:rPr>
        <w:t xml:space="preserve"> used the observed child engagement scale, while Guo looked at active and passive engagement and global ratings of attention and self-reliance. </w:t>
      </w:r>
    </w:p>
    <w:p w14:paraId="3B3DB9DF" w14:textId="2DF73439" w:rsidR="0018337E" w:rsidRPr="0018337E" w:rsidRDefault="0018337E" w:rsidP="009974B7">
      <w:pPr>
        <w:ind w:firstLine="720"/>
        <w:contextualSpacing/>
        <w:rPr>
          <w:color w:val="auto"/>
        </w:rPr>
      </w:pPr>
      <w:r w:rsidRPr="0018337E">
        <w:rPr>
          <w:color w:val="auto"/>
        </w:rPr>
        <w:t xml:space="preserve">Although there is </w:t>
      </w:r>
      <w:r w:rsidR="000B4B73">
        <w:rPr>
          <w:color w:val="auto"/>
        </w:rPr>
        <w:t xml:space="preserve">a </w:t>
      </w:r>
      <w:r w:rsidRPr="0018337E">
        <w:rPr>
          <w:color w:val="auto"/>
        </w:rPr>
        <w:t xml:space="preserve">conceptual overlap between behavioral engagement and AtL (i.e., persistence, attention, and involvement), there is also some measurement overlap between the two constructs. Using the ECLS-K dataset, in both </w:t>
      </w:r>
      <w:proofErr w:type="spellStart"/>
      <w:r w:rsidRPr="0018337E">
        <w:rPr>
          <w:color w:val="auto"/>
        </w:rPr>
        <w:t>Bodovski</w:t>
      </w:r>
      <w:proofErr w:type="spellEnd"/>
      <w:r w:rsidRPr="0018337E">
        <w:rPr>
          <w:color w:val="auto"/>
        </w:rPr>
        <w:t xml:space="preserve"> and Farkas (2007) and Robinson and Mueller (2014), behavioral engagement was measured using the AtL scale. Halliday et al. (2018) note that </w:t>
      </w:r>
      <w:r w:rsidR="00E226A6">
        <w:rPr>
          <w:color w:val="auto"/>
        </w:rPr>
        <w:t>BE</w:t>
      </w:r>
      <w:r w:rsidRPr="0018337E">
        <w:rPr>
          <w:color w:val="auto"/>
        </w:rPr>
        <w:t xml:space="preserve"> has also been measured using the PLBS (an AtL scale)</w:t>
      </w:r>
      <w:r w:rsidR="00576230">
        <w:rPr>
          <w:color w:val="auto"/>
        </w:rPr>
        <w:t>,</w:t>
      </w:r>
      <w:r w:rsidR="007C1CBE">
        <w:rPr>
          <w:color w:val="auto"/>
        </w:rPr>
        <w:t xml:space="preserve"> </w:t>
      </w:r>
      <w:r w:rsidRPr="0018337E">
        <w:rPr>
          <w:color w:val="auto"/>
        </w:rPr>
        <w:t>the learning-to-learn scales</w:t>
      </w:r>
      <w:r w:rsidR="00576230">
        <w:rPr>
          <w:color w:val="auto"/>
        </w:rPr>
        <w:t xml:space="preserve">, and the </w:t>
      </w:r>
      <w:r w:rsidRPr="0018337E">
        <w:rPr>
          <w:color w:val="auto"/>
        </w:rPr>
        <w:t>Cooper-</w:t>
      </w:r>
      <w:proofErr w:type="spellStart"/>
      <w:r w:rsidRPr="0018337E">
        <w:rPr>
          <w:color w:val="auto"/>
        </w:rPr>
        <w:t>Farran</w:t>
      </w:r>
      <w:proofErr w:type="spellEnd"/>
      <w:r w:rsidRPr="0018337E">
        <w:rPr>
          <w:color w:val="auto"/>
        </w:rPr>
        <w:t xml:space="preserve"> Behavioral rating scales, which are not measures of AtL but which </w:t>
      </w:r>
      <w:r w:rsidRPr="0018337E">
        <w:rPr>
          <w:color w:val="auto"/>
        </w:rPr>
        <w:lastRenderedPageBreak/>
        <w:t xml:space="preserve">have been used in studies of AtL. </w:t>
      </w:r>
      <w:proofErr w:type="gramStart"/>
      <w:r w:rsidRPr="0018337E">
        <w:rPr>
          <w:color w:val="auto"/>
        </w:rPr>
        <w:t>Similar to</w:t>
      </w:r>
      <w:proofErr w:type="gramEnd"/>
      <w:r w:rsidRPr="0018337E">
        <w:rPr>
          <w:color w:val="auto"/>
        </w:rPr>
        <w:t xml:space="preserve"> adjustment, there is no clear consensus in the field about how these terms, behavioral engagement, and AtL, are distinct and what specific measurement techniques could distinguish between these constructs. </w:t>
      </w:r>
    </w:p>
    <w:p w14:paraId="4A106552" w14:textId="77777777" w:rsidR="0018337E" w:rsidRPr="0018337E" w:rsidRDefault="0018337E" w:rsidP="009974B7">
      <w:pPr>
        <w:pStyle w:val="Heading2"/>
      </w:pPr>
      <w:bookmarkStart w:id="26" w:name="_Toc46265468"/>
      <w:r w:rsidRPr="0018337E">
        <w:t>Classroom Behavior/Participation</w:t>
      </w:r>
      <w:bookmarkEnd w:id="26"/>
      <w:r w:rsidRPr="0018337E">
        <w:t xml:space="preserve"> </w:t>
      </w:r>
    </w:p>
    <w:p w14:paraId="720BD54D" w14:textId="63A29524" w:rsidR="0018337E" w:rsidRPr="0018337E" w:rsidRDefault="0018337E" w:rsidP="0018337E">
      <w:pPr>
        <w:spacing w:after="160"/>
        <w:contextualSpacing/>
        <w:rPr>
          <w:b/>
          <w:bCs/>
          <w:color w:val="auto"/>
        </w:rPr>
      </w:pPr>
      <w:r w:rsidRPr="0018337E">
        <w:rPr>
          <w:b/>
          <w:bCs/>
          <w:color w:val="auto"/>
        </w:rPr>
        <w:tab/>
      </w:r>
      <w:r w:rsidRPr="0018337E">
        <w:rPr>
          <w:color w:val="auto"/>
        </w:rPr>
        <w:t xml:space="preserve">Finally, one last construct, classroom participation, shares overlap with AtL. Classroom participation includes students’ “self-directed behavior, willingness to adhere to the social expectations of the classroom, and independent work” </w:t>
      </w:r>
      <w:r w:rsidR="009A6864" w:rsidRPr="009A6864">
        <w:t>(</w:t>
      </w:r>
      <w:proofErr w:type="spellStart"/>
      <w:r w:rsidR="009A6864" w:rsidRPr="009A6864">
        <w:t>Valiente</w:t>
      </w:r>
      <w:proofErr w:type="spellEnd"/>
      <w:r w:rsidR="009A6864" w:rsidRPr="009A6864">
        <w:t xml:space="preserve">, </w:t>
      </w:r>
      <w:proofErr w:type="spellStart"/>
      <w:r w:rsidR="009A6864" w:rsidRPr="009A6864">
        <w:t>Lemery</w:t>
      </w:r>
      <w:proofErr w:type="spellEnd"/>
      <w:r w:rsidR="009A6864" w:rsidRPr="009A6864">
        <w:t>-Chalfant, &amp; Swanson, 2010, p. 436)</w:t>
      </w:r>
      <w:r w:rsidRPr="0018337E">
        <w:rPr>
          <w:color w:val="auto"/>
        </w:rPr>
        <w:t xml:space="preserve">. Given that AtL has been defined as children’s classroom-based behaviors that support learning, active participation in the classroom, it seems a likely component of AtL. </w:t>
      </w:r>
    </w:p>
    <w:p w14:paraId="4B02D4FF" w14:textId="4AD912F9" w:rsidR="0018337E" w:rsidRPr="0018337E" w:rsidRDefault="0018337E" w:rsidP="0018337E">
      <w:pPr>
        <w:spacing w:after="160"/>
        <w:ind w:firstLine="720"/>
        <w:contextualSpacing/>
        <w:rPr>
          <w:rFonts w:ascii="Arial" w:hAnsi="Arial" w:cs="Arial"/>
          <w:color w:val="333333"/>
          <w:sz w:val="26"/>
          <w:szCs w:val="26"/>
        </w:rPr>
      </w:pPr>
      <w:r w:rsidRPr="0018337E">
        <w:rPr>
          <w:color w:val="auto"/>
        </w:rPr>
        <w:t xml:space="preserve">Classroom participation has been measured primarily through teacher reports. Sasser et al. </w:t>
      </w:r>
      <w:r w:rsidR="009A6864" w:rsidRPr="009A6864">
        <w:t>(2015)</w:t>
      </w:r>
      <w:r w:rsidRPr="0018337E">
        <w:rPr>
          <w:color w:val="auto"/>
        </w:rPr>
        <w:t xml:space="preserve"> measured classroom participation from items drawn from a researcher-created school readiness inventory that included items such as following rules, enthusiasm about learning, and being careful with his or her work. </w:t>
      </w:r>
      <w:proofErr w:type="spellStart"/>
      <w:r w:rsidRPr="0018337E">
        <w:rPr>
          <w:color w:val="auto"/>
        </w:rPr>
        <w:t>Rimm</w:t>
      </w:r>
      <w:proofErr w:type="spellEnd"/>
      <w:r w:rsidRPr="0018337E">
        <w:rPr>
          <w:color w:val="auto"/>
        </w:rPr>
        <w:t xml:space="preserve">-Kaufman et al. </w:t>
      </w:r>
      <w:r w:rsidR="009A6864" w:rsidRPr="009A6864">
        <w:t>(2009)</w:t>
      </w:r>
      <w:r w:rsidRPr="0018337E">
        <w:rPr>
          <w:color w:val="auto"/>
        </w:rPr>
        <w:t xml:space="preserve"> measured participation through a researcher-designed self-control scale and the mock report card, which includes following classroom procedures and works well independently. Tindal, Irvin, </w:t>
      </w:r>
      <w:proofErr w:type="spellStart"/>
      <w:r w:rsidRPr="0018337E">
        <w:rPr>
          <w:color w:val="auto"/>
        </w:rPr>
        <w:t>Nese</w:t>
      </w:r>
      <w:proofErr w:type="spellEnd"/>
      <w:r w:rsidRPr="0018337E">
        <w:rPr>
          <w:color w:val="auto"/>
        </w:rPr>
        <w:t xml:space="preserve">, and Slater </w:t>
      </w:r>
      <w:r w:rsidR="009A6864" w:rsidRPr="009A6864">
        <w:t>(2015)</w:t>
      </w:r>
      <w:r w:rsidRPr="0018337E">
        <w:rPr>
          <w:color w:val="auto"/>
        </w:rPr>
        <w:t xml:space="preserve"> measured participation using the Child Behavior Rating Scale, which includes items such as observes rules, willingness to share toys, and complies with adult directives. </w:t>
      </w:r>
    </w:p>
    <w:p w14:paraId="46B21560" w14:textId="33EE29FC" w:rsidR="0018337E" w:rsidRPr="0018337E" w:rsidRDefault="0018337E" w:rsidP="0018337E">
      <w:pPr>
        <w:spacing w:after="160"/>
        <w:ind w:firstLine="720"/>
        <w:contextualSpacing/>
        <w:rPr>
          <w:color w:val="auto"/>
        </w:rPr>
      </w:pPr>
      <w:r w:rsidRPr="0018337E">
        <w:rPr>
          <w:color w:val="auto"/>
        </w:rPr>
        <w:t xml:space="preserve">Some studies have relied on similar measures. For example, Royer, Provost, </w:t>
      </w:r>
      <w:proofErr w:type="spellStart"/>
      <w:r w:rsidRPr="0018337E">
        <w:rPr>
          <w:color w:val="auto"/>
        </w:rPr>
        <w:t>Tarabulsky</w:t>
      </w:r>
      <w:proofErr w:type="spellEnd"/>
      <w:r w:rsidRPr="0018337E">
        <w:rPr>
          <w:color w:val="auto"/>
        </w:rPr>
        <w:t xml:space="preserve">, and Coutu </w:t>
      </w:r>
      <w:r w:rsidR="009A6864" w:rsidRPr="009A6864">
        <w:t>(2008)</w:t>
      </w:r>
      <w:r w:rsidRPr="0018337E">
        <w:rPr>
          <w:color w:val="auto"/>
        </w:rPr>
        <w:t xml:space="preserve"> measured classroom participation using the TRSSA; the cooperative and autonomous participation subscales were used. In their study, participation mediated the relationship between AtL (measured through the PLBS) and children’s relationships with their teachers. Similarly, </w:t>
      </w:r>
      <w:proofErr w:type="spellStart"/>
      <w:r w:rsidRPr="0018337E">
        <w:rPr>
          <w:color w:val="auto"/>
        </w:rPr>
        <w:t>Valiente</w:t>
      </w:r>
      <w:proofErr w:type="spellEnd"/>
      <w:r w:rsidRPr="0018337E">
        <w:rPr>
          <w:color w:val="auto"/>
        </w:rPr>
        <w:t xml:space="preserve"> et al. (2010) measured children’s self-directed participation and cooperative participation from the TRSSA scale. Bierman et al. </w:t>
      </w:r>
      <w:r w:rsidR="009A6864" w:rsidRPr="009A6864">
        <w:t>(2009)</w:t>
      </w:r>
      <w:r w:rsidRPr="0018337E">
        <w:rPr>
          <w:color w:val="auto"/>
        </w:rPr>
        <w:t xml:space="preserve"> measured children’s </w:t>
      </w:r>
      <w:r w:rsidRPr="0018337E">
        <w:rPr>
          <w:color w:val="auto"/>
        </w:rPr>
        <w:lastRenderedPageBreak/>
        <w:t xml:space="preserve">classroom participation using the school readiness inventory. As can be seen, both the TRSSA and the school readiness inventory have been used in other studies as measures of AtL. </w:t>
      </w:r>
    </w:p>
    <w:p w14:paraId="38EADC71" w14:textId="3694C766" w:rsidR="0018337E" w:rsidRPr="0018337E" w:rsidRDefault="0018337E" w:rsidP="009974B7">
      <w:pPr>
        <w:contextualSpacing/>
        <w:rPr>
          <w:color w:val="auto"/>
        </w:rPr>
      </w:pPr>
      <w:r w:rsidRPr="0018337E">
        <w:rPr>
          <w:b/>
          <w:bCs/>
          <w:color w:val="auto"/>
        </w:rPr>
        <w:tab/>
      </w:r>
      <w:r w:rsidRPr="0018337E">
        <w:rPr>
          <w:color w:val="auto"/>
        </w:rPr>
        <w:t>Taken together, there are noted areas of misalignment between measurement, construct, and operationalization. Measures of AtL, like the PLBS and the ELCS-K, have also been used to measure adjustment, classroom participation, and behavioral engagement in learning. Measures, like the TRSSA, have been used to measure AtL, behavioral engagement in learning, and adjustment. Across some studies, the terms are used interchangeably. While these constructs may share conceptual overlap in subdimensions, like attention or involvement in learning, it remains difficult to</w:t>
      </w:r>
      <w:r w:rsidR="000B4B73">
        <w:rPr>
          <w:color w:val="auto"/>
        </w:rPr>
        <w:t xml:space="preserve"> fully </w:t>
      </w:r>
      <w:r w:rsidRPr="0018337E">
        <w:rPr>
          <w:color w:val="auto"/>
        </w:rPr>
        <w:t xml:space="preserve">disentangle what is unique about each construct, and without an idea about the content of the construct, it remains challenging to measure it accurately. </w:t>
      </w:r>
    </w:p>
    <w:p w14:paraId="2517A95A" w14:textId="7F9B3570" w:rsidR="0018337E" w:rsidRPr="0018337E" w:rsidRDefault="0018337E" w:rsidP="009974B7">
      <w:pPr>
        <w:pStyle w:val="Heading1"/>
      </w:pPr>
      <w:bookmarkStart w:id="27" w:name="_Toc46265469"/>
      <w:r w:rsidRPr="0018337E">
        <w:t>Can Approach to Learning be Defined?</w:t>
      </w:r>
      <w:bookmarkEnd w:id="27"/>
      <w:r w:rsidRPr="0018337E">
        <w:t xml:space="preserve"> </w:t>
      </w:r>
    </w:p>
    <w:p w14:paraId="17C8B46B" w14:textId="5396E2A9" w:rsidR="0018337E" w:rsidRPr="0018337E" w:rsidRDefault="0018337E" w:rsidP="0018337E">
      <w:pPr>
        <w:spacing w:after="160"/>
        <w:contextualSpacing/>
        <w:rPr>
          <w:color w:val="auto"/>
        </w:rPr>
      </w:pPr>
      <w:r w:rsidRPr="0018337E">
        <w:rPr>
          <w:b/>
          <w:bCs/>
          <w:color w:val="auto"/>
        </w:rPr>
        <w:tab/>
      </w:r>
      <w:r w:rsidRPr="0018337E">
        <w:rPr>
          <w:color w:val="auto"/>
        </w:rPr>
        <w:t xml:space="preserve">This review has documented areas of misalignment across definition, operationalization, and measurement for AtL. Jones et al. </w:t>
      </w:r>
      <w:r w:rsidR="009A6864" w:rsidRPr="009A6864">
        <w:t>(2016)</w:t>
      </w:r>
      <w:r w:rsidRPr="0018337E">
        <w:rPr>
          <w:color w:val="auto"/>
        </w:rPr>
        <w:t xml:space="preserve"> describe this as the jingle and jangle fallacies. Jingle refers to the ways in which constructs are the same because they use the same name or are measured the same way. AtL includes a vast range of skills and dispositions across social, emotional, cognitive, and behavioral domains. Researchers may find associations between their </w:t>
      </w:r>
      <w:proofErr w:type="gramStart"/>
      <w:r w:rsidRPr="0018337E">
        <w:rPr>
          <w:color w:val="auto"/>
        </w:rPr>
        <w:t>particular set</w:t>
      </w:r>
      <w:proofErr w:type="gramEnd"/>
      <w:r w:rsidRPr="0018337E">
        <w:rPr>
          <w:color w:val="auto"/>
        </w:rPr>
        <w:t xml:space="preserve"> of skills labeled AtL and academic outcomes, but because these researchers are using different dimensions, there is no consistency across findings. The jangle fallacy occurs when researchers use different terms to describe similar constructs </w:t>
      </w:r>
      <w:r w:rsidR="009A6864" w:rsidRPr="009A6864">
        <w:t>(Reeves et al., 2014)</w:t>
      </w:r>
      <w:r w:rsidRPr="0018337E">
        <w:rPr>
          <w:color w:val="auto"/>
        </w:rPr>
        <w:t xml:space="preserve">. Approaches to learning and classroom participation may be terms used in educational literature, while adjustment or behavioral engagement are used more in the psychological literature. Using these different terms but describing similar constructs (and measuring them with the same measurements) can make it challenging to reach conceptual clarity. </w:t>
      </w:r>
    </w:p>
    <w:p w14:paraId="09BE34BB" w14:textId="5D1FC47B" w:rsidR="0018337E" w:rsidRPr="0018337E" w:rsidRDefault="0018337E" w:rsidP="0018337E">
      <w:pPr>
        <w:spacing w:after="160"/>
        <w:contextualSpacing/>
        <w:rPr>
          <w:color w:val="auto"/>
        </w:rPr>
      </w:pPr>
      <w:r w:rsidRPr="0018337E">
        <w:rPr>
          <w:color w:val="auto"/>
        </w:rPr>
        <w:lastRenderedPageBreak/>
        <w:tab/>
        <w:t xml:space="preserve">What can move the field forward in the study of AtL? First, it may be necessary to ground this construct with theory, which may help illuminate </w:t>
      </w:r>
      <w:r w:rsidR="000B4B73">
        <w:rPr>
          <w:color w:val="auto"/>
        </w:rPr>
        <w:t xml:space="preserve">critical </w:t>
      </w:r>
      <w:r w:rsidRPr="0018337E">
        <w:rPr>
          <w:color w:val="auto"/>
        </w:rPr>
        <w:t xml:space="preserve">dimensions and subdomains. For example, Chen and McNamee </w:t>
      </w:r>
      <w:r w:rsidR="009A6864" w:rsidRPr="009A6864">
        <w:t>(2011)</w:t>
      </w:r>
      <w:r w:rsidRPr="0018337E">
        <w:rPr>
          <w:color w:val="auto"/>
        </w:rPr>
        <w:t xml:space="preserve"> emphasize Vygotsky’s theory in their description of AtL. Using this theory would then encourage researchers to focus measurement on the context in which learning occurs and accentuate the importance of the social environment in the development of children’s AtL. Other theories may underscore children’s affective engagement or underlying psychological competencies like motivation </w:t>
      </w:r>
      <w:r w:rsidR="009A6864" w:rsidRPr="009A6864">
        <w:t>(Halliday et al., 2018)</w:t>
      </w:r>
      <w:r w:rsidRPr="0018337E">
        <w:rPr>
          <w:color w:val="auto"/>
        </w:rPr>
        <w:t xml:space="preserve">. </w:t>
      </w:r>
    </w:p>
    <w:p w14:paraId="60F9A4D3" w14:textId="2A86E989" w:rsidR="0018337E" w:rsidRPr="0018337E" w:rsidRDefault="0018337E" w:rsidP="0018337E">
      <w:pPr>
        <w:spacing w:after="160"/>
        <w:contextualSpacing/>
        <w:rPr>
          <w:color w:val="auto"/>
        </w:rPr>
      </w:pPr>
      <w:r w:rsidRPr="0018337E">
        <w:rPr>
          <w:color w:val="auto"/>
        </w:rPr>
        <w:tab/>
        <w:t xml:space="preserve">Second, it will be essential to develop an agreed-upon list of what constitutes AtL. Across studies, many relied on depictions of AtL that included original aspects of the NEGP’s definition: persistence, opening, flexibility, eagerness to learn, problem-solving, and risk-taking. More work is needed </w:t>
      </w:r>
      <w:r w:rsidR="000B4B73">
        <w:rPr>
          <w:color w:val="auto"/>
        </w:rPr>
        <w:t>to build</w:t>
      </w:r>
      <w:r w:rsidRPr="0018337E">
        <w:rPr>
          <w:color w:val="auto"/>
        </w:rPr>
        <w:t xml:space="preserve"> a conceptual framework around these terms highlight</w:t>
      </w:r>
      <w:r w:rsidR="000B4B73">
        <w:rPr>
          <w:color w:val="auto"/>
        </w:rPr>
        <w:t>ing</w:t>
      </w:r>
      <w:r w:rsidRPr="0018337E">
        <w:rPr>
          <w:color w:val="auto"/>
        </w:rPr>
        <w:t xml:space="preserve"> how th</w:t>
      </w:r>
      <w:r w:rsidR="00E226A6">
        <w:rPr>
          <w:color w:val="auto"/>
        </w:rPr>
        <w:t>is</w:t>
      </w:r>
      <w:r w:rsidRPr="0018337E">
        <w:rPr>
          <w:color w:val="auto"/>
        </w:rPr>
        <w:t xml:space="preserve"> set of skills supports, as Kagan et al. (1995) contend, the development of children’s dispositions as learners. A precise definition and conceptualization of AtL will clear the way to develop or refine valid measures of AtL. </w:t>
      </w:r>
    </w:p>
    <w:p w14:paraId="64352A03" w14:textId="0170EA1E" w:rsidR="0018337E" w:rsidRPr="0018337E" w:rsidRDefault="0018337E" w:rsidP="0018337E">
      <w:pPr>
        <w:spacing w:after="160"/>
        <w:ind w:firstLine="720"/>
        <w:contextualSpacing/>
        <w:rPr>
          <w:color w:val="auto"/>
        </w:rPr>
      </w:pPr>
      <w:r w:rsidRPr="0018337E">
        <w:rPr>
          <w:color w:val="auto"/>
        </w:rPr>
        <w:t xml:space="preserve">Third, it is crucial to consider the NEGP’s original description of AtL and whether the construct requires any updates. The NEGP published their work in 1995, and much research has occurred in the intervening 25 years. Since that time, we have gained a much better understanding of the role of executive function in directing attention and focus. While attention </w:t>
      </w:r>
      <w:r w:rsidR="000B4B73">
        <w:rPr>
          <w:color w:val="auto"/>
        </w:rPr>
        <w:t>h</w:t>
      </w:r>
      <w:r w:rsidRPr="0018337E">
        <w:rPr>
          <w:color w:val="auto"/>
        </w:rPr>
        <w:t>a</w:t>
      </w:r>
      <w:r w:rsidR="000B4B73">
        <w:rPr>
          <w:color w:val="auto"/>
        </w:rPr>
        <w:t>d</w:t>
      </w:r>
      <w:r w:rsidRPr="0018337E">
        <w:rPr>
          <w:color w:val="auto"/>
        </w:rPr>
        <w:t xml:space="preserve"> </w:t>
      </w:r>
      <w:r w:rsidR="000B4B73">
        <w:rPr>
          <w:color w:val="auto"/>
        </w:rPr>
        <w:t>initially been</w:t>
      </w:r>
      <w:r w:rsidRPr="0018337E">
        <w:rPr>
          <w:color w:val="auto"/>
        </w:rPr>
        <w:t xml:space="preserve"> included in the description of AtL, it may be conceptually clearer to leave aspects of attention or focus out of AtL. In this way, we could focus on those aspects of AtL, like persistence, imagination, and problem-solving, that integrate cognitive and emotional functioning. </w:t>
      </w:r>
    </w:p>
    <w:p w14:paraId="66999C7D" w14:textId="4AADFF20" w:rsidR="0018337E" w:rsidRPr="0018337E" w:rsidRDefault="0018337E" w:rsidP="0018337E">
      <w:pPr>
        <w:spacing w:after="160"/>
        <w:contextualSpacing/>
        <w:rPr>
          <w:color w:val="auto"/>
        </w:rPr>
      </w:pPr>
      <w:r w:rsidRPr="0018337E">
        <w:rPr>
          <w:color w:val="auto"/>
        </w:rPr>
        <w:lastRenderedPageBreak/>
        <w:tab/>
        <w:t xml:space="preserve">Finally, more work should be done on the measurement of AtL. </w:t>
      </w:r>
      <w:r w:rsidR="000B4B73">
        <w:rPr>
          <w:color w:val="auto"/>
        </w:rPr>
        <w:t>A m</w:t>
      </w:r>
      <w:r w:rsidRPr="0018337E">
        <w:rPr>
          <w:color w:val="auto"/>
        </w:rPr>
        <w:t>ore fine-grained analysis is needed that captures which learning strategies were successful in which areas of the classroom. Examination of AtL should also account for contextual variables such as the kind of curriculum and child guidance used in the classroom. More inquiry and play-based curricula require children to interact with each other, collaborate to learn, and converse with the teacher. AtL will necessarily look different in these classrooms than those wh</w:t>
      </w:r>
      <w:r w:rsidR="000B4B73">
        <w:rPr>
          <w:color w:val="auto"/>
        </w:rPr>
        <w:t>o</w:t>
      </w:r>
      <w:r w:rsidRPr="0018337E">
        <w:rPr>
          <w:color w:val="auto"/>
        </w:rPr>
        <w:t xml:space="preserve"> support more individualized learning (i.e., Montessori or Direct Instruction). Examining the contextual factors will also help distinguish learning strategies from classroom participation, rule adherence, or following directions. </w:t>
      </w:r>
    </w:p>
    <w:p w14:paraId="2E155ABA" w14:textId="611CEBA8" w:rsidR="0018337E" w:rsidRPr="0018337E" w:rsidRDefault="0018337E" w:rsidP="0018337E">
      <w:pPr>
        <w:spacing w:after="160"/>
        <w:contextualSpacing/>
        <w:rPr>
          <w:color w:val="auto"/>
        </w:rPr>
      </w:pPr>
      <w:r w:rsidRPr="0018337E">
        <w:rPr>
          <w:color w:val="auto"/>
        </w:rPr>
        <w:tab/>
        <w:t xml:space="preserve"> AtL is a vital construct for children’s development and a critical dimension of children’s school readiness. As our understanding of children’s development becomes more nuanced, our abilities to conceptualize and measure development need to keep pace. Doing this does not include taking a term or idea and stretching it to include any number of skills or dimensions believed to be </w:t>
      </w:r>
      <w:r w:rsidR="000B4B73">
        <w:rPr>
          <w:color w:val="auto"/>
        </w:rPr>
        <w:t>necessary</w:t>
      </w:r>
      <w:r w:rsidRPr="0018337E">
        <w:rPr>
          <w:color w:val="auto"/>
        </w:rPr>
        <w:t xml:space="preserve"> </w:t>
      </w:r>
      <w:r w:rsidR="000B4B73">
        <w:rPr>
          <w:color w:val="auto"/>
        </w:rPr>
        <w:t>for</w:t>
      </w:r>
      <w:r w:rsidRPr="0018337E">
        <w:rPr>
          <w:color w:val="auto"/>
        </w:rPr>
        <w:t xml:space="preserve"> children’s learning. Rather, it includes </w:t>
      </w:r>
      <w:r w:rsidR="000B4B73">
        <w:rPr>
          <w:color w:val="auto"/>
        </w:rPr>
        <w:t>more precise</w:t>
      </w:r>
      <w:r w:rsidRPr="0018337E">
        <w:rPr>
          <w:color w:val="auto"/>
        </w:rPr>
        <w:t xml:space="preserve"> conceptualization and better measurement to </w:t>
      </w:r>
      <w:r w:rsidR="000B4B73">
        <w:rPr>
          <w:color w:val="auto"/>
        </w:rPr>
        <w:t>capture the multi-dimensional nature of this construct more accurately</w:t>
      </w:r>
      <w:r w:rsidRPr="0018337E">
        <w:rPr>
          <w:color w:val="auto"/>
        </w:rPr>
        <w:t xml:space="preserve">. Approaches to learning should not be a construct with many names; it should be a construct with one. </w:t>
      </w:r>
    </w:p>
    <w:bookmarkEnd w:id="7"/>
    <w:p w14:paraId="044659F4" w14:textId="77777777" w:rsidR="0018337E" w:rsidRPr="0018337E" w:rsidRDefault="0018337E" w:rsidP="0018337E">
      <w:pPr>
        <w:spacing w:after="160"/>
        <w:contextualSpacing/>
        <w:rPr>
          <w:color w:val="auto"/>
        </w:rPr>
      </w:pPr>
    </w:p>
    <w:p w14:paraId="0B2D4A36" w14:textId="77777777" w:rsidR="0018337E" w:rsidRPr="0018337E" w:rsidRDefault="0018337E" w:rsidP="0018337E">
      <w:pPr>
        <w:spacing w:after="160"/>
        <w:contextualSpacing/>
        <w:rPr>
          <w:color w:val="auto"/>
        </w:rPr>
      </w:pPr>
    </w:p>
    <w:p w14:paraId="6384B196" w14:textId="0A76128D" w:rsidR="0068551B" w:rsidRDefault="0068551B">
      <w:pPr>
        <w:rPr>
          <w:color w:val="auto"/>
        </w:rPr>
      </w:pPr>
      <w:r>
        <w:rPr>
          <w:color w:val="auto"/>
        </w:rPr>
        <w:br w:type="page"/>
      </w:r>
    </w:p>
    <w:p w14:paraId="3DFFA14D" w14:textId="6D0CA61A" w:rsidR="0018337E" w:rsidRDefault="0018337E" w:rsidP="00E57231">
      <w:pPr>
        <w:pStyle w:val="Heading1"/>
        <w:rPr>
          <w:b w:val="0"/>
          <w:bCs/>
        </w:rPr>
      </w:pPr>
      <w:bookmarkStart w:id="28" w:name="_Toc46265470"/>
      <w:bookmarkEnd w:id="8"/>
      <w:r w:rsidRPr="00E57231">
        <w:rPr>
          <w:b w:val="0"/>
          <w:bCs/>
        </w:rPr>
        <w:lastRenderedPageBreak/>
        <w:t>References</w:t>
      </w:r>
      <w:bookmarkEnd w:id="28"/>
      <w:r w:rsidRPr="00E57231">
        <w:rPr>
          <w:b w:val="0"/>
          <w:bCs/>
        </w:rPr>
        <w:t xml:space="preserve"> </w:t>
      </w:r>
    </w:p>
    <w:p w14:paraId="411F6080" w14:textId="77777777" w:rsidR="00315013" w:rsidRDefault="00315013" w:rsidP="00315013">
      <w:pPr>
        <w:pStyle w:val="Bibliography"/>
      </w:pPr>
      <w:proofErr w:type="spellStart"/>
      <w:r>
        <w:t>Abenavoli</w:t>
      </w:r>
      <w:proofErr w:type="spellEnd"/>
      <w:r>
        <w:t xml:space="preserve">, R. M., Greenberg, M. T., &amp; Bierman, K. L. (2017). Identification and validation of school readiness profiles among high-risk kindergartners. </w:t>
      </w:r>
      <w:r>
        <w:rPr>
          <w:i/>
          <w:iCs/>
        </w:rPr>
        <w:t>Early Childhood Research Quarterly</w:t>
      </w:r>
      <w:r>
        <w:t xml:space="preserve">, </w:t>
      </w:r>
      <w:r>
        <w:rPr>
          <w:i/>
          <w:iCs/>
        </w:rPr>
        <w:t>38</w:t>
      </w:r>
      <w:r>
        <w:t xml:space="preserve">, 33–43. </w:t>
      </w:r>
      <w:proofErr w:type="spellStart"/>
      <w:r>
        <w:t>doi</w:t>
      </w:r>
      <w:proofErr w:type="spellEnd"/>
      <w:r>
        <w:t>: 10.1016/j.ecresq.2016.09.001</w:t>
      </w:r>
    </w:p>
    <w:p w14:paraId="6BC5D42E" w14:textId="77777777" w:rsidR="00315013" w:rsidRDefault="00315013" w:rsidP="00315013">
      <w:pPr>
        <w:pStyle w:val="Bibliography"/>
      </w:pPr>
      <w:r>
        <w:t xml:space="preserve">Ansari, A., &amp; Gershoff, E. (2015). Learning-related social skills as a mediator between teacher instruction and child achievement in Head Start: Learning-related social skills and teacher instruction. </w:t>
      </w:r>
      <w:r>
        <w:rPr>
          <w:i/>
          <w:iCs/>
        </w:rPr>
        <w:t>Social Development</w:t>
      </w:r>
      <w:r>
        <w:t xml:space="preserve">, </w:t>
      </w:r>
      <w:r>
        <w:rPr>
          <w:i/>
          <w:iCs/>
        </w:rPr>
        <w:t>24</w:t>
      </w:r>
      <w:r>
        <w:t xml:space="preserve">(4), 699–715. </w:t>
      </w:r>
      <w:proofErr w:type="spellStart"/>
      <w:r>
        <w:t>doi</w:t>
      </w:r>
      <w:proofErr w:type="spellEnd"/>
      <w:r>
        <w:t>: 10.1111/sode.12124</w:t>
      </w:r>
    </w:p>
    <w:p w14:paraId="1F69E611" w14:textId="77777777" w:rsidR="00315013" w:rsidRDefault="00315013" w:rsidP="00315013">
      <w:pPr>
        <w:pStyle w:val="Bibliography"/>
      </w:pPr>
      <w:r>
        <w:t xml:space="preserve">Bailey, C. S., Denham, S., </w:t>
      </w:r>
      <w:proofErr w:type="spellStart"/>
      <w:r>
        <w:t>Curby</w:t>
      </w:r>
      <w:proofErr w:type="spellEnd"/>
      <w:r>
        <w:t xml:space="preserve">, T. W., &amp; Bassett, H. H. (2016). Emotional and organizational supports for preschoolers’ emotion regulation: Relations with school adjustment. </w:t>
      </w:r>
      <w:r>
        <w:rPr>
          <w:i/>
          <w:iCs/>
        </w:rPr>
        <w:t>Emotion</w:t>
      </w:r>
      <w:r>
        <w:t xml:space="preserve">, </w:t>
      </w:r>
      <w:r>
        <w:rPr>
          <w:i/>
          <w:iCs/>
        </w:rPr>
        <w:t>16</w:t>
      </w:r>
      <w:r>
        <w:t xml:space="preserve">(2), 263–279. </w:t>
      </w:r>
      <w:proofErr w:type="spellStart"/>
      <w:r>
        <w:t>doi</w:t>
      </w:r>
      <w:proofErr w:type="spellEnd"/>
      <w:r>
        <w:t>: 10.1037/a0039772</w:t>
      </w:r>
    </w:p>
    <w:p w14:paraId="3CABEFAB" w14:textId="77777777" w:rsidR="00315013" w:rsidRDefault="00315013" w:rsidP="00315013">
      <w:pPr>
        <w:pStyle w:val="Bibliography"/>
      </w:pPr>
      <w:proofErr w:type="spellStart"/>
      <w:r>
        <w:t>Barbu</w:t>
      </w:r>
      <w:proofErr w:type="spellEnd"/>
      <w:r>
        <w:t xml:space="preserve">, O. C., </w:t>
      </w:r>
      <w:proofErr w:type="spellStart"/>
      <w:r>
        <w:t>Yaden</w:t>
      </w:r>
      <w:proofErr w:type="spellEnd"/>
      <w:r>
        <w:t>, D. B., Levine-</w:t>
      </w:r>
      <w:proofErr w:type="spellStart"/>
      <w:r>
        <w:t>Donnerstein</w:t>
      </w:r>
      <w:proofErr w:type="spellEnd"/>
      <w:r>
        <w:t xml:space="preserve">, D., &amp; Marx, R. W. (2015). Assessing approaches to learning in school readiness: Comparing the Devereux Early Childhood Assessment to an early learning standards-based measure. </w:t>
      </w:r>
      <w:r>
        <w:rPr>
          <w:i/>
          <w:iCs/>
        </w:rPr>
        <w:t>AERA Open</w:t>
      </w:r>
      <w:r>
        <w:t xml:space="preserve">, </w:t>
      </w:r>
      <w:r>
        <w:rPr>
          <w:i/>
          <w:iCs/>
        </w:rPr>
        <w:t>1</w:t>
      </w:r>
      <w:r>
        <w:t xml:space="preserve">(3), 1–15. </w:t>
      </w:r>
      <w:proofErr w:type="spellStart"/>
      <w:r>
        <w:t>doi</w:t>
      </w:r>
      <w:proofErr w:type="spellEnd"/>
      <w:r>
        <w:t>: 10.1177/2332858415593923</w:t>
      </w:r>
    </w:p>
    <w:p w14:paraId="2B1656A1" w14:textId="77777777" w:rsidR="00315013" w:rsidRDefault="00315013" w:rsidP="00315013">
      <w:pPr>
        <w:pStyle w:val="Bibliography"/>
      </w:pPr>
      <w:r>
        <w:t xml:space="preserve">Berthelsen, D., Hayes, N., White, S. L. J., &amp; Williams, K. E. (2017). Executive function in adolescence: Associations with child and family risk factors and self-regulation in early childhood. </w:t>
      </w:r>
      <w:r>
        <w:rPr>
          <w:i/>
          <w:iCs/>
        </w:rPr>
        <w:t>Frontiers in Psychology</w:t>
      </w:r>
      <w:r>
        <w:t xml:space="preserve">, </w:t>
      </w:r>
      <w:r>
        <w:rPr>
          <w:i/>
          <w:iCs/>
        </w:rPr>
        <w:t>8</w:t>
      </w:r>
      <w:r>
        <w:t xml:space="preserve">, 903. </w:t>
      </w:r>
      <w:proofErr w:type="spellStart"/>
      <w:r>
        <w:t>doi</w:t>
      </w:r>
      <w:proofErr w:type="spellEnd"/>
      <w:r>
        <w:t>: 10.3389/fpsyg.2017.00903</w:t>
      </w:r>
    </w:p>
    <w:p w14:paraId="13061A5C" w14:textId="77777777" w:rsidR="00315013" w:rsidRDefault="00315013" w:rsidP="00315013">
      <w:pPr>
        <w:pStyle w:val="Bibliography"/>
      </w:pPr>
      <w:r>
        <w:t xml:space="preserve">Betts, L. R., Rotenberg, K. J., </w:t>
      </w:r>
      <w:proofErr w:type="spellStart"/>
      <w:r>
        <w:t>Trueman</w:t>
      </w:r>
      <w:proofErr w:type="spellEnd"/>
      <w:r>
        <w:t xml:space="preserve">, M., &amp; Stiller, J. (2012). Examining the components of children’s peer liking as antecedents of school adjustment. </w:t>
      </w:r>
      <w:r>
        <w:rPr>
          <w:i/>
          <w:iCs/>
        </w:rPr>
        <w:t>British Journal of Developmental Psychology</w:t>
      </w:r>
      <w:r>
        <w:t xml:space="preserve">, </w:t>
      </w:r>
      <w:r>
        <w:rPr>
          <w:i/>
          <w:iCs/>
        </w:rPr>
        <w:t>30</w:t>
      </w:r>
      <w:r>
        <w:t xml:space="preserve">(2), 303–325. </w:t>
      </w:r>
      <w:proofErr w:type="spellStart"/>
      <w:r>
        <w:t>doi</w:t>
      </w:r>
      <w:proofErr w:type="spellEnd"/>
      <w:r>
        <w:t>: 10.1111/j.2044-835X.2011.02041.x</w:t>
      </w:r>
    </w:p>
    <w:p w14:paraId="6C2DF3EA" w14:textId="77777777" w:rsidR="00315013" w:rsidRDefault="00315013" w:rsidP="00315013">
      <w:pPr>
        <w:pStyle w:val="Bibliography"/>
      </w:pPr>
      <w:r>
        <w:t xml:space="preserve">Bierman, K. L., Torres, M. M., </w:t>
      </w:r>
      <w:proofErr w:type="spellStart"/>
      <w:r>
        <w:t>Domitrovich</w:t>
      </w:r>
      <w:proofErr w:type="spellEnd"/>
      <w:r>
        <w:t xml:space="preserve">, C. E., Welsh, J. A., &amp; Gest, S. D. (2009). Behavioral and cognitive readiness for school: Cross-domain associations for children attending Head Start. </w:t>
      </w:r>
      <w:r>
        <w:rPr>
          <w:i/>
          <w:iCs/>
        </w:rPr>
        <w:t>Social Development</w:t>
      </w:r>
      <w:r>
        <w:t xml:space="preserve">, </w:t>
      </w:r>
      <w:r>
        <w:rPr>
          <w:i/>
          <w:iCs/>
        </w:rPr>
        <w:t>18</w:t>
      </w:r>
      <w:r>
        <w:t xml:space="preserve">(2), 305–323. </w:t>
      </w:r>
      <w:proofErr w:type="spellStart"/>
      <w:r>
        <w:t>doi</w:t>
      </w:r>
      <w:proofErr w:type="spellEnd"/>
      <w:r>
        <w:t>: 10.1111/j.1467-9507.2008.00490.x</w:t>
      </w:r>
    </w:p>
    <w:p w14:paraId="39F35690" w14:textId="77777777" w:rsidR="00315013" w:rsidRDefault="00315013" w:rsidP="00315013">
      <w:pPr>
        <w:pStyle w:val="Bibliography"/>
      </w:pPr>
      <w:r>
        <w:t xml:space="preserve">Birch, S. H., &amp; Ladd, G. W. (1997). The teacher-child relationship and children’s early school adjustment. </w:t>
      </w:r>
      <w:r>
        <w:rPr>
          <w:i/>
          <w:iCs/>
        </w:rPr>
        <w:t>Journal of School Psychology</w:t>
      </w:r>
      <w:r>
        <w:t xml:space="preserve">, </w:t>
      </w:r>
      <w:r>
        <w:rPr>
          <w:i/>
          <w:iCs/>
        </w:rPr>
        <w:t>35</w:t>
      </w:r>
      <w:r>
        <w:t xml:space="preserve">(1), 61–79. </w:t>
      </w:r>
      <w:proofErr w:type="spellStart"/>
      <w:r>
        <w:t>doi</w:t>
      </w:r>
      <w:proofErr w:type="spellEnd"/>
      <w:r>
        <w:t>: 10.1016/S0022-4405(96)00029-5</w:t>
      </w:r>
    </w:p>
    <w:p w14:paraId="474CA436" w14:textId="77777777" w:rsidR="00315013" w:rsidRDefault="00315013" w:rsidP="00315013">
      <w:pPr>
        <w:pStyle w:val="Bibliography"/>
      </w:pPr>
      <w:r>
        <w:t xml:space="preserve">Blair, C. (2002). School readiness: Integrating cognition and emotion in a neurobiological conceptualization of children’s functioning at school entry. </w:t>
      </w:r>
      <w:r>
        <w:rPr>
          <w:i/>
          <w:iCs/>
        </w:rPr>
        <w:t>American Psychologist</w:t>
      </w:r>
      <w:r>
        <w:t xml:space="preserve">, </w:t>
      </w:r>
      <w:r>
        <w:rPr>
          <w:i/>
          <w:iCs/>
        </w:rPr>
        <w:t>57</w:t>
      </w:r>
      <w:r>
        <w:t xml:space="preserve">(2), 111–127. </w:t>
      </w:r>
      <w:proofErr w:type="spellStart"/>
      <w:r>
        <w:t>doi</w:t>
      </w:r>
      <w:proofErr w:type="spellEnd"/>
      <w:r>
        <w:t>: 10.1037//0003-066X.57.2.111</w:t>
      </w:r>
    </w:p>
    <w:p w14:paraId="6244738C" w14:textId="77777777" w:rsidR="00315013" w:rsidRDefault="00315013" w:rsidP="00315013">
      <w:pPr>
        <w:pStyle w:val="Bibliography"/>
      </w:pPr>
      <w:r>
        <w:t xml:space="preserve">Blair, C., &amp; Raver, C. C. (2015). School readiness and self-regulation: A developmental psychobiological approach. </w:t>
      </w:r>
      <w:r>
        <w:rPr>
          <w:i/>
          <w:iCs/>
        </w:rPr>
        <w:t>Annual Review of Psychology</w:t>
      </w:r>
      <w:r>
        <w:t xml:space="preserve">, </w:t>
      </w:r>
      <w:r>
        <w:rPr>
          <w:i/>
          <w:iCs/>
        </w:rPr>
        <w:t>66</w:t>
      </w:r>
      <w:r>
        <w:t xml:space="preserve">, 711–731. </w:t>
      </w:r>
      <w:proofErr w:type="spellStart"/>
      <w:r>
        <w:t>doi</w:t>
      </w:r>
      <w:proofErr w:type="spellEnd"/>
      <w:r>
        <w:t>: 10.1146/annurev-psych-010814-015221</w:t>
      </w:r>
    </w:p>
    <w:p w14:paraId="7711AA15" w14:textId="77777777" w:rsidR="00315013" w:rsidRDefault="00315013" w:rsidP="00315013">
      <w:pPr>
        <w:pStyle w:val="Bibliography"/>
      </w:pPr>
      <w:proofErr w:type="spellStart"/>
      <w:r>
        <w:lastRenderedPageBreak/>
        <w:t>Bodovski</w:t>
      </w:r>
      <w:proofErr w:type="spellEnd"/>
      <w:r>
        <w:t xml:space="preserve">, K., &amp; Farkas, G. (2007). Mathematics growth in early elementary school: The roles of beginning knowledge, student engagement, and instruction. </w:t>
      </w:r>
      <w:r>
        <w:rPr>
          <w:i/>
          <w:iCs/>
        </w:rPr>
        <w:t>The Elementary School Journal</w:t>
      </w:r>
      <w:r>
        <w:t xml:space="preserve">, </w:t>
      </w:r>
      <w:r>
        <w:rPr>
          <w:i/>
          <w:iCs/>
        </w:rPr>
        <w:t>108</w:t>
      </w:r>
      <w:r>
        <w:t xml:space="preserve">(2), 115–130. </w:t>
      </w:r>
      <w:proofErr w:type="spellStart"/>
      <w:r>
        <w:t>doi</w:t>
      </w:r>
      <w:proofErr w:type="spellEnd"/>
      <w:r>
        <w:t>: 10.1086/525550</w:t>
      </w:r>
    </w:p>
    <w:p w14:paraId="7BB6DADE" w14:textId="77777777" w:rsidR="00315013" w:rsidRDefault="00315013" w:rsidP="00315013">
      <w:pPr>
        <w:pStyle w:val="Bibliography"/>
      </w:pPr>
      <w:proofErr w:type="spellStart"/>
      <w:r>
        <w:t>Borghans</w:t>
      </w:r>
      <w:proofErr w:type="spellEnd"/>
      <w:r>
        <w:t xml:space="preserve">, L., Duckworth, A. L., Heckman, J. J., &amp; Ter </w:t>
      </w:r>
      <w:proofErr w:type="spellStart"/>
      <w:r>
        <w:t>Weel</w:t>
      </w:r>
      <w:proofErr w:type="spellEnd"/>
      <w:r>
        <w:t xml:space="preserve">, B. (2008). The economics and psychology of personality traits. </w:t>
      </w:r>
      <w:r>
        <w:rPr>
          <w:i/>
          <w:iCs/>
        </w:rPr>
        <w:t>Journal of Human Resources</w:t>
      </w:r>
      <w:r>
        <w:t xml:space="preserve">, </w:t>
      </w:r>
      <w:r>
        <w:rPr>
          <w:i/>
          <w:iCs/>
        </w:rPr>
        <w:t>43</w:t>
      </w:r>
      <w:r>
        <w:t xml:space="preserve">(4), 972–1059. </w:t>
      </w:r>
      <w:proofErr w:type="spellStart"/>
      <w:r>
        <w:t>doi</w:t>
      </w:r>
      <w:proofErr w:type="spellEnd"/>
      <w:r>
        <w:t>: 10.1353/jhr.2008.0017</w:t>
      </w:r>
    </w:p>
    <w:p w14:paraId="30F75E93" w14:textId="77777777" w:rsidR="00315013" w:rsidRDefault="00315013" w:rsidP="00315013">
      <w:pPr>
        <w:pStyle w:val="Bibliography"/>
      </w:pPr>
      <w:r>
        <w:t xml:space="preserve">Bornstein, M. H., Hahn, C.-S., &amp; Haynes, O. M. (2010). Social competence, externalizing, and internalizing behavioral adjustment from early childhood through early adolescence: Developmental cascades. </w:t>
      </w:r>
      <w:r>
        <w:rPr>
          <w:i/>
          <w:iCs/>
        </w:rPr>
        <w:t>Development and Psychopathology</w:t>
      </w:r>
      <w:r>
        <w:t xml:space="preserve">, </w:t>
      </w:r>
      <w:r>
        <w:rPr>
          <w:i/>
          <w:iCs/>
        </w:rPr>
        <w:t>22</w:t>
      </w:r>
      <w:r>
        <w:t xml:space="preserve">(4), 717–735. </w:t>
      </w:r>
      <w:proofErr w:type="spellStart"/>
      <w:r>
        <w:t>doi</w:t>
      </w:r>
      <w:proofErr w:type="spellEnd"/>
      <w:r>
        <w:t>: 10.1017/S0954579410000416</w:t>
      </w:r>
    </w:p>
    <w:p w14:paraId="1CF404D9" w14:textId="77777777" w:rsidR="00315013" w:rsidRDefault="00315013" w:rsidP="00315013">
      <w:pPr>
        <w:pStyle w:val="Bibliography"/>
      </w:pPr>
      <w:r>
        <w:t xml:space="preserve">Brock, L. L., </w:t>
      </w:r>
      <w:proofErr w:type="spellStart"/>
      <w:r>
        <w:t>Rimm</w:t>
      </w:r>
      <w:proofErr w:type="spellEnd"/>
      <w:r>
        <w:t xml:space="preserve">-Kaufman, S. E., Nathanson, L., &amp; Grimm, K. J. (2009). The contributions of ‘hot’ and ‘cool’ executive function to children’s academic achievement, learning-related behaviors, and engagement in kindergarten. </w:t>
      </w:r>
      <w:r>
        <w:rPr>
          <w:i/>
          <w:iCs/>
        </w:rPr>
        <w:t>Early Childhood Research Quarterly</w:t>
      </w:r>
      <w:r>
        <w:t xml:space="preserve">, </w:t>
      </w:r>
      <w:r>
        <w:rPr>
          <w:i/>
          <w:iCs/>
        </w:rPr>
        <w:t>24</w:t>
      </w:r>
      <w:r>
        <w:t xml:space="preserve">(3), 337–349. </w:t>
      </w:r>
      <w:proofErr w:type="spellStart"/>
      <w:r>
        <w:t>doi</w:t>
      </w:r>
      <w:proofErr w:type="spellEnd"/>
      <w:r>
        <w:t>: 10.1016/j.ecresq.2009.06.001</w:t>
      </w:r>
    </w:p>
    <w:p w14:paraId="586AAB55" w14:textId="77777777" w:rsidR="00315013" w:rsidRDefault="00315013" w:rsidP="00315013">
      <w:pPr>
        <w:pStyle w:val="Bibliography"/>
      </w:pPr>
      <w:r>
        <w:t xml:space="preserve">Bryce, C. I., Goble, P., Swanson, J., </w:t>
      </w:r>
      <w:proofErr w:type="spellStart"/>
      <w:r>
        <w:t>Fabes</w:t>
      </w:r>
      <w:proofErr w:type="spellEnd"/>
      <w:r>
        <w:t xml:space="preserve">, R. A., </w:t>
      </w:r>
      <w:proofErr w:type="spellStart"/>
      <w:r>
        <w:t>Hanish</w:t>
      </w:r>
      <w:proofErr w:type="spellEnd"/>
      <w:r>
        <w:t xml:space="preserve">, L. D., &amp; Martin, C. L. (2018). Kindergarten school engagement: Linking early temperament and academic achievement at the transition to school. </w:t>
      </w:r>
      <w:r>
        <w:rPr>
          <w:i/>
          <w:iCs/>
        </w:rPr>
        <w:t>Early Education and Development</w:t>
      </w:r>
      <w:r>
        <w:t xml:space="preserve">, </w:t>
      </w:r>
      <w:r>
        <w:rPr>
          <w:i/>
          <w:iCs/>
        </w:rPr>
        <w:t>29</w:t>
      </w:r>
      <w:r>
        <w:t xml:space="preserve">(5), 780–796. </w:t>
      </w:r>
      <w:proofErr w:type="spellStart"/>
      <w:r>
        <w:t>doi</w:t>
      </w:r>
      <w:proofErr w:type="spellEnd"/>
      <w:r>
        <w:t>: 10.1080/10409289.2017.1404275</w:t>
      </w:r>
    </w:p>
    <w:p w14:paraId="0F3BC60E" w14:textId="77777777" w:rsidR="00315013" w:rsidRDefault="00315013" w:rsidP="00315013">
      <w:pPr>
        <w:pStyle w:val="Bibliography"/>
      </w:pPr>
      <w:proofErr w:type="spellStart"/>
      <w:r>
        <w:t>Bulotsky</w:t>
      </w:r>
      <w:proofErr w:type="spellEnd"/>
      <w:r>
        <w:t xml:space="preserve">-Shearer, R., Fernandez, V., Dominguez, X., &amp; Rouse, H. L. (2011). Behavioral problems in learning activities and social interaction in Head Start classrooms and early reading math and approaches to learning. </w:t>
      </w:r>
      <w:r>
        <w:rPr>
          <w:i/>
          <w:iCs/>
        </w:rPr>
        <w:t>School Psychology Review</w:t>
      </w:r>
      <w:r>
        <w:t xml:space="preserve">, </w:t>
      </w:r>
      <w:r>
        <w:rPr>
          <w:i/>
          <w:iCs/>
        </w:rPr>
        <w:t>40</w:t>
      </w:r>
      <w:r>
        <w:t xml:space="preserve">(1), 39–56. </w:t>
      </w:r>
      <w:proofErr w:type="spellStart"/>
      <w:r>
        <w:t>doi</w:t>
      </w:r>
      <w:proofErr w:type="spellEnd"/>
      <w:r>
        <w:t>: 10.1080/02796015.2011.12087727</w:t>
      </w:r>
    </w:p>
    <w:p w14:paraId="0329C954" w14:textId="77777777" w:rsidR="00315013" w:rsidRDefault="00315013" w:rsidP="00315013">
      <w:pPr>
        <w:pStyle w:val="Bibliography"/>
      </w:pPr>
      <w:r>
        <w:t xml:space="preserve">Bumgarner, E., Martin, A., &amp; Brooks-Gunn, J. (2013). Approaches to learning and Hispanic children’s math scores: The moderating role of English proficiency. </w:t>
      </w:r>
      <w:r>
        <w:rPr>
          <w:i/>
          <w:iCs/>
        </w:rPr>
        <w:t>Hispanic Journal of Behavioral Sciences</w:t>
      </w:r>
      <w:r>
        <w:t xml:space="preserve">, </w:t>
      </w:r>
      <w:r>
        <w:rPr>
          <w:i/>
          <w:iCs/>
        </w:rPr>
        <w:t>35</w:t>
      </w:r>
      <w:r>
        <w:t xml:space="preserve">(2), 241–259. </w:t>
      </w:r>
      <w:proofErr w:type="spellStart"/>
      <w:r>
        <w:t>doi</w:t>
      </w:r>
      <w:proofErr w:type="spellEnd"/>
      <w:r>
        <w:t>: 10.1177/0739986312473580</w:t>
      </w:r>
    </w:p>
    <w:p w14:paraId="751D3E81" w14:textId="77777777" w:rsidR="00315013" w:rsidRDefault="00315013" w:rsidP="00315013">
      <w:pPr>
        <w:pStyle w:val="Bibliography"/>
      </w:pPr>
      <w:r>
        <w:t xml:space="preserve">Bustamante, A. S., &amp; Hindman, A. H. (2018). </w:t>
      </w:r>
      <w:proofErr w:type="spellStart"/>
      <w:r>
        <w:t>Construyendo</w:t>
      </w:r>
      <w:proofErr w:type="spellEnd"/>
      <w:r>
        <w:t xml:space="preserve"> </w:t>
      </w:r>
      <w:proofErr w:type="spellStart"/>
      <w:r>
        <w:t>en</w:t>
      </w:r>
      <w:proofErr w:type="spellEnd"/>
      <w:r>
        <w:t xml:space="preserve"> la </w:t>
      </w:r>
      <w:proofErr w:type="spellStart"/>
      <w:r>
        <w:t>Fuerza</w:t>
      </w:r>
      <w:proofErr w:type="spellEnd"/>
      <w:r>
        <w:t xml:space="preserve">: Approaches to learning and school readiness gains in Latino children served by Head Start. </w:t>
      </w:r>
      <w:r>
        <w:rPr>
          <w:i/>
          <w:iCs/>
        </w:rPr>
        <w:t>Early Childhood Research Quarterly</w:t>
      </w:r>
      <w:r>
        <w:t xml:space="preserve">. </w:t>
      </w:r>
      <w:proofErr w:type="spellStart"/>
      <w:r>
        <w:t>doi</w:t>
      </w:r>
      <w:proofErr w:type="spellEnd"/>
      <w:r>
        <w:t>: 10.1016/j.ecresq.2018.06.003</w:t>
      </w:r>
    </w:p>
    <w:p w14:paraId="7DF3D465" w14:textId="77777777" w:rsidR="00315013" w:rsidRDefault="00315013" w:rsidP="00315013">
      <w:pPr>
        <w:pStyle w:val="Bibliography"/>
      </w:pPr>
      <w:r>
        <w:t xml:space="preserve">Bustamante, A. S., &amp; Hindman, A. H. (2019). Classroom quality and academic school readiness outcomes in Head Start: The indirect effect of approaches to learning. </w:t>
      </w:r>
      <w:r>
        <w:rPr>
          <w:i/>
          <w:iCs/>
        </w:rPr>
        <w:t>Early Education and Development</w:t>
      </w:r>
      <w:r>
        <w:t xml:space="preserve">, </w:t>
      </w:r>
      <w:r>
        <w:rPr>
          <w:i/>
          <w:iCs/>
        </w:rPr>
        <w:t>30</w:t>
      </w:r>
      <w:r>
        <w:t xml:space="preserve">(1), 19–35. </w:t>
      </w:r>
      <w:proofErr w:type="spellStart"/>
      <w:r>
        <w:t>doi</w:t>
      </w:r>
      <w:proofErr w:type="spellEnd"/>
      <w:r>
        <w:t>: 10.1080/10409289.2018.1540249</w:t>
      </w:r>
    </w:p>
    <w:p w14:paraId="0E282F70" w14:textId="77777777" w:rsidR="00315013" w:rsidRDefault="00315013" w:rsidP="00315013">
      <w:pPr>
        <w:pStyle w:val="Bibliography"/>
      </w:pPr>
      <w:r>
        <w:t xml:space="preserve">Bustamante, A. S., White, L. J., &amp; Greenfield, D. B. (2017). Approaches to learning and school readiness in Head Start: Applications to preschool science. </w:t>
      </w:r>
      <w:r>
        <w:rPr>
          <w:i/>
          <w:iCs/>
        </w:rPr>
        <w:t>Learning and Individual Differences</w:t>
      </w:r>
      <w:r>
        <w:t xml:space="preserve">, </w:t>
      </w:r>
      <w:r>
        <w:rPr>
          <w:i/>
          <w:iCs/>
        </w:rPr>
        <w:t>56</w:t>
      </w:r>
      <w:r>
        <w:t xml:space="preserve">, 112–118. </w:t>
      </w:r>
      <w:proofErr w:type="spellStart"/>
      <w:r>
        <w:t>doi</w:t>
      </w:r>
      <w:proofErr w:type="spellEnd"/>
      <w:r>
        <w:t>: 10.1016/j.lindif.2016.10.012</w:t>
      </w:r>
    </w:p>
    <w:p w14:paraId="36B0A232" w14:textId="77777777" w:rsidR="00315013" w:rsidRDefault="00315013" w:rsidP="00315013">
      <w:pPr>
        <w:pStyle w:val="Bibliography"/>
      </w:pPr>
      <w:r>
        <w:lastRenderedPageBreak/>
        <w:t xml:space="preserve">Bustamante, A. S., White, L. J., &amp; Greenfield, D. B. (2018). Approaches to learning and science education in Head Start: Examining bidirectionality. </w:t>
      </w:r>
      <w:r>
        <w:rPr>
          <w:i/>
          <w:iCs/>
        </w:rPr>
        <w:t>Early Childhood Research Quarterly</w:t>
      </w:r>
      <w:r>
        <w:t xml:space="preserve">, </w:t>
      </w:r>
      <w:r>
        <w:rPr>
          <w:i/>
          <w:iCs/>
        </w:rPr>
        <w:t>44</w:t>
      </w:r>
      <w:r>
        <w:t xml:space="preserve">, 34–42. </w:t>
      </w:r>
      <w:proofErr w:type="spellStart"/>
      <w:r>
        <w:t>doi</w:t>
      </w:r>
      <w:proofErr w:type="spellEnd"/>
      <w:r>
        <w:t>: 10.1016/j.ecresq.2018.02.013</w:t>
      </w:r>
    </w:p>
    <w:p w14:paraId="314B2F15" w14:textId="77777777" w:rsidR="00315013" w:rsidRDefault="00315013" w:rsidP="00315013">
      <w:pPr>
        <w:pStyle w:val="Bibliography"/>
      </w:pPr>
      <w:proofErr w:type="spellStart"/>
      <w:r>
        <w:t>Cadima</w:t>
      </w:r>
      <w:proofErr w:type="spellEnd"/>
      <w:r>
        <w:t xml:space="preserve">, J., </w:t>
      </w:r>
      <w:proofErr w:type="spellStart"/>
      <w:r>
        <w:t>Doumen</w:t>
      </w:r>
      <w:proofErr w:type="spellEnd"/>
      <w:r>
        <w:t xml:space="preserve">, S., </w:t>
      </w:r>
      <w:proofErr w:type="spellStart"/>
      <w:r>
        <w:t>Verschueren</w:t>
      </w:r>
      <w:proofErr w:type="spellEnd"/>
      <w:r>
        <w:t xml:space="preserve">, K., &amp; </w:t>
      </w:r>
      <w:proofErr w:type="spellStart"/>
      <w:r>
        <w:t>Buyse</w:t>
      </w:r>
      <w:proofErr w:type="spellEnd"/>
      <w:r>
        <w:t xml:space="preserve">, E. (2015). Child engagement in the transition to school: Contributions of self-regulation, teacher–child relationships and classroom climate. </w:t>
      </w:r>
      <w:r>
        <w:rPr>
          <w:i/>
          <w:iCs/>
        </w:rPr>
        <w:t>Early Childhood Research Quarterly</w:t>
      </w:r>
      <w:r>
        <w:t xml:space="preserve">, </w:t>
      </w:r>
      <w:r>
        <w:rPr>
          <w:i/>
          <w:iCs/>
        </w:rPr>
        <w:t>32</w:t>
      </w:r>
      <w:r>
        <w:t xml:space="preserve">, 1–12. </w:t>
      </w:r>
      <w:proofErr w:type="spellStart"/>
      <w:r>
        <w:t>doi</w:t>
      </w:r>
      <w:proofErr w:type="spellEnd"/>
      <w:r>
        <w:t>: 10.1016/j.ecresq.2015.01.008</w:t>
      </w:r>
    </w:p>
    <w:p w14:paraId="2C5A0715" w14:textId="77777777" w:rsidR="00315013" w:rsidRDefault="00315013" w:rsidP="00315013">
      <w:pPr>
        <w:pStyle w:val="Bibliography"/>
      </w:pPr>
      <w:r>
        <w:t xml:space="preserve">Carter, A. S., Briggs‐Gowan, M. J., &amp; Davis, N. O. (2004). Assessment of young children’s social-emotional development and psychopathology: Recent advances and recommendations for practice. </w:t>
      </w:r>
      <w:r>
        <w:rPr>
          <w:i/>
          <w:iCs/>
        </w:rPr>
        <w:t>Journal of Child Psychology and Psychiatry</w:t>
      </w:r>
      <w:r>
        <w:t xml:space="preserve">, </w:t>
      </w:r>
      <w:r>
        <w:rPr>
          <w:i/>
          <w:iCs/>
        </w:rPr>
        <w:t>45</w:t>
      </w:r>
      <w:r>
        <w:t xml:space="preserve">(1), 109–134. </w:t>
      </w:r>
      <w:proofErr w:type="spellStart"/>
      <w:r>
        <w:t>doi</w:t>
      </w:r>
      <w:proofErr w:type="spellEnd"/>
      <w:r>
        <w:t>: 10.1046/j.0021-9630.2003.00316.x</w:t>
      </w:r>
    </w:p>
    <w:p w14:paraId="14CE6AED" w14:textId="77777777" w:rsidR="00315013" w:rsidRDefault="00315013" w:rsidP="00315013">
      <w:pPr>
        <w:pStyle w:val="Bibliography"/>
      </w:pPr>
      <w:r>
        <w:t xml:space="preserve">Cerda, C. A., Im, M. H., &amp; Hughes, J. N. (2014). Learning-related skills and academic achievement in academically at-risk first graders. </w:t>
      </w:r>
      <w:r>
        <w:rPr>
          <w:i/>
          <w:iCs/>
        </w:rPr>
        <w:t>Journal of Applied Developmental Psychology</w:t>
      </w:r>
      <w:r>
        <w:t xml:space="preserve">, </w:t>
      </w:r>
      <w:r>
        <w:rPr>
          <w:i/>
          <w:iCs/>
        </w:rPr>
        <w:t>35</w:t>
      </w:r>
      <w:r>
        <w:t xml:space="preserve">(5), 433–443. </w:t>
      </w:r>
      <w:proofErr w:type="spellStart"/>
      <w:r>
        <w:t>doi</w:t>
      </w:r>
      <w:proofErr w:type="spellEnd"/>
      <w:r>
        <w:t>: 10.1016/j.appdev.2014.08.001</w:t>
      </w:r>
    </w:p>
    <w:p w14:paraId="4DE8C5B6" w14:textId="77777777" w:rsidR="00315013" w:rsidRDefault="00315013" w:rsidP="00315013">
      <w:pPr>
        <w:pStyle w:val="Bibliography"/>
      </w:pPr>
      <w:r>
        <w:t xml:space="preserve">Chen, J.-Q., &amp; McNamee, G. D. (2011). Positive approaches to learning in the context of preschool classroom activities. </w:t>
      </w:r>
      <w:r>
        <w:rPr>
          <w:i/>
          <w:iCs/>
        </w:rPr>
        <w:t>Early Childhood Education Journal</w:t>
      </w:r>
      <w:r>
        <w:t xml:space="preserve">, </w:t>
      </w:r>
      <w:r>
        <w:rPr>
          <w:i/>
          <w:iCs/>
        </w:rPr>
        <w:t>39</w:t>
      </w:r>
      <w:r>
        <w:t xml:space="preserve">(1), 71–78. </w:t>
      </w:r>
      <w:proofErr w:type="spellStart"/>
      <w:r>
        <w:t>doi</w:t>
      </w:r>
      <w:proofErr w:type="spellEnd"/>
      <w:r>
        <w:t>: 10.1007/s10643-010-0441-x</w:t>
      </w:r>
    </w:p>
    <w:p w14:paraId="75F5B91F" w14:textId="77777777" w:rsidR="00315013" w:rsidRDefault="00315013" w:rsidP="00315013">
      <w:pPr>
        <w:pStyle w:val="Bibliography"/>
      </w:pPr>
      <w:proofErr w:type="spellStart"/>
      <w:r>
        <w:t>Coolahan</w:t>
      </w:r>
      <w:proofErr w:type="spellEnd"/>
      <w:r>
        <w:t xml:space="preserve">, K., </w:t>
      </w:r>
      <w:proofErr w:type="spellStart"/>
      <w:r>
        <w:t>Fantuzzo</w:t>
      </w:r>
      <w:proofErr w:type="spellEnd"/>
      <w:r>
        <w:t xml:space="preserve">, J., Mendez, J., &amp; McDermott, P. (2000). Preschool peer interactions and readiness to learn: Relationships between classroom peer play and learning behaviors and conduct. </w:t>
      </w:r>
      <w:r>
        <w:rPr>
          <w:i/>
          <w:iCs/>
        </w:rPr>
        <w:t>Journal of Educational Psychology</w:t>
      </w:r>
      <w:r>
        <w:t xml:space="preserve">, </w:t>
      </w:r>
      <w:r>
        <w:rPr>
          <w:i/>
          <w:iCs/>
        </w:rPr>
        <w:t>92</w:t>
      </w:r>
      <w:r>
        <w:t xml:space="preserve">(3), 458–465. </w:t>
      </w:r>
      <w:proofErr w:type="spellStart"/>
      <w:r>
        <w:t>doi</w:t>
      </w:r>
      <w:proofErr w:type="spellEnd"/>
      <w:r>
        <w:t>: 10.1037/0022-0663.92.3.458</w:t>
      </w:r>
    </w:p>
    <w:p w14:paraId="6ECBCA94" w14:textId="77777777" w:rsidR="00315013" w:rsidRDefault="00315013" w:rsidP="00315013">
      <w:pPr>
        <w:pStyle w:val="Bibliography"/>
      </w:pPr>
      <w:r>
        <w:t xml:space="preserve">Daniels, D. H. (2014). Children’s affective orientations in preschool and their initial adjustment to kindergarten: Children’s affective orientations in preschool. </w:t>
      </w:r>
      <w:r>
        <w:rPr>
          <w:i/>
          <w:iCs/>
        </w:rPr>
        <w:t>Psychology in the Schools</w:t>
      </w:r>
      <w:r>
        <w:t xml:space="preserve">, </w:t>
      </w:r>
      <w:r>
        <w:rPr>
          <w:i/>
          <w:iCs/>
        </w:rPr>
        <w:t>51</w:t>
      </w:r>
      <w:r>
        <w:t xml:space="preserve">(3), 256–272. </w:t>
      </w:r>
      <w:proofErr w:type="spellStart"/>
      <w:r>
        <w:t>doi</w:t>
      </w:r>
      <w:proofErr w:type="spellEnd"/>
      <w:r>
        <w:t>: 10.1002/pits.21748</w:t>
      </w:r>
    </w:p>
    <w:p w14:paraId="1B277466" w14:textId="77777777" w:rsidR="00315013" w:rsidRDefault="00315013" w:rsidP="00315013">
      <w:pPr>
        <w:pStyle w:val="Bibliography"/>
      </w:pPr>
      <w:r>
        <w:t xml:space="preserve">De </w:t>
      </w:r>
      <w:proofErr w:type="spellStart"/>
      <w:r>
        <w:t>Feyter</w:t>
      </w:r>
      <w:proofErr w:type="spellEnd"/>
      <w:r>
        <w:t xml:space="preserve">, J. J., &amp; </w:t>
      </w:r>
      <w:proofErr w:type="spellStart"/>
      <w:r>
        <w:t>Winsler</w:t>
      </w:r>
      <w:proofErr w:type="spellEnd"/>
      <w:r>
        <w:t xml:space="preserve">, A. (2009). The early developmental competencies and school readiness of low-income, immigrant children: Influences of generation, race/ethnicity, and national origins. </w:t>
      </w:r>
      <w:r>
        <w:rPr>
          <w:i/>
          <w:iCs/>
        </w:rPr>
        <w:t>Early Childhood Research Quarterly</w:t>
      </w:r>
      <w:r>
        <w:t xml:space="preserve">, </w:t>
      </w:r>
      <w:r>
        <w:rPr>
          <w:i/>
          <w:iCs/>
        </w:rPr>
        <w:t>24</w:t>
      </w:r>
      <w:r>
        <w:t xml:space="preserve">(4), 411–431. </w:t>
      </w:r>
      <w:proofErr w:type="spellStart"/>
      <w:r>
        <w:t>doi</w:t>
      </w:r>
      <w:proofErr w:type="spellEnd"/>
      <w:r>
        <w:t>: 10.1016/j.ecresq.2009.07.004</w:t>
      </w:r>
    </w:p>
    <w:p w14:paraId="53A91E6E" w14:textId="77777777" w:rsidR="00315013" w:rsidRDefault="00315013" w:rsidP="00315013">
      <w:pPr>
        <w:pStyle w:val="Bibliography"/>
      </w:pPr>
      <w:r>
        <w:t xml:space="preserve">Denham, S., Bassett, H. H., Way, E., </w:t>
      </w:r>
      <w:proofErr w:type="spellStart"/>
      <w:r>
        <w:t>Mincic</w:t>
      </w:r>
      <w:proofErr w:type="spellEnd"/>
      <w:r>
        <w:t xml:space="preserve">, M., Zinsser, K., &amp; </w:t>
      </w:r>
      <w:proofErr w:type="spellStart"/>
      <w:r>
        <w:t>Graling</w:t>
      </w:r>
      <w:proofErr w:type="spellEnd"/>
      <w:r>
        <w:t xml:space="preserve">, K. (2012). Preschoolers’ emotion knowledge: Self-regulatory foundations, and predictions of early school success. </w:t>
      </w:r>
      <w:r>
        <w:rPr>
          <w:i/>
          <w:iCs/>
        </w:rPr>
        <w:t>Cognition &amp; Emotion</w:t>
      </w:r>
      <w:r>
        <w:t xml:space="preserve">, </w:t>
      </w:r>
      <w:r>
        <w:rPr>
          <w:i/>
          <w:iCs/>
        </w:rPr>
        <w:t>26</w:t>
      </w:r>
      <w:r>
        <w:t xml:space="preserve">(4), 667–679. </w:t>
      </w:r>
      <w:proofErr w:type="spellStart"/>
      <w:r>
        <w:t>doi</w:t>
      </w:r>
      <w:proofErr w:type="spellEnd"/>
      <w:r>
        <w:t>: 10.1080/02699931.2011.602049</w:t>
      </w:r>
    </w:p>
    <w:p w14:paraId="1A0156B4" w14:textId="77777777" w:rsidR="00315013" w:rsidRDefault="00315013" w:rsidP="00315013">
      <w:pPr>
        <w:pStyle w:val="Bibliography"/>
      </w:pPr>
      <w:proofErr w:type="spellStart"/>
      <w:r>
        <w:t>DiPerna</w:t>
      </w:r>
      <w:proofErr w:type="spellEnd"/>
      <w:r>
        <w:t xml:space="preserve">, J. C., Lei, P.-W., &amp; Reid, E. E. (2007). Kindergarten predictors of mathematical growth in the primary grades: An investigation using the Early Childhood Longitudinal Study--Kindergarten cohort. </w:t>
      </w:r>
      <w:r>
        <w:rPr>
          <w:i/>
          <w:iCs/>
        </w:rPr>
        <w:t>Journal of Educational Psychology</w:t>
      </w:r>
      <w:r>
        <w:t xml:space="preserve">, </w:t>
      </w:r>
      <w:r>
        <w:rPr>
          <w:i/>
          <w:iCs/>
        </w:rPr>
        <w:t>99</w:t>
      </w:r>
      <w:r>
        <w:t xml:space="preserve">(2), 369–379. </w:t>
      </w:r>
      <w:proofErr w:type="spellStart"/>
      <w:r>
        <w:t>doi</w:t>
      </w:r>
      <w:proofErr w:type="spellEnd"/>
      <w:r>
        <w:t>: 10.1037/0022-0663.99.2.369</w:t>
      </w:r>
    </w:p>
    <w:p w14:paraId="4067EAB8" w14:textId="77777777" w:rsidR="00315013" w:rsidRDefault="00315013" w:rsidP="00315013">
      <w:pPr>
        <w:pStyle w:val="Bibliography"/>
      </w:pPr>
      <w:r>
        <w:lastRenderedPageBreak/>
        <w:t xml:space="preserve">Doctoroff, G. L., Fisher, P. H., Burrows, B. M., &amp; Edman, M. T. (2016). Preschool children’s interest, social-emotional skills, and emergent mathematics skills: Preschool children’s interest. </w:t>
      </w:r>
      <w:r>
        <w:rPr>
          <w:i/>
          <w:iCs/>
        </w:rPr>
        <w:t>Psychology in the Schools</w:t>
      </w:r>
      <w:r>
        <w:t xml:space="preserve">, </w:t>
      </w:r>
      <w:r>
        <w:rPr>
          <w:i/>
          <w:iCs/>
        </w:rPr>
        <w:t>53</w:t>
      </w:r>
      <w:r>
        <w:t xml:space="preserve">(4), 390–403. </w:t>
      </w:r>
      <w:proofErr w:type="spellStart"/>
      <w:r>
        <w:t>doi</w:t>
      </w:r>
      <w:proofErr w:type="spellEnd"/>
      <w:r>
        <w:t>: 10.1002/pits.21912</w:t>
      </w:r>
    </w:p>
    <w:p w14:paraId="6DA45894" w14:textId="77777777" w:rsidR="00315013" w:rsidRDefault="00315013" w:rsidP="00315013">
      <w:pPr>
        <w:pStyle w:val="Bibliography"/>
      </w:pPr>
      <w:r>
        <w:t xml:space="preserve">Elliott, L. (2019). Profiles of academic, cognitive, and behavioral development from kindergarten to third grade. </w:t>
      </w:r>
      <w:r>
        <w:rPr>
          <w:i/>
          <w:iCs/>
        </w:rPr>
        <w:t>Learning and Individual Differences</w:t>
      </w:r>
      <w:r>
        <w:t xml:space="preserve">, </w:t>
      </w:r>
      <w:r>
        <w:rPr>
          <w:i/>
          <w:iCs/>
        </w:rPr>
        <w:t>70</w:t>
      </w:r>
      <w:r>
        <w:t xml:space="preserve">, 109–120. </w:t>
      </w:r>
      <w:proofErr w:type="spellStart"/>
      <w:r>
        <w:t>doi</w:t>
      </w:r>
      <w:proofErr w:type="spellEnd"/>
      <w:r>
        <w:t>: 10.1016/j.lindif.2019.01.010</w:t>
      </w:r>
    </w:p>
    <w:p w14:paraId="54E70765" w14:textId="77777777" w:rsidR="00315013" w:rsidRDefault="00315013" w:rsidP="00315013">
      <w:pPr>
        <w:pStyle w:val="Bibliography"/>
      </w:pPr>
      <w:proofErr w:type="spellStart"/>
      <w:r>
        <w:t>Farran</w:t>
      </w:r>
      <w:proofErr w:type="spellEnd"/>
      <w:r>
        <w:t xml:space="preserve">, D. (2011). Rethinking School Readiness. </w:t>
      </w:r>
      <w:r>
        <w:rPr>
          <w:i/>
          <w:iCs/>
        </w:rPr>
        <w:t>Exceptionality Education International</w:t>
      </w:r>
      <w:r>
        <w:t xml:space="preserve">, </w:t>
      </w:r>
      <w:r>
        <w:rPr>
          <w:i/>
          <w:iCs/>
        </w:rPr>
        <w:t>21</w:t>
      </w:r>
      <w:r>
        <w:t>(2), 5–15. Retrieved from https://ir.lib.uwo.ca/eei/vol21/iss2/3</w:t>
      </w:r>
    </w:p>
    <w:p w14:paraId="3E13A19B" w14:textId="77777777" w:rsidR="00315013" w:rsidRDefault="00315013" w:rsidP="00315013">
      <w:pPr>
        <w:pStyle w:val="Bibliography"/>
      </w:pPr>
      <w:r>
        <w:t xml:space="preserve">Fredricks, J. A., Blumenfeld, P. C., &amp; Paris, A. H. (2004). School engagement: Potential of the concept, state of the evidence. </w:t>
      </w:r>
      <w:r>
        <w:rPr>
          <w:i/>
          <w:iCs/>
        </w:rPr>
        <w:t>Review of Educational Research</w:t>
      </w:r>
      <w:r>
        <w:t xml:space="preserve">, </w:t>
      </w:r>
      <w:r>
        <w:rPr>
          <w:i/>
          <w:iCs/>
        </w:rPr>
        <w:t>74</w:t>
      </w:r>
      <w:r>
        <w:t xml:space="preserve">(1), 59–109. </w:t>
      </w:r>
      <w:proofErr w:type="spellStart"/>
      <w:r>
        <w:t>doi</w:t>
      </w:r>
      <w:proofErr w:type="spellEnd"/>
      <w:r>
        <w:t>: 10.3102/00346543074001059</w:t>
      </w:r>
    </w:p>
    <w:p w14:paraId="122B9113" w14:textId="77777777" w:rsidR="00315013" w:rsidRDefault="00315013" w:rsidP="00315013">
      <w:pPr>
        <w:pStyle w:val="Bibliography"/>
      </w:pPr>
      <w:r>
        <w:t xml:space="preserve">George, J., &amp; Greenfield, D. B. (2005). Examination of a structured problem-solving flexibility task for assessing approaches to learning in young children: Relation to teacher ratings and children’s achievement. </w:t>
      </w:r>
      <w:r>
        <w:rPr>
          <w:i/>
          <w:iCs/>
        </w:rPr>
        <w:t>Journal of Applied Developmental Psychology</w:t>
      </w:r>
      <w:r>
        <w:t xml:space="preserve">, </w:t>
      </w:r>
      <w:r>
        <w:rPr>
          <w:i/>
          <w:iCs/>
        </w:rPr>
        <w:t>26</w:t>
      </w:r>
      <w:r>
        <w:t xml:space="preserve">(1), 69–84. </w:t>
      </w:r>
      <w:proofErr w:type="spellStart"/>
      <w:r>
        <w:t>doi</w:t>
      </w:r>
      <w:proofErr w:type="spellEnd"/>
      <w:r>
        <w:t>: 10.1016/j.appdev.2004.10.006</w:t>
      </w:r>
    </w:p>
    <w:p w14:paraId="2C69509B" w14:textId="77777777" w:rsidR="00315013" w:rsidRDefault="00315013" w:rsidP="00315013">
      <w:pPr>
        <w:pStyle w:val="Bibliography"/>
      </w:pPr>
      <w:r>
        <w:t xml:space="preserve">Guo, Y., Sun, S., </w:t>
      </w:r>
      <w:proofErr w:type="spellStart"/>
      <w:r>
        <w:t>Breit</w:t>
      </w:r>
      <w:proofErr w:type="spellEnd"/>
      <w:r>
        <w:t xml:space="preserve">-Smith, A., Morrison, F. J., &amp; Connor, C. M. (2015). Behavioral engagement and reading achievement in elementary-school-age children: A longitudinal cross-lagged analysis. </w:t>
      </w:r>
      <w:r>
        <w:rPr>
          <w:i/>
          <w:iCs/>
        </w:rPr>
        <w:t>Journal of Educational Psychology</w:t>
      </w:r>
      <w:r>
        <w:t xml:space="preserve">, </w:t>
      </w:r>
      <w:r>
        <w:rPr>
          <w:i/>
          <w:iCs/>
        </w:rPr>
        <w:t>107</w:t>
      </w:r>
      <w:r>
        <w:t xml:space="preserve">(2), 332. </w:t>
      </w:r>
      <w:proofErr w:type="spellStart"/>
      <w:r>
        <w:t>doi</w:t>
      </w:r>
      <w:proofErr w:type="spellEnd"/>
      <w:r>
        <w:t>: 10.1037/a0037638</w:t>
      </w:r>
    </w:p>
    <w:p w14:paraId="5F4627D1" w14:textId="77777777" w:rsidR="00315013" w:rsidRDefault="00315013" w:rsidP="00315013">
      <w:pPr>
        <w:pStyle w:val="Bibliography"/>
      </w:pPr>
      <w:r>
        <w:t>Hair, E., Halle, T., Terry-</w:t>
      </w:r>
      <w:proofErr w:type="spellStart"/>
      <w:r>
        <w:t>Humen</w:t>
      </w:r>
      <w:proofErr w:type="spellEnd"/>
      <w:r>
        <w:t xml:space="preserve">, E., Lavelle, B., &amp; Calkins, J. (2006). Children’s school readiness in the ECLS-K: Predictions to academic, health, and social outcomes in first grade. </w:t>
      </w:r>
      <w:r>
        <w:rPr>
          <w:i/>
          <w:iCs/>
        </w:rPr>
        <w:t>Early Childhood Research Quarterly</w:t>
      </w:r>
      <w:r>
        <w:t xml:space="preserve">, </w:t>
      </w:r>
      <w:r>
        <w:rPr>
          <w:i/>
          <w:iCs/>
        </w:rPr>
        <w:t>21</w:t>
      </w:r>
      <w:r>
        <w:t xml:space="preserve">(4), 431–454. </w:t>
      </w:r>
      <w:proofErr w:type="spellStart"/>
      <w:r>
        <w:t>doi</w:t>
      </w:r>
      <w:proofErr w:type="spellEnd"/>
      <w:r>
        <w:t>: 10.1016/j.ecresq.2006.09.005</w:t>
      </w:r>
    </w:p>
    <w:p w14:paraId="21727124" w14:textId="77777777" w:rsidR="00315013" w:rsidRDefault="00315013" w:rsidP="00315013">
      <w:pPr>
        <w:pStyle w:val="Bibliography"/>
      </w:pPr>
      <w:r>
        <w:t xml:space="preserve">Halle, T. G., &amp; Darling-Churchill, K. E. (2016). Review of measures of social and emotional development. </w:t>
      </w:r>
      <w:r>
        <w:rPr>
          <w:i/>
          <w:iCs/>
        </w:rPr>
        <w:t>Journal of Applied Developmental Psychology</w:t>
      </w:r>
      <w:r>
        <w:t xml:space="preserve">, </w:t>
      </w:r>
      <w:r>
        <w:rPr>
          <w:i/>
          <w:iCs/>
        </w:rPr>
        <w:t>45</w:t>
      </w:r>
      <w:r>
        <w:t xml:space="preserve">, 8–18. </w:t>
      </w:r>
      <w:proofErr w:type="spellStart"/>
      <w:r>
        <w:t>doi</w:t>
      </w:r>
      <w:proofErr w:type="spellEnd"/>
      <w:r>
        <w:t>: 10.1016/j.appdev.2016.02.003</w:t>
      </w:r>
    </w:p>
    <w:p w14:paraId="3E6B415A" w14:textId="77777777" w:rsidR="00315013" w:rsidRDefault="00315013" w:rsidP="00315013">
      <w:pPr>
        <w:pStyle w:val="Bibliography"/>
      </w:pPr>
      <w:r>
        <w:t xml:space="preserve">Halliday, S. E., Calkins, S. D., &amp; </w:t>
      </w:r>
      <w:proofErr w:type="spellStart"/>
      <w:r>
        <w:t>Leerkes</w:t>
      </w:r>
      <w:proofErr w:type="spellEnd"/>
      <w:r>
        <w:t xml:space="preserve">, E. M. (2018). Measuring preschool learning engagement in the laboratory. </w:t>
      </w:r>
      <w:r>
        <w:rPr>
          <w:i/>
          <w:iCs/>
        </w:rPr>
        <w:t>Journal of Experimental Child Psychology</w:t>
      </w:r>
      <w:r>
        <w:t xml:space="preserve">, </w:t>
      </w:r>
      <w:r>
        <w:rPr>
          <w:i/>
          <w:iCs/>
        </w:rPr>
        <w:t>167</w:t>
      </w:r>
      <w:r>
        <w:t xml:space="preserve">, 93–116. </w:t>
      </w:r>
      <w:proofErr w:type="spellStart"/>
      <w:r>
        <w:t>doi</w:t>
      </w:r>
      <w:proofErr w:type="spellEnd"/>
      <w:r>
        <w:t>: 10.1016/j.jecp.2017.10.006</w:t>
      </w:r>
    </w:p>
    <w:p w14:paraId="33B6FA47" w14:textId="77777777" w:rsidR="00315013" w:rsidRDefault="00315013" w:rsidP="00315013">
      <w:pPr>
        <w:pStyle w:val="Bibliography"/>
      </w:pPr>
      <w:r>
        <w:t xml:space="preserve">Harrison, L. J., McLeod, S., Berthelsen, D., &amp; Walker, S. (2009). Literacy, numeracy, and learning in school-aged children identified as having speech and language impairment in early childhood. </w:t>
      </w:r>
      <w:r>
        <w:rPr>
          <w:i/>
          <w:iCs/>
        </w:rPr>
        <w:t>International Journal of Speech-Language Pathology</w:t>
      </w:r>
      <w:r>
        <w:t xml:space="preserve">, </w:t>
      </w:r>
      <w:r>
        <w:rPr>
          <w:i/>
          <w:iCs/>
        </w:rPr>
        <w:t>11</w:t>
      </w:r>
      <w:r>
        <w:t xml:space="preserve">(5), 392–403. </w:t>
      </w:r>
      <w:proofErr w:type="spellStart"/>
      <w:r>
        <w:t>doi</w:t>
      </w:r>
      <w:proofErr w:type="spellEnd"/>
      <w:r>
        <w:t>: 10.1080/17549500903093749</w:t>
      </w:r>
    </w:p>
    <w:p w14:paraId="0DAC54CE" w14:textId="77777777" w:rsidR="00315013" w:rsidRDefault="00315013" w:rsidP="00315013">
      <w:pPr>
        <w:pStyle w:val="Bibliography"/>
      </w:pPr>
      <w:r>
        <w:t xml:space="preserve">Hernández, M. M., Eisenberg, N., </w:t>
      </w:r>
      <w:proofErr w:type="spellStart"/>
      <w:r>
        <w:t>Valiente</w:t>
      </w:r>
      <w:proofErr w:type="spellEnd"/>
      <w:r>
        <w:t xml:space="preserve">, C., </w:t>
      </w:r>
      <w:proofErr w:type="spellStart"/>
      <w:r>
        <w:t>Spinrad</w:t>
      </w:r>
      <w:proofErr w:type="spellEnd"/>
      <w:r>
        <w:t xml:space="preserve">, T. L., Berger, R. H., </w:t>
      </w:r>
      <w:proofErr w:type="spellStart"/>
      <w:r>
        <w:t>VanSchyndel</w:t>
      </w:r>
      <w:proofErr w:type="spellEnd"/>
      <w:r>
        <w:t xml:space="preserve">, S. K., … others. (2018). Bidirectional associations between emotions and school adjustment. </w:t>
      </w:r>
      <w:r>
        <w:rPr>
          <w:i/>
          <w:iCs/>
        </w:rPr>
        <w:t>Journal of Personality</w:t>
      </w:r>
      <w:r>
        <w:t xml:space="preserve">, </w:t>
      </w:r>
      <w:r>
        <w:rPr>
          <w:i/>
          <w:iCs/>
        </w:rPr>
        <w:t>86</w:t>
      </w:r>
      <w:r>
        <w:t xml:space="preserve">(5), 853–867. </w:t>
      </w:r>
      <w:proofErr w:type="spellStart"/>
      <w:r>
        <w:t>doi</w:t>
      </w:r>
      <w:proofErr w:type="spellEnd"/>
      <w:r>
        <w:t>: 10.1111/jopy.12361</w:t>
      </w:r>
    </w:p>
    <w:p w14:paraId="273E229A" w14:textId="77777777" w:rsidR="00315013" w:rsidRDefault="00315013" w:rsidP="00315013">
      <w:pPr>
        <w:pStyle w:val="Bibliography"/>
      </w:pPr>
      <w:r>
        <w:lastRenderedPageBreak/>
        <w:t xml:space="preserve">Hernández, M. M., Eisenberg, N., </w:t>
      </w:r>
      <w:proofErr w:type="spellStart"/>
      <w:r>
        <w:t>Valiente</w:t>
      </w:r>
      <w:proofErr w:type="spellEnd"/>
      <w:r>
        <w:t xml:space="preserve">, C., </w:t>
      </w:r>
      <w:proofErr w:type="spellStart"/>
      <w:r>
        <w:t>VanSchyndel</w:t>
      </w:r>
      <w:proofErr w:type="spellEnd"/>
      <w:r>
        <w:t xml:space="preserve">, S. K., </w:t>
      </w:r>
      <w:proofErr w:type="spellStart"/>
      <w:r>
        <w:t>Spinrad</w:t>
      </w:r>
      <w:proofErr w:type="spellEnd"/>
      <w:r>
        <w:t xml:space="preserve">, T. L., Silva, K. M., … others. (2016). Emotional expression in school context, social relationships, and academic adjustment in kindergarten. </w:t>
      </w:r>
      <w:r>
        <w:rPr>
          <w:i/>
          <w:iCs/>
        </w:rPr>
        <w:t>Emotion</w:t>
      </w:r>
      <w:r>
        <w:t xml:space="preserve">, </w:t>
      </w:r>
      <w:r>
        <w:rPr>
          <w:i/>
          <w:iCs/>
        </w:rPr>
        <w:t>16</w:t>
      </w:r>
      <w:r>
        <w:t xml:space="preserve">(4), 553. </w:t>
      </w:r>
      <w:proofErr w:type="spellStart"/>
      <w:r>
        <w:t>doi</w:t>
      </w:r>
      <w:proofErr w:type="spellEnd"/>
      <w:r>
        <w:t>: 10.1037/emo0000147</w:t>
      </w:r>
    </w:p>
    <w:p w14:paraId="15C23787" w14:textId="77777777" w:rsidR="00315013" w:rsidRDefault="00315013" w:rsidP="00315013">
      <w:pPr>
        <w:pStyle w:val="Bibliography"/>
      </w:pPr>
      <w:r>
        <w:t xml:space="preserve">Herndon, K. J., Bailey, C. S., </w:t>
      </w:r>
      <w:proofErr w:type="spellStart"/>
      <w:r>
        <w:t>Shewark</w:t>
      </w:r>
      <w:proofErr w:type="spellEnd"/>
      <w:r>
        <w:t xml:space="preserve">, E. A., Denham, S., &amp; Bassett, H. H. (2013). Preschoolers’ emotion expression and regulation: Relations with school adjustment. </w:t>
      </w:r>
      <w:r>
        <w:rPr>
          <w:i/>
          <w:iCs/>
        </w:rPr>
        <w:t>The Journal of Genetic Psychology</w:t>
      </w:r>
      <w:r>
        <w:t xml:space="preserve">, </w:t>
      </w:r>
      <w:r>
        <w:rPr>
          <w:i/>
          <w:iCs/>
        </w:rPr>
        <w:t>174</w:t>
      </w:r>
      <w:r>
        <w:t xml:space="preserve">(6), 642–663. </w:t>
      </w:r>
      <w:proofErr w:type="spellStart"/>
      <w:r>
        <w:t>doi</w:t>
      </w:r>
      <w:proofErr w:type="spellEnd"/>
      <w:r>
        <w:t>: 10.1080/00221325.2012.759525</w:t>
      </w:r>
    </w:p>
    <w:p w14:paraId="56D8F7C1" w14:textId="77777777" w:rsidR="00315013" w:rsidRDefault="00315013" w:rsidP="00315013">
      <w:pPr>
        <w:pStyle w:val="Bibliography"/>
      </w:pPr>
      <w:r>
        <w:t xml:space="preserve">Hooper, S. R., Roberts, J., Sideris, J., </w:t>
      </w:r>
      <w:proofErr w:type="spellStart"/>
      <w:r>
        <w:t>Burchinal</w:t>
      </w:r>
      <w:proofErr w:type="spellEnd"/>
      <w:r>
        <w:t xml:space="preserve">, M., &amp; Zeisel, S. (2010). Longitudinal predictors of reading and math trajectories through middle school for African American versus Caucasian students across two samples. </w:t>
      </w:r>
      <w:r>
        <w:rPr>
          <w:i/>
          <w:iCs/>
        </w:rPr>
        <w:t>Developmental Psychology</w:t>
      </w:r>
      <w:r>
        <w:t xml:space="preserve">, </w:t>
      </w:r>
      <w:r>
        <w:rPr>
          <w:i/>
          <w:iCs/>
        </w:rPr>
        <w:t>46</w:t>
      </w:r>
      <w:r>
        <w:t xml:space="preserve">(5), 1018–1029. </w:t>
      </w:r>
      <w:proofErr w:type="spellStart"/>
      <w:r>
        <w:t>doi</w:t>
      </w:r>
      <w:proofErr w:type="spellEnd"/>
      <w:r>
        <w:t>: 10.1037/a0018877</w:t>
      </w:r>
    </w:p>
    <w:p w14:paraId="5CA58C6A" w14:textId="77777777" w:rsidR="00315013" w:rsidRDefault="00315013" w:rsidP="00315013">
      <w:pPr>
        <w:pStyle w:val="Bibliography"/>
      </w:pPr>
      <w:r>
        <w:t xml:space="preserve">Hughes, J., &amp; Kwok, O. (2007). Influence of student–teacher and parent–teacher relationships on lower achieving readers’ engagement and achievement in the primary grades. </w:t>
      </w:r>
      <w:r>
        <w:rPr>
          <w:i/>
          <w:iCs/>
        </w:rPr>
        <w:t>Journal of Educational Psychology</w:t>
      </w:r>
      <w:r>
        <w:t xml:space="preserve">, </w:t>
      </w:r>
      <w:r>
        <w:rPr>
          <w:i/>
          <w:iCs/>
        </w:rPr>
        <w:t>99</w:t>
      </w:r>
      <w:r>
        <w:t xml:space="preserve">(1), 39–51. </w:t>
      </w:r>
      <w:proofErr w:type="spellStart"/>
      <w:r>
        <w:t>doi</w:t>
      </w:r>
      <w:proofErr w:type="spellEnd"/>
      <w:r>
        <w:t>: 10.1037/0022-0663.99.1.39</w:t>
      </w:r>
    </w:p>
    <w:p w14:paraId="5608AE86" w14:textId="77777777" w:rsidR="00315013" w:rsidRDefault="00315013" w:rsidP="00315013">
      <w:pPr>
        <w:pStyle w:val="Bibliography"/>
      </w:pPr>
      <w:r>
        <w:t xml:space="preserve">Hunter, L. J., Bierman, K. L., &amp; Hall, C. M. (2018). Assessing noncognitive aspects of school readiness: The predictive validity of Brief Teacher Rating Scales of Social–Emotional Competence and approaches to learning. </w:t>
      </w:r>
      <w:r>
        <w:rPr>
          <w:i/>
          <w:iCs/>
        </w:rPr>
        <w:t>Early Education and Development</w:t>
      </w:r>
      <w:r>
        <w:t xml:space="preserve">, </w:t>
      </w:r>
      <w:r>
        <w:rPr>
          <w:i/>
          <w:iCs/>
        </w:rPr>
        <w:t>29</w:t>
      </w:r>
      <w:r>
        <w:t xml:space="preserve">(8), 1081–1094. </w:t>
      </w:r>
      <w:proofErr w:type="spellStart"/>
      <w:r>
        <w:t>doi</w:t>
      </w:r>
      <w:proofErr w:type="spellEnd"/>
      <w:r>
        <w:t>: 10.1080/10409289.2018.1495472</w:t>
      </w:r>
    </w:p>
    <w:p w14:paraId="261C39BA" w14:textId="77777777" w:rsidR="00315013" w:rsidRDefault="00315013" w:rsidP="00315013">
      <w:pPr>
        <w:pStyle w:val="Bibliography"/>
      </w:pPr>
      <w:r>
        <w:t xml:space="preserve">Hyson, M. (2008). </w:t>
      </w:r>
      <w:r>
        <w:rPr>
          <w:i/>
          <w:iCs/>
        </w:rPr>
        <w:t>Enthusiastic and engaged learners</w:t>
      </w:r>
      <w:r>
        <w:t>. New York, NY: Teachers College Press.</w:t>
      </w:r>
    </w:p>
    <w:p w14:paraId="5EE97F58" w14:textId="728263BB" w:rsidR="000B4B73" w:rsidRPr="000B4B73" w:rsidRDefault="000B4B73" w:rsidP="000B4B73">
      <w:pPr>
        <w:pStyle w:val="Bibliography"/>
      </w:pPr>
      <w:r>
        <w:t xml:space="preserve">Jones, S.M., Bailey, R., Brush, K., Nelson, B., &amp; Barnes, S. </w:t>
      </w:r>
      <w:r>
        <w:rPr>
          <w:i/>
          <w:iCs/>
        </w:rPr>
        <w:t xml:space="preserve">What is the same and what is different? </w:t>
      </w:r>
      <w:r>
        <w:t xml:space="preserve">Retrieved from </w:t>
      </w:r>
      <w:r w:rsidRPr="000B4B73">
        <w:t xml:space="preserve">https://easel.gse.harvard.edu/files/gse-easel-lab/files/words_matter_paper.pdf </w:t>
      </w:r>
      <w:r>
        <w:t xml:space="preserve"> </w:t>
      </w:r>
    </w:p>
    <w:p w14:paraId="0ADF5025" w14:textId="2D779059" w:rsidR="000B4B73" w:rsidRDefault="00315013" w:rsidP="000B4B73">
      <w:pPr>
        <w:pStyle w:val="Bibliography"/>
      </w:pPr>
      <w:r>
        <w:t xml:space="preserve">Jones, S. M., </w:t>
      </w:r>
      <w:proofErr w:type="spellStart"/>
      <w:r>
        <w:t>Zaslow</w:t>
      </w:r>
      <w:proofErr w:type="spellEnd"/>
      <w:r>
        <w:t xml:space="preserve">, M., Darling-Churchill, K. E., &amp; Halle, T. G. (2016). Assessing early childhood social and emotional development: Key conceptual and measurement issues. </w:t>
      </w:r>
      <w:r>
        <w:rPr>
          <w:i/>
          <w:iCs/>
        </w:rPr>
        <w:t>Journal of Applied Developmental Psychology</w:t>
      </w:r>
      <w:r>
        <w:t xml:space="preserve">, </w:t>
      </w:r>
      <w:r>
        <w:rPr>
          <w:i/>
          <w:iCs/>
        </w:rPr>
        <w:t>45</w:t>
      </w:r>
      <w:r>
        <w:t xml:space="preserve">, 42–48. </w:t>
      </w:r>
      <w:proofErr w:type="spellStart"/>
      <w:r>
        <w:t>doi</w:t>
      </w:r>
      <w:proofErr w:type="spellEnd"/>
      <w:r>
        <w:t>: 10.1016/j.appdev.2016.02.008</w:t>
      </w:r>
    </w:p>
    <w:p w14:paraId="48F5795B" w14:textId="2D896473" w:rsidR="00315013" w:rsidRDefault="00315013" w:rsidP="00315013">
      <w:pPr>
        <w:pStyle w:val="Bibliography"/>
      </w:pPr>
      <w:r>
        <w:t xml:space="preserve">Kagan, S., Moore, E., &amp; Bredekamp, S. (1995). </w:t>
      </w:r>
      <w:r>
        <w:rPr>
          <w:i/>
          <w:iCs/>
        </w:rPr>
        <w:t>Reconsidering children’s early learning and development: Toward common views and vocabulary</w:t>
      </w:r>
      <w:r>
        <w:t>. Washington, DC: National Education Goals Panel.</w:t>
      </w:r>
    </w:p>
    <w:p w14:paraId="0C3D8396" w14:textId="77777777" w:rsidR="00315013" w:rsidRDefault="00315013" w:rsidP="00315013">
      <w:pPr>
        <w:pStyle w:val="Bibliography"/>
      </w:pPr>
      <w:r>
        <w:t xml:space="preserve">Ladd, G. W., Birch, S. H., &amp; </w:t>
      </w:r>
      <w:proofErr w:type="spellStart"/>
      <w:r>
        <w:t>Buhs</w:t>
      </w:r>
      <w:proofErr w:type="spellEnd"/>
      <w:r>
        <w:t xml:space="preserve">, E. S. (1999). Children’s social and scholastic lives in kindergarten: Related spheres of influence? </w:t>
      </w:r>
      <w:r>
        <w:rPr>
          <w:i/>
          <w:iCs/>
        </w:rPr>
        <w:t>Child Development</w:t>
      </w:r>
      <w:r>
        <w:t xml:space="preserve">, </w:t>
      </w:r>
      <w:r>
        <w:rPr>
          <w:i/>
          <w:iCs/>
        </w:rPr>
        <w:t>70</w:t>
      </w:r>
      <w:r>
        <w:t xml:space="preserve">(6), 1373–1400. </w:t>
      </w:r>
      <w:proofErr w:type="spellStart"/>
      <w:r>
        <w:t>doi</w:t>
      </w:r>
      <w:proofErr w:type="spellEnd"/>
      <w:r>
        <w:t>: 10.1111/1467-8624.00101</w:t>
      </w:r>
    </w:p>
    <w:p w14:paraId="2EEDB7B5" w14:textId="77777777" w:rsidR="00315013" w:rsidRDefault="00315013" w:rsidP="00315013">
      <w:pPr>
        <w:pStyle w:val="Bibliography"/>
      </w:pPr>
      <w:proofErr w:type="spellStart"/>
      <w:r>
        <w:t>LeBuffe</w:t>
      </w:r>
      <w:proofErr w:type="spellEnd"/>
      <w:r>
        <w:t xml:space="preserve">, P., &amp; Shapiro, V. (2004). Lending “strength” to the assessment of preschool social-emotional health. </w:t>
      </w:r>
      <w:r>
        <w:rPr>
          <w:i/>
          <w:iCs/>
        </w:rPr>
        <w:t>The California School Psychologist</w:t>
      </w:r>
      <w:r>
        <w:t xml:space="preserve">, </w:t>
      </w:r>
      <w:r>
        <w:rPr>
          <w:i/>
          <w:iCs/>
        </w:rPr>
        <w:t>9</w:t>
      </w:r>
      <w:r>
        <w:t xml:space="preserve">, 51–61. </w:t>
      </w:r>
      <w:proofErr w:type="spellStart"/>
      <w:r>
        <w:t>doi</w:t>
      </w:r>
      <w:proofErr w:type="spellEnd"/>
      <w:r>
        <w:t>: 10.1007/BF03340907</w:t>
      </w:r>
    </w:p>
    <w:p w14:paraId="70AD66A7" w14:textId="77777777" w:rsidR="00315013" w:rsidRDefault="00315013" w:rsidP="00315013">
      <w:pPr>
        <w:pStyle w:val="Bibliography"/>
      </w:pPr>
      <w:r>
        <w:t xml:space="preserve">Li, J.-B., &amp; Lau, E. Y. H. (2019). Teacher–student conflict and preschoolers’ adjustment in the transition to primary school: The role of child self-regulation and parents’ positive </w:t>
      </w:r>
      <w:r>
        <w:lastRenderedPageBreak/>
        <w:t xml:space="preserve">relations with others. </w:t>
      </w:r>
      <w:r>
        <w:rPr>
          <w:i/>
          <w:iCs/>
        </w:rPr>
        <w:t>Early Education and Development</w:t>
      </w:r>
      <w:r>
        <w:t xml:space="preserve">, </w:t>
      </w:r>
      <w:r>
        <w:rPr>
          <w:i/>
          <w:iCs/>
        </w:rPr>
        <w:t>30</w:t>
      </w:r>
      <w:r>
        <w:t xml:space="preserve">(3), 423–437. </w:t>
      </w:r>
      <w:proofErr w:type="spellStart"/>
      <w:r>
        <w:t>doi</w:t>
      </w:r>
      <w:proofErr w:type="spellEnd"/>
      <w:r>
        <w:t>: 10.1080/10409289.2018.1535227</w:t>
      </w:r>
    </w:p>
    <w:p w14:paraId="474814F2" w14:textId="77777777" w:rsidR="00315013" w:rsidRDefault="00315013" w:rsidP="00315013">
      <w:pPr>
        <w:pStyle w:val="Bibliography"/>
      </w:pPr>
      <w:proofErr w:type="spellStart"/>
      <w:r>
        <w:t>Lietaert</w:t>
      </w:r>
      <w:proofErr w:type="spellEnd"/>
      <w:r>
        <w:t xml:space="preserve">, S., </w:t>
      </w:r>
      <w:proofErr w:type="spellStart"/>
      <w:r>
        <w:t>Roorda</w:t>
      </w:r>
      <w:proofErr w:type="spellEnd"/>
      <w:r>
        <w:t xml:space="preserve">, D., </w:t>
      </w:r>
      <w:proofErr w:type="spellStart"/>
      <w:r>
        <w:t>Laevers</w:t>
      </w:r>
      <w:proofErr w:type="spellEnd"/>
      <w:r>
        <w:t xml:space="preserve">, F., </w:t>
      </w:r>
      <w:proofErr w:type="spellStart"/>
      <w:r>
        <w:t>Verschueren</w:t>
      </w:r>
      <w:proofErr w:type="spellEnd"/>
      <w:r>
        <w:t xml:space="preserve">, K., &amp; </w:t>
      </w:r>
      <w:proofErr w:type="spellStart"/>
      <w:r>
        <w:t>Fraine</w:t>
      </w:r>
      <w:proofErr w:type="spellEnd"/>
      <w:r>
        <w:t xml:space="preserve">, B. D. (2015). The gender gap in student engagement: The role of teachers’ autonomy support, structure, and involvement. </w:t>
      </w:r>
      <w:r>
        <w:rPr>
          <w:i/>
          <w:iCs/>
        </w:rPr>
        <w:t>British Journal of Educational Psychology</w:t>
      </w:r>
      <w:r>
        <w:t xml:space="preserve">, </w:t>
      </w:r>
      <w:r>
        <w:rPr>
          <w:i/>
          <w:iCs/>
        </w:rPr>
        <w:t>85</w:t>
      </w:r>
      <w:r>
        <w:t xml:space="preserve">(4), 498–518. </w:t>
      </w:r>
      <w:proofErr w:type="spellStart"/>
      <w:r>
        <w:t>doi</w:t>
      </w:r>
      <w:proofErr w:type="spellEnd"/>
      <w:r>
        <w:t>: 10.1111/bjep.12095</w:t>
      </w:r>
    </w:p>
    <w:p w14:paraId="3358608E" w14:textId="77777777" w:rsidR="00315013" w:rsidRDefault="00315013" w:rsidP="00315013">
      <w:pPr>
        <w:pStyle w:val="Bibliography"/>
      </w:pPr>
      <w:r>
        <w:t>Li-</w:t>
      </w:r>
      <w:proofErr w:type="spellStart"/>
      <w:r>
        <w:t>Grining</w:t>
      </w:r>
      <w:proofErr w:type="spellEnd"/>
      <w:r>
        <w:t>, C. P., Votruba-</w:t>
      </w:r>
      <w:proofErr w:type="spellStart"/>
      <w:r>
        <w:t>Drzal</w:t>
      </w:r>
      <w:proofErr w:type="spellEnd"/>
      <w:r>
        <w:t>, E., Maldonado-</w:t>
      </w:r>
      <w:proofErr w:type="spellStart"/>
      <w:r>
        <w:t>Carreno</w:t>
      </w:r>
      <w:proofErr w:type="spellEnd"/>
      <w:r>
        <w:t xml:space="preserve">, C., &amp; Haas, K. (2010). Children’s early approaches to learning and academic trajectories through fifth grade. </w:t>
      </w:r>
      <w:r>
        <w:rPr>
          <w:i/>
          <w:iCs/>
        </w:rPr>
        <w:t>Developmental Psychology</w:t>
      </w:r>
      <w:r>
        <w:t xml:space="preserve">, </w:t>
      </w:r>
      <w:r>
        <w:rPr>
          <w:i/>
          <w:iCs/>
        </w:rPr>
        <w:t>46</w:t>
      </w:r>
      <w:r>
        <w:t xml:space="preserve">(5), 1062–1077. </w:t>
      </w:r>
      <w:proofErr w:type="spellStart"/>
      <w:r>
        <w:t>doi</w:t>
      </w:r>
      <w:proofErr w:type="spellEnd"/>
      <w:r>
        <w:t>: 10.1037/a0020066</w:t>
      </w:r>
    </w:p>
    <w:p w14:paraId="607CFCDA" w14:textId="77777777" w:rsidR="00315013" w:rsidRDefault="00315013" w:rsidP="00315013">
      <w:pPr>
        <w:pStyle w:val="Bibliography"/>
      </w:pPr>
      <w:r>
        <w:t xml:space="preserve">Maier, M. F., </w:t>
      </w:r>
      <w:proofErr w:type="spellStart"/>
      <w:r>
        <w:t>Vitiello</w:t>
      </w:r>
      <w:proofErr w:type="spellEnd"/>
      <w:r>
        <w:t xml:space="preserve">, V. E., &amp; Greenfield, D. B. (2012). A multilevel model of child- and classroom-level psychosocial factors that support language and literacy resilience of children in Head Start. </w:t>
      </w:r>
      <w:r>
        <w:rPr>
          <w:i/>
          <w:iCs/>
        </w:rPr>
        <w:t>Early Childhood Research Quarterly</w:t>
      </w:r>
      <w:r>
        <w:t xml:space="preserve">, </w:t>
      </w:r>
      <w:r>
        <w:rPr>
          <w:i/>
          <w:iCs/>
        </w:rPr>
        <w:t>27</w:t>
      </w:r>
      <w:r>
        <w:t xml:space="preserve">(1), 104–114. </w:t>
      </w:r>
      <w:proofErr w:type="spellStart"/>
      <w:r>
        <w:t>doi</w:t>
      </w:r>
      <w:proofErr w:type="spellEnd"/>
      <w:r>
        <w:t>: 10.1016/j.ecresq.2011.06.002</w:t>
      </w:r>
    </w:p>
    <w:p w14:paraId="35FD2C29" w14:textId="77777777" w:rsidR="00315013" w:rsidRDefault="00315013" w:rsidP="00315013">
      <w:pPr>
        <w:pStyle w:val="Bibliography"/>
      </w:pPr>
      <w:r>
        <w:t xml:space="preserve">McClelland, M. M., </w:t>
      </w:r>
      <w:proofErr w:type="spellStart"/>
      <w:r>
        <w:t>Acock</w:t>
      </w:r>
      <w:proofErr w:type="spellEnd"/>
      <w:r>
        <w:t xml:space="preserve">, A. C., &amp; Morrison, F. J. (2006). The impact of kindergarten learning-related skills on academic trajectories at the end of elementary school. </w:t>
      </w:r>
      <w:r>
        <w:rPr>
          <w:i/>
          <w:iCs/>
        </w:rPr>
        <w:t>Early Childhood Research Quarterly</w:t>
      </w:r>
      <w:r>
        <w:t xml:space="preserve">, </w:t>
      </w:r>
      <w:r>
        <w:rPr>
          <w:i/>
          <w:iCs/>
        </w:rPr>
        <w:t>21</w:t>
      </w:r>
      <w:r>
        <w:t xml:space="preserve">(4), 471–490. </w:t>
      </w:r>
      <w:proofErr w:type="spellStart"/>
      <w:r>
        <w:t>doi</w:t>
      </w:r>
      <w:proofErr w:type="spellEnd"/>
      <w:r>
        <w:t>: 10.1016/j.ecresq.2006.09.003</w:t>
      </w:r>
    </w:p>
    <w:p w14:paraId="4C93E920" w14:textId="77777777" w:rsidR="00315013" w:rsidRDefault="00315013" w:rsidP="00315013">
      <w:pPr>
        <w:pStyle w:val="Bibliography"/>
      </w:pPr>
      <w:r>
        <w:t xml:space="preserve">McClelland, M. M., &amp; Morrison, F. J. (2003). The emergence of learning-related social skills in preschool children. </w:t>
      </w:r>
      <w:r>
        <w:rPr>
          <w:i/>
          <w:iCs/>
        </w:rPr>
        <w:t>Early Childhood Research Quarterly</w:t>
      </w:r>
      <w:r>
        <w:t xml:space="preserve">, </w:t>
      </w:r>
      <w:r>
        <w:rPr>
          <w:i/>
          <w:iCs/>
        </w:rPr>
        <w:t>18</w:t>
      </w:r>
      <w:r>
        <w:t xml:space="preserve">(2), 206–224. </w:t>
      </w:r>
      <w:proofErr w:type="spellStart"/>
      <w:r>
        <w:t>doi</w:t>
      </w:r>
      <w:proofErr w:type="spellEnd"/>
      <w:r>
        <w:t>: 10.1016/S0885-2006(03)00026-7</w:t>
      </w:r>
    </w:p>
    <w:p w14:paraId="61634E5C" w14:textId="77777777" w:rsidR="00315013" w:rsidRDefault="00315013" w:rsidP="00315013">
      <w:pPr>
        <w:pStyle w:val="Bibliography"/>
      </w:pPr>
      <w:r>
        <w:t xml:space="preserve">McCoy, D. C., Connors, M. C., Morris, P. A., Yoshikawa, H., &amp; Friedman-Krauss, A. H. (2015). Neighborhood economic disadvantage and children’s cognitive and social-emotional development: Exploring Head Start classroom quality as a mediating mechanism. </w:t>
      </w:r>
      <w:r>
        <w:rPr>
          <w:i/>
          <w:iCs/>
        </w:rPr>
        <w:t>Early Childhood Research Quarterly</w:t>
      </w:r>
      <w:r>
        <w:t xml:space="preserve">, </w:t>
      </w:r>
      <w:r>
        <w:rPr>
          <w:i/>
          <w:iCs/>
        </w:rPr>
        <w:t>32</w:t>
      </w:r>
      <w:r>
        <w:t xml:space="preserve">, 150–159. </w:t>
      </w:r>
      <w:proofErr w:type="spellStart"/>
      <w:r>
        <w:t>doi</w:t>
      </w:r>
      <w:proofErr w:type="spellEnd"/>
      <w:r>
        <w:t>: 10.1016/j.ecresq.2015.04.003</w:t>
      </w:r>
    </w:p>
    <w:p w14:paraId="39C2022E" w14:textId="77777777" w:rsidR="00315013" w:rsidRDefault="00315013" w:rsidP="00315013">
      <w:pPr>
        <w:pStyle w:val="Bibliography"/>
      </w:pPr>
      <w:r>
        <w:t xml:space="preserve">McDermott, P. A., </w:t>
      </w:r>
      <w:proofErr w:type="spellStart"/>
      <w:r>
        <w:t>Rikoon</w:t>
      </w:r>
      <w:proofErr w:type="spellEnd"/>
      <w:r>
        <w:t xml:space="preserve">, S. H., &amp; </w:t>
      </w:r>
      <w:proofErr w:type="spellStart"/>
      <w:r>
        <w:t>Fantuzzo</w:t>
      </w:r>
      <w:proofErr w:type="spellEnd"/>
      <w:r>
        <w:t xml:space="preserve">, J. W. (2014). Tracing children’s approaches to learning through Head Start, kindergarten, and first grade: Different pathways to different outcomes. </w:t>
      </w:r>
      <w:r>
        <w:rPr>
          <w:i/>
          <w:iCs/>
        </w:rPr>
        <w:t>Journal of Educational Psychology</w:t>
      </w:r>
      <w:r>
        <w:t xml:space="preserve">, </w:t>
      </w:r>
      <w:r>
        <w:rPr>
          <w:i/>
          <w:iCs/>
        </w:rPr>
        <w:t>106</w:t>
      </w:r>
      <w:r>
        <w:t xml:space="preserve">(1), 200–213. </w:t>
      </w:r>
      <w:proofErr w:type="spellStart"/>
      <w:r>
        <w:t>doi</w:t>
      </w:r>
      <w:proofErr w:type="spellEnd"/>
      <w:r>
        <w:t>: http://dx.doi.org.ezproxy.lib.ou.edu/10.1037/a0033547</w:t>
      </w:r>
    </w:p>
    <w:p w14:paraId="62DA619F" w14:textId="77777777" w:rsidR="00315013" w:rsidRDefault="00315013" w:rsidP="00315013">
      <w:pPr>
        <w:pStyle w:val="Bibliography"/>
      </w:pPr>
      <w:r>
        <w:t xml:space="preserve">McDermott, P. A., </w:t>
      </w:r>
      <w:proofErr w:type="spellStart"/>
      <w:r>
        <w:t>Rovine</w:t>
      </w:r>
      <w:proofErr w:type="spellEnd"/>
      <w:r>
        <w:t xml:space="preserve">, M. J., Reyes, R. S., Chao, J. L., Scruggs, R., </w:t>
      </w:r>
      <w:proofErr w:type="spellStart"/>
      <w:r>
        <w:t>Buek</w:t>
      </w:r>
      <w:proofErr w:type="spellEnd"/>
      <w:r>
        <w:t xml:space="preserve">, K., &amp; </w:t>
      </w:r>
      <w:proofErr w:type="spellStart"/>
      <w:r>
        <w:t>Fantuzzo</w:t>
      </w:r>
      <w:proofErr w:type="spellEnd"/>
      <w:r>
        <w:t xml:space="preserve">, J. W. (2018). Trajectories of early education learning behaviors among children at risk: A growth mixture modeling approach. </w:t>
      </w:r>
      <w:r>
        <w:rPr>
          <w:i/>
          <w:iCs/>
        </w:rPr>
        <w:t>Psychology in the Schools</w:t>
      </w:r>
      <w:r>
        <w:t xml:space="preserve">, </w:t>
      </w:r>
      <w:r>
        <w:rPr>
          <w:i/>
          <w:iCs/>
        </w:rPr>
        <w:t>55</w:t>
      </w:r>
      <w:r>
        <w:t xml:space="preserve">(10), 1205–1223. </w:t>
      </w:r>
      <w:proofErr w:type="spellStart"/>
      <w:r>
        <w:t>doi</w:t>
      </w:r>
      <w:proofErr w:type="spellEnd"/>
      <w:r>
        <w:t>: 10.1002/pits.22145</w:t>
      </w:r>
    </w:p>
    <w:p w14:paraId="6EDFF277" w14:textId="77777777" w:rsidR="00315013" w:rsidRDefault="00315013" w:rsidP="00315013">
      <w:pPr>
        <w:pStyle w:val="Bibliography"/>
      </w:pPr>
      <w:r>
        <w:t xml:space="preserve">Meng, C. (2015). Classroom quality and academic skills: Approaches to learning as a moderator. </w:t>
      </w:r>
      <w:r>
        <w:rPr>
          <w:i/>
          <w:iCs/>
        </w:rPr>
        <w:t>School Psychology Quarterly</w:t>
      </w:r>
      <w:r>
        <w:t xml:space="preserve">, </w:t>
      </w:r>
      <w:r>
        <w:rPr>
          <w:i/>
          <w:iCs/>
        </w:rPr>
        <w:t>30</w:t>
      </w:r>
      <w:r>
        <w:t xml:space="preserve">(4), 553–563. </w:t>
      </w:r>
      <w:proofErr w:type="spellStart"/>
      <w:r>
        <w:t>doi</w:t>
      </w:r>
      <w:proofErr w:type="spellEnd"/>
      <w:r>
        <w:t>: 10.1037/spq0000108</w:t>
      </w:r>
    </w:p>
    <w:p w14:paraId="2065BA0A" w14:textId="77777777" w:rsidR="00315013" w:rsidRDefault="00315013" w:rsidP="00315013">
      <w:pPr>
        <w:pStyle w:val="Bibliography"/>
      </w:pPr>
      <w:r>
        <w:t xml:space="preserve">Murray, C., Murray, K. M., &amp; </w:t>
      </w:r>
      <w:proofErr w:type="spellStart"/>
      <w:r>
        <w:t>Waas</w:t>
      </w:r>
      <w:proofErr w:type="spellEnd"/>
      <w:r>
        <w:t xml:space="preserve">, G. A. (2008). Child and teacher reports of teacher–student relationships: Concordance of perspectives and associations with school adjustment in urban kindergarten classrooms. </w:t>
      </w:r>
      <w:r>
        <w:rPr>
          <w:i/>
          <w:iCs/>
        </w:rPr>
        <w:t>Journal of Applied Developmental Psychology</w:t>
      </w:r>
      <w:r>
        <w:t xml:space="preserve">, </w:t>
      </w:r>
      <w:r>
        <w:rPr>
          <w:i/>
          <w:iCs/>
        </w:rPr>
        <w:t>29</w:t>
      </w:r>
      <w:r>
        <w:t xml:space="preserve">(1), 49–61. </w:t>
      </w:r>
      <w:proofErr w:type="spellStart"/>
      <w:r>
        <w:t>doi</w:t>
      </w:r>
      <w:proofErr w:type="spellEnd"/>
      <w:r>
        <w:t>: 10.1016/j.appdev.2007.10.006</w:t>
      </w:r>
    </w:p>
    <w:p w14:paraId="799EE061" w14:textId="77777777" w:rsidR="00315013" w:rsidRDefault="00315013" w:rsidP="00315013">
      <w:pPr>
        <w:pStyle w:val="Bibliography"/>
      </w:pPr>
      <w:r>
        <w:lastRenderedPageBreak/>
        <w:t xml:space="preserve">Nesbitt, K. T., </w:t>
      </w:r>
      <w:proofErr w:type="spellStart"/>
      <w:r>
        <w:t>Farran</w:t>
      </w:r>
      <w:proofErr w:type="spellEnd"/>
      <w:r>
        <w:t xml:space="preserve">, D. C., &amp; </w:t>
      </w:r>
      <w:proofErr w:type="spellStart"/>
      <w:r>
        <w:t>Fuhs</w:t>
      </w:r>
      <w:proofErr w:type="spellEnd"/>
      <w:r>
        <w:t xml:space="preserve">, M. W. (2015). Executive function skills and academic achievement gains in prekindergarten: Contributions of learning-related behaviors. </w:t>
      </w:r>
      <w:r>
        <w:rPr>
          <w:i/>
          <w:iCs/>
        </w:rPr>
        <w:t>Developmental Psychology</w:t>
      </w:r>
      <w:r>
        <w:t xml:space="preserve">, </w:t>
      </w:r>
      <w:r>
        <w:rPr>
          <w:i/>
          <w:iCs/>
        </w:rPr>
        <w:t>51</w:t>
      </w:r>
      <w:r>
        <w:t xml:space="preserve">(7), 865–878. </w:t>
      </w:r>
      <w:proofErr w:type="spellStart"/>
      <w:r>
        <w:t>doi</w:t>
      </w:r>
      <w:proofErr w:type="spellEnd"/>
      <w:r>
        <w:t>: 10.1037/dev0000021</w:t>
      </w:r>
    </w:p>
    <w:p w14:paraId="5F12E5C4" w14:textId="77777777" w:rsidR="00315013" w:rsidRDefault="00315013" w:rsidP="00315013">
      <w:pPr>
        <w:pStyle w:val="Bibliography"/>
      </w:pPr>
      <w:r>
        <w:t xml:space="preserve">Neuenschwander, R., </w:t>
      </w:r>
      <w:proofErr w:type="spellStart"/>
      <w:r>
        <w:t>Röthlisberger</w:t>
      </w:r>
      <w:proofErr w:type="spellEnd"/>
      <w:r>
        <w:t xml:space="preserve">, M., </w:t>
      </w:r>
      <w:proofErr w:type="spellStart"/>
      <w:r>
        <w:t>Cimeli</w:t>
      </w:r>
      <w:proofErr w:type="spellEnd"/>
      <w:r>
        <w:t xml:space="preserve">, P., &amp; </w:t>
      </w:r>
      <w:proofErr w:type="spellStart"/>
      <w:r>
        <w:t>Roebers</w:t>
      </w:r>
      <w:proofErr w:type="spellEnd"/>
      <w:r>
        <w:t xml:space="preserve">, C. M. (2012). How do different aspects of self-regulation predict successful adaptation to school? </w:t>
      </w:r>
      <w:r>
        <w:rPr>
          <w:i/>
          <w:iCs/>
        </w:rPr>
        <w:t>Journal of Experimental Child Psychology</w:t>
      </w:r>
      <w:r>
        <w:t xml:space="preserve">, </w:t>
      </w:r>
      <w:r>
        <w:rPr>
          <w:i/>
          <w:iCs/>
        </w:rPr>
        <w:t>113</w:t>
      </w:r>
      <w:r>
        <w:t xml:space="preserve">(3), 353–371. </w:t>
      </w:r>
      <w:proofErr w:type="spellStart"/>
      <w:r>
        <w:t>doi</w:t>
      </w:r>
      <w:proofErr w:type="spellEnd"/>
      <w:r>
        <w:t>: 10.1016/j.jecp.2012.07.004</w:t>
      </w:r>
    </w:p>
    <w:p w14:paraId="73058C35" w14:textId="77777777" w:rsidR="00315013" w:rsidRDefault="00315013" w:rsidP="00315013">
      <w:pPr>
        <w:pStyle w:val="Bibliography"/>
      </w:pPr>
      <w:r>
        <w:t xml:space="preserve">Parker, D. C., Nelson, J. S., &amp; Burns, M. K. (2010). Comparison of correlates of classroom behavior problems in schools with and without a school‐wide character education program. </w:t>
      </w:r>
      <w:r>
        <w:rPr>
          <w:i/>
          <w:iCs/>
        </w:rPr>
        <w:t>Psychology in the Schools</w:t>
      </w:r>
      <w:r>
        <w:t xml:space="preserve">, </w:t>
      </w:r>
      <w:r>
        <w:rPr>
          <w:i/>
          <w:iCs/>
        </w:rPr>
        <w:t>47</w:t>
      </w:r>
      <w:r>
        <w:t xml:space="preserve">(8), 817–827. </w:t>
      </w:r>
      <w:proofErr w:type="spellStart"/>
      <w:r>
        <w:t>doi</w:t>
      </w:r>
      <w:proofErr w:type="spellEnd"/>
      <w:r>
        <w:t>: 10.1002/pits.20506</w:t>
      </w:r>
    </w:p>
    <w:p w14:paraId="36E0BEB2" w14:textId="77777777" w:rsidR="00315013" w:rsidRDefault="00315013" w:rsidP="00315013">
      <w:pPr>
        <w:pStyle w:val="Bibliography"/>
      </w:pPr>
      <w:proofErr w:type="spellStart"/>
      <w:r>
        <w:t>Ponitz</w:t>
      </w:r>
      <w:proofErr w:type="spellEnd"/>
      <w:r>
        <w:t xml:space="preserve">, C. C., </w:t>
      </w:r>
      <w:proofErr w:type="spellStart"/>
      <w:r>
        <w:t>Rimm</w:t>
      </w:r>
      <w:proofErr w:type="spellEnd"/>
      <w:r>
        <w:t xml:space="preserve">-Kaufman, S. E., Grimm, K. J., &amp; </w:t>
      </w:r>
      <w:proofErr w:type="spellStart"/>
      <w:r>
        <w:t>Curby</w:t>
      </w:r>
      <w:proofErr w:type="spellEnd"/>
      <w:r>
        <w:t xml:space="preserve">, T. W. (2009). Kindergarten classroom quality, behavioral engagement, and reading achievement. </w:t>
      </w:r>
      <w:r>
        <w:rPr>
          <w:i/>
          <w:iCs/>
        </w:rPr>
        <w:t>School Psychology Review</w:t>
      </w:r>
      <w:r>
        <w:t xml:space="preserve">, </w:t>
      </w:r>
      <w:r>
        <w:rPr>
          <w:i/>
          <w:iCs/>
        </w:rPr>
        <w:t>38</w:t>
      </w:r>
      <w:r>
        <w:t xml:space="preserve">(1), 102–120. </w:t>
      </w:r>
      <w:proofErr w:type="spellStart"/>
      <w:r>
        <w:t>doi</w:t>
      </w:r>
      <w:proofErr w:type="spellEnd"/>
      <w:r>
        <w:t>: 10.1080/02796015.2009.12087852</w:t>
      </w:r>
    </w:p>
    <w:p w14:paraId="67008CCD" w14:textId="77777777" w:rsidR="00315013" w:rsidRDefault="00315013" w:rsidP="00315013">
      <w:pPr>
        <w:pStyle w:val="Bibliography"/>
      </w:pPr>
      <w:proofErr w:type="spellStart"/>
      <w:r>
        <w:t>Razza</w:t>
      </w:r>
      <w:proofErr w:type="spellEnd"/>
      <w:r>
        <w:t xml:space="preserve">, R. A., Martin, A., &amp; Brooks-Gunn, J. (2015). Are approaches to learning in kindergarten associated with academic and social competence similarly? </w:t>
      </w:r>
      <w:r>
        <w:rPr>
          <w:i/>
          <w:iCs/>
        </w:rPr>
        <w:t>Child &amp; Youth Care Forum</w:t>
      </w:r>
      <w:r>
        <w:t xml:space="preserve">, </w:t>
      </w:r>
      <w:r>
        <w:rPr>
          <w:i/>
          <w:iCs/>
        </w:rPr>
        <w:t>44</w:t>
      </w:r>
      <w:r>
        <w:t xml:space="preserve">(6), 757–776. </w:t>
      </w:r>
      <w:proofErr w:type="spellStart"/>
      <w:r>
        <w:t>doi</w:t>
      </w:r>
      <w:proofErr w:type="spellEnd"/>
      <w:r>
        <w:t>: 10.1007/s10566-015-9307-0</w:t>
      </w:r>
    </w:p>
    <w:p w14:paraId="1B268205" w14:textId="77777777" w:rsidR="00315013" w:rsidRDefault="00315013" w:rsidP="00315013">
      <w:pPr>
        <w:pStyle w:val="Bibliography"/>
      </w:pPr>
      <w:r>
        <w:t xml:space="preserve">Reeves, R. V., Venator, J., &amp; Howard, K. (2014). </w:t>
      </w:r>
      <w:r>
        <w:rPr>
          <w:i/>
          <w:iCs/>
        </w:rPr>
        <w:t>The character factor: Measures and impact of drive and prudence</w:t>
      </w:r>
      <w:r>
        <w:t>. Retrieved from The Center on Children and Families website: https://www.brookings.edu/wp-content/uploads/2016/07/22_character_factor_opportunity_reeves.pdf</w:t>
      </w:r>
    </w:p>
    <w:p w14:paraId="2F56C2B9" w14:textId="77777777" w:rsidR="00315013" w:rsidRDefault="00315013" w:rsidP="00315013">
      <w:pPr>
        <w:pStyle w:val="Bibliography"/>
      </w:pPr>
      <w:r>
        <w:t xml:space="preserve">Reid, E. E., </w:t>
      </w:r>
      <w:proofErr w:type="spellStart"/>
      <w:r>
        <w:t>Diperna</w:t>
      </w:r>
      <w:proofErr w:type="spellEnd"/>
      <w:r>
        <w:t xml:space="preserve">, J. C., </w:t>
      </w:r>
      <w:proofErr w:type="spellStart"/>
      <w:r>
        <w:t>Missall</w:t>
      </w:r>
      <w:proofErr w:type="spellEnd"/>
      <w:r>
        <w:t xml:space="preserve">, K., &amp; Volpe, R. J. (2014). Reliability and structural validity of the teacher rating scales of early academic competence. </w:t>
      </w:r>
      <w:r>
        <w:rPr>
          <w:i/>
          <w:iCs/>
        </w:rPr>
        <w:t>Psychology in the Schools</w:t>
      </w:r>
      <w:r>
        <w:t xml:space="preserve">, </w:t>
      </w:r>
      <w:r>
        <w:rPr>
          <w:i/>
          <w:iCs/>
        </w:rPr>
        <w:t>51</w:t>
      </w:r>
      <w:r>
        <w:t xml:space="preserve">(6), 535–553. </w:t>
      </w:r>
      <w:proofErr w:type="spellStart"/>
      <w:r>
        <w:t>doi</w:t>
      </w:r>
      <w:proofErr w:type="spellEnd"/>
      <w:r>
        <w:t>: 10.1002/pits.21769</w:t>
      </w:r>
    </w:p>
    <w:p w14:paraId="2E7902EF" w14:textId="77777777" w:rsidR="00315013" w:rsidRDefault="00315013" w:rsidP="00315013">
      <w:pPr>
        <w:pStyle w:val="Bibliography"/>
      </w:pPr>
      <w:proofErr w:type="spellStart"/>
      <w:r>
        <w:t>Rimm</w:t>
      </w:r>
      <w:proofErr w:type="spellEnd"/>
      <w:r>
        <w:t xml:space="preserve">-Kaufman, S. E., </w:t>
      </w:r>
      <w:proofErr w:type="spellStart"/>
      <w:r>
        <w:t>Curby</w:t>
      </w:r>
      <w:proofErr w:type="spellEnd"/>
      <w:r>
        <w:t xml:space="preserve">, T. W., Grimm, K. J., Nathanson, L., &amp; Brock, L. L. (2009). The contribution of children’s self-regulation and classroom quality to children’s adaptive behaviors in the kindergarten classroom. </w:t>
      </w:r>
      <w:r>
        <w:rPr>
          <w:i/>
          <w:iCs/>
        </w:rPr>
        <w:t>Developmental Psychology</w:t>
      </w:r>
      <w:r>
        <w:t xml:space="preserve">, </w:t>
      </w:r>
      <w:r>
        <w:rPr>
          <w:i/>
          <w:iCs/>
        </w:rPr>
        <w:t>45</w:t>
      </w:r>
      <w:r>
        <w:t xml:space="preserve">(4), 958–972. </w:t>
      </w:r>
      <w:proofErr w:type="spellStart"/>
      <w:r>
        <w:t>doi</w:t>
      </w:r>
      <w:proofErr w:type="spellEnd"/>
      <w:r>
        <w:t>: 10.1037/a0015861</w:t>
      </w:r>
    </w:p>
    <w:p w14:paraId="7372487D" w14:textId="77777777" w:rsidR="00315013" w:rsidRDefault="00315013" w:rsidP="00315013">
      <w:pPr>
        <w:pStyle w:val="Bibliography"/>
      </w:pPr>
      <w:proofErr w:type="spellStart"/>
      <w:r>
        <w:t>Rimm</w:t>
      </w:r>
      <w:proofErr w:type="spellEnd"/>
      <w:r>
        <w:t xml:space="preserve">-Kaufman, S. E., Early, D. M., Cox, M. J., </w:t>
      </w:r>
      <w:proofErr w:type="spellStart"/>
      <w:r>
        <w:t>Saluja</w:t>
      </w:r>
      <w:proofErr w:type="spellEnd"/>
      <w:r>
        <w:t xml:space="preserve">, G., </w:t>
      </w:r>
      <w:proofErr w:type="spellStart"/>
      <w:r>
        <w:t>Pianta</w:t>
      </w:r>
      <w:proofErr w:type="spellEnd"/>
      <w:r>
        <w:t xml:space="preserve">, R. C., Bradley, R. H., &amp; Payne, C. (2002). Early behavioral attributes and teachers’ sensitivity as predictors of competent behavior in the kindergarten classroom. </w:t>
      </w:r>
      <w:r>
        <w:rPr>
          <w:i/>
          <w:iCs/>
        </w:rPr>
        <w:t>Journal of Applied Developmental Psychology</w:t>
      </w:r>
      <w:r>
        <w:t xml:space="preserve">, </w:t>
      </w:r>
      <w:r>
        <w:rPr>
          <w:i/>
          <w:iCs/>
        </w:rPr>
        <w:t>23</w:t>
      </w:r>
      <w:r>
        <w:t xml:space="preserve">(4), 451–470. </w:t>
      </w:r>
      <w:proofErr w:type="spellStart"/>
      <w:r>
        <w:t>doi</w:t>
      </w:r>
      <w:proofErr w:type="spellEnd"/>
      <w:r>
        <w:t>: 10.1016/S0193-3973(02)00128-4</w:t>
      </w:r>
    </w:p>
    <w:p w14:paraId="0253D00F" w14:textId="77777777" w:rsidR="00315013" w:rsidRDefault="00315013" w:rsidP="00315013">
      <w:pPr>
        <w:pStyle w:val="Bibliography"/>
      </w:pPr>
      <w:r>
        <w:t xml:space="preserve">Robinson, K. (2013). Early disparities in mathematics gains among poor and non-poor children: Examining the role of behavioral engagement in learning. </w:t>
      </w:r>
      <w:r>
        <w:rPr>
          <w:i/>
          <w:iCs/>
        </w:rPr>
        <w:t>The Elementary School Journal</w:t>
      </w:r>
      <w:r>
        <w:t xml:space="preserve">, </w:t>
      </w:r>
      <w:r>
        <w:rPr>
          <w:i/>
          <w:iCs/>
        </w:rPr>
        <w:t>114</w:t>
      </w:r>
      <w:r>
        <w:t xml:space="preserve">(1), 22–47. </w:t>
      </w:r>
      <w:proofErr w:type="spellStart"/>
      <w:r>
        <w:t>doi</w:t>
      </w:r>
      <w:proofErr w:type="spellEnd"/>
      <w:r>
        <w:t>: 10.1086/670737</w:t>
      </w:r>
    </w:p>
    <w:p w14:paraId="6461919C" w14:textId="77777777" w:rsidR="00315013" w:rsidRDefault="00315013" w:rsidP="00315013">
      <w:pPr>
        <w:pStyle w:val="Bibliography"/>
      </w:pPr>
      <w:r>
        <w:t xml:space="preserve">Robinson, K., &amp; Mueller, A. S. (2014). Behavioral engagement in learning and math achievement over kindergarten: A contextual analysis. </w:t>
      </w:r>
      <w:r>
        <w:rPr>
          <w:i/>
          <w:iCs/>
        </w:rPr>
        <w:t>American Journal of Education</w:t>
      </w:r>
      <w:r>
        <w:t xml:space="preserve">, </w:t>
      </w:r>
      <w:r>
        <w:rPr>
          <w:i/>
          <w:iCs/>
        </w:rPr>
        <w:t>120</w:t>
      </w:r>
      <w:r>
        <w:t xml:space="preserve">(3), 325–349. </w:t>
      </w:r>
      <w:proofErr w:type="spellStart"/>
      <w:r>
        <w:t>doi</w:t>
      </w:r>
      <w:proofErr w:type="spellEnd"/>
      <w:r>
        <w:t>: 10.1086/675530</w:t>
      </w:r>
    </w:p>
    <w:p w14:paraId="0E1BF66D" w14:textId="77777777" w:rsidR="00315013" w:rsidRDefault="00315013" w:rsidP="00315013">
      <w:pPr>
        <w:pStyle w:val="Bibliography"/>
      </w:pPr>
      <w:r>
        <w:lastRenderedPageBreak/>
        <w:t xml:space="preserve">Royer, N., Provost, M., </w:t>
      </w:r>
      <w:proofErr w:type="spellStart"/>
      <w:r>
        <w:t>Tarabulsy</w:t>
      </w:r>
      <w:proofErr w:type="spellEnd"/>
      <w:r>
        <w:t xml:space="preserve">, G., &amp; Coutu, S. (2008). Kindergarten children’s relatedness to teachers and peers as a factor. </w:t>
      </w:r>
      <w:r>
        <w:rPr>
          <w:i/>
          <w:iCs/>
        </w:rPr>
        <w:t>Journal of Applied Research on Learning</w:t>
      </w:r>
      <w:r>
        <w:t xml:space="preserve">, </w:t>
      </w:r>
      <w:r>
        <w:rPr>
          <w:i/>
          <w:iCs/>
        </w:rPr>
        <w:t>2</w:t>
      </w:r>
      <w:r>
        <w:t>(1), 20. Retrieved from http://en.copian.ca/library/research/jarl/kindergarten_children/kindergarten_children.pdf</w:t>
      </w:r>
    </w:p>
    <w:p w14:paraId="61C97B87" w14:textId="77777777" w:rsidR="00315013" w:rsidRDefault="00315013" w:rsidP="00315013">
      <w:pPr>
        <w:pStyle w:val="Bibliography"/>
      </w:pPr>
      <w:proofErr w:type="spellStart"/>
      <w:r>
        <w:t>Sandilos</w:t>
      </w:r>
      <w:proofErr w:type="spellEnd"/>
      <w:r>
        <w:t xml:space="preserve">, L. E., Whittaker, J. V., </w:t>
      </w:r>
      <w:proofErr w:type="spellStart"/>
      <w:r>
        <w:t>Vitiello</w:t>
      </w:r>
      <w:proofErr w:type="spellEnd"/>
      <w:r>
        <w:t xml:space="preserve">, V. E., &amp; Kinzie, M. B. (2019). Preschoolers’ school readiness profiles and the teacher-child relationship: A latent transition approach. </w:t>
      </w:r>
      <w:r>
        <w:rPr>
          <w:i/>
          <w:iCs/>
        </w:rPr>
        <w:t>Journal of Applied Developmental Psychology</w:t>
      </w:r>
      <w:r>
        <w:t xml:space="preserve">, </w:t>
      </w:r>
      <w:r>
        <w:rPr>
          <w:i/>
          <w:iCs/>
        </w:rPr>
        <w:t>62</w:t>
      </w:r>
      <w:r>
        <w:t xml:space="preserve">, 185–198. </w:t>
      </w:r>
      <w:proofErr w:type="spellStart"/>
      <w:r>
        <w:t>doi</w:t>
      </w:r>
      <w:proofErr w:type="spellEnd"/>
      <w:r>
        <w:t>: 10.1016/j.appdev.2019.02.010</w:t>
      </w:r>
    </w:p>
    <w:p w14:paraId="0994D246" w14:textId="77777777" w:rsidR="00315013" w:rsidRDefault="00315013" w:rsidP="00315013">
      <w:pPr>
        <w:pStyle w:val="Bibliography"/>
      </w:pPr>
      <w:r>
        <w:t xml:space="preserve">Sasser, T. R., Bierman, K. L., &amp; Heinrichs, B. (2015). Executive functioning and school adjustment: The mediational role of pre-kindergarten learning-related behaviors. </w:t>
      </w:r>
      <w:r>
        <w:rPr>
          <w:i/>
          <w:iCs/>
        </w:rPr>
        <w:t>Early Childhood Research Quarterly</w:t>
      </w:r>
      <w:r>
        <w:t xml:space="preserve">, </w:t>
      </w:r>
      <w:r>
        <w:rPr>
          <w:i/>
          <w:iCs/>
        </w:rPr>
        <w:t>30</w:t>
      </w:r>
      <w:r>
        <w:t xml:space="preserve">, 70–79. </w:t>
      </w:r>
      <w:proofErr w:type="spellStart"/>
      <w:r>
        <w:t>doi</w:t>
      </w:r>
      <w:proofErr w:type="spellEnd"/>
      <w:r>
        <w:t>: 10.1016/j.ecresq.2014.09.001</w:t>
      </w:r>
    </w:p>
    <w:p w14:paraId="2D536DF2" w14:textId="77777777" w:rsidR="00315013" w:rsidRDefault="00315013" w:rsidP="00315013">
      <w:pPr>
        <w:pStyle w:val="Bibliography"/>
      </w:pPr>
      <w:r>
        <w:t xml:space="preserve">Searle, A. K., Sawyer, M. G., Miller-Lewis, L. R., &amp; </w:t>
      </w:r>
      <w:proofErr w:type="spellStart"/>
      <w:r>
        <w:t>Baghurst</w:t>
      </w:r>
      <w:proofErr w:type="spellEnd"/>
      <w:r>
        <w:t xml:space="preserve">, P. A. (2014). Prospective associations between children’s preschool emotional and behavioral problems and kindergarten classroom engagement, and the role of gender. </w:t>
      </w:r>
      <w:r>
        <w:rPr>
          <w:i/>
          <w:iCs/>
        </w:rPr>
        <w:t>The Elementary School Journal</w:t>
      </w:r>
      <w:r>
        <w:t xml:space="preserve">, </w:t>
      </w:r>
      <w:r>
        <w:rPr>
          <w:i/>
          <w:iCs/>
        </w:rPr>
        <w:t>114</w:t>
      </w:r>
      <w:r>
        <w:t xml:space="preserve">(3), 380–405. </w:t>
      </w:r>
      <w:proofErr w:type="spellStart"/>
      <w:r>
        <w:t>doi</w:t>
      </w:r>
      <w:proofErr w:type="spellEnd"/>
      <w:r>
        <w:t>: 10.1086/674421</w:t>
      </w:r>
    </w:p>
    <w:p w14:paraId="74AD9E53" w14:textId="77777777" w:rsidR="00315013" w:rsidRDefault="00315013" w:rsidP="00315013">
      <w:pPr>
        <w:pStyle w:val="Bibliography"/>
      </w:pPr>
      <w:r>
        <w:t xml:space="preserve">Stipek, D., Newton, S., &amp; </w:t>
      </w:r>
      <w:proofErr w:type="spellStart"/>
      <w:r>
        <w:t>Chudgar</w:t>
      </w:r>
      <w:proofErr w:type="spellEnd"/>
      <w:r>
        <w:t xml:space="preserve">, A. (2010). Learning-related behaviors and literacy achievement in elementary school-aged children. </w:t>
      </w:r>
      <w:r>
        <w:rPr>
          <w:i/>
          <w:iCs/>
        </w:rPr>
        <w:t>Early Childhood Research Quarterly</w:t>
      </w:r>
      <w:r>
        <w:t xml:space="preserve">, </w:t>
      </w:r>
      <w:r>
        <w:rPr>
          <w:i/>
          <w:iCs/>
        </w:rPr>
        <w:t>25</w:t>
      </w:r>
      <w:r>
        <w:t xml:space="preserve">(3), 385–395. </w:t>
      </w:r>
      <w:proofErr w:type="spellStart"/>
      <w:r>
        <w:t>doi</w:t>
      </w:r>
      <w:proofErr w:type="spellEnd"/>
      <w:r>
        <w:t>: 10.1016/j.ecresq.2009.12.001</w:t>
      </w:r>
    </w:p>
    <w:p w14:paraId="439FC5F2" w14:textId="77777777" w:rsidR="00315013" w:rsidRDefault="00315013" w:rsidP="00315013">
      <w:pPr>
        <w:pStyle w:val="Bibliography"/>
      </w:pPr>
      <w:r>
        <w:t xml:space="preserve">Sung, J., &amp; </w:t>
      </w:r>
      <w:proofErr w:type="spellStart"/>
      <w:r>
        <w:t>Wickrama</w:t>
      </w:r>
      <w:proofErr w:type="spellEnd"/>
      <w:r>
        <w:t xml:space="preserve">, K. A. S. (2018). Longitudinal relationship between early academic achievement and executive function: Mediating role of approaches to learning. </w:t>
      </w:r>
      <w:r>
        <w:rPr>
          <w:i/>
          <w:iCs/>
        </w:rPr>
        <w:t>Contemporary Educational Psychology</w:t>
      </w:r>
      <w:r>
        <w:t xml:space="preserve">, </w:t>
      </w:r>
      <w:r>
        <w:rPr>
          <w:i/>
          <w:iCs/>
        </w:rPr>
        <w:t>54</w:t>
      </w:r>
      <w:r>
        <w:t xml:space="preserve">, 171–183. </w:t>
      </w:r>
      <w:proofErr w:type="spellStart"/>
      <w:r>
        <w:t>doi</w:t>
      </w:r>
      <w:proofErr w:type="spellEnd"/>
      <w:r>
        <w:t>: 10.1016/j.cedpsych.2018.06.010</w:t>
      </w:r>
    </w:p>
    <w:p w14:paraId="6379AF0D" w14:textId="77777777" w:rsidR="00315013" w:rsidRDefault="00315013" w:rsidP="00315013">
      <w:pPr>
        <w:pStyle w:val="Bibliography"/>
      </w:pPr>
      <w:r>
        <w:t xml:space="preserve">Tan, M., &amp; Dobbs-Oates, J. (2013). Relationship between emergent literacy and early social–emotional development in preschool children from low-income backgrounds. </w:t>
      </w:r>
      <w:r>
        <w:rPr>
          <w:i/>
          <w:iCs/>
        </w:rPr>
        <w:t>Early Child Development and Care</w:t>
      </w:r>
      <w:r>
        <w:t xml:space="preserve">, </w:t>
      </w:r>
      <w:r>
        <w:rPr>
          <w:i/>
          <w:iCs/>
        </w:rPr>
        <w:t>183</w:t>
      </w:r>
      <w:r>
        <w:t xml:space="preserve">(11), 1509–1530. </w:t>
      </w:r>
      <w:proofErr w:type="spellStart"/>
      <w:r>
        <w:t>doi</w:t>
      </w:r>
      <w:proofErr w:type="spellEnd"/>
      <w:r>
        <w:t>: 10.1080/03004430.2012.729051</w:t>
      </w:r>
    </w:p>
    <w:p w14:paraId="4E3D7344" w14:textId="77777777" w:rsidR="00315013" w:rsidRDefault="00315013" w:rsidP="00315013">
      <w:pPr>
        <w:pStyle w:val="Bibliography"/>
      </w:pPr>
      <w:r>
        <w:t xml:space="preserve">Tindal, G., Irvin, P. S., </w:t>
      </w:r>
      <w:proofErr w:type="spellStart"/>
      <w:r>
        <w:t>Nese</w:t>
      </w:r>
      <w:proofErr w:type="spellEnd"/>
      <w:r>
        <w:t xml:space="preserve">, J. F. T., &amp; Slater, S. (2015). Skills for children entering kindergarten. </w:t>
      </w:r>
      <w:r>
        <w:rPr>
          <w:i/>
          <w:iCs/>
        </w:rPr>
        <w:t>Educational Assessment</w:t>
      </w:r>
      <w:r>
        <w:t xml:space="preserve">, </w:t>
      </w:r>
      <w:r>
        <w:rPr>
          <w:i/>
          <w:iCs/>
        </w:rPr>
        <w:t>20</w:t>
      </w:r>
      <w:r>
        <w:t xml:space="preserve">(4), 297–319. </w:t>
      </w:r>
      <w:proofErr w:type="spellStart"/>
      <w:r>
        <w:t>doi</w:t>
      </w:r>
      <w:proofErr w:type="spellEnd"/>
      <w:r>
        <w:t>: 10.1080/10627197.2015.1093929</w:t>
      </w:r>
    </w:p>
    <w:p w14:paraId="267BE6F9" w14:textId="77777777" w:rsidR="00315013" w:rsidRDefault="00315013" w:rsidP="00315013">
      <w:pPr>
        <w:pStyle w:val="Bibliography"/>
      </w:pPr>
      <w:proofErr w:type="spellStart"/>
      <w:r>
        <w:t>Ursache</w:t>
      </w:r>
      <w:proofErr w:type="spellEnd"/>
      <w:r>
        <w:t xml:space="preserve">, A., Blair, C., &amp; Raver, C. C. (2012). The promotion of self-regulation as a means of enhancing school readiness and early achievement in children at risk for school failure. </w:t>
      </w:r>
      <w:r>
        <w:rPr>
          <w:i/>
          <w:iCs/>
        </w:rPr>
        <w:t>Child Development Perspectives</w:t>
      </w:r>
      <w:r>
        <w:t xml:space="preserve">, </w:t>
      </w:r>
      <w:r>
        <w:rPr>
          <w:i/>
          <w:iCs/>
        </w:rPr>
        <w:t>6</w:t>
      </w:r>
      <w:r>
        <w:t xml:space="preserve">(2), 122–128. </w:t>
      </w:r>
      <w:proofErr w:type="spellStart"/>
      <w:r>
        <w:t>doi</w:t>
      </w:r>
      <w:proofErr w:type="spellEnd"/>
      <w:r>
        <w:t>: 10.1111/j.1750-8606.2011.00209.x</w:t>
      </w:r>
    </w:p>
    <w:p w14:paraId="7A58AE2D" w14:textId="77777777" w:rsidR="00315013" w:rsidRDefault="00315013" w:rsidP="00315013">
      <w:pPr>
        <w:pStyle w:val="Bibliography"/>
      </w:pPr>
      <w:proofErr w:type="spellStart"/>
      <w:r>
        <w:t>Valiente</w:t>
      </w:r>
      <w:proofErr w:type="spellEnd"/>
      <w:r>
        <w:t xml:space="preserve">, C., </w:t>
      </w:r>
      <w:proofErr w:type="spellStart"/>
      <w:r>
        <w:t>Lemery</w:t>
      </w:r>
      <w:proofErr w:type="spellEnd"/>
      <w:r>
        <w:t xml:space="preserve">-Chalfant, K., &amp; Swanson, J. (2010). Prediction of kindergartners’ academic achievement from their effortful control and emotionality: Evidence for direct and moderated relations. </w:t>
      </w:r>
      <w:r>
        <w:rPr>
          <w:i/>
          <w:iCs/>
        </w:rPr>
        <w:t>Journal of Educational Psychology</w:t>
      </w:r>
      <w:r>
        <w:t xml:space="preserve">, </w:t>
      </w:r>
      <w:r>
        <w:rPr>
          <w:i/>
          <w:iCs/>
        </w:rPr>
        <w:t>102</w:t>
      </w:r>
      <w:r>
        <w:t xml:space="preserve">(3), 550–560. </w:t>
      </w:r>
      <w:proofErr w:type="spellStart"/>
      <w:r>
        <w:t>doi</w:t>
      </w:r>
      <w:proofErr w:type="spellEnd"/>
      <w:r>
        <w:t>: http://dx.doi.org.ezproxy.lib.ou.edu/10.1037/a0018992</w:t>
      </w:r>
    </w:p>
    <w:p w14:paraId="371EFEBE" w14:textId="77777777" w:rsidR="00315013" w:rsidRDefault="00315013" w:rsidP="00315013">
      <w:pPr>
        <w:pStyle w:val="Bibliography"/>
      </w:pPr>
      <w:proofErr w:type="spellStart"/>
      <w:r>
        <w:lastRenderedPageBreak/>
        <w:t>Vitiello</w:t>
      </w:r>
      <w:proofErr w:type="spellEnd"/>
      <w:r>
        <w:t xml:space="preserve">, V. E., &amp; Greenfield, D. B. (2017). Executive functions and approaches to learning in predicting school readiness. </w:t>
      </w:r>
      <w:r>
        <w:rPr>
          <w:i/>
          <w:iCs/>
        </w:rPr>
        <w:t>Journal of Applied Developmental Psychology</w:t>
      </w:r>
      <w:r>
        <w:t xml:space="preserve">, </w:t>
      </w:r>
      <w:r>
        <w:rPr>
          <w:i/>
          <w:iCs/>
        </w:rPr>
        <w:t>53</w:t>
      </w:r>
      <w:r>
        <w:t xml:space="preserve">, 1–9. </w:t>
      </w:r>
      <w:proofErr w:type="spellStart"/>
      <w:r>
        <w:t>doi</w:t>
      </w:r>
      <w:proofErr w:type="spellEnd"/>
      <w:r>
        <w:t>: 10.1016/j.appdev.2017.08.004</w:t>
      </w:r>
    </w:p>
    <w:p w14:paraId="3B1F8562" w14:textId="77777777" w:rsidR="00315013" w:rsidRDefault="00315013" w:rsidP="00315013">
      <w:pPr>
        <w:pStyle w:val="Bibliography"/>
      </w:pPr>
      <w:proofErr w:type="spellStart"/>
      <w:r>
        <w:t>Vitiello</w:t>
      </w:r>
      <w:proofErr w:type="spellEnd"/>
      <w:r>
        <w:t xml:space="preserve">, V. E., Greenfield, D. B., Munis, P., &amp; George, J. (2011). </w:t>
      </w:r>
      <w:proofErr w:type="gramStart"/>
      <w:r>
        <w:t>Cognitive flexibility,</w:t>
      </w:r>
      <w:proofErr w:type="gramEnd"/>
      <w:r>
        <w:t xml:space="preserve"> approaches to learning, and academic school readiness in Head Start preschool children. </w:t>
      </w:r>
      <w:r>
        <w:rPr>
          <w:i/>
          <w:iCs/>
        </w:rPr>
        <w:t>Early Education and Development</w:t>
      </w:r>
      <w:r>
        <w:t xml:space="preserve">, </w:t>
      </w:r>
      <w:r>
        <w:rPr>
          <w:i/>
          <w:iCs/>
        </w:rPr>
        <w:t>22</w:t>
      </w:r>
      <w:r>
        <w:t xml:space="preserve">(3), 388–410. </w:t>
      </w:r>
      <w:proofErr w:type="spellStart"/>
      <w:r>
        <w:t>doi</w:t>
      </w:r>
      <w:proofErr w:type="spellEnd"/>
      <w:r>
        <w:t>: 10.1080/10409289.2011.538366</w:t>
      </w:r>
    </w:p>
    <w:p w14:paraId="434CC995" w14:textId="77777777" w:rsidR="00315013" w:rsidRDefault="00315013" w:rsidP="00315013">
      <w:pPr>
        <w:pStyle w:val="Bibliography"/>
      </w:pPr>
      <w:r>
        <w:t xml:space="preserve">Yang, P.-J., &amp; Lamb, M. (2014). Factors influencing classroom behavioral engagement during the first year at school. </w:t>
      </w:r>
      <w:r>
        <w:rPr>
          <w:i/>
          <w:iCs/>
        </w:rPr>
        <w:t>Applied Developmental Science</w:t>
      </w:r>
      <w:r>
        <w:t xml:space="preserve">, </w:t>
      </w:r>
      <w:r>
        <w:rPr>
          <w:i/>
          <w:iCs/>
        </w:rPr>
        <w:t>18</w:t>
      </w:r>
      <w:r>
        <w:t xml:space="preserve">(4), 189–200. </w:t>
      </w:r>
      <w:proofErr w:type="spellStart"/>
      <w:r>
        <w:t>doi</w:t>
      </w:r>
      <w:proofErr w:type="spellEnd"/>
      <w:r>
        <w:t>: 10.1080/10888691.2014.924710</w:t>
      </w:r>
    </w:p>
    <w:p w14:paraId="73DE2FD1" w14:textId="77777777" w:rsidR="00315013" w:rsidRDefault="00315013" w:rsidP="00315013">
      <w:pPr>
        <w:pStyle w:val="Bibliography"/>
      </w:pPr>
      <w:proofErr w:type="spellStart"/>
      <w:r>
        <w:t>Yoleri</w:t>
      </w:r>
      <w:proofErr w:type="spellEnd"/>
      <w:r>
        <w:t xml:space="preserve">, S. (2015). Preschool children’s school adjustment: Indicators of </w:t>
      </w:r>
      <w:proofErr w:type="spellStart"/>
      <w:r>
        <w:t>behaviour</w:t>
      </w:r>
      <w:proofErr w:type="spellEnd"/>
      <w:r>
        <w:t xml:space="preserve"> problems, gender, and peer </w:t>
      </w:r>
      <w:proofErr w:type="spellStart"/>
      <w:r>
        <w:t>victimisation</w:t>
      </w:r>
      <w:proofErr w:type="spellEnd"/>
      <w:r>
        <w:t xml:space="preserve">. </w:t>
      </w:r>
      <w:r>
        <w:rPr>
          <w:i/>
          <w:iCs/>
        </w:rPr>
        <w:t>Education 3-13</w:t>
      </w:r>
      <w:r>
        <w:t xml:space="preserve">, </w:t>
      </w:r>
      <w:r>
        <w:rPr>
          <w:i/>
          <w:iCs/>
        </w:rPr>
        <w:t>43</w:t>
      </w:r>
      <w:r>
        <w:t xml:space="preserve">(6), 630–640. </w:t>
      </w:r>
      <w:proofErr w:type="spellStart"/>
      <w:r>
        <w:t>doi</w:t>
      </w:r>
      <w:proofErr w:type="spellEnd"/>
      <w:r>
        <w:t>: 10.1080/03004279.2013.848915</w:t>
      </w:r>
    </w:p>
    <w:p w14:paraId="194D2F61" w14:textId="77777777" w:rsidR="00315013" w:rsidRPr="00315013" w:rsidRDefault="00315013" w:rsidP="00315013"/>
    <w:p w14:paraId="24FD08F6" w14:textId="77777777" w:rsidR="00315013" w:rsidRPr="00315013" w:rsidRDefault="00315013" w:rsidP="00315013"/>
    <w:p w14:paraId="275BCD29" w14:textId="77777777" w:rsidR="0018337E" w:rsidRPr="0018337E" w:rsidRDefault="0018337E" w:rsidP="0018337E">
      <w:pPr>
        <w:spacing w:after="160"/>
        <w:contextualSpacing/>
        <w:rPr>
          <w:color w:val="auto"/>
        </w:rPr>
        <w:sectPr w:rsidR="0018337E" w:rsidRPr="0018337E" w:rsidSect="00D86CCC">
          <w:type w:val="continuous"/>
          <w:pgSz w:w="12240" w:h="15840"/>
          <w:pgMar w:top="1440" w:right="1440" w:bottom="1440" w:left="1440" w:header="720" w:footer="720" w:gutter="0"/>
          <w:cols w:space="720"/>
          <w:docGrid w:linePitch="360"/>
        </w:sectPr>
      </w:pPr>
    </w:p>
    <w:p w14:paraId="07DA5E30" w14:textId="77777777" w:rsidR="0018337E" w:rsidRPr="0018337E" w:rsidRDefault="0018337E" w:rsidP="00E31D47">
      <w:pPr>
        <w:pStyle w:val="Heading1"/>
      </w:pPr>
      <w:bookmarkStart w:id="29" w:name="_Toc46265471"/>
      <w:r w:rsidRPr="0018337E">
        <w:lastRenderedPageBreak/>
        <w:t>Appendix A</w:t>
      </w:r>
      <w:bookmarkEnd w:id="29"/>
      <w:r w:rsidRPr="0018337E">
        <w:t xml:space="preserve"> </w:t>
      </w:r>
    </w:p>
    <w:p w14:paraId="6BADC710" w14:textId="45D4CC66" w:rsidR="0018337E" w:rsidRPr="00E31D47" w:rsidRDefault="0018337E" w:rsidP="00E31D47">
      <w:pPr>
        <w:contextualSpacing/>
        <w:jc w:val="center"/>
        <w:rPr>
          <w:color w:val="auto"/>
        </w:rPr>
      </w:pPr>
      <w:r w:rsidRPr="00E31D47">
        <w:rPr>
          <w:color w:val="auto"/>
        </w:rPr>
        <w:t>List of Studies Used in Analysis</w:t>
      </w:r>
    </w:p>
    <w:tbl>
      <w:tblPr>
        <w:tblStyle w:val="PlainTable2"/>
        <w:tblW w:w="5000" w:type="pct"/>
        <w:tblLayout w:type="fixed"/>
        <w:tblLook w:val="04A0" w:firstRow="1" w:lastRow="0" w:firstColumn="1" w:lastColumn="0" w:noHBand="0" w:noVBand="1"/>
      </w:tblPr>
      <w:tblGrid>
        <w:gridCol w:w="4951"/>
        <w:gridCol w:w="1742"/>
        <w:gridCol w:w="2307"/>
        <w:gridCol w:w="1664"/>
        <w:gridCol w:w="41"/>
        <w:gridCol w:w="2255"/>
      </w:tblGrid>
      <w:tr w:rsidR="0018337E" w:rsidRPr="009974B7" w14:paraId="3522A6BB" w14:textId="77777777" w:rsidTr="00A079A9">
        <w:trPr>
          <w:cnfStyle w:val="100000000000" w:firstRow="1" w:lastRow="0" w:firstColumn="0" w:lastColumn="0" w:oddVBand="0" w:evenVBand="0" w:oddHBand="0" w:evenHBand="0" w:firstRowFirstColumn="0" w:firstRowLastColumn="0" w:lastRowFirstColumn="0" w:lastRowLastColumn="0"/>
          <w:trHeight w:val="638"/>
          <w:tblHeader/>
        </w:trPr>
        <w:tc>
          <w:tcPr>
            <w:cnfStyle w:val="001000000000" w:firstRow="0" w:lastRow="0" w:firstColumn="1" w:lastColumn="0" w:oddVBand="0" w:evenVBand="0" w:oddHBand="0" w:evenHBand="0" w:firstRowFirstColumn="0" w:firstRowLastColumn="0" w:lastRowFirstColumn="0" w:lastRowLastColumn="0"/>
            <w:tcW w:w="1910" w:type="pct"/>
          </w:tcPr>
          <w:p w14:paraId="04BA9991" w14:textId="77777777" w:rsidR="0018337E" w:rsidRPr="009974B7" w:rsidRDefault="0018337E" w:rsidP="00E31D47">
            <w:pPr>
              <w:contextualSpacing/>
              <w:jc w:val="center"/>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Study</w:t>
            </w:r>
          </w:p>
        </w:tc>
        <w:tc>
          <w:tcPr>
            <w:tcW w:w="672" w:type="pct"/>
          </w:tcPr>
          <w:p w14:paraId="05A200C2" w14:textId="77777777" w:rsidR="0018337E" w:rsidRPr="009974B7" w:rsidRDefault="0018337E" w:rsidP="00A079A9">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Term used</w:t>
            </w:r>
          </w:p>
        </w:tc>
        <w:tc>
          <w:tcPr>
            <w:tcW w:w="890" w:type="pct"/>
          </w:tcPr>
          <w:p w14:paraId="3303C4FB" w14:textId="77777777" w:rsidR="0018337E" w:rsidRPr="009974B7" w:rsidRDefault="0018337E" w:rsidP="00A079A9">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Operationalization</w:t>
            </w:r>
          </w:p>
        </w:tc>
        <w:tc>
          <w:tcPr>
            <w:tcW w:w="642" w:type="pct"/>
          </w:tcPr>
          <w:p w14:paraId="32A894FF" w14:textId="77777777" w:rsidR="0018337E" w:rsidRPr="009974B7" w:rsidRDefault="0018337E" w:rsidP="00A079A9">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Measure of AtL</w:t>
            </w:r>
          </w:p>
        </w:tc>
        <w:tc>
          <w:tcPr>
            <w:tcW w:w="886" w:type="pct"/>
            <w:gridSpan w:val="2"/>
          </w:tcPr>
          <w:p w14:paraId="0868BCE1" w14:textId="77777777" w:rsidR="0018337E" w:rsidRPr="009974B7" w:rsidRDefault="0018337E" w:rsidP="00A079A9">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Subscales or sample items</w:t>
            </w:r>
          </w:p>
        </w:tc>
      </w:tr>
      <w:tr w:rsidR="0018337E" w:rsidRPr="009974B7" w14:paraId="4ED17AC9" w14:textId="77777777" w:rsidTr="00A079A9">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910" w:type="pct"/>
            <w:vMerge w:val="restart"/>
          </w:tcPr>
          <w:p w14:paraId="0D63271B"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roofErr w:type="spellStart"/>
            <w:r w:rsidRPr="009974B7">
              <w:rPr>
                <w:rFonts w:ascii="Times New Roman" w:eastAsia="Times New Roman" w:hAnsi="Times New Roman" w:cs="Times New Roman"/>
                <w:b w:val="0"/>
                <w:bCs w:val="0"/>
                <w:color w:val="000000"/>
                <w:sz w:val="24"/>
                <w:szCs w:val="24"/>
              </w:rPr>
              <w:t>Abenavoli</w:t>
            </w:r>
            <w:proofErr w:type="spellEnd"/>
            <w:r w:rsidRPr="009974B7">
              <w:rPr>
                <w:rFonts w:ascii="Times New Roman" w:eastAsia="Times New Roman" w:hAnsi="Times New Roman" w:cs="Times New Roman"/>
                <w:b w:val="0"/>
                <w:bCs w:val="0"/>
                <w:color w:val="000000"/>
                <w:sz w:val="24"/>
                <w:szCs w:val="24"/>
              </w:rPr>
              <w:t>, Greenberg, &amp; Bierman (2017)</w:t>
            </w:r>
          </w:p>
        </w:tc>
        <w:tc>
          <w:tcPr>
            <w:tcW w:w="672" w:type="pct"/>
          </w:tcPr>
          <w:p w14:paraId="2FE0021D"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 Engagement</w:t>
            </w:r>
          </w:p>
        </w:tc>
        <w:tc>
          <w:tcPr>
            <w:tcW w:w="890" w:type="pct"/>
          </w:tcPr>
          <w:p w14:paraId="3FBDDB11"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Attention, persistence, on-task behavior, learning behavior</w:t>
            </w:r>
          </w:p>
        </w:tc>
        <w:tc>
          <w:tcPr>
            <w:tcW w:w="642" w:type="pct"/>
          </w:tcPr>
          <w:p w14:paraId="7189EE6B"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School engagement: School Readiness Questionnaire</w:t>
            </w:r>
          </w:p>
        </w:tc>
        <w:tc>
          <w:tcPr>
            <w:tcW w:w="886" w:type="pct"/>
            <w:gridSpan w:val="2"/>
          </w:tcPr>
          <w:p w14:paraId="538C7781"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Enthusiastic about learning new things, able to follow teachers’ directions</w:t>
            </w:r>
          </w:p>
        </w:tc>
      </w:tr>
      <w:tr w:rsidR="0018337E" w:rsidRPr="009974B7" w14:paraId="7D2A9DE8" w14:textId="77777777" w:rsidTr="00A079A9">
        <w:trPr>
          <w:trHeight w:val="862"/>
        </w:trPr>
        <w:tc>
          <w:tcPr>
            <w:cnfStyle w:val="001000000000" w:firstRow="0" w:lastRow="0" w:firstColumn="1" w:lastColumn="0" w:oddVBand="0" w:evenVBand="0" w:oddHBand="0" w:evenHBand="0" w:firstRowFirstColumn="0" w:firstRowLastColumn="0" w:lastRowFirstColumn="0" w:lastRowLastColumn="0"/>
            <w:tcW w:w="1910" w:type="pct"/>
            <w:vMerge/>
          </w:tcPr>
          <w:p w14:paraId="55605293"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
        </w:tc>
        <w:tc>
          <w:tcPr>
            <w:tcW w:w="672" w:type="pct"/>
          </w:tcPr>
          <w:p w14:paraId="6B4CBE45"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 Behaviors</w:t>
            </w:r>
          </w:p>
        </w:tc>
        <w:tc>
          <w:tcPr>
            <w:tcW w:w="890" w:type="pct"/>
          </w:tcPr>
          <w:p w14:paraId="7A2C5A58"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642" w:type="pct"/>
          </w:tcPr>
          <w:p w14:paraId="1292D6C9"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 Behaviors Scale</w:t>
            </w:r>
          </w:p>
        </w:tc>
        <w:tc>
          <w:tcPr>
            <w:tcW w:w="886" w:type="pct"/>
            <w:gridSpan w:val="2"/>
          </w:tcPr>
          <w:p w14:paraId="26469764"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Attitudes and behaviors toward schoolwork: sticks to task, adopts a “don’t care” attitude toward success</w:t>
            </w:r>
          </w:p>
        </w:tc>
      </w:tr>
      <w:tr w:rsidR="0018337E" w:rsidRPr="009974B7" w14:paraId="5B14351E" w14:textId="77777777" w:rsidTr="00A079A9">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910" w:type="pct"/>
            <w:vMerge w:val="restart"/>
          </w:tcPr>
          <w:p w14:paraId="66F8D187"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Ansari &amp; Gershoff (2015) </w:t>
            </w:r>
          </w:p>
        </w:tc>
        <w:tc>
          <w:tcPr>
            <w:tcW w:w="672" w:type="pct"/>
            <w:vMerge w:val="restart"/>
          </w:tcPr>
          <w:p w14:paraId="728B18CF"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 Related Social Skills</w:t>
            </w:r>
          </w:p>
        </w:tc>
        <w:tc>
          <w:tcPr>
            <w:tcW w:w="890" w:type="pct"/>
            <w:vMerge w:val="restart"/>
          </w:tcPr>
          <w:p w14:paraId="5D43A533"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the ability to self-regulate and to get along with others</w:t>
            </w:r>
          </w:p>
        </w:tc>
        <w:tc>
          <w:tcPr>
            <w:tcW w:w="658" w:type="pct"/>
            <w:gridSpan w:val="2"/>
          </w:tcPr>
          <w:p w14:paraId="072573DE"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Behavioral Problems Index</w:t>
            </w:r>
          </w:p>
        </w:tc>
        <w:tc>
          <w:tcPr>
            <w:tcW w:w="870" w:type="pct"/>
          </w:tcPr>
          <w:p w14:paraId="42DAB310"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Behavioral and attentional control</w:t>
            </w:r>
          </w:p>
        </w:tc>
      </w:tr>
      <w:tr w:rsidR="0018337E" w:rsidRPr="009974B7" w14:paraId="2E8DD9A8" w14:textId="77777777" w:rsidTr="00A079A9">
        <w:trPr>
          <w:trHeight w:val="243"/>
        </w:trPr>
        <w:tc>
          <w:tcPr>
            <w:cnfStyle w:val="001000000000" w:firstRow="0" w:lastRow="0" w:firstColumn="1" w:lastColumn="0" w:oddVBand="0" w:evenVBand="0" w:oddHBand="0" w:evenHBand="0" w:firstRowFirstColumn="0" w:firstRowLastColumn="0" w:lastRowFirstColumn="0" w:lastRowLastColumn="0"/>
            <w:tcW w:w="1910" w:type="pct"/>
            <w:vMerge/>
          </w:tcPr>
          <w:p w14:paraId="3146A49A"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
        </w:tc>
        <w:tc>
          <w:tcPr>
            <w:tcW w:w="672" w:type="pct"/>
            <w:vMerge/>
          </w:tcPr>
          <w:p w14:paraId="7E258694"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890" w:type="pct"/>
            <w:vMerge/>
          </w:tcPr>
          <w:p w14:paraId="00A8C56B"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58" w:type="pct"/>
            <w:gridSpan w:val="2"/>
          </w:tcPr>
          <w:p w14:paraId="65AA51D7"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PLBS</w:t>
            </w:r>
          </w:p>
        </w:tc>
        <w:tc>
          <w:tcPr>
            <w:tcW w:w="870" w:type="pct"/>
          </w:tcPr>
          <w:p w14:paraId="5212993F" w14:textId="3AD48092"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Competence motivation, attention persistence, and attitudes towards learning</w:t>
            </w:r>
          </w:p>
        </w:tc>
      </w:tr>
      <w:tr w:rsidR="0018337E" w:rsidRPr="009974B7" w14:paraId="7F8634E5" w14:textId="77777777" w:rsidTr="00A079A9">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910" w:type="pct"/>
            <w:vMerge/>
          </w:tcPr>
          <w:p w14:paraId="12E3DEB8"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
        </w:tc>
        <w:tc>
          <w:tcPr>
            <w:tcW w:w="672" w:type="pct"/>
            <w:vMerge/>
          </w:tcPr>
          <w:p w14:paraId="4AE406C5"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90" w:type="pct"/>
            <w:vMerge/>
          </w:tcPr>
          <w:p w14:paraId="28E489D0"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pct"/>
            <w:gridSpan w:val="2"/>
          </w:tcPr>
          <w:p w14:paraId="6287A6A9"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Personal Maturity Scale</w:t>
            </w:r>
          </w:p>
        </w:tc>
        <w:tc>
          <w:tcPr>
            <w:tcW w:w="870" w:type="pct"/>
          </w:tcPr>
          <w:p w14:paraId="091180C8"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Engagement in learning: interest and participation in activities, compliance with teachers’ directions</w:t>
            </w:r>
          </w:p>
        </w:tc>
      </w:tr>
      <w:tr w:rsidR="0018337E" w:rsidRPr="009974B7" w14:paraId="74021960" w14:textId="77777777" w:rsidTr="00A079A9">
        <w:trPr>
          <w:trHeight w:val="288"/>
        </w:trPr>
        <w:tc>
          <w:tcPr>
            <w:cnfStyle w:val="001000000000" w:firstRow="0" w:lastRow="0" w:firstColumn="1" w:lastColumn="0" w:oddVBand="0" w:evenVBand="0" w:oddHBand="0" w:evenHBand="0" w:firstRowFirstColumn="0" w:firstRowLastColumn="0" w:lastRowFirstColumn="0" w:lastRowLastColumn="0"/>
            <w:tcW w:w="1910" w:type="pct"/>
            <w:vMerge w:val="restart"/>
            <w:hideMark/>
          </w:tcPr>
          <w:p w14:paraId="5AA836E4"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roofErr w:type="spellStart"/>
            <w:r w:rsidRPr="009974B7">
              <w:rPr>
                <w:rFonts w:ascii="Times New Roman" w:eastAsia="Times New Roman" w:hAnsi="Times New Roman" w:cs="Times New Roman"/>
                <w:b w:val="0"/>
                <w:bCs w:val="0"/>
                <w:color w:val="000000"/>
                <w:sz w:val="24"/>
                <w:szCs w:val="24"/>
              </w:rPr>
              <w:lastRenderedPageBreak/>
              <w:t>Barbu</w:t>
            </w:r>
            <w:proofErr w:type="spellEnd"/>
            <w:r w:rsidRPr="009974B7">
              <w:rPr>
                <w:rFonts w:ascii="Times New Roman" w:eastAsia="Times New Roman" w:hAnsi="Times New Roman" w:cs="Times New Roman"/>
                <w:b w:val="0"/>
                <w:bCs w:val="0"/>
                <w:color w:val="000000"/>
                <w:sz w:val="24"/>
                <w:szCs w:val="24"/>
              </w:rPr>
              <w:t xml:space="preserve"> et al. (2015)</w:t>
            </w:r>
            <w:r w:rsidRPr="009974B7">
              <w:rPr>
                <w:rFonts w:ascii="Times New Roman" w:eastAsia="Times New Roman" w:hAnsi="Times New Roman" w:cs="Times New Roman"/>
                <w:b w:val="0"/>
                <w:bCs w:val="0"/>
                <w:color w:val="000000"/>
                <w:sz w:val="24"/>
                <w:szCs w:val="24"/>
                <w:vertAlign w:val="superscript"/>
              </w:rPr>
              <w:t>1</w:t>
            </w:r>
            <w:r w:rsidRPr="009974B7">
              <w:rPr>
                <w:rFonts w:ascii="Times New Roman" w:eastAsia="Times New Roman" w:hAnsi="Times New Roman" w:cs="Times New Roman"/>
                <w:b w:val="0"/>
                <w:bCs w:val="0"/>
                <w:color w:val="000000"/>
                <w:sz w:val="24"/>
                <w:szCs w:val="24"/>
              </w:rPr>
              <w:t xml:space="preserve"> </w:t>
            </w:r>
          </w:p>
        </w:tc>
        <w:tc>
          <w:tcPr>
            <w:tcW w:w="672" w:type="pct"/>
            <w:vMerge w:val="restart"/>
          </w:tcPr>
          <w:p w14:paraId="024EB2DB"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vMerge w:val="restart"/>
          </w:tcPr>
          <w:p w14:paraId="20302FDC"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initiative, curiosity, engagement, persistence, reasoning, and problem-solving skills</w:t>
            </w:r>
          </w:p>
        </w:tc>
        <w:tc>
          <w:tcPr>
            <w:tcW w:w="642" w:type="pct"/>
            <w:hideMark/>
          </w:tcPr>
          <w:p w14:paraId="73A8DC85" w14:textId="0555313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Devereaux Early Childhood Assessment</w:t>
            </w:r>
          </w:p>
        </w:tc>
        <w:tc>
          <w:tcPr>
            <w:tcW w:w="886" w:type="pct"/>
            <w:gridSpan w:val="2"/>
          </w:tcPr>
          <w:p w14:paraId="3020C3BE"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Self-control, Attachment, and Initiative</w:t>
            </w:r>
          </w:p>
        </w:tc>
      </w:tr>
      <w:tr w:rsidR="0018337E" w:rsidRPr="009974B7" w14:paraId="654A3B95"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vMerge/>
            <w:hideMark/>
          </w:tcPr>
          <w:p w14:paraId="0F947169"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
        </w:tc>
        <w:tc>
          <w:tcPr>
            <w:tcW w:w="672" w:type="pct"/>
            <w:vMerge/>
          </w:tcPr>
          <w:p w14:paraId="4CCF9499"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90" w:type="pct"/>
            <w:vMerge/>
          </w:tcPr>
          <w:p w14:paraId="5284880C"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642" w:type="pct"/>
            <w:hideMark/>
          </w:tcPr>
          <w:p w14:paraId="416425BA"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Researcher Created Measure</w:t>
            </w:r>
          </w:p>
        </w:tc>
        <w:tc>
          <w:tcPr>
            <w:tcW w:w="886" w:type="pct"/>
            <w:gridSpan w:val="2"/>
          </w:tcPr>
          <w:p w14:paraId="3A082397"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13 items including has friends, follows rules, attends to tasks, seeks help, shows respect for toys</w:t>
            </w:r>
          </w:p>
        </w:tc>
      </w:tr>
      <w:tr w:rsidR="0018337E" w:rsidRPr="009974B7" w14:paraId="2412303A"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tcPr>
          <w:p w14:paraId="6BDCBA43"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Bierman, Torres, &amp; </w:t>
            </w:r>
            <w:proofErr w:type="spellStart"/>
            <w:r w:rsidRPr="009974B7">
              <w:rPr>
                <w:rFonts w:ascii="Times New Roman" w:eastAsia="Times New Roman" w:hAnsi="Times New Roman" w:cs="Times New Roman"/>
                <w:b w:val="0"/>
                <w:bCs w:val="0"/>
                <w:color w:val="000000"/>
                <w:sz w:val="24"/>
                <w:szCs w:val="24"/>
              </w:rPr>
              <w:t>Domitrovitch</w:t>
            </w:r>
            <w:proofErr w:type="spellEnd"/>
            <w:r w:rsidRPr="009974B7">
              <w:rPr>
                <w:rFonts w:ascii="Times New Roman" w:eastAsia="Times New Roman" w:hAnsi="Times New Roman" w:cs="Times New Roman"/>
                <w:b w:val="0"/>
                <w:bCs w:val="0"/>
                <w:color w:val="000000"/>
                <w:sz w:val="24"/>
                <w:szCs w:val="24"/>
              </w:rPr>
              <w:t xml:space="preserve"> (2008) </w:t>
            </w:r>
          </w:p>
        </w:tc>
        <w:tc>
          <w:tcPr>
            <w:tcW w:w="672" w:type="pct"/>
          </w:tcPr>
          <w:p w14:paraId="0DE29534"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Behavioral Readiness</w:t>
            </w:r>
          </w:p>
          <w:p w14:paraId="48829EEB"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890" w:type="pct"/>
          </w:tcPr>
          <w:p w14:paraId="56176B98"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the capacity to approach learning tasks effectively with focused interest and sustained engagement,</w:t>
            </w:r>
          </w:p>
        </w:tc>
        <w:tc>
          <w:tcPr>
            <w:tcW w:w="642" w:type="pct"/>
          </w:tcPr>
          <w:p w14:paraId="5B879855"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School Readiness Inventory</w:t>
            </w:r>
          </w:p>
        </w:tc>
        <w:tc>
          <w:tcPr>
            <w:tcW w:w="886" w:type="pct"/>
            <w:gridSpan w:val="2"/>
          </w:tcPr>
          <w:p w14:paraId="7BEBE737"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Classroom participation, learning motivation, compliance, and conscientiousness</w:t>
            </w:r>
          </w:p>
        </w:tc>
      </w:tr>
      <w:tr w:rsidR="0018337E" w:rsidRPr="009974B7" w14:paraId="467F0F56"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tcPr>
          <w:p w14:paraId="68D0F5AA" w14:textId="77777777" w:rsidR="0018337E" w:rsidRPr="009974B7" w:rsidRDefault="0018337E" w:rsidP="00E31D47">
            <w:pPr>
              <w:contextualSpacing/>
              <w:rPr>
                <w:rFonts w:ascii="Times New Roman" w:eastAsia="Times New Roman" w:hAnsi="Times New Roman" w:cs="Times New Roman"/>
                <w:b w:val="0"/>
                <w:bCs w:val="0"/>
                <w:color w:val="000000"/>
                <w:sz w:val="24"/>
                <w:szCs w:val="24"/>
                <w:vertAlign w:val="superscript"/>
              </w:rPr>
            </w:pPr>
            <w:r w:rsidRPr="009974B7">
              <w:rPr>
                <w:rFonts w:ascii="Times New Roman" w:eastAsia="Times New Roman" w:hAnsi="Times New Roman" w:cs="Times New Roman"/>
                <w:b w:val="0"/>
                <w:bCs w:val="0"/>
                <w:color w:val="000000"/>
                <w:sz w:val="24"/>
                <w:szCs w:val="24"/>
              </w:rPr>
              <w:t>Berthelsen, Hayes, White, &amp; Williams (2017)</w:t>
            </w:r>
            <w:r w:rsidRPr="009974B7">
              <w:rPr>
                <w:rFonts w:ascii="Times New Roman" w:eastAsia="Times New Roman" w:hAnsi="Times New Roman" w:cs="Times New Roman"/>
                <w:b w:val="0"/>
                <w:bCs w:val="0"/>
                <w:color w:val="000000"/>
                <w:sz w:val="24"/>
                <w:szCs w:val="24"/>
                <w:vertAlign w:val="superscript"/>
              </w:rPr>
              <w:t>2</w:t>
            </w:r>
          </w:p>
        </w:tc>
        <w:tc>
          <w:tcPr>
            <w:tcW w:w="672" w:type="pct"/>
          </w:tcPr>
          <w:p w14:paraId="336D575F" w14:textId="304DCC18"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04BD9E79"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Learning-related, regulatory behaviors that children exhibit when taking part in classroom activities</w:t>
            </w:r>
          </w:p>
        </w:tc>
        <w:tc>
          <w:tcPr>
            <w:tcW w:w="642" w:type="pct"/>
          </w:tcPr>
          <w:p w14:paraId="79753BF4"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Social Skills Rating Scale</w:t>
            </w:r>
          </w:p>
        </w:tc>
        <w:tc>
          <w:tcPr>
            <w:tcW w:w="886" w:type="pct"/>
            <w:gridSpan w:val="2"/>
          </w:tcPr>
          <w:p w14:paraId="218A0218" w14:textId="339B88A4"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Attention, task persistence, eagerness to learn, learning independence, flexibility, and organization</w:t>
            </w:r>
          </w:p>
        </w:tc>
      </w:tr>
      <w:tr w:rsidR="0018337E" w:rsidRPr="009974B7" w14:paraId="7B23B5D7"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vMerge w:val="restart"/>
          </w:tcPr>
          <w:p w14:paraId="137C2E10"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Brock, </w:t>
            </w:r>
            <w:proofErr w:type="spellStart"/>
            <w:r w:rsidRPr="009974B7">
              <w:rPr>
                <w:rFonts w:ascii="Times New Roman" w:eastAsia="Times New Roman" w:hAnsi="Times New Roman" w:cs="Times New Roman"/>
                <w:b w:val="0"/>
                <w:bCs w:val="0"/>
                <w:color w:val="000000"/>
                <w:sz w:val="24"/>
                <w:szCs w:val="24"/>
              </w:rPr>
              <w:t>Rimm-Kauffamn</w:t>
            </w:r>
            <w:proofErr w:type="spellEnd"/>
            <w:r w:rsidRPr="009974B7">
              <w:rPr>
                <w:rFonts w:ascii="Times New Roman" w:eastAsia="Times New Roman" w:hAnsi="Times New Roman" w:cs="Times New Roman"/>
                <w:b w:val="0"/>
                <w:bCs w:val="0"/>
                <w:color w:val="000000"/>
                <w:sz w:val="24"/>
                <w:szCs w:val="24"/>
              </w:rPr>
              <w:t>, Nathanson, &amp; Grimm (2009)</w:t>
            </w:r>
          </w:p>
        </w:tc>
        <w:tc>
          <w:tcPr>
            <w:tcW w:w="672" w:type="pct"/>
            <w:vMerge w:val="restart"/>
          </w:tcPr>
          <w:p w14:paraId="1DFFCACC" w14:textId="70D5BFD6"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Learning-Related Behaviors</w:t>
            </w:r>
          </w:p>
        </w:tc>
        <w:tc>
          <w:tcPr>
            <w:tcW w:w="890" w:type="pct"/>
            <w:vMerge w:val="restart"/>
          </w:tcPr>
          <w:p w14:paraId="7913A350" w14:textId="532D60CA"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Behavior which enables children to focus on a task or teacher-endorsed activity without interruption</w:t>
            </w:r>
          </w:p>
        </w:tc>
        <w:tc>
          <w:tcPr>
            <w:tcW w:w="642" w:type="pct"/>
          </w:tcPr>
          <w:p w14:paraId="016D1E8A" w14:textId="0EE6FC8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Social competence and Adjustment Scale and</w:t>
            </w:r>
          </w:p>
        </w:tc>
        <w:tc>
          <w:tcPr>
            <w:tcW w:w="886" w:type="pct"/>
            <w:gridSpan w:val="2"/>
          </w:tcPr>
          <w:p w14:paraId="52394BF4" w14:textId="4E728409"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Self-Directed learning style Hyperactivity-Distractibility</w:t>
            </w:r>
          </w:p>
        </w:tc>
      </w:tr>
      <w:tr w:rsidR="0018337E" w:rsidRPr="009974B7" w14:paraId="56675B6D"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vMerge/>
          </w:tcPr>
          <w:p w14:paraId="2403FB7C"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
        </w:tc>
        <w:tc>
          <w:tcPr>
            <w:tcW w:w="672" w:type="pct"/>
            <w:vMerge/>
          </w:tcPr>
          <w:p w14:paraId="47D3799F"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90" w:type="pct"/>
            <w:vMerge/>
          </w:tcPr>
          <w:p w14:paraId="16ED9DBC"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642" w:type="pct"/>
          </w:tcPr>
          <w:p w14:paraId="34C8E806" w14:textId="1A402191"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Mock Report Card</w:t>
            </w:r>
          </w:p>
        </w:tc>
        <w:tc>
          <w:tcPr>
            <w:tcW w:w="886" w:type="pct"/>
            <w:gridSpan w:val="2"/>
          </w:tcPr>
          <w:p w14:paraId="1A7A06E6" w14:textId="2954786A"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Work Habits: works well independently</w:t>
            </w:r>
          </w:p>
        </w:tc>
      </w:tr>
      <w:tr w:rsidR="0018337E" w:rsidRPr="009974B7" w14:paraId="18041EEB"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vMerge/>
          </w:tcPr>
          <w:p w14:paraId="562B5570"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
        </w:tc>
        <w:tc>
          <w:tcPr>
            <w:tcW w:w="672" w:type="pct"/>
            <w:vMerge/>
          </w:tcPr>
          <w:p w14:paraId="577998A8"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890" w:type="pct"/>
            <w:vMerge/>
          </w:tcPr>
          <w:p w14:paraId="6EE23F3E"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642" w:type="pct"/>
          </w:tcPr>
          <w:p w14:paraId="78A12209" w14:textId="289C51F3"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Teachers' Self-Control Rating Scale</w:t>
            </w:r>
          </w:p>
        </w:tc>
        <w:tc>
          <w:tcPr>
            <w:tcW w:w="886" w:type="pct"/>
            <w:gridSpan w:val="2"/>
          </w:tcPr>
          <w:p w14:paraId="58A39E7E"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 xml:space="preserve">Self-Control: makes careless errors, </w:t>
            </w:r>
            <w:proofErr w:type="gramStart"/>
            <w:r w:rsidRPr="009974B7">
              <w:rPr>
                <w:rFonts w:ascii="Times New Roman" w:eastAsia="Times New Roman" w:hAnsi="Times New Roman" w:cs="Times New Roman"/>
                <w:color w:val="000000"/>
                <w:sz w:val="24"/>
                <w:szCs w:val="24"/>
              </w:rPr>
              <w:t>has to</w:t>
            </w:r>
            <w:proofErr w:type="gramEnd"/>
            <w:r w:rsidRPr="009974B7">
              <w:rPr>
                <w:rFonts w:ascii="Times New Roman" w:eastAsia="Times New Roman" w:hAnsi="Times New Roman" w:cs="Times New Roman"/>
                <w:color w:val="000000"/>
                <w:sz w:val="24"/>
                <w:szCs w:val="24"/>
              </w:rPr>
              <w:t xml:space="preserve"> have things right away</w:t>
            </w:r>
          </w:p>
        </w:tc>
      </w:tr>
      <w:tr w:rsidR="0018337E" w:rsidRPr="009974B7" w14:paraId="0492E86D"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tcPr>
          <w:p w14:paraId="7122DA5C" w14:textId="77777777" w:rsidR="0018337E" w:rsidRPr="009974B7" w:rsidRDefault="0018337E" w:rsidP="00E31D47">
            <w:pPr>
              <w:contextualSpacing/>
              <w:rPr>
                <w:rFonts w:ascii="Times New Roman" w:eastAsia="Times New Roman" w:hAnsi="Times New Roman" w:cs="Times New Roman"/>
                <w:b w:val="0"/>
                <w:bCs w:val="0"/>
                <w:color w:val="000000"/>
                <w:sz w:val="24"/>
                <w:szCs w:val="24"/>
                <w:vertAlign w:val="superscript"/>
              </w:rPr>
            </w:pPr>
            <w:proofErr w:type="spellStart"/>
            <w:r w:rsidRPr="009974B7">
              <w:rPr>
                <w:rFonts w:ascii="Times New Roman" w:eastAsia="Times New Roman" w:hAnsi="Times New Roman" w:cs="Times New Roman"/>
                <w:b w:val="0"/>
                <w:bCs w:val="0"/>
                <w:color w:val="000000"/>
                <w:sz w:val="24"/>
                <w:szCs w:val="24"/>
              </w:rPr>
              <w:t>Bulotsky</w:t>
            </w:r>
            <w:proofErr w:type="spellEnd"/>
            <w:r w:rsidRPr="009974B7">
              <w:rPr>
                <w:rFonts w:ascii="Times New Roman" w:eastAsia="Times New Roman" w:hAnsi="Times New Roman" w:cs="Times New Roman"/>
                <w:b w:val="0"/>
                <w:bCs w:val="0"/>
                <w:color w:val="000000"/>
                <w:sz w:val="24"/>
                <w:szCs w:val="24"/>
              </w:rPr>
              <w:t>-Shearer, Fernandez, Dominguez, &amp; Rouse (2011)</w:t>
            </w:r>
            <w:r w:rsidRPr="009974B7">
              <w:rPr>
                <w:rFonts w:ascii="Times New Roman" w:eastAsia="Times New Roman" w:hAnsi="Times New Roman" w:cs="Times New Roman"/>
                <w:b w:val="0"/>
                <w:bCs w:val="0"/>
                <w:color w:val="000000"/>
                <w:sz w:val="24"/>
                <w:szCs w:val="24"/>
                <w:vertAlign w:val="superscript"/>
              </w:rPr>
              <w:t>3</w:t>
            </w:r>
          </w:p>
        </w:tc>
        <w:tc>
          <w:tcPr>
            <w:tcW w:w="672" w:type="pct"/>
          </w:tcPr>
          <w:p w14:paraId="611FF614" w14:textId="1000B025"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22304472" w14:textId="77777777"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 xml:space="preserve">Initiative and curiosity, </w:t>
            </w:r>
            <w:proofErr w:type="gramStart"/>
            <w:r w:rsidRPr="009974B7">
              <w:rPr>
                <w:rFonts w:ascii="Times New Roman" w:hAnsi="Times New Roman" w:cs="Times New Roman"/>
                <w:sz w:val="24"/>
                <w:szCs w:val="24"/>
              </w:rPr>
              <w:t>engagement</w:t>
            </w:r>
            <w:proofErr w:type="gramEnd"/>
            <w:r w:rsidRPr="009974B7">
              <w:rPr>
                <w:rFonts w:ascii="Times New Roman" w:hAnsi="Times New Roman" w:cs="Times New Roman"/>
                <w:sz w:val="24"/>
                <w:szCs w:val="24"/>
              </w:rPr>
              <w:t xml:space="preserve"> and persistence,</w:t>
            </w:r>
          </w:p>
          <w:p w14:paraId="30BE8176" w14:textId="77777777"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and reasoning and problem-solving skills</w:t>
            </w:r>
          </w:p>
        </w:tc>
        <w:tc>
          <w:tcPr>
            <w:tcW w:w="642" w:type="pct"/>
          </w:tcPr>
          <w:p w14:paraId="1779609D"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PLBS</w:t>
            </w:r>
          </w:p>
        </w:tc>
        <w:tc>
          <w:tcPr>
            <w:tcW w:w="886" w:type="pct"/>
            <w:gridSpan w:val="2"/>
          </w:tcPr>
          <w:p w14:paraId="267C2B39"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6D746900"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tcPr>
          <w:p w14:paraId="12EB525A"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Bumgarner, Martin, &amp; Brooks-Gunn (2013) </w:t>
            </w:r>
          </w:p>
        </w:tc>
        <w:tc>
          <w:tcPr>
            <w:tcW w:w="672" w:type="pct"/>
          </w:tcPr>
          <w:p w14:paraId="68C2F560" w14:textId="05723F41"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1A4C43F0"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self-control, persistence, attentiveness, independence, and responsibility</w:t>
            </w:r>
          </w:p>
        </w:tc>
        <w:tc>
          <w:tcPr>
            <w:tcW w:w="642" w:type="pct"/>
          </w:tcPr>
          <w:p w14:paraId="7AD6FC6A" w14:textId="0AF162DA"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249E717C"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26A1F91A"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tcPr>
          <w:p w14:paraId="25ED25BB"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roofErr w:type="spellStart"/>
            <w:r w:rsidRPr="009974B7">
              <w:rPr>
                <w:rFonts w:ascii="Times New Roman" w:eastAsia="Times New Roman" w:hAnsi="Times New Roman" w:cs="Times New Roman"/>
                <w:b w:val="0"/>
                <w:bCs w:val="0"/>
                <w:color w:val="000000"/>
                <w:sz w:val="24"/>
                <w:szCs w:val="24"/>
              </w:rPr>
              <w:t>Bustamente</w:t>
            </w:r>
            <w:proofErr w:type="spellEnd"/>
            <w:r w:rsidRPr="009974B7">
              <w:rPr>
                <w:rFonts w:ascii="Times New Roman" w:eastAsia="Times New Roman" w:hAnsi="Times New Roman" w:cs="Times New Roman"/>
                <w:b w:val="0"/>
                <w:bCs w:val="0"/>
                <w:color w:val="000000"/>
                <w:sz w:val="24"/>
                <w:szCs w:val="24"/>
              </w:rPr>
              <w:t>, White, &amp; Greenfield (2017)</w:t>
            </w:r>
          </w:p>
        </w:tc>
        <w:tc>
          <w:tcPr>
            <w:tcW w:w="672" w:type="pct"/>
          </w:tcPr>
          <w:p w14:paraId="15CD2CCF" w14:textId="696A0E8C"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7B3CCBAD"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Curiosity, persistence, planning, motivation, and engagement in group learning</w:t>
            </w:r>
          </w:p>
        </w:tc>
        <w:tc>
          <w:tcPr>
            <w:tcW w:w="642" w:type="pct"/>
          </w:tcPr>
          <w:p w14:paraId="665E9AD0" w14:textId="24BD0A65"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Learning-to-Learn Scale</w:t>
            </w:r>
          </w:p>
        </w:tc>
        <w:tc>
          <w:tcPr>
            <w:tcW w:w="886" w:type="pct"/>
            <w:gridSpan w:val="2"/>
          </w:tcPr>
          <w:p w14:paraId="56661E37" w14:textId="03449000"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974B7">
              <w:rPr>
                <w:rFonts w:ascii="Times New Roman" w:eastAsia="Times New Roman" w:hAnsi="Times New Roman" w:cs="Times New Roman"/>
                <w:color w:val="000000"/>
                <w:sz w:val="24"/>
                <w:szCs w:val="24"/>
              </w:rPr>
              <w:t>Strategic planning, effectiveness motivation, interpersonal responsiveness in learning, vocal engagement in learning, sustained focus in learning, acceptance of novelty and risk, and group learning</w:t>
            </w:r>
          </w:p>
        </w:tc>
      </w:tr>
      <w:tr w:rsidR="0018337E" w:rsidRPr="009974B7" w14:paraId="7BDE2805" w14:textId="77777777" w:rsidTr="00A079A9">
        <w:trPr>
          <w:trHeight w:val="458"/>
        </w:trPr>
        <w:tc>
          <w:tcPr>
            <w:cnfStyle w:val="001000000000" w:firstRow="0" w:lastRow="0" w:firstColumn="1" w:lastColumn="0" w:oddVBand="0" w:evenVBand="0" w:oddHBand="0" w:evenHBand="0" w:firstRowFirstColumn="0" w:firstRowLastColumn="0" w:lastRowFirstColumn="0" w:lastRowLastColumn="0"/>
            <w:tcW w:w="1910" w:type="pct"/>
          </w:tcPr>
          <w:p w14:paraId="2EDE1B1C"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roofErr w:type="spellStart"/>
            <w:r w:rsidRPr="009974B7">
              <w:rPr>
                <w:rFonts w:ascii="Times New Roman" w:hAnsi="Times New Roman" w:cs="Times New Roman"/>
                <w:b w:val="0"/>
                <w:bCs w:val="0"/>
                <w:sz w:val="24"/>
                <w:szCs w:val="24"/>
              </w:rPr>
              <w:lastRenderedPageBreak/>
              <w:t>Bustamente</w:t>
            </w:r>
            <w:proofErr w:type="spellEnd"/>
            <w:r w:rsidRPr="009974B7">
              <w:rPr>
                <w:rFonts w:ascii="Times New Roman" w:hAnsi="Times New Roman" w:cs="Times New Roman"/>
                <w:b w:val="0"/>
                <w:bCs w:val="0"/>
                <w:sz w:val="24"/>
                <w:szCs w:val="24"/>
              </w:rPr>
              <w:t xml:space="preserve"> &amp; Hindman (2018)</w:t>
            </w:r>
          </w:p>
        </w:tc>
        <w:tc>
          <w:tcPr>
            <w:tcW w:w="672" w:type="pct"/>
          </w:tcPr>
          <w:p w14:paraId="19C2D1A6" w14:textId="7854F22A"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61F183ED"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color w:val="2E2E2E"/>
                <w:sz w:val="24"/>
                <w:szCs w:val="24"/>
              </w:rPr>
              <w:t>a set of </w:t>
            </w:r>
            <w:r w:rsidRPr="009974B7">
              <w:rPr>
                <w:rFonts w:ascii="Times New Roman" w:hAnsi="Times New Roman" w:cs="Times New Roman"/>
                <w:sz w:val="24"/>
                <w:szCs w:val="24"/>
              </w:rPr>
              <w:t>domain-general skills</w:t>
            </w:r>
            <w:r w:rsidRPr="009974B7">
              <w:rPr>
                <w:rFonts w:ascii="Times New Roman" w:hAnsi="Times New Roman" w:cs="Times New Roman"/>
                <w:color w:val="2E2E2E"/>
                <w:sz w:val="24"/>
                <w:szCs w:val="24"/>
              </w:rPr>
              <w:t> that help children navigate learning situations such as investigating a new idea, solving a problem that arises in a challenging activity, or working collaboratively with adults or peers to complete an assignment</w:t>
            </w:r>
          </w:p>
        </w:tc>
        <w:tc>
          <w:tcPr>
            <w:tcW w:w="642" w:type="pct"/>
          </w:tcPr>
          <w:p w14:paraId="095F04E6"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1D4BB151"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74CC3989" w14:textId="77777777" w:rsidTr="00A079A9">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910" w:type="pct"/>
          </w:tcPr>
          <w:p w14:paraId="14B23F7B" w14:textId="77777777" w:rsidR="0018337E" w:rsidRPr="009974B7" w:rsidRDefault="0018337E" w:rsidP="00E31D47">
            <w:pPr>
              <w:contextualSpacing/>
              <w:rPr>
                <w:rFonts w:ascii="Times New Roman" w:hAnsi="Times New Roman" w:cs="Times New Roman"/>
                <w:b w:val="0"/>
                <w:bCs w:val="0"/>
                <w:sz w:val="24"/>
                <w:szCs w:val="24"/>
              </w:rPr>
            </w:pPr>
            <w:proofErr w:type="spellStart"/>
            <w:r w:rsidRPr="009974B7">
              <w:rPr>
                <w:rFonts w:ascii="Times New Roman" w:hAnsi="Times New Roman" w:cs="Times New Roman"/>
                <w:b w:val="0"/>
                <w:bCs w:val="0"/>
                <w:sz w:val="24"/>
                <w:szCs w:val="24"/>
              </w:rPr>
              <w:t>Bustamente</w:t>
            </w:r>
            <w:proofErr w:type="spellEnd"/>
            <w:r w:rsidRPr="009974B7">
              <w:rPr>
                <w:rFonts w:ascii="Times New Roman" w:hAnsi="Times New Roman" w:cs="Times New Roman"/>
                <w:b w:val="0"/>
                <w:bCs w:val="0"/>
                <w:sz w:val="24"/>
                <w:szCs w:val="24"/>
              </w:rPr>
              <w:t xml:space="preserve"> &amp; Hindman (2019)</w:t>
            </w:r>
            <w:r w:rsidRPr="009974B7">
              <w:rPr>
                <w:rFonts w:ascii="Times New Roman" w:hAnsi="Times New Roman" w:cs="Times New Roman"/>
                <w:b w:val="0"/>
                <w:bCs w:val="0"/>
                <w:sz w:val="24"/>
                <w:szCs w:val="24"/>
                <w:vertAlign w:val="superscript"/>
              </w:rPr>
              <w:t>4</w:t>
            </w:r>
          </w:p>
        </w:tc>
        <w:tc>
          <w:tcPr>
            <w:tcW w:w="672" w:type="pct"/>
          </w:tcPr>
          <w:p w14:paraId="153A084F" w14:textId="6DDB2EDE"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6E5D8222"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Skills such as persistence, sustained focus, peer communication/collaboration, and openness to new and challenging experiences</w:t>
            </w:r>
          </w:p>
        </w:tc>
        <w:tc>
          <w:tcPr>
            <w:tcW w:w="642" w:type="pct"/>
          </w:tcPr>
          <w:p w14:paraId="14563E7A"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4BA785FE"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This scale includes items that reflect attentiveness, task persistence, eagerness to learn, independence, flexibility, and organization.</w:t>
            </w:r>
          </w:p>
        </w:tc>
      </w:tr>
      <w:tr w:rsidR="0018337E" w:rsidRPr="009974B7" w14:paraId="43CD5213" w14:textId="77777777" w:rsidTr="00A079A9">
        <w:trPr>
          <w:trHeight w:val="343"/>
        </w:trPr>
        <w:tc>
          <w:tcPr>
            <w:cnfStyle w:val="001000000000" w:firstRow="0" w:lastRow="0" w:firstColumn="1" w:lastColumn="0" w:oddVBand="0" w:evenVBand="0" w:oddHBand="0" w:evenHBand="0" w:firstRowFirstColumn="0" w:firstRowLastColumn="0" w:lastRowFirstColumn="0" w:lastRowLastColumn="0"/>
            <w:tcW w:w="1910" w:type="pct"/>
            <w:vMerge w:val="restart"/>
            <w:noWrap/>
          </w:tcPr>
          <w:p w14:paraId="59C83BEC"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Cerda, Im, &amp; Hughes (2014)</w:t>
            </w:r>
          </w:p>
        </w:tc>
        <w:tc>
          <w:tcPr>
            <w:tcW w:w="672" w:type="pct"/>
            <w:vMerge w:val="restart"/>
          </w:tcPr>
          <w:p w14:paraId="71AFB003" w14:textId="0CA1E3ED"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Learning-Related Skills</w:t>
            </w:r>
          </w:p>
        </w:tc>
        <w:tc>
          <w:tcPr>
            <w:tcW w:w="890" w:type="pct"/>
            <w:vMerge w:val="restart"/>
          </w:tcPr>
          <w:p w14:paraId="7C0056C7"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behavioral self-regulation, prosocial skills, and the ability to maintain and focus attention</w:t>
            </w:r>
          </w:p>
        </w:tc>
        <w:tc>
          <w:tcPr>
            <w:tcW w:w="642" w:type="pct"/>
          </w:tcPr>
          <w:p w14:paraId="340DFB84" w14:textId="39B1B684"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Effortful Control</w:t>
            </w:r>
          </w:p>
        </w:tc>
        <w:tc>
          <w:tcPr>
            <w:tcW w:w="886" w:type="pct"/>
            <w:gridSpan w:val="2"/>
          </w:tcPr>
          <w:p w14:paraId="1776CE19" w14:textId="71B3C15D"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Task Accuracy and Inhibitory Control via Direct Assessment task: Walk-</w:t>
            </w:r>
            <w:proofErr w:type="spellStart"/>
            <w:r w:rsidRPr="009974B7">
              <w:rPr>
                <w:rFonts w:ascii="Times New Roman" w:eastAsia="Times New Roman" w:hAnsi="Times New Roman" w:cs="Times New Roman"/>
                <w:color w:val="000000"/>
                <w:sz w:val="24"/>
                <w:szCs w:val="24"/>
              </w:rPr>
              <w:t>a-Line</w:t>
            </w:r>
            <w:proofErr w:type="spellEnd"/>
            <w:r w:rsidRPr="009974B7">
              <w:rPr>
                <w:rFonts w:ascii="Times New Roman" w:eastAsia="Times New Roman" w:hAnsi="Times New Roman" w:cs="Times New Roman"/>
                <w:color w:val="000000"/>
                <w:sz w:val="24"/>
                <w:szCs w:val="24"/>
              </w:rPr>
              <w:t>, Star, Telephone Poles, and Circle</w:t>
            </w:r>
          </w:p>
        </w:tc>
      </w:tr>
      <w:tr w:rsidR="0018337E" w:rsidRPr="009974B7" w14:paraId="682B0EAE" w14:textId="77777777" w:rsidTr="00A079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910" w:type="pct"/>
            <w:vMerge/>
            <w:noWrap/>
          </w:tcPr>
          <w:p w14:paraId="36D27733"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
        </w:tc>
        <w:tc>
          <w:tcPr>
            <w:tcW w:w="672" w:type="pct"/>
            <w:vMerge/>
          </w:tcPr>
          <w:p w14:paraId="4333A044"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90" w:type="pct"/>
            <w:vMerge/>
          </w:tcPr>
          <w:p w14:paraId="2E982825"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42" w:type="pct"/>
          </w:tcPr>
          <w:p w14:paraId="1E48EC4F"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Social Competence</w:t>
            </w:r>
          </w:p>
        </w:tc>
        <w:tc>
          <w:tcPr>
            <w:tcW w:w="886" w:type="pct"/>
            <w:gridSpan w:val="2"/>
          </w:tcPr>
          <w:p w14:paraId="6E9E5682"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Teacher Ratings of peer likability and prosocial behavior</w:t>
            </w:r>
          </w:p>
          <w:p w14:paraId="4B69A1D3"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Peer-rated likability</w:t>
            </w:r>
          </w:p>
          <w:p w14:paraId="2E720B5F" w14:textId="180DFDB4"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Peer nominations regarding prosocial behavior</w:t>
            </w:r>
          </w:p>
        </w:tc>
      </w:tr>
      <w:tr w:rsidR="0018337E" w:rsidRPr="009974B7" w14:paraId="2F9F7581" w14:textId="77777777" w:rsidTr="00A079A9">
        <w:trPr>
          <w:trHeight w:val="343"/>
        </w:trPr>
        <w:tc>
          <w:tcPr>
            <w:cnfStyle w:val="001000000000" w:firstRow="0" w:lastRow="0" w:firstColumn="1" w:lastColumn="0" w:oddVBand="0" w:evenVBand="0" w:oddHBand="0" w:evenHBand="0" w:firstRowFirstColumn="0" w:firstRowLastColumn="0" w:lastRowFirstColumn="0" w:lastRowLastColumn="0"/>
            <w:tcW w:w="1910" w:type="pct"/>
            <w:vMerge/>
            <w:noWrap/>
          </w:tcPr>
          <w:p w14:paraId="56DF1AE0"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
        </w:tc>
        <w:tc>
          <w:tcPr>
            <w:tcW w:w="672" w:type="pct"/>
            <w:vMerge/>
          </w:tcPr>
          <w:p w14:paraId="4816F245"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890" w:type="pct"/>
            <w:vMerge/>
          </w:tcPr>
          <w:p w14:paraId="33591450"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42" w:type="pct"/>
          </w:tcPr>
          <w:p w14:paraId="7B6D1355" w14:textId="6BCAB209"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Behavioral Self-Regulation</w:t>
            </w:r>
          </w:p>
        </w:tc>
        <w:tc>
          <w:tcPr>
            <w:tcW w:w="886" w:type="pct"/>
            <w:gridSpan w:val="2"/>
          </w:tcPr>
          <w:p w14:paraId="228B8EA7"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Teacher rated classroom engagement</w:t>
            </w:r>
          </w:p>
          <w:p w14:paraId="5EEC705C" w14:textId="5A1D06B1"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Teacher-rated attention control and behavioral control</w:t>
            </w:r>
          </w:p>
        </w:tc>
      </w:tr>
      <w:tr w:rsidR="0018337E" w:rsidRPr="009974B7" w14:paraId="3A450B30" w14:textId="77777777" w:rsidTr="00A079A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910" w:type="pct"/>
            <w:noWrap/>
          </w:tcPr>
          <w:p w14:paraId="136BA7EA"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Daniels (2014) </w:t>
            </w:r>
          </w:p>
        </w:tc>
        <w:tc>
          <w:tcPr>
            <w:tcW w:w="672" w:type="pct"/>
          </w:tcPr>
          <w:p w14:paraId="24156B84" w14:textId="2696A538"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64CA6092"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Affective orientations</w:t>
            </w:r>
          </w:p>
          <w:p w14:paraId="42E7B507"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Engagement</w:t>
            </w:r>
          </w:p>
          <w:p w14:paraId="4E18AE46"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Task focus</w:t>
            </w:r>
          </w:p>
          <w:p w14:paraId="23E2A061"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Persistence in the face of challenge</w:t>
            </w:r>
          </w:p>
          <w:p w14:paraId="482F60C3" w14:textId="7C4D24EA"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Interpersonal responsiveness</w:t>
            </w:r>
          </w:p>
        </w:tc>
        <w:tc>
          <w:tcPr>
            <w:tcW w:w="642" w:type="pct"/>
          </w:tcPr>
          <w:p w14:paraId="5C9FE32B" w14:textId="368E21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Teacher Rating Scale of School Adjustment</w:t>
            </w:r>
          </w:p>
        </w:tc>
        <w:tc>
          <w:tcPr>
            <w:tcW w:w="886" w:type="pct"/>
            <w:gridSpan w:val="2"/>
          </w:tcPr>
          <w:p w14:paraId="7CDAC9A6"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On-Task Classroom Involvement</w:t>
            </w:r>
          </w:p>
          <w:p w14:paraId="7076EE1F"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Maturity</w:t>
            </w:r>
          </w:p>
          <w:p w14:paraId="1D9A0F2E" w14:textId="05A6A0D6"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Positive Engagement</w:t>
            </w:r>
          </w:p>
        </w:tc>
      </w:tr>
      <w:tr w:rsidR="0018337E" w:rsidRPr="009974B7" w14:paraId="05982016"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05CB021D"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roofErr w:type="spellStart"/>
            <w:r w:rsidRPr="009974B7">
              <w:rPr>
                <w:rFonts w:ascii="Times New Roman" w:eastAsia="Times New Roman" w:hAnsi="Times New Roman" w:cs="Times New Roman"/>
                <w:b w:val="0"/>
                <w:bCs w:val="0"/>
                <w:color w:val="000000"/>
                <w:sz w:val="24"/>
                <w:szCs w:val="24"/>
              </w:rPr>
              <w:t>DiPerna</w:t>
            </w:r>
            <w:proofErr w:type="spellEnd"/>
            <w:r w:rsidRPr="009974B7">
              <w:rPr>
                <w:rFonts w:ascii="Times New Roman" w:eastAsia="Times New Roman" w:hAnsi="Times New Roman" w:cs="Times New Roman"/>
                <w:b w:val="0"/>
                <w:bCs w:val="0"/>
                <w:color w:val="000000"/>
                <w:sz w:val="24"/>
                <w:szCs w:val="24"/>
              </w:rPr>
              <w:t xml:space="preserve">, Lei, &amp; Reid (2007) </w:t>
            </w:r>
          </w:p>
        </w:tc>
        <w:tc>
          <w:tcPr>
            <w:tcW w:w="672" w:type="pct"/>
          </w:tcPr>
          <w:p w14:paraId="581CC58F" w14:textId="6474D39C"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62D3F389" w14:textId="7F3899B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persistence, attention regulation, following teacher directions, staying on task, participating in groups</w:t>
            </w:r>
          </w:p>
        </w:tc>
        <w:tc>
          <w:tcPr>
            <w:tcW w:w="642" w:type="pct"/>
          </w:tcPr>
          <w:p w14:paraId="7832C0E2"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4E1E9071"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7E474CF0"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3813A816"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Doctoroff, Fisher, Burrows, &amp; Edman (2016) </w:t>
            </w:r>
          </w:p>
        </w:tc>
        <w:tc>
          <w:tcPr>
            <w:tcW w:w="672" w:type="pct"/>
          </w:tcPr>
          <w:p w14:paraId="65242164" w14:textId="64FBA989"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Global Interest</w:t>
            </w:r>
          </w:p>
          <w:p w14:paraId="3621EB85"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p w14:paraId="4E552043"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90" w:type="pct"/>
          </w:tcPr>
          <w:p w14:paraId="32C3871A"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 xml:space="preserve">children’s initiative, curiosity, and enthusiasm in </w:t>
            </w:r>
            <w:r w:rsidRPr="009974B7">
              <w:rPr>
                <w:rFonts w:ascii="Times New Roman" w:hAnsi="Times New Roman" w:cs="Times New Roman"/>
                <w:sz w:val="24"/>
                <w:szCs w:val="24"/>
              </w:rPr>
              <w:lastRenderedPageBreak/>
              <w:t>learning situations; orientation of attention to learning; independent pursuit of learning activities; and level of participation in, persistence with, and completion of learning activities</w:t>
            </w:r>
          </w:p>
        </w:tc>
        <w:tc>
          <w:tcPr>
            <w:tcW w:w="642" w:type="pct"/>
          </w:tcPr>
          <w:p w14:paraId="1222C558" w14:textId="25A3D632"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lastRenderedPageBreak/>
              <w:t>PLBS</w:t>
            </w:r>
          </w:p>
        </w:tc>
        <w:tc>
          <w:tcPr>
            <w:tcW w:w="886" w:type="pct"/>
            <w:gridSpan w:val="2"/>
          </w:tcPr>
          <w:p w14:paraId="5AF96CBA"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Competence Motivation</w:t>
            </w:r>
          </w:p>
          <w:p w14:paraId="2DCCF868"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Attention/Persistence</w:t>
            </w:r>
          </w:p>
          <w:p w14:paraId="2B6289A5" w14:textId="195D0572"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lastRenderedPageBreak/>
              <w:t>Attitude Toward Learning</w:t>
            </w:r>
          </w:p>
        </w:tc>
      </w:tr>
      <w:tr w:rsidR="0018337E" w:rsidRPr="009974B7" w14:paraId="02069B60"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105F96C4"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Elliot (2019)</w:t>
            </w:r>
          </w:p>
        </w:tc>
        <w:tc>
          <w:tcPr>
            <w:tcW w:w="672" w:type="pct"/>
          </w:tcPr>
          <w:p w14:paraId="3E278F2E" w14:textId="20A6B29E"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0EACB779"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remain focused and engaged and specific behaviors such as cooperating with other students, paying attention to the teacher, and completing tasks when asked</w:t>
            </w:r>
          </w:p>
        </w:tc>
        <w:tc>
          <w:tcPr>
            <w:tcW w:w="642" w:type="pct"/>
          </w:tcPr>
          <w:p w14:paraId="130755AE"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1B6EBAF2"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170411CC"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528373F6" w14:textId="77777777" w:rsidR="0018337E" w:rsidRPr="009974B7" w:rsidRDefault="0018337E" w:rsidP="00E31D47">
            <w:pPr>
              <w:contextualSpacing/>
              <w:rPr>
                <w:rFonts w:ascii="Times New Roman" w:hAnsi="Times New Roman" w:cs="Times New Roman"/>
                <w:b w:val="0"/>
                <w:bCs w:val="0"/>
                <w:sz w:val="24"/>
                <w:szCs w:val="24"/>
              </w:rPr>
            </w:pPr>
            <w:r w:rsidRPr="009974B7">
              <w:rPr>
                <w:rFonts w:ascii="Times New Roman" w:hAnsi="Times New Roman" w:cs="Times New Roman"/>
                <w:b w:val="0"/>
                <w:bCs w:val="0"/>
                <w:sz w:val="24"/>
                <w:szCs w:val="24"/>
              </w:rPr>
              <w:t>George &amp; Greenfield (2005)</w:t>
            </w:r>
          </w:p>
        </w:tc>
        <w:tc>
          <w:tcPr>
            <w:tcW w:w="672" w:type="pct"/>
          </w:tcPr>
          <w:p w14:paraId="18048627"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009B5239"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eagerness, curiosity, persistence, flexibility, inventiveness, engagement in a variety of new and familiar activities, preference for challenge, initiative, and self-direction</w:t>
            </w:r>
          </w:p>
        </w:tc>
        <w:tc>
          <w:tcPr>
            <w:tcW w:w="642" w:type="pct"/>
          </w:tcPr>
          <w:p w14:paraId="61AE1631" w14:textId="361F26D3"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Social Skills Rating System</w:t>
            </w:r>
          </w:p>
        </w:tc>
        <w:tc>
          <w:tcPr>
            <w:tcW w:w="886" w:type="pct"/>
            <w:gridSpan w:val="2"/>
          </w:tcPr>
          <w:p w14:paraId="6E964C90" w14:textId="396DF6F8"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Ability to handle transitions, enthusiasm</w:t>
            </w:r>
            <w:r w:rsidR="000B4B73">
              <w:rPr>
                <w:rFonts w:ascii="Times New Roman" w:eastAsia="Times New Roman" w:hAnsi="Times New Roman" w:cs="Times New Roman"/>
                <w:color w:val="000000"/>
                <w:sz w:val="24"/>
                <w:szCs w:val="24"/>
              </w:rPr>
              <w:t>,</w:t>
            </w:r>
            <w:r w:rsidRPr="009974B7">
              <w:rPr>
                <w:rFonts w:ascii="Times New Roman" w:eastAsia="Times New Roman" w:hAnsi="Times New Roman" w:cs="Times New Roman"/>
                <w:color w:val="000000"/>
                <w:sz w:val="24"/>
                <w:szCs w:val="24"/>
              </w:rPr>
              <w:t xml:space="preserve"> and interest, persistence at challenging tasks, initiates conversations with peers, uses time appropriately, cooperates,</w:t>
            </w:r>
          </w:p>
        </w:tc>
      </w:tr>
      <w:tr w:rsidR="0018337E" w:rsidRPr="009974B7" w14:paraId="323AB1EB"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122B7EBA"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hAnsi="Times New Roman" w:cs="Times New Roman"/>
                <w:b w:val="0"/>
                <w:bCs w:val="0"/>
                <w:sz w:val="24"/>
                <w:szCs w:val="24"/>
              </w:rPr>
              <w:lastRenderedPageBreak/>
              <w:t>Hair, Halle, Terry-</w:t>
            </w:r>
            <w:proofErr w:type="spellStart"/>
            <w:r w:rsidRPr="009974B7">
              <w:rPr>
                <w:rFonts w:ascii="Times New Roman" w:hAnsi="Times New Roman" w:cs="Times New Roman"/>
                <w:b w:val="0"/>
                <w:bCs w:val="0"/>
                <w:sz w:val="24"/>
                <w:szCs w:val="24"/>
              </w:rPr>
              <w:t>Humen</w:t>
            </w:r>
            <w:proofErr w:type="spellEnd"/>
            <w:r w:rsidRPr="009974B7">
              <w:rPr>
                <w:rFonts w:ascii="Times New Roman" w:hAnsi="Times New Roman" w:cs="Times New Roman"/>
                <w:b w:val="0"/>
                <w:bCs w:val="0"/>
                <w:sz w:val="24"/>
                <w:szCs w:val="24"/>
              </w:rPr>
              <w:t xml:space="preserve">, Lavelle, &amp; Calkins (2006) </w:t>
            </w:r>
          </w:p>
        </w:tc>
        <w:tc>
          <w:tcPr>
            <w:tcW w:w="672" w:type="pct"/>
          </w:tcPr>
          <w:p w14:paraId="29A96137" w14:textId="68F3BFF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620344EF" w14:textId="6A184D9B" w:rsidR="0018337E" w:rsidRPr="009974B7" w:rsidRDefault="0018337E" w:rsidP="00A079A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openness and curiosity to tasks and challenges, task persistence, imagination, attentiveness, and cognitive learning style</w:t>
            </w:r>
          </w:p>
        </w:tc>
        <w:tc>
          <w:tcPr>
            <w:tcW w:w="642" w:type="pct"/>
          </w:tcPr>
          <w:p w14:paraId="32786961" w14:textId="41661C35"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506F7EEF"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Parent Report</w:t>
            </w:r>
          </w:p>
          <w:p w14:paraId="606588B7" w14:textId="77777777" w:rsidR="0018337E" w:rsidRPr="009974B7" w:rsidRDefault="0018337E" w:rsidP="00A079A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Teacher Report</w:t>
            </w:r>
          </w:p>
        </w:tc>
      </w:tr>
      <w:tr w:rsidR="0018337E" w:rsidRPr="009974B7" w14:paraId="21F4AC4B"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10C84B42" w14:textId="77777777" w:rsidR="0018337E" w:rsidRPr="009974B7" w:rsidRDefault="0018337E" w:rsidP="00E31D47">
            <w:pPr>
              <w:contextualSpacing/>
              <w:rPr>
                <w:rFonts w:ascii="Times New Roman" w:hAnsi="Times New Roman" w:cs="Times New Roman"/>
                <w:b w:val="0"/>
                <w:bCs w:val="0"/>
                <w:sz w:val="24"/>
                <w:szCs w:val="24"/>
              </w:rPr>
            </w:pPr>
            <w:r w:rsidRPr="009974B7">
              <w:rPr>
                <w:rFonts w:ascii="Times New Roman" w:eastAsia="Times New Roman" w:hAnsi="Times New Roman" w:cs="Times New Roman"/>
                <w:b w:val="0"/>
                <w:bCs w:val="0"/>
                <w:color w:val="000000"/>
                <w:sz w:val="24"/>
                <w:szCs w:val="24"/>
              </w:rPr>
              <w:t xml:space="preserve">Halliday, Calkins, &amp; </w:t>
            </w:r>
            <w:proofErr w:type="spellStart"/>
            <w:r w:rsidRPr="009974B7">
              <w:rPr>
                <w:rFonts w:ascii="Times New Roman" w:eastAsia="Times New Roman" w:hAnsi="Times New Roman" w:cs="Times New Roman"/>
                <w:b w:val="0"/>
                <w:bCs w:val="0"/>
                <w:color w:val="000000"/>
                <w:sz w:val="24"/>
                <w:szCs w:val="24"/>
              </w:rPr>
              <w:t>Leerkes</w:t>
            </w:r>
            <w:proofErr w:type="spellEnd"/>
            <w:r w:rsidRPr="009974B7">
              <w:rPr>
                <w:rFonts w:ascii="Times New Roman" w:eastAsia="Times New Roman" w:hAnsi="Times New Roman" w:cs="Times New Roman"/>
                <w:b w:val="0"/>
                <w:bCs w:val="0"/>
                <w:color w:val="000000"/>
                <w:sz w:val="24"/>
                <w:szCs w:val="24"/>
              </w:rPr>
              <w:t xml:space="preserve"> (2018) </w:t>
            </w:r>
          </w:p>
        </w:tc>
        <w:tc>
          <w:tcPr>
            <w:tcW w:w="672" w:type="pct"/>
          </w:tcPr>
          <w:p w14:paraId="6EFBD002" w14:textId="0555027C"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 Engagement</w:t>
            </w:r>
          </w:p>
        </w:tc>
        <w:tc>
          <w:tcPr>
            <w:tcW w:w="890" w:type="pct"/>
          </w:tcPr>
          <w:p w14:paraId="4D67BCEF" w14:textId="77777777"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the behavioral, cognitive, and affective</w:t>
            </w:r>
          </w:p>
          <w:p w14:paraId="1FC7FF5B" w14:textId="294D11BC"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result of internal drives</w:t>
            </w:r>
          </w:p>
          <w:p w14:paraId="569C1A6D"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on-task behavior, attention during instructions, rule adherence, and the contribution of questions or observations at appropriate times.</w:t>
            </w:r>
          </w:p>
        </w:tc>
        <w:tc>
          <w:tcPr>
            <w:tcW w:w="642" w:type="pct"/>
          </w:tcPr>
          <w:p w14:paraId="3DAEB5AB"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PLBS</w:t>
            </w:r>
          </w:p>
        </w:tc>
        <w:tc>
          <w:tcPr>
            <w:tcW w:w="886" w:type="pct"/>
            <w:gridSpan w:val="2"/>
          </w:tcPr>
          <w:p w14:paraId="727C3470"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18337E" w:rsidRPr="009974B7" w14:paraId="3B656C2F"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4282799C"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Hooper, Roberts, Sideris, </w:t>
            </w:r>
            <w:proofErr w:type="spellStart"/>
            <w:r w:rsidRPr="009974B7">
              <w:rPr>
                <w:rFonts w:ascii="Times New Roman" w:eastAsia="Times New Roman" w:hAnsi="Times New Roman" w:cs="Times New Roman"/>
                <w:b w:val="0"/>
                <w:bCs w:val="0"/>
                <w:color w:val="000000"/>
                <w:sz w:val="24"/>
                <w:szCs w:val="24"/>
              </w:rPr>
              <w:t>Burchinal</w:t>
            </w:r>
            <w:proofErr w:type="spellEnd"/>
            <w:r w:rsidRPr="009974B7">
              <w:rPr>
                <w:rFonts w:ascii="Times New Roman" w:eastAsia="Times New Roman" w:hAnsi="Times New Roman" w:cs="Times New Roman"/>
                <w:b w:val="0"/>
                <w:bCs w:val="0"/>
                <w:color w:val="000000"/>
                <w:sz w:val="24"/>
                <w:szCs w:val="24"/>
              </w:rPr>
              <w:t xml:space="preserve">, &amp; Zeisel (2010) </w:t>
            </w:r>
          </w:p>
        </w:tc>
        <w:tc>
          <w:tcPr>
            <w:tcW w:w="672" w:type="pct"/>
          </w:tcPr>
          <w:p w14:paraId="228030A3" w14:textId="0CAE261A"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Attention</w:t>
            </w:r>
          </w:p>
        </w:tc>
        <w:tc>
          <w:tcPr>
            <w:tcW w:w="890" w:type="pct"/>
          </w:tcPr>
          <w:p w14:paraId="2AD6A453"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642" w:type="pct"/>
          </w:tcPr>
          <w:p w14:paraId="076AC618"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263E3434"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6F162E7F"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3CF410E1"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Hunter, Bierman, &amp; Hall (2018) </w:t>
            </w:r>
          </w:p>
        </w:tc>
        <w:tc>
          <w:tcPr>
            <w:tcW w:w="672" w:type="pct"/>
          </w:tcPr>
          <w:p w14:paraId="7A385E5A" w14:textId="0FF86DE5"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5F88A1FF"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a set of skills that enable children to engage fully in learning, including self-regulation and executive functions</w:t>
            </w:r>
          </w:p>
        </w:tc>
        <w:tc>
          <w:tcPr>
            <w:tcW w:w="642" w:type="pct"/>
          </w:tcPr>
          <w:p w14:paraId="17BBA4DB" w14:textId="489C9161"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School Readiness Questionnaire</w:t>
            </w:r>
          </w:p>
        </w:tc>
        <w:tc>
          <w:tcPr>
            <w:tcW w:w="886" w:type="pct"/>
            <w:gridSpan w:val="2"/>
          </w:tcPr>
          <w:p w14:paraId="14B02AA5" w14:textId="39821001"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Being able to sit at a table and do work</w:t>
            </w:r>
          </w:p>
          <w:p w14:paraId="4560C18D"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Being able to work independently</w:t>
            </w:r>
          </w:p>
          <w:p w14:paraId="2BEE0E3F" w14:textId="4DACC111"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Careful with work</w:t>
            </w:r>
          </w:p>
          <w:p w14:paraId="66A5606D"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lastRenderedPageBreak/>
              <w:t>Willing to follow teacher instructions</w:t>
            </w:r>
          </w:p>
          <w:p w14:paraId="717111C2"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Enthusiastic about learning new things</w:t>
            </w:r>
          </w:p>
          <w:p w14:paraId="19C3295A" w14:textId="777786AF"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Can follow the rules/routines that are part of the school day</w:t>
            </w:r>
          </w:p>
        </w:tc>
      </w:tr>
      <w:tr w:rsidR="0018337E" w:rsidRPr="009974B7" w14:paraId="47BE9CC3" w14:textId="77777777" w:rsidTr="00A079A9">
        <w:trPr>
          <w:trHeight w:val="345"/>
        </w:trPr>
        <w:tc>
          <w:tcPr>
            <w:cnfStyle w:val="001000000000" w:firstRow="0" w:lastRow="0" w:firstColumn="1" w:lastColumn="0" w:oddVBand="0" w:evenVBand="0" w:oddHBand="0" w:evenHBand="0" w:firstRowFirstColumn="0" w:firstRowLastColumn="0" w:lastRowFirstColumn="0" w:lastRowLastColumn="0"/>
            <w:tcW w:w="1910" w:type="pct"/>
            <w:vMerge w:val="restart"/>
            <w:noWrap/>
          </w:tcPr>
          <w:p w14:paraId="41029EF2"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Li-Grinning, Votruba-</w:t>
            </w:r>
            <w:proofErr w:type="spellStart"/>
            <w:r w:rsidRPr="009974B7">
              <w:rPr>
                <w:rFonts w:ascii="Times New Roman" w:eastAsia="Times New Roman" w:hAnsi="Times New Roman" w:cs="Times New Roman"/>
                <w:b w:val="0"/>
                <w:bCs w:val="0"/>
                <w:color w:val="000000"/>
                <w:sz w:val="24"/>
                <w:szCs w:val="24"/>
              </w:rPr>
              <w:t>Drzal</w:t>
            </w:r>
            <w:proofErr w:type="spellEnd"/>
            <w:r w:rsidRPr="009974B7">
              <w:rPr>
                <w:rFonts w:ascii="Times New Roman" w:eastAsia="Times New Roman" w:hAnsi="Times New Roman" w:cs="Times New Roman"/>
                <w:b w:val="0"/>
                <w:bCs w:val="0"/>
                <w:color w:val="000000"/>
                <w:sz w:val="24"/>
                <w:szCs w:val="24"/>
              </w:rPr>
              <w:t>, Maldonado-</w:t>
            </w:r>
            <w:proofErr w:type="spellStart"/>
            <w:r w:rsidRPr="009974B7">
              <w:rPr>
                <w:rFonts w:ascii="Times New Roman" w:eastAsia="Times New Roman" w:hAnsi="Times New Roman" w:cs="Times New Roman"/>
                <w:b w:val="0"/>
                <w:bCs w:val="0"/>
                <w:color w:val="000000"/>
                <w:sz w:val="24"/>
                <w:szCs w:val="24"/>
              </w:rPr>
              <w:t>Carreno</w:t>
            </w:r>
            <w:proofErr w:type="spellEnd"/>
            <w:r w:rsidRPr="009974B7">
              <w:rPr>
                <w:rFonts w:ascii="Times New Roman" w:eastAsia="Times New Roman" w:hAnsi="Times New Roman" w:cs="Times New Roman"/>
                <w:b w:val="0"/>
                <w:bCs w:val="0"/>
                <w:color w:val="000000"/>
                <w:sz w:val="24"/>
                <w:szCs w:val="24"/>
              </w:rPr>
              <w:t>, &amp; Haas (2010)</w:t>
            </w:r>
          </w:p>
        </w:tc>
        <w:tc>
          <w:tcPr>
            <w:tcW w:w="672" w:type="pct"/>
            <w:vMerge w:val="restart"/>
          </w:tcPr>
          <w:p w14:paraId="1C987778" w14:textId="3F76DBCA"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vMerge w:val="restart"/>
          </w:tcPr>
          <w:p w14:paraId="202BE9FF" w14:textId="77777777" w:rsidR="0018337E" w:rsidRPr="009974B7" w:rsidRDefault="0018337E" w:rsidP="00A079A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the individual characteristics and observable behaviors</w:t>
            </w:r>
          </w:p>
          <w:p w14:paraId="4FBCA657"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that children show while taking part in learning activities. It includes persistence, emotion regulation, attentiveness, flexibility, and organization</w:t>
            </w:r>
          </w:p>
        </w:tc>
        <w:tc>
          <w:tcPr>
            <w:tcW w:w="642" w:type="pct"/>
          </w:tcPr>
          <w:p w14:paraId="1346351E"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07708DC1"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Parent Report</w:t>
            </w:r>
          </w:p>
          <w:p w14:paraId="03FACE07"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Teacher Report</w:t>
            </w:r>
          </w:p>
        </w:tc>
      </w:tr>
      <w:tr w:rsidR="0018337E" w:rsidRPr="009974B7" w14:paraId="0BDE8044" w14:textId="77777777" w:rsidTr="00A079A9">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1910" w:type="pct"/>
            <w:vMerge/>
            <w:noWrap/>
          </w:tcPr>
          <w:p w14:paraId="7690C3D9"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
        </w:tc>
        <w:tc>
          <w:tcPr>
            <w:tcW w:w="672" w:type="pct"/>
            <w:vMerge/>
          </w:tcPr>
          <w:p w14:paraId="2AB641F6"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90" w:type="pct"/>
            <w:vMerge/>
          </w:tcPr>
          <w:p w14:paraId="2D0D4406" w14:textId="77777777"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42" w:type="pct"/>
          </w:tcPr>
          <w:p w14:paraId="70F762DC"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ECLS-K Self-Control Scale</w:t>
            </w:r>
          </w:p>
        </w:tc>
        <w:tc>
          <w:tcPr>
            <w:tcW w:w="886" w:type="pct"/>
            <w:gridSpan w:val="2"/>
          </w:tcPr>
          <w:p w14:paraId="5D98731A" w14:textId="77777777"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The teacher version included four items on children’s ability to control their temper, to accept peer ideas for group activities, to respect the</w:t>
            </w:r>
          </w:p>
          <w:p w14:paraId="3C849CEA" w14:textId="4DDAA3BB"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property rights of others, and to respond appropriately to pressure from peers.</w:t>
            </w:r>
          </w:p>
          <w:p w14:paraId="46848923" w14:textId="77777777"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58DCC2B" w14:textId="77777777"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The parent version included five items on children’s ability to control their actions and feelings</w:t>
            </w:r>
          </w:p>
        </w:tc>
      </w:tr>
      <w:tr w:rsidR="0018337E" w:rsidRPr="009974B7" w14:paraId="6303DFC8"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tcPr>
          <w:p w14:paraId="71EB60BB"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lastRenderedPageBreak/>
              <w:t xml:space="preserve">McClelland, </w:t>
            </w:r>
            <w:proofErr w:type="spellStart"/>
            <w:r w:rsidRPr="009974B7">
              <w:rPr>
                <w:rFonts w:ascii="Times New Roman" w:eastAsia="Times New Roman" w:hAnsi="Times New Roman" w:cs="Times New Roman"/>
                <w:b w:val="0"/>
                <w:bCs w:val="0"/>
                <w:color w:val="000000"/>
                <w:sz w:val="24"/>
                <w:szCs w:val="24"/>
              </w:rPr>
              <w:t>Acock</w:t>
            </w:r>
            <w:proofErr w:type="spellEnd"/>
            <w:r w:rsidRPr="009974B7">
              <w:rPr>
                <w:rFonts w:ascii="Times New Roman" w:eastAsia="Times New Roman" w:hAnsi="Times New Roman" w:cs="Times New Roman"/>
                <w:b w:val="0"/>
                <w:bCs w:val="0"/>
                <w:color w:val="000000"/>
                <w:sz w:val="24"/>
                <w:szCs w:val="24"/>
              </w:rPr>
              <w:t xml:space="preserve">, &amp; Morrison (2006) </w:t>
            </w:r>
          </w:p>
        </w:tc>
        <w:tc>
          <w:tcPr>
            <w:tcW w:w="672" w:type="pct"/>
          </w:tcPr>
          <w:p w14:paraId="6DEAD054" w14:textId="57C8247C"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Learning-Related Skills</w:t>
            </w:r>
          </w:p>
        </w:tc>
        <w:tc>
          <w:tcPr>
            <w:tcW w:w="890" w:type="pct"/>
          </w:tcPr>
          <w:p w14:paraId="64472405" w14:textId="4AA85ABD"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self-regulation and aspects of social competence (responsibility, independence</w:t>
            </w:r>
            <w:r w:rsidR="000B4B73">
              <w:rPr>
                <w:rFonts w:ascii="Times New Roman" w:hAnsi="Times New Roman" w:cs="Times New Roman"/>
                <w:sz w:val="24"/>
                <w:szCs w:val="24"/>
              </w:rPr>
              <w:t>,</w:t>
            </w:r>
            <w:r w:rsidRPr="009974B7">
              <w:rPr>
                <w:rFonts w:ascii="Times New Roman" w:hAnsi="Times New Roman" w:cs="Times New Roman"/>
                <w:sz w:val="24"/>
                <w:szCs w:val="24"/>
              </w:rPr>
              <w:t xml:space="preserve"> and cooperation)</w:t>
            </w:r>
          </w:p>
        </w:tc>
        <w:tc>
          <w:tcPr>
            <w:tcW w:w="642" w:type="pct"/>
          </w:tcPr>
          <w:p w14:paraId="183DB740" w14:textId="2ACE4E54"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Cooper-</w:t>
            </w:r>
            <w:proofErr w:type="spellStart"/>
            <w:r w:rsidRPr="009974B7">
              <w:rPr>
                <w:rFonts w:ascii="Times New Roman" w:eastAsia="Times New Roman" w:hAnsi="Times New Roman" w:cs="Times New Roman"/>
                <w:color w:val="000000"/>
                <w:sz w:val="24"/>
                <w:szCs w:val="24"/>
              </w:rPr>
              <w:t>Farran</w:t>
            </w:r>
            <w:proofErr w:type="spellEnd"/>
            <w:r w:rsidRPr="009974B7">
              <w:rPr>
                <w:rFonts w:ascii="Times New Roman" w:eastAsia="Times New Roman" w:hAnsi="Times New Roman" w:cs="Times New Roman"/>
                <w:color w:val="000000"/>
                <w:sz w:val="24"/>
                <w:szCs w:val="24"/>
              </w:rPr>
              <w:t xml:space="preserve"> Behavioral Rating Scale</w:t>
            </w:r>
          </w:p>
        </w:tc>
        <w:tc>
          <w:tcPr>
            <w:tcW w:w="886" w:type="pct"/>
            <w:gridSpan w:val="2"/>
          </w:tcPr>
          <w:p w14:paraId="12ABC727" w14:textId="26402F06"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Work</w:t>
            </w:r>
            <w:r w:rsidR="000B4B73">
              <w:rPr>
                <w:rFonts w:ascii="Times New Roman" w:eastAsia="Times New Roman" w:hAnsi="Times New Roman" w:cs="Times New Roman"/>
                <w:color w:val="000000"/>
                <w:sz w:val="24"/>
                <w:szCs w:val="24"/>
              </w:rPr>
              <w:t>-</w:t>
            </w:r>
            <w:r w:rsidRPr="009974B7">
              <w:rPr>
                <w:rFonts w:ascii="Times New Roman" w:eastAsia="Times New Roman" w:hAnsi="Times New Roman" w:cs="Times New Roman"/>
                <w:color w:val="000000"/>
                <w:sz w:val="24"/>
                <w:szCs w:val="24"/>
              </w:rPr>
              <w:t>related skills: self-regulation, responsibility, independence, and cooperation</w:t>
            </w:r>
          </w:p>
        </w:tc>
      </w:tr>
      <w:tr w:rsidR="0018337E" w:rsidRPr="009974B7" w14:paraId="1D388113"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tcPr>
          <w:p w14:paraId="26ACF9D6"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McCoy, Connors, Morris, Yoshikawa, &amp; Friedman-Krauss (2015) </w:t>
            </w:r>
          </w:p>
        </w:tc>
        <w:tc>
          <w:tcPr>
            <w:tcW w:w="672" w:type="pct"/>
          </w:tcPr>
          <w:p w14:paraId="54F95C16" w14:textId="549284DF"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Positive Approaches to Learning</w:t>
            </w:r>
          </w:p>
        </w:tc>
        <w:tc>
          <w:tcPr>
            <w:tcW w:w="890" w:type="pct"/>
          </w:tcPr>
          <w:p w14:paraId="7D4E8D8F"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color w:val="333333"/>
                <w:sz w:val="24"/>
                <w:szCs w:val="24"/>
              </w:rPr>
              <w:t>positive social interaction skills as well as their behavioral dispositions toward learning</w:t>
            </w:r>
          </w:p>
        </w:tc>
        <w:tc>
          <w:tcPr>
            <w:tcW w:w="642" w:type="pct"/>
          </w:tcPr>
          <w:p w14:paraId="4999916C"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 Scale</w:t>
            </w:r>
          </w:p>
        </w:tc>
        <w:tc>
          <w:tcPr>
            <w:tcW w:w="886" w:type="pct"/>
            <w:gridSpan w:val="2"/>
          </w:tcPr>
          <w:p w14:paraId="236CBA6C"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 xml:space="preserve">7 items: </w:t>
            </w:r>
            <w:r w:rsidRPr="009974B7">
              <w:rPr>
                <w:rFonts w:ascii="Times New Roman" w:hAnsi="Times New Roman" w:cs="Times New Roman"/>
                <w:color w:val="333333"/>
                <w:sz w:val="24"/>
                <w:szCs w:val="24"/>
              </w:rPr>
              <w:t xml:space="preserve">making friends and accepting their ideas, enjoying </w:t>
            </w:r>
            <w:proofErr w:type="gramStart"/>
            <w:r w:rsidRPr="009974B7">
              <w:rPr>
                <w:rFonts w:ascii="Times New Roman" w:hAnsi="Times New Roman" w:cs="Times New Roman"/>
                <w:color w:val="333333"/>
                <w:sz w:val="24"/>
                <w:szCs w:val="24"/>
              </w:rPr>
              <w:t>learning</w:t>
            </w:r>
            <w:proofErr w:type="gramEnd"/>
            <w:r w:rsidRPr="009974B7">
              <w:rPr>
                <w:rFonts w:ascii="Times New Roman" w:hAnsi="Times New Roman" w:cs="Times New Roman"/>
                <w:color w:val="333333"/>
                <w:sz w:val="24"/>
                <w:szCs w:val="24"/>
              </w:rPr>
              <w:t xml:space="preserve"> and trying new things, showing imagination, comforting/helping others, and wanting to hear positive feedback</w:t>
            </w:r>
          </w:p>
        </w:tc>
      </w:tr>
      <w:tr w:rsidR="0018337E" w:rsidRPr="009974B7" w14:paraId="2A447C31"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tcPr>
          <w:p w14:paraId="1BBC8674" w14:textId="77777777" w:rsidR="0018337E" w:rsidRPr="009974B7" w:rsidRDefault="0018337E" w:rsidP="00E31D47">
            <w:pPr>
              <w:contextualSpacing/>
              <w:rPr>
                <w:rFonts w:ascii="Times New Roman" w:eastAsia="Times New Roman" w:hAnsi="Times New Roman" w:cs="Times New Roman"/>
                <w:b w:val="0"/>
                <w:bCs w:val="0"/>
                <w:color w:val="000000"/>
                <w:sz w:val="24"/>
                <w:szCs w:val="24"/>
                <w:vertAlign w:val="superscript"/>
              </w:rPr>
            </w:pPr>
            <w:r w:rsidRPr="009974B7">
              <w:rPr>
                <w:rFonts w:ascii="Times New Roman" w:hAnsi="Times New Roman" w:cs="Times New Roman"/>
                <w:b w:val="0"/>
                <w:bCs w:val="0"/>
                <w:sz w:val="24"/>
                <w:szCs w:val="24"/>
              </w:rPr>
              <w:t xml:space="preserve">McDermott, </w:t>
            </w:r>
            <w:proofErr w:type="spellStart"/>
            <w:r w:rsidRPr="009974B7">
              <w:rPr>
                <w:rFonts w:ascii="Times New Roman" w:hAnsi="Times New Roman" w:cs="Times New Roman"/>
                <w:b w:val="0"/>
                <w:bCs w:val="0"/>
                <w:sz w:val="24"/>
                <w:szCs w:val="24"/>
              </w:rPr>
              <w:t>Rikoon</w:t>
            </w:r>
            <w:proofErr w:type="spellEnd"/>
            <w:r w:rsidRPr="009974B7">
              <w:rPr>
                <w:rFonts w:ascii="Times New Roman" w:hAnsi="Times New Roman" w:cs="Times New Roman"/>
                <w:b w:val="0"/>
                <w:bCs w:val="0"/>
                <w:sz w:val="24"/>
                <w:szCs w:val="24"/>
              </w:rPr>
              <w:t xml:space="preserve"> &amp; </w:t>
            </w:r>
            <w:proofErr w:type="spellStart"/>
            <w:r w:rsidRPr="009974B7">
              <w:rPr>
                <w:rFonts w:ascii="Times New Roman" w:hAnsi="Times New Roman" w:cs="Times New Roman"/>
                <w:b w:val="0"/>
                <w:bCs w:val="0"/>
                <w:sz w:val="24"/>
                <w:szCs w:val="24"/>
              </w:rPr>
              <w:t>Fantuzzo</w:t>
            </w:r>
            <w:proofErr w:type="spellEnd"/>
            <w:r w:rsidRPr="009974B7">
              <w:rPr>
                <w:rFonts w:ascii="Times New Roman" w:hAnsi="Times New Roman" w:cs="Times New Roman"/>
                <w:b w:val="0"/>
                <w:bCs w:val="0"/>
                <w:sz w:val="24"/>
                <w:szCs w:val="24"/>
              </w:rPr>
              <w:t xml:space="preserve"> (2014)</w:t>
            </w:r>
            <w:r w:rsidRPr="009974B7">
              <w:rPr>
                <w:rFonts w:ascii="Times New Roman" w:hAnsi="Times New Roman" w:cs="Times New Roman"/>
                <w:b w:val="0"/>
                <w:bCs w:val="0"/>
                <w:sz w:val="24"/>
                <w:szCs w:val="24"/>
                <w:vertAlign w:val="superscript"/>
              </w:rPr>
              <w:t>5</w:t>
            </w:r>
          </w:p>
        </w:tc>
        <w:tc>
          <w:tcPr>
            <w:tcW w:w="672" w:type="pct"/>
          </w:tcPr>
          <w:p w14:paraId="2A7ECDBC" w14:textId="14004631"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5DA7649C" w14:textId="77777777" w:rsidR="0018337E" w:rsidRPr="009974B7" w:rsidRDefault="0018337E" w:rsidP="00A079A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the effortful and goal-directed mechanisms by which children go about classroom learning</w:t>
            </w:r>
          </w:p>
          <w:p w14:paraId="79CBA12A"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processes</w:t>
            </w:r>
          </w:p>
        </w:tc>
        <w:tc>
          <w:tcPr>
            <w:tcW w:w="642" w:type="pct"/>
          </w:tcPr>
          <w:p w14:paraId="13F2C910" w14:textId="69917DD8"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LBS/PLBS</w:t>
            </w:r>
          </w:p>
        </w:tc>
        <w:tc>
          <w:tcPr>
            <w:tcW w:w="886" w:type="pct"/>
            <w:gridSpan w:val="2"/>
          </w:tcPr>
          <w:p w14:paraId="64182794"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Competence Motivation</w:t>
            </w:r>
          </w:p>
          <w:p w14:paraId="0DB33E86"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Attention/Persistence</w:t>
            </w:r>
          </w:p>
          <w:p w14:paraId="3072416B" w14:textId="0D95C294"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Attitude Toward Learning</w:t>
            </w:r>
          </w:p>
        </w:tc>
      </w:tr>
      <w:tr w:rsidR="0018337E" w:rsidRPr="009974B7" w14:paraId="2E1711F3"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tcPr>
          <w:p w14:paraId="205D20DF"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hAnsi="Times New Roman" w:cs="Times New Roman"/>
                <w:b w:val="0"/>
                <w:bCs w:val="0"/>
                <w:sz w:val="24"/>
                <w:szCs w:val="24"/>
              </w:rPr>
              <w:t>Meng (2015)</w:t>
            </w:r>
          </w:p>
        </w:tc>
        <w:tc>
          <w:tcPr>
            <w:tcW w:w="672" w:type="pct"/>
          </w:tcPr>
          <w:p w14:paraId="2FC2BFEA" w14:textId="45566BF3"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5D4930A0" w14:textId="1F782E5C"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initiative, engagement, persistence</w:t>
            </w:r>
          </w:p>
          <w:p w14:paraId="5BDB41F1"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42" w:type="pct"/>
          </w:tcPr>
          <w:p w14:paraId="057D8FE6"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PLBS</w:t>
            </w:r>
          </w:p>
        </w:tc>
        <w:tc>
          <w:tcPr>
            <w:tcW w:w="886" w:type="pct"/>
            <w:gridSpan w:val="2"/>
          </w:tcPr>
          <w:p w14:paraId="3D0619C3"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543A7B51" w14:textId="77777777" w:rsidTr="00A079A9">
        <w:trPr>
          <w:trHeight w:val="917"/>
        </w:trPr>
        <w:tc>
          <w:tcPr>
            <w:cnfStyle w:val="001000000000" w:firstRow="0" w:lastRow="0" w:firstColumn="1" w:lastColumn="0" w:oddVBand="0" w:evenVBand="0" w:oddHBand="0" w:evenHBand="0" w:firstRowFirstColumn="0" w:firstRowLastColumn="0" w:lastRowFirstColumn="0" w:lastRowLastColumn="0"/>
            <w:tcW w:w="1910" w:type="pct"/>
            <w:noWrap/>
          </w:tcPr>
          <w:p w14:paraId="46187563" w14:textId="77777777" w:rsidR="0018337E" w:rsidRPr="009974B7" w:rsidRDefault="0018337E" w:rsidP="00E31D47">
            <w:pPr>
              <w:contextualSpacing/>
              <w:rPr>
                <w:rFonts w:ascii="Times New Roman" w:hAnsi="Times New Roman" w:cs="Times New Roman"/>
                <w:b w:val="0"/>
                <w:bCs w:val="0"/>
                <w:sz w:val="24"/>
                <w:szCs w:val="24"/>
              </w:rPr>
            </w:pPr>
            <w:r w:rsidRPr="009974B7">
              <w:rPr>
                <w:rFonts w:ascii="Times New Roman" w:hAnsi="Times New Roman" w:cs="Times New Roman"/>
                <w:b w:val="0"/>
                <w:bCs w:val="0"/>
                <w:sz w:val="24"/>
                <w:szCs w:val="24"/>
              </w:rPr>
              <w:t xml:space="preserve">Morgan, Farkas, &amp; Wu (2009) </w:t>
            </w:r>
          </w:p>
        </w:tc>
        <w:tc>
          <w:tcPr>
            <w:tcW w:w="672" w:type="pct"/>
          </w:tcPr>
          <w:p w14:paraId="335C3633" w14:textId="6097342B"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Learning-related behaviors</w:t>
            </w:r>
          </w:p>
        </w:tc>
        <w:tc>
          <w:tcPr>
            <w:tcW w:w="890" w:type="pct"/>
          </w:tcPr>
          <w:p w14:paraId="73981732" w14:textId="23B95108"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Remaining attentive and persistent at tasks</w:t>
            </w:r>
          </w:p>
        </w:tc>
        <w:tc>
          <w:tcPr>
            <w:tcW w:w="642" w:type="pct"/>
          </w:tcPr>
          <w:p w14:paraId="2CBEBCBF"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2C5BAE4D"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3A4A0FC4"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6299A6DE" w14:textId="77777777" w:rsidR="0018337E" w:rsidRPr="009974B7" w:rsidRDefault="0018337E" w:rsidP="00E31D47">
            <w:pPr>
              <w:contextualSpacing/>
              <w:rPr>
                <w:rFonts w:ascii="Times New Roman" w:eastAsia="Times New Roman" w:hAnsi="Times New Roman" w:cs="Times New Roman"/>
                <w:b w:val="0"/>
                <w:bCs w:val="0"/>
                <w:sz w:val="24"/>
                <w:szCs w:val="24"/>
              </w:rPr>
            </w:pPr>
            <w:r w:rsidRPr="009974B7">
              <w:rPr>
                <w:rFonts w:ascii="Times New Roman" w:eastAsia="Times New Roman" w:hAnsi="Times New Roman" w:cs="Times New Roman"/>
                <w:b w:val="0"/>
                <w:bCs w:val="0"/>
                <w:color w:val="000000"/>
                <w:sz w:val="24"/>
                <w:szCs w:val="24"/>
              </w:rPr>
              <w:lastRenderedPageBreak/>
              <w:t xml:space="preserve">Neuenschwander, </w:t>
            </w:r>
            <w:proofErr w:type="spellStart"/>
            <w:r w:rsidRPr="009974B7">
              <w:rPr>
                <w:rFonts w:ascii="Times New Roman" w:eastAsia="Times New Roman" w:hAnsi="Times New Roman" w:cs="Times New Roman"/>
                <w:b w:val="0"/>
                <w:bCs w:val="0"/>
                <w:color w:val="000000"/>
                <w:sz w:val="24"/>
                <w:szCs w:val="24"/>
              </w:rPr>
              <w:t>Rothlisberger</w:t>
            </w:r>
            <w:proofErr w:type="spellEnd"/>
            <w:r w:rsidRPr="009974B7">
              <w:rPr>
                <w:rFonts w:ascii="Times New Roman" w:eastAsia="Times New Roman" w:hAnsi="Times New Roman" w:cs="Times New Roman"/>
                <w:b w:val="0"/>
                <w:bCs w:val="0"/>
                <w:color w:val="000000"/>
                <w:sz w:val="24"/>
                <w:szCs w:val="24"/>
              </w:rPr>
              <w:t xml:space="preserve">, </w:t>
            </w:r>
            <w:proofErr w:type="spellStart"/>
            <w:r w:rsidRPr="009974B7">
              <w:rPr>
                <w:rFonts w:ascii="Times New Roman" w:eastAsia="Times New Roman" w:hAnsi="Times New Roman" w:cs="Times New Roman"/>
                <w:b w:val="0"/>
                <w:bCs w:val="0"/>
                <w:color w:val="000000"/>
                <w:sz w:val="24"/>
                <w:szCs w:val="24"/>
              </w:rPr>
              <w:t>Cimeli</w:t>
            </w:r>
            <w:proofErr w:type="spellEnd"/>
            <w:r w:rsidRPr="009974B7">
              <w:rPr>
                <w:rFonts w:ascii="Times New Roman" w:eastAsia="Times New Roman" w:hAnsi="Times New Roman" w:cs="Times New Roman"/>
                <w:b w:val="0"/>
                <w:bCs w:val="0"/>
                <w:color w:val="000000"/>
                <w:sz w:val="24"/>
                <w:szCs w:val="24"/>
              </w:rPr>
              <w:t xml:space="preserve">, &amp; </w:t>
            </w:r>
            <w:proofErr w:type="spellStart"/>
            <w:r w:rsidRPr="009974B7">
              <w:rPr>
                <w:rFonts w:ascii="Times New Roman" w:eastAsia="Times New Roman" w:hAnsi="Times New Roman" w:cs="Times New Roman"/>
                <w:b w:val="0"/>
                <w:bCs w:val="0"/>
                <w:color w:val="000000"/>
                <w:sz w:val="24"/>
                <w:szCs w:val="24"/>
              </w:rPr>
              <w:t>Roebers</w:t>
            </w:r>
            <w:proofErr w:type="spellEnd"/>
            <w:r w:rsidRPr="009974B7">
              <w:rPr>
                <w:rFonts w:ascii="Times New Roman" w:eastAsia="Times New Roman" w:hAnsi="Times New Roman" w:cs="Times New Roman"/>
                <w:b w:val="0"/>
                <w:bCs w:val="0"/>
                <w:color w:val="000000"/>
                <w:sz w:val="24"/>
                <w:szCs w:val="24"/>
              </w:rPr>
              <w:t xml:space="preserve"> (2012) </w:t>
            </w:r>
          </w:p>
        </w:tc>
        <w:tc>
          <w:tcPr>
            <w:tcW w:w="672" w:type="pct"/>
          </w:tcPr>
          <w:p w14:paraId="3BA387B0" w14:textId="1766599B"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Learning-Related behavior</w:t>
            </w:r>
          </w:p>
        </w:tc>
        <w:tc>
          <w:tcPr>
            <w:tcW w:w="890" w:type="pct"/>
          </w:tcPr>
          <w:p w14:paraId="0B993A24"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 xml:space="preserve">listening to instructions, following directions, and accomplishment of tasks in a limited </w:t>
            </w:r>
            <w:proofErr w:type="gramStart"/>
            <w:r w:rsidRPr="009974B7">
              <w:rPr>
                <w:rFonts w:ascii="Times New Roman" w:hAnsi="Times New Roman" w:cs="Times New Roman"/>
                <w:sz w:val="24"/>
                <w:szCs w:val="24"/>
              </w:rPr>
              <w:t>period of time</w:t>
            </w:r>
            <w:proofErr w:type="gramEnd"/>
          </w:p>
        </w:tc>
        <w:tc>
          <w:tcPr>
            <w:tcW w:w="642" w:type="pct"/>
          </w:tcPr>
          <w:p w14:paraId="10582A55" w14:textId="4C883D8A"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Researcher Created Measure</w:t>
            </w:r>
          </w:p>
        </w:tc>
        <w:tc>
          <w:tcPr>
            <w:tcW w:w="886" w:type="pct"/>
            <w:gridSpan w:val="2"/>
          </w:tcPr>
          <w:p w14:paraId="215CBBA6" w14:textId="21ADB3BF"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Persistence, self-reliance, efficiency of homework</w:t>
            </w:r>
          </w:p>
          <w:p w14:paraId="7D978EB1"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18337E" w:rsidRPr="009974B7" w14:paraId="3BDC497E"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464BA898" w14:textId="77777777" w:rsidR="0018337E" w:rsidRPr="009974B7" w:rsidRDefault="0018337E" w:rsidP="00E31D47">
            <w:pPr>
              <w:contextualSpacing/>
              <w:rPr>
                <w:rFonts w:ascii="Times New Roman" w:eastAsia="Times New Roman" w:hAnsi="Times New Roman" w:cs="Times New Roman"/>
                <w:b w:val="0"/>
                <w:bCs w:val="0"/>
                <w:sz w:val="24"/>
                <w:szCs w:val="24"/>
              </w:rPr>
            </w:pPr>
            <w:proofErr w:type="spellStart"/>
            <w:r w:rsidRPr="009974B7">
              <w:rPr>
                <w:rFonts w:ascii="Times New Roman" w:eastAsia="Times New Roman" w:hAnsi="Times New Roman" w:cs="Times New Roman"/>
                <w:b w:val="0"/>
                <w:bCs w:val="0"/>
                <w:sz w:val="24"/>
                <w:szCs w:val="24"/>
              </w:rPr>
              <w:t>Razza</w:t>
            </w:r>
            <w:proofErr w:type="spellEnd"/>
            <w:r w:rsidRPr="009974B7">
              <w:rPr>
                <w:rFonts w:ascii="Times New Roman" w:eastAsia="Times New Roman" w:hAnsi="Times New Roman" w:cs="Times New Roman"/>
                <w:b w:val="0"/>
                <w:bCs w:val="0"/>
                <w:sz w:val="24"/>
                <w:szCs w:val="24"/>
              </w:rPr>
              <w:t xml:space="preserve">, Martin, &amp; Brooks-Gunn (2015) </w:t>
            </w:r>
          </w:p>
        </w:tc>
        <w:tc>
          <w:tcPr>
            <w:tcW w:w="672" w:type="pct"/>
          </w:tcPr>
          <w:p w14:paraId="5F8FB99E" w14:textId="1FD56D59"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27D0B98B" w14:textId="0758C9CE"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attentiveness, persistence, flexibility, organization</w:t>
            </w:r>
            <w:r w:rsidR="000B4B73">
              <w:rPr>
                <w:rFonts w:ascii="Times New Roman" w:hAnsi="Times New Roman" w:cs="Times New Roman"/>
                <w:sz w:val="24"/>
                <w:szCs w:val="24"/>
              </w:rPr>
              <w:t>,</w:t>
            </w:r>
            <w:r w:rsidRPr="009974B7">
              <w:rPr>
                <w:rFonts w:ascii="Times New Roman" w:hAnsi="Times New Roman" w:cs="Times New Roman"/>
                <w:sz w:val="24"/>
                <w:szCs w:val="24"/>
              </w:rPr>
              <w:t xml:space="preserve"> and compliance</w:t>
            </w:r>
          </w:p>
        </w:tc>
        <w:tc>
          <w:tcPr>
            <w:tcW w:w="642" w:type="pct"/>
          </w:tcPr>
          <w:p w14:paraId="0D6AC67E"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544D7DB4"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5D44B558"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0CFC3E38" w14:textId="77777777" w:rsidR="0018337E" w:rsidRPr="009974B7" w:rsidRDefault="0018337E" w:rsidP="00E31D47">
            <w:pPr>
              <w:contextualSpacing/>
              <w:rPr>
                <w:rFonts w:ascii="Times New Roman" w:eastAsia="Times New Roman" w:hAnsi="Times New Roman" w:cs="Times New Roman"/>
                <w:b w:val="0"/>
                <w:bCs w:val="0"/>
                <w:sz w:val="24"/>
                <w:szCs w:val="24"/>
              </w:rPr>
            </w:pPr>
            <w:r w:rsidRPr="009974B7">
              <w:rPr>
                <w:rFonts w:ascii="Times New Roman" w:eastAsia="Times New Roman" w:hAnsi="Times New Roman" w:cs="Times New Roman"/>
                <w:b w:val="0"/>
                <w:bCs w:val="0"/>
                <w:sz w:val="24"/>
                <w:szCs w:val="24"/>
              </w:rPr>
              <w:t xml:space="preserve">Reid, </w:t>
            </w:r>
            <w:proofErr w:type="spellStart"/>
            <w:r w:rsidRPr="009974B7">
              <w:rPr>
                <w:rFonts w:ascii="Times New Roman" w:eastAsia="Times New Roman" w:hAnsi="Times New Roman" w:cs="Times New Roman"/>
                <w:b w:val="0"/>
                <w:bCs w:val="0"/>
                <w:sz w:val="24"/>
                <w:szCs w:val="24"/>
              </w:rPr>
              <w:t>Diperna</w:t>
            </w:r>
            <w:proofErr w:type="spellEnd"/>
            <w:r w:rsidRPr="009974B7">
              <w:rPr>
                <w:rFonts w:ascii="Times New Roman" w:eastAsia="Times New Roman" w:hAnsi="Times New Roman" w:cs="Times New Roman"/>
                <w:b w:val="0"/>
                <w:bCs w:val="0"/>
                <w:sz w:val="24"/>
                <w:szCs w:val="24"/>
              </w:rPr>
              <w:t xml:space="preserve">, </w:t>
            </w:r>
            <w:proofErr w:type="spellStart"/>
            <w:r w:rsidRPr="009974B7">
              <w:rPr>
                <w:rFonts w:ascii="Times New Roman" w:eastAsia="Times New Roman" w:hAnsi="Times New Roman" w:cs="Times New Roman"/>
                <w:b w:val="0"/>
                <w:bCs w:val="0"/>
                <w:sz w:val="24"/>
                <w:szCs w:val="24"/>
              </w:rPr>
              <w:t>Missall</w:t>
            </w:r>
            <w:proofErr w:type="spellEnd"/>
            <w:r w:rsidRPr="009974B7">
              <w:rPr>
                <w:rFonts w:ascii="Times New Roman" w:eastAsia="Times New Roman" w:hAnsi="Times New Roman" w:cs="Times New Roman"/>
                <w:b w:val="0"/>
                <w:bCs w:val="0"/>
                <w:sz w:val="24"/>
                <w:szCs w:val="24"/>
              </w:rPr>
              <w:t xml:space="preserve">, &amp; Volpe (2014) </w:t>
            </w:r>
          </w:p>
        </w:tc>
        <w:tc>
          <w:tcPr>
            <w:tcW w:w="672" w:type="pct"/>
          </w:tcPr>
          <w:p w14:paraId="43EB9CD8" w14:textId="59D0A355"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40ECF4A4"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openness and curiosity about new tasks, task persistence, and imagination</w:t>
            </w:r>
          </w:p>
        </w:tc>
        <w:tc>
          <w:tcPr>
            <w:tcW w:w="642" w:type="pct"/>
          </w:tcPr>
          <w:p w14:paraId="5D72202D"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Teacher Rating Scales of Early Academic Competence</w:t>
            </w:r>
          </w:p>
        </w:tc>
        <w:tc>
          <w:tcPr>
            <w:tcW w:w="886" w:type="pct"/>
            <w:gridSpan w:val="2"/>
          </w:tcPr>
          <w:p w14:paraId="7E494E10" w14:textId="3416CFF8"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Academic Enablers Scale: taking care of things, organization, following directions, planning, maintaining attention, awareness of own behavior, interest in counting/reading/writing, persists when challenged, completing assigned tasks</w:t>
            </w:r>
          </w:p>
        </w:tc>
      </w:tr>
      <w:tr w:rsidR="0018337E" w:rsidRPr="009974B7" w14:paraId="44F65CB4"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2FEDE2C9" w14:textId="77777777" w:rsidR="0018337E" w:rsidRPr="009974B7" w:rsidRDefault="0018337E" w:rsidP="00E31D47">
            <w:pPr>
              <w:contextualSpacing/>
              <w:rPr>
                <w:rFonts w:ascii="Times New Roman" w:eastAsia="Times New Roman" w:hAnsi="Times New Roman" w:cs="Times New Roman"/>
                <w:b w:val="0"/>
                <w:bCs w:val="0"/>
                <w:sz w:val="24"/>
                <w:szCs w:val="24"/>
              </w:rPr>
            </w:pPr>
            <w:proofErr w:type="spellStart"/>
            <w:r w:rsidRPr="009974B7">
              <w:rPr>
                <w:rFonts w:ascii="Times New Roman" w:eastAsia="Times New Roman" w:hAnsi="Times New Roman" w:cs="Times New Roman"/>
                <w:b w:val="0"/>
                <w:bCs w:val="0"/>
                <w:color w:val="000000"/>
                <w:sz w:val="24"/>
                <w:szCs w:val="24"/>
              </w:rPr>
              <w:t>Rimm</w:t>
            </w:r>
            <w:proofErr w:type="spellEnd"/>
            <w:r w:rsidRPr="009974B7">
              <w:rPr>
                <w:rFonts w:ascii="Times New Roman" w:eastAsia="Times New Roman" w:hAnsi="Times New Roman" w:cs="Times New Roman"/>
                <w:b w:val="0"/>
                <w:bCs w:val="0"/>
                <w:color w:val="000000"/>
                <w:sz w:val="24"/>
                <w:szCs w:val="24"/>
              </w:rPr>
              <w:t xml:space="preserve">-Kaufman, </w:t>
            </w:r>
            <w:proofErr w:type="spellStart"/>
            <w:r w:rsidRPr="009974B7">
              <w:rPr>
                <w:rFonts w:ascii="Times New Roman" w:eastAsia="Times New Roman" w:hAnsi="Times New Roman" w:cs="Times New Roman"/>
                <w:b w:val="0"/>
                <w:bCs w:val="0"/>
                <w:color w:val="000000"/>
                <w:sz w:val="24"/>
                <w:szCs w:val="24"/>
              </w:rPr>
              <w:t>Curby</w:t>
            </w:r>
            <w:proofErr w:type="spellEnd"/>
            <w:r w:rsidRPr="009974B7">
              <w:rPr>
                <w:rFonts w:ascii="Times New Roman" w:eastAsia="Times New Roman" w:hAnsi="Times New Roman" w:cs="Times New Roman"/>
                <w:b w:val="0"/>
                <w:bCs w:val="0"/>
                <w:color w:val="000000"/>
                <w:sz w:val="24"/>
                <w:szCs w:val="24"/>
              </w:rPr>
              <w:t xml:space="preserve">, Grimm, Nathanson, &amp; Brock (2009) </w:t>
            </w:r>
          </w:p>
        </w:tc>
        <w:tc>
          <w:tcPr>
            <w:tcW w:w="672" w:type="pct"/>
          </w:tcPr>
          <w:p w14:paraId="54220F7C" w14:textId="6A3519A2"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Adaptive Behavior</w:t>
            </w:r>
          </w:p>
        </w:tc>
        <w:tc>
          <w:tcPr>
            <w:tcW w:w="890" w:type="pct"/>
          </w:tcPr>
          <w:p w14:paraId="39B8F96A"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42" w:type="pct"/>
          </w:tcPr>
          <w:p w14:paraId="08452A88"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Self-Control Scale</w:t>
            </w:r>
          </w:p>
        </w:tc>
        <w:tc>
          <w:tcPr>
            <w:tcW w:w="886" w:type="pct"/>
            <w:gridSpan w:val="2"/>
          </w:tcPr>
          <w:p w14:paraId="607D60C5" w14:textId="12255311"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 xml:space="preserve">Cognitive and Behavioral Control: talks out of turn, persists, anticipates the consequences of </w:t>
            </w:r>
            <w:r w:rsidRPr="009974B7">
              <w:rPr>
                <w:rFonts w:ascii="Times New Roman" w:eastAsia="Times New Roman" w:hAnsi="Times New Roman" w:cs="Times New Roman"/>
                <w:color w:val="000000"/>
                <w:sz w:val="24"/>
                <w:szCs w:val="24"/>
              </w:rPr>
              <w:lastRenderedPageBreak/>
              <w:t>actions, works towards goals</w:t>
            </w:r>
          </w:p>
        </w:tc>
      </w:tr>
      <w:tr w:rsidR="0018337E" w:rsidRPr="009974B7" w14:paraId="491D35CC"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3A4F37E3" w14:textId="77777777" w:rsidR="0018337E" w:rsidRPr="009974B7" w:rsidRDefault="0018337E" w:rsidP="00E31D47">
            <w:pPr>
              <w:contextualSpacing/>
              <w:rPr>
                <w:rFonts w:ascii="Times New Roman" w:eastAsia="Times New Roman" w:hAnsi="Times New Roman" w:cs="Times New Roman"/>
                <w:b w:val="0"/>
                <w:bCs w:val="0"/>
                <w:sz w:val="24"/>
                <w:szCs w:val="24"/>
              </w:rPr>
            </w:pPr>
            <w:r w:rsidRPr="009974B7">
              <w:rPr>
                <w:rFonts w:ascii="Times New Roman" w:eastAsia="Times New Roman" w:hAnsi="Times New Roman" w:cs="Times New Roman"/>
                <w:b w:val="0"/>
                <w:bCs w:val="0"/>
                <w:sz w:val="24"/>
                <w:szCs w:val="24"/>
              </w:rPr>
              <w:t xml:space="preserve">Robinson (2013) </w:t>
            </w:r>
          </w:p>
        </w:tc>
        <w:tc>
          <w:tcPr>
            <w:tcW w:w="672" w:type="pct"/>
          </w:tcPr>
          <w:p w14:paraId="0C1FD8C8" w14:textId="3CF0664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Behavioral Engagement in Learning</w:t>
            </w:r>
          </w:p>
        </w:tc>
        <w:tc>
          <w:tcPr>
            <w:tcW w:w="890" w:type="pct"/>
          </w:tcPr>
          <w:p w14:paraId="3CCC37EA"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selecting challenging tasks, exerting intense effort and concentration in the implementation of learning tasks in the classroom</w:t>
            </w:r>
          </w:p>
        </w:tc>
        <w:tc>
          <w:tcPr>
            <w:tcW w:w="642" w:type="pct"/>
          </w:tcPr>
          <w:p w14:paraId="0189DBE3" w14:textId="6D9086FC"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Mock Report Card</w:t>
            </w:r>
          </w:p>
        </w:tc>
        <w:tc>
          <w:tcPr>
            <w:tcW w:w="886" w:type="pct"/>
            <w:gridSpan w:val="2"/>
          </w:tcPr>
          <w:p w14:paraId="20C538B5" w14:textId="5C975F8A"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Positive Work Habits: follows classroom procedures, works well independently, uses time wisely</w:t>
            </w:r>
          </w:p>
        </w:tc>
      </w:tr>
      <w:tr w:rsidR="0018337E" w:rsidRPr="009974B7" w14:paraId="7824ADA9" w14:textId="77777777" w:rsidTr="00A079A9">
        <w:trPr>
          <w:trHeight w:val="413"/>
        </w:trPr>
        <w:tc>
          <w:tcPr>
            <w:cnfStyle w:val="001000000000" w:firstRow="0" w:lastRow="0" w:firstColumn="1" w:lastColumn="0" w:oddVBand="0" w:evenVBand="0" w:oddHBand="0" w:evenHBand="0" w:firstRowFirstColumn="0" w:firstRowLastColumn="0" w:lastRowFirstColumn="0" w:lastRowLastColumn="0"/>
            <w:tcW w:w="1910" w:type="pct"/>
            <w:noWrap/>
          </w:tcPr>
          <w:p w14:paraId="00A5A160"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roofErr w:type="spellStart"/>
            <w:r w:rsidRPr="009974B7">
              <w:rPr>
                <w:rFonts w:ascii="Times New Roman" w:eastAsia="Times New Roman" w:hAnsi="Times New Roman" w:cs="Times New Roman"/>
                <w:b w:val="0"/>
                <w:bCs w:val="0"/>
                <w:color w:val="000000"/>
                <w:sz w:val="24"/>
                <w:szCs w:val="24"/>
              </w:rPr>
              <w:t>Sandilos</w:t>
            </w:r>
            <w:proofErr w:type="spellEnd"/>
            <w:r w:rsidRPr="009974B7">
              <w:rPr>
                <w:rFonts w:ascii="Times New Roman" w:eastAsia="Times New Roman" w:hAnsi="Times New Roman" w:cs="Times New Roman"/>
                <w:b w:val="0"/>
                <w:bCs w:val="0"/>
                <w:color w:val="000000"/>
                <w:sz w:val="24"/>
                <w:szCs w:val="24"/>
              </w:rPr>
              <w:t xml:space="preserve">, Whittaker, </w:t>
            </w:r>
            <w:proofErr w:type="spellStart"/>
            <w:r w:rsidRPr="009974B7">
              <w:rPr>
                <w:rFonts w:ascii="Times New Roman" w:eastAsia="Times New Roman" w:hAnsi="Times New Roman" w:cs="Times New Roman"/>
                <w:b w:val="0"/>
                <w:bCs w:val="0"/>
                <w:color w:val="000000"/>
                <w:sz w:val="24"/>
                <w:szCs w:val="24"/>
              </w:rPr>
              <w:t>Vitiello</w:t>
            </w:r>
            <w:proofErr w:type="spellEnd"/>
            <w:r w:rsidRPr="009974B7">
              <w:rPr>
                <w:rFonts w:ascii="Times New Roman" w:eastAsia="Times New Roman" w:hAnsi="Times New Roman" w:cs="Times New Roman"/>
                <w:b w:val="0"/>
                <w:bCs w:val="0"/>
                <w:color w:val="000000"/>
                <w:sz w:val="24"/>
                <w:szCs w:val="24"/>
              </w:rPr>
              <w:t xml:space="preserve">, &amp; Kinzie (2019) </w:t>
            </w:r>
          </w:p>
        </w:tc>
        <w:tc>
          <w:tcPr>
            <w:tcW w:w="672" w:type="pct"/>
          </w:tcPr>
          <w:p w14:paraId="6D2C9BF7" w14:textId="363923D9"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6368467E"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color w:val="2E2E2E"/>
                <w:sz w:val="24"/>
                <w:szCs w:val="24"/>
              </w:rPr>
              <w:t>adaptive behaviors that contribute to classroom learning;</w:t>
            </w:r>
          </w:p>
        </w:tc>
        <w:tc>
          <w:tcPr>
            <w:tcW w:w="642" w:type="pct"/>
          </w:tcPr>
          <w:p w14:paraId="32654D94"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color w:val="2E2E2E"/>
                <w:sz w:val="24"/>
                <w:szCs w:val="24"/>
              </w:rPr>
              <w:t>Teacher-Child Rating Scale</w:t>
            </w:r>
          </w:p>
        </w:tc>
        <w:tc>
          <w:tcPr>
            <w:tcW w:w="886" w:type="pct"/>
            <w:gridSpan w:val="2"/>
          </w:tcPr>
          <w:p w14:paraId="735DFFA1" w14:textId="49211931"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Assertiveness, task orientation, social skills, frustration tolerance, conduct problems, internalizing problems, and learning problems</w:t>
            </w:r>
          </w:p>
        </w:tc>
      </w:tr>
      <w:tr w:rsidR="0018337E" w:rsidRPr="009974B7" w14:paraId="4E5245AB" w14:textId="77777777" w:rsidTr="00A079A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910" w:type="pct"/>
            <w:vMerge w:val="restart"/>
            <w:noWrap/>
          </w:tcPr>
          <w:p w14:paraId="32271512"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Sasser, Bierman, &amp; Heinrichs (2015) </w:t>
            </w:r>
          </w:p>
        </w:tc>
        <w:tc>
          <w:tcPr>
            <w:tcW w:w="672" w:type="pct"/>
            <w:vMerge w:val="restart"/>
          </w:tcPr>
          <w:p w14:paraId="206023F0" w14:textId="15D05315"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Learning-Related Behaviors</w:t>
            </w:r>
          </w:p>
        </w:tc>
        <w:tc>
          <w:tcPr>
            <w:tcW w:w="890" w:type="pct"/>
            <w:vMerge w:val="restart"/>
          </w:tcPr>
          <w:p w14:paraId="234F8435"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an adaptive response to classroom demands and school learning tasks</w:t>
            </w:r>
          </w:p>
        </w:tc>
        <w:tc>
          <w:tcPr>
            <w:tcW w:w="642" w:type="pct"/>
          </w:tcPr>
          <w:p w14:paraId="3C8FACD0" w14:textId="740FFDC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ADHD Rating Scale</w:t>
            </w:r>
          </w:p>
          <w:p w14:paraId="6EE56CF2"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86" w:type="pct"/>
            <w:gridSpan w:val="2"/>
          </w:tcPr>
          <w:p w14:paraId="72916165" w14:textId="2487C17E"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 xml:space="preserve">Attention problems: is easily distracted, </w:t>
            </w:r>
            <w:proofErr w:type="gramStart"/>
            <w:r w:rsidRPr="009974B7">
              <w:rPr>
                <w:rFonts w:ascii="Times New Roman" w:eastAsia="Times New Roman" w:hAnsi="Times New Roman" w:cs="Times New Roman"/>
                <w:color w:val="000000"/>
                <w:sz w:val="24"/>
                <w:szCs w:val="24"/>
              </w:rPr>
              <w:t>doesn’t</w:t>
            </w:r>
            <w:proofErr w:type="gramEnd"/>
            <w:r w:rsidRPr="009974B7">
              <w:rPr>
                <w:rFonts w:ascii="Times New Roman" w:eastAsia="Times New Roman" w:hAnsi="Times New Roman" w:cs="Times New Roman"/>
                <w:color w:val="000000"/>
                <w:sz w:val="24"/>
                <w:szCs w:val="24"/>
              </w:rPr>
              <w:t xml:space="preserve"> seem to listen</w:t>
            </w:r>
          </w:p>
        </w:tc>
      </w:tr>
      <w:tr w:rsidR="0018337E" w:rsidRPr="009974B7" w14:paraId="0FC90275" w14:textId="77777777" w:rsidTr="00A079A9">
        <w:trPr>
          <w:trHeight w:val="746"/>
        </w:trPr>
        <w:tc>
          <w:tcPr>
            <w:cnfStyle w:val="001000000000" w:firstRow="0" w:lastRow="0" w:firstColumn="1" w:lastColumn="0" w:oddVBand="0" w:evenVBand="0" w:oddHBand="0" w:evenHBand="0" w:firstRowFirstColumn="0" w:firstRowLastColumn="0" w:lastRowFirstColumn="0" w:lastRowLastColumn="0"/>
            <w:tcW w:w="1910" w:type="pct"/>
            <w:vMerge/>
            <w:noWrap/>
          </w:tcPr>
          <w:p w14:paraId="45479334"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p>
        </w:tc>
        <w:tc>
          <w:tcPr>
            <w:tcW w:w="672" w:type="pct"/>
            <w:vMerge/>
          </w:tcPr>
          <w:p w14:paraId="65E702D0"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890" w:type="pct"/>
            <w:vMerge/>
          </w:tcPr>
          <w:p w14:paraId="6A63C5FE"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42" w:type="pct"/>
          </w:tcPr>
          <w:p w14:paraId="10AF98B6" w14:textId="0716BE8B"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School Readiness Inventory</w:t>
            </w:r>
          </w:p>
        </w:tc>
        <w:tc>
          <w:tcPr>
            <w:tcW w:w="886" w:type="pct"/>
            <w:gridSpan w:val="2"/>
          </w:tcPr>
          <w:p w14:paraId="3B824620"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Classroom participation: self-regulation, learning motivation, and conscientiousness</w:t>
            </w:r>
          </w:p>
        </w:tc>
      </w:tr>
      <w:tr w:rsidR="0018337E" w:rsidRPr="009974B7" w14:paraId="63B33BCE"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2D700B43"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sz w:val="24"/>
                <w:szCs w:val="24"/>
              </w:rPr>
              <w:t xml:space="preserve">Stipek, Newton, &amp; </w:t>
            </w:r>
            <w:proofErr w:type="spellStart"/>
            <w:r w:rsidRPr="009974B7">
              <w:rPr>
                <w:rFonts w:ascii="Times New Roman" w:eastAsia="Times New Roman" w:hAnsi="Times New Roman" w:cs="Times New Roman"/>
                <w:b w:val="0"/>
                <w:bCs w:val="0"/>
                <w:sz w:val="24"/>
                <w:szCs w:val="24"/>
              </w:rPr>
              <w:t>Chugar</w:t>
            </w:r>
            <w:proofErr w:type="spellEnd"/>
            <w:r w:rsidRPr="009974B7">
              <w:rPr>
                <w:rFonts w:ascii="Times New Roman" w:eastAsia="Times New Roman" w:hAnsi="Times New Roman" w:cs="Times New Roman"/>
                <w:b w:val="0"/>
                <w:bCs w:val="0"/>
                <w:sz w:val="24"/>
                <w:szCs w:val="24"/>
              </w:rPr>
              <w:t xml:space="preserve"> (2010)</w:t>
            </w:r>
          </w:p>
        </w:tc>
        <w:tc>
          <w:tcPr>
            <w:tcW w:w="672" w:type="pct"/>
          </w:tcPr>
          <w:p w14:paraId="3E6CCB21"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Learning-Related Behaviors</w:t>
            </w:r>
          </w:p>
        </w:tc>
        <w:tc>
          <w:tcPr>
            <w:tcW w:w="890" w:type="pct"/>
          </w:tcPr>
          <w:p w14:paraId="6EB976E5"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sitting still, working independently, and listening to the teacher</w:t>
            </w:r>
          </w:p>
        </w:tc>
        <w:tc>
          <w:tcPr>
            <w:tcW w:w="642" w:type="pct"/>
          </w:tcPr>
          <w:p w14:paraId="5C131B16" w14:textId="0E987DB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Teacher Rating Scale of School Adjustment</w:t>
            </w:r>
          </w:p>
        </w:tc>
        <w:tc>
          <w:tcPr>
            <w:tcW w:w="886" w:type="pct"/>
            <w:gridSpan w:val="2"/>
          </w:tcPr>
          <w:p w14:paraId="64030A69" w14:textId="0B1B9732"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 xml:space="preserve">Works independently, seeks challenges, accepts </w:t>
            </w:r>
            <w:proofErr w:type="gramStart"/>
            <w:r w:rsidRPr="009974B7">
              <w:rPr>
                <w:rFonts w:ascii="Times New Roman" w:eastAsia="Times New Roman" w:hAnsi="Times New Roman" w:cs="Times New Roman"/>
                <w:color w:val="000000"/>
                <w:sz w:val="24"/>
                <w:szCs w:val="24"/>
              </w:rPr>
              <w:t>responsibility</w:t>
            </w:r>
            <w:proofErr w:type="gramEnd"/>
            <w:r w:rsidRPr="009974B7">
              <w:rPr>
                <w:rFonts w:ascii="Times New Roman" w:eastAsia="Times New Roman" w:hAnsi="Times New Roman" w:cs="Times New Roman"/>
                <w:color w:val="000000"/>
                <w:sz w:val="24"/>
                <w:szCs w:val="24"/>
              </w:rPr>
              <w:t xml:space="preserve"> and </w:t>
            </w:r>
            <w:r w:rsidRPr="009974B7">
              <w:rPr>
                <w:rFonts w:ascii="Times New Roman" w:eastAsia="Times New Roman" w:hAnsi="Times New Roman" w:cs="Times New Roman"/>
                <w:color w:val="000000"/>
                <w:sz w:val="24"/>
                <w:szCs w:val="24"/>
              </w:rPr>
              <w:lastRenderedPageBreak/>
              <w:t>tuned into what is going on in the classroom</w:t>
            </w:r>
          </w:p>
        </w:tc>
      </w:tr>
      <w:tr w:rsidR="0018337E" w:rsidRPr="009974B7" w14:paraId="70DE87BB"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6E0A299F" w14:textId="7442A864" w:rsidR="0018337E" w:rsidRPr="009974B7" w:rsidRDefault="0018337E" w:rsidP="00E31D47">
            <w:pPr>
              <w:contextualSpacing/>
              <w:rPr>
                <w:rFonts w:ascii="Times New Roman" w:eastAsia="Times New Roman" w:hAnsi="Times New Roman" w:cs="Times New Roman"/>
                <w:b w:val="0"/>
                <w:bCs w:val="0"/>
                <w:sz w:val="24"/>
                <w:szCs w:val="24"/>
              </w:rPr>
            </w:pPr>
            <w:r w:rsidRPr="009974B7">
              <w:rPr>
                <w:rFonts w:ascii="Times New Roman" w:eastAsia="Times New Roman" w:hAnsi="Times New Roman" w:cs="Times New Roman"/>
                <w:b w:val="0"/>
                <w:bCs w:val="0"/>
                <w:color w:val="000000"/>
                <w:sz w:val="24"/>
                <w:szCs w:val="24"/>
              </w:rPr>
              <w:t xml:space="preserve">Sung &amp; </w:t>
            </w:r>
            <w:proofErr w:type="spellStart"/>
            <w:r w:rsidRPr="009974B7">
              <w:rPr>
                <w:rFonts w:ascii="Times New Roman" w:eastAsia="Times New Roman" w:hAnsi="Times New Roman" w:cs="Times New Roman"/>
                <w:b w:val="0"/>
                <w:bCs w:val="0"/>
                <w:color w:val="000000"/>
                <w:sz w:val="24"/>
                <w:szCs w:val="24"/>
              </w:rPr>
              <w:t>Wickrama</w:t>
            </w:r>
            <w:proofErr w:type="spellEnd"/>
            <w:r w:rsidRPr="009974B7">
              <w:rPr>
                <w:rFonts w:ascii="Times New Roman" w:eastAsia="Times New Roman" w:hAnsi="Times New Roman" w:cs="Times New Roman"/>
                <w:b w:val="0"/>
                <w:bCs w:val="0"/>
                <w:color w:val="000000"/>
                <w:sz w:val="24"/>
                <w:szCs w:val="24"/>
              </w:rPr>
              <w:t xml:space="preserve"> (2018)</w:t>
            </w:r>
          </w:p>
        </w:tc>
        <w:tc>
          <w:tcPr>
            <w:tcW w:w="672" w:type="pct"/>
          </w:tcPr>
          <w:p w14:paraId="16EBA629" w14:textId="3C84181B"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69522DDC" w14:textId="3C430C40" w:rsidR="0018337E" w:rsidRPr="009974B7" w:rsidRDefault="000B4B73"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 </w:t>
            </w:r>
            <w:r w:rsidR="0018337E" w:rsidRPr="009974B7">
              <w:rPr>
                <w:rFonts w:ascii="Times New Roman" w:hAnsi="Times New Roman" w:cs="Times New Roman"/>
                <w:sz w:val="24"/>
                <w:szCs w:val="24"/>
              </w:rPr>
              <w:t>constellation of students’ learning-related behaviors and dispositions</w:t>
            </w:r>
          </w:p>
        </w:tc>
        <w:tc>
          <w:tcPr>
            <w:tcW w:w="642" w:type="pct"/>
          </w:tcPr>
          <w:p w14:paraId="10B64F41"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ECLS-K Approaches to Learning Scale</w:t>
            </w:r>
          </w:p>
        </w:tc>
        <w:tc>
          <w:tcPr>
            <w:tcW w:w="886" w:type="pct"/>
            <w:gridSpan w:val="2"/>
          </w:tcPr>
          <w:p w14:paraId="3D0B2D88"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41E78615"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2409FC28"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Tan &amp; Dobbs-Oates (2013) </w:t>
            </w:r>
          </w:p>
        </w:tc>
        <w:tc>
          <w:tcPr>
            <w:tcW w:w="672" w:type="pct"/>
          </w:tcPr>
          <w:p w14:paraId="2E1B61AD"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6B7EE6D6"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attention problems, initiative, and self-control</w:t>
            </w:r>
          </w:p>
        </w:tc>
        <w:tc>
          <w:tcPr>
            <w:tcW w:w="642" w:type="pct"/>
          </w:tcPr>
          <w:p w14:paraId="7E6A9A65" w14:textId="329D8D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Devereaux Early Childhood Assessment</w:t>
            </w:r>
          </w:p>
        </w:tc>
        <w:tc>
          <w:tcPr>
            <w:tcW w:w="886" w:type="pct"/>
            <w:gridSpan w:val="2"/>
          </w:tcPr>
          <w:p w14:paraId="5AB2223B"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Self-Control</w:t>
            </w:r>
          </w:p>
          <w:p w14:paraId="7ED80FEA" w14:textId="6148D6E9"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Initiative</w:t>
            </w:r>
          </w:p>
        </w:tc>
      </w:tr>
      <w:tr w:rsidR="0018337E" w:rsidRPr="009974B7" w14:paraId="6235FF45"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6A0FBA0E"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 xml:space="preserve">Vitello, Greenfield, Munis &amp; George (2011) </w:t>
            </w:r>
          </w:p>
        </w:tc>
        <w:tc>
          <w:tcPr>
            <w:tcW w:w="672" w:type="pct"/>
          </w:tcPr>
          <w:p w14:paraId="78619089" w14:textId="426989D4"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51F2D5B9"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Adaptive learning behaviors, such as motivation, persistence, frustration tolerance, initiative, and positive disposition towards learning</w:t>
            </w:r>
          </w:p>
        </w:tc>
        <w:tc>
          <w:tcPr>
            <w:tcW w:w="642" w:type="pct"/>
          </w:tcPr>
          <w:p w14:paraId="6BFE0115"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PLBS/LBS</w:t>
            </w:r>
          </w:p>
        </w:tc>
        <w:tc>
          <w:tcPr>
            <w:tcW w:w="886" w:type="pct"/>
            <w:gridSpan w:val="2"/>
          </w:tcPr>
          <w:p w14:paraId="0A7C6B88"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20ABC2B4"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6"/>
            <w:noWrap/>
          </w:tcPr>
          <w:p w14:paraId="4C8EE31E" w14:textId="77777777" w:rsidR="0018337E" w:rsidRPr="009974B7" w:rsidRDefault="0018337E" w:rsidP="00A079A9">
            <w:pPr>
              <w:contextualSpacing/>
              <w:jc w:val="center"/>
              <w:rPr>
                <w:rFonts w:ascii="Times New Roman" w:eastAsia="Times New Roman" w:hAnsi="Times New Roman" w:cs="Times New Roman"/>
                <w:b w:val="0"/>
                <w:bCs w:val="0"/>
                <w:color w:val="000000"/>
                <w:sz w:val="24"/>
                <w:szCs w:val="24"/>
              </w:rPr>
            </w:pPr>
            <w:r w:rsidRPr="009974B7">
              <w:rPr>
                <w:rFonts w:ascii="Times New Roman" w:eastAsia="Times New Roman" w:hAnsi="Times New Roman" w:cs="Times New Roman"/>
                <w:b w:val="0"/>
                <w:bCs w:val="0"/>
                <w:color w:val="000000"/>
                <w:sz w:val="24"/>
                <w:szCs w:val="24"/>
              </w:rPr>
              <w:t>Observation-Based Measures of Approaches to Learning</w:t>
            </w:r>
          </w:p>
        </w:tc>
      </w:tr>
      <w:tr w:rsidR="0018337E" w:rsidRPr="009974B7" w14:paraId="59C6971A"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78592DD5" w14:textId="77777777" w:rsidR="0018337E" w:rsidRPr="009974B7" w:rsidRDefault="0018337E" w:rsidP="00E31D47">
            <w:pPr>
              <w:contextualSpacing/>
              <w:rPr>
                <w:rFonts w:ascii="Times New Roman" w:hAnsi="Times New Roman" w:cs="Times New Roman"/>
                <w:b w:val="0"/>
                <w:bCs w:val="0"/>
                <w:sz w:val="24"/>
                <w:szCs w:val="24"/>
              </w:rPr>
            </w:pPr>
            <w:r w:rsidRPr="009974B7">
              <w:rPr>
                <w:rFonts w:ascii="Times New Roman" w:eastAsia="Times New Roman" w:hAnsi="Times New Roman" w:cs="Times New Roman"/>
                <w:b w:val="0"/>
                <w:bCs w:val="0"/>
                <w:color w:val="000000"/>
                <w:sz w:val="24"/>
                <w:szCs w:val="24"/>
              </w:rPr>
              <w:t xml:space="preserve">Chen &amp; McNamee (2011) </w:t>
            </w:r>
          </w:p>
        </w:tc>
        <w:tc>
          <w:tcPr>
            <w:tcW w:w="672" w:type="pct"/>
          </w:tcPr>
          <w:p w14:paraId="1040384C" w14:textId="65D9540B"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0ABC6F17"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 xml:space="preserve">initial engagement, attention, </w:t>
            </w:r>
            <w:proofErr w:type="spellStart"/>
            <w:r w:rsidRPr="009974B7">
              <w:rPr>
                <w:rFonts w:ascii="Times New Roman" w:hAnsi="Times New Roman" w:cs="Times New Roman"/>
                <w:sz w:val="24"/>
                <w:szCs w:val="24"/>
              </w:rPr>
              <w:t>planfulness</w:t>
            </w:r>
            <w:proofErr w:type="spellEnd"/>
            <w:r w:rsidRPr="009974B7">
              <w:rPr>
                <w:rFonts w:ascii="Times New Roman" w:hAnsi="Times New Roman" w:cs="Times New Roman"/>
                <w:sz w:val="24"/>
                <w:szCs w:val="24"/>
              </w:rPr>
              <w:t>, and goal orientation</w:t>
            </w:r>
          </w:p>
        </w:tc>
        <w:tc>
          <w:tcPr>
            <w:tcW w:w="642" w:type="pct"/>
          </w:tcPr>
          <w:p w14:paraId="79FE70A9" w14:textId="5D7A1584"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Observation-based method with coding</w:t>
            </w:r>
          </w:p>
        </w:tc>
        <w:tc>
          <w:tcPr>
            <w:tcW w:w="886" w:type="pct"/>
            <w:gridSpan w:val="2"/>
          </w:tcPr>
          <w:p w14:paraId="31350326"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18337E" w:rsidRPr="009974B7" w14:paraId="184BB608" w14:textId="77777777" w:rsidTr="00A079A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329FB988" w14:textId="77777777" w:rsidR="0018337E" w:rsidRPr="009974B7" w:rsidRDefault="0018337E" w:rsidP="00E31D47">
            <w:pPr>
              <w:contextualSpacing/>
              <w:rPr>
                <w:rFonts w:ascii="Times New Roman" w:eastAsia="Times New Roman" w:hAnsi="Times New Roman" w:cs="Times New Roman"/>
                <w:b w:val="0"/>
                <w:bCs w:val="0"/>
                <w:color w:val="000000"/>
                <w:sz w:val="24"/>
                <w:szCs w:val="24"/>
              </w:rPr>
            </w:pPr>
            <w:r w:rsidRPr="009974B7">
              <w:rPr>
                <w:rFonts w:ascii="Times New Roman" w:hAnsi="Times New Roman" w:cs="Times New Roman"/>
                <w:b w:val="0"/>
                <w:bCs w:val="0"/>
                <w:sz w:val="24"/>
                <w:szCs w:val="24"/>
              </w:rPr>
              <w:t xml:space="preserve">Nesbitt, </w:t>
            </w:r>
            <w:proofErr w:type="spellStart"/>
            <w:r w:rsidRPr="009974B7">
              <w:rPr>
                <w:rFonts w:ascii="Times New Roman" w:hAnsi="Times New Roman" w:cs="Times New Roman"/>
                <w:b w:val="0"/>
                <w:bCs w:val="0"/>
                <w:sz w:val="24"/>
                <w:szCs w:val="24"/>
              </w:rPr>
              <w:t>Farran</w:t>
            </w:r>
            <w:proofErr w:type="spellEnd"/>
            <w:r w:rsidRPr="009974B7">
              <w:rPr>
                <w:rFonts w:ascii="Times New Roman" w:hAnsi="Times New Roman" w:cs="Times New Roman"/>
                <w:b w:val="0"/>
                <w:bCs w:val="0"/>
                <w:sz w:val="24"/>
                <w:szCs w:val="24"/>
              </w:rPr>
              <w:t xml:space="preserve">, &amp; </w:t>
            </w:r>
            <w:proofErr w:type="spellStart"/>
            <w:r w:rsidRPr="009974B7">
              <w:rPr>
                <w:rFonts w:ascii="Times New Roman" w:hAnsi="Times New Roman" w:cs="Times New Roman"/>
                <w:b w:val="0"/>
                <w:bCs w:val="0"/>
                <w:sz w:val="24"/>
                <w:szCs w:val="24"/>
              </w:rPr>
              <w:t>Fuhs</w:t>
            </w:r>
            <w:proofErr w:type="spellEnd"/>
            <w:r w:rsidRPr="009974B7">
              <w:rPr>
                <w:rFonts w:ascii="Times New Roman" w:hAnsi="Times New Roman" w:cs="Times New Roman"/>
                <w:b w:val="0"/>
                <w:bCs w:val="0"/>
                <w:sz w:val="24"/>
                <w:szCs w:val="24"/>
              </w:rPr>
              <w:t xml:space="preserve"> (2015) </w:t>
            </w:r>
          </w:p>
        </w:tc>
        <w:tc>
          <w:tcPr>
            <w:tcW w:w="672" w:type="pct"/>
          </w:tcPr>
          <w:p w14:paraId="349D5E43" w14:textId="2F985BE5"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Learning-Related Behaviors</w:t>
            </w:r>
          </w:p>
        </w:tc>
        <w:tc>
          <w:tcPr>
            <w:tcW w:w="890" w:type="pct"/>
          </w:tcPr>
          <w:p w14:paraId="1436119A"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Level of involvement</w:t>
            </w:r>
          </w:p>
          <w:p w14:paraId="794DEB94"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Sequential learning behaviors</w:t>
            </w:r>
          </w:p>
          <w:p w14:paraId="3D53742B"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Social-learning interactions</w:t>
            </w:r>
          </w:p>
          <w:p w14:paraId="459C6293" w14:textId="030A2C19"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lastRenderedPageBreak/>
              <w:t>Unoccupied and disruptive behaviors</w:t>
            </w:r>
          </w:p>
        </w:tc>
        <w:tc>
          <w:tcPr>
            <w:tcW w:w="642" w:type="pct"/>
          </w:tcPr>
          <w:p w14:paraId="1B7E69C9" w14:textId="384A6EA2"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lastRenderedPageBreak/>
              <w:t>Child Observation on Preschool (COP)</w:t>
            </w:r>
          </w:p>
        </w:tc>
        <w:tc>
          <w:tcPr>
            <w:tcW w:w="886" w:type="pct"/>
            <w:gridSpan w:val="2"/>
          </w:tcPr>
          <w:p w14:paraId="5BAD0954" w14:textId="77777777"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 xml:space="preserve">the ability to attend to and be involved in learning-related activities, engage in sequential learning-related activities that </w:t>
            </w:r>
            <w:r w:rsidRPr="009974B7">
              <w:rPr>
                <w:rFonts w:ascii="Times New Roman" w:hAnsi="Times New Roman" w:cs="Times New Roman"/>
                <w:sz w:val="24"/>
                <w:szCs w:val="24"/>
              </w:rPr>
              <w:lastRenderedPageBreak/>
              <w:t>require remembering and enacting multiple steps, cooperate and interact with peers and teachers on learning-related activities, and refrain from unoccupied/disruptive behaviors that reduce learning opportunities</w:t>
            </w:r>
          </w:p>
        </w:tc>
      </w:tr>
      <w:tr w:rsidR="0018337E" w:rsidRPr="009974B7" w14:paraId="192A372E" w14:textId="77777777" w:rsidTr="00A079A9">
        <w:trPr>
          <w:trHeight w:val="20"/>
        </w:trPr>
        <w:tc>
          <w:tcPr>
            <w:cnfStyle w:val="001000000000" w:firstRow="0" w:lastRow="0" w:firstColumn="1" w:lastColumn="0" w:oddVBand="0" w:evenVBand="0" w:oddHBand="0" w:evenHBand="0" w:firstRowFirstColumn="0" w:firstRowLastColumn="0" w:lastRowFirstColumn="0" w:lastRowLastColumn="0"/>
            <w:tcW w:w="1910" w:type="pct"/>
            <w:noWrap/>
          </w:tcPr>
          <w:p w14:paraId="2B931491" w14:textId="77777777" w:rsidR="0018337E" w:rsidRPr="009974B7" w:rsidRDefault="0018337E" w:rsidP="00E31D47">
            <w:pPr>
              <w:contextualSpacing/>
              <w:rPr>
                <w:rFonts w:ascii="Times New Roman" w:hAnsi="Times New Roman" w:cs="Times New Roman"/>
                <w:b w:val="0"/>
                <w:bCs w:val="0"/>
                <w:sz w:val="24"/>
                <w:szCs w:val="24"/>
              </w:rPr>
            </w:pPr>
            <w:r w:rsidRPr="009974B7">
              <w:rPr>
                <w:rFonts w:ascii="Times New Roman" w:hAnsi="Times New Roman" w:cs="Times New Roman"/>
                <w:b w:val="0"/>
                <w:bCs w:val="0"/>
                <w:sz w:val="24"/>
                <w:szCs w:val="24"/>
              </w:rPr>
              <w:t xml:space="preserve">Vitello &amp; Greenfield (2017) </w:t>
            </w:r>
          </w:p>
        </w:tc>
        <w:tc>
          <w:tcPr>
            <w:tcW w:w="672" w:type="pct"/>
          </w:tcPr>
          <w:p w14:paraId="4488D957" w14:textId="1A83157F"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Approaches to Learning</w:t>
            </w:r>
          </w:p>
        </w:tc>
        <w:tc>
          <w:tcPr>
            <w:tcW w:w="890" w:type="pct"/>
          </w:tcPr>
          <w:p w14:paraId="5106B034" w14:textId="77777777" w:rsidR="0018337E" w:rsidRPr="009974B7" w:rsidRDefault="0018337E" w:rsidP="00A079A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skills and dispositions, including curiosity, engagement, flexibility, persistence, frustration tolerance, and self-direction</w:t>
            </w:r>
          </w:p>
        </w:tc>
        <w:tc>
          <w:tcPr>
            <w:tcW w:w="642" w:type="pct"/>
          </w:tcPr>
          <w:p w14:paraId="08A28D51" w14:textId="77777777" w:rsidR="0018337E" w:rsidRPr="009974B7" w:rsidRDefault="0018337E" w:rsidP="00A079A9">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inCLASS</w:t>
            </w:r>
          </w:p>
        </w:tc>
        <w:tc>
          <w:tcPr>
            <w:tcW w:w="886" w:type="pct"/>
            <w:gridSpan w:val="2"/>
          </w:tcPr>
          <w:p w14:paraId="5F140868" w14:textId="31DC6F0C" w:rsidR="0018337E" w:rsidRPr="009974B7" w:rsidRDefault="0018337E" w:rsidP="00A079A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Engagement: maintain focus in an activity and demonstrate interest and enthusiasm</w:t>
            </w:r>
          </w:p>
          <w:p w14:paraId="1E936F86" w14:textId="709CE4E4" w:rsidR="0018337E" w:rsidRPr="009974B7" w:rsidRDefault="0018337E" w:rsidP="00A079A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Self-Reliance: independently seek out activities or to persist calmly in the face of difficult tasks</w:t>
            </w:r>
          </w:p>
        </w:tc>
      </w:tr>
      <w:tr w:rsidR="0018337E" w:rsidRPr="009974B7" w14:paraId="2318E8EC" w14:textId="77777777" w:rsidTr="00A079A9">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1910" w:type="pct"/>
            <w:noWrap/>
          </w:tcPr>
          <w:p w14:paraId="0393AED7" w14:textId="77777777" w:rsidR="0018337E" w:rsidRPr="009974B7" w:rsidRDefault="0018337E" w:rsidP="00E31D47">
            <w:pPr>
              <w:contextualSpacing/>
              <w:rPr>
                <w:rFonts w:ascii="Times New Roman" w:hAnsi="Times New Roman" w:cs="Times New Roman"/>
                <w:b w:val="0"/>
                <w:bCs w:val="0"/>
                <w:sz w:val="24"/>
                <w:szCs w:val="24"/>
              </w:rPr>
            </w:pPr>
            <w:proofErr w:type="spellStart"/>
            <w:r w:rsidRPr="009974B7">
              <w:rPr>
                <w:rFonts w:ascii="Times New Roman" w:eastAsia="Times New Roman" w:hAnsi="Times New Roman" w:cs="Times New Roman"/>
                <w:b w:val="0"/>
                <w:bCs w:val="0"/>
                <w:color w:val="000000"/>
                <w:sz w:val="24"/>
                <w:szCs w:val="24"/>
              </w:rPr>
              <w:t>Rimm</w:t>
            </w:r>
            <w:proofErr w:type="spellEnd"/>
            <w:r w:rsidRPr="009974B7">
              <w:rPr>
                <w:rFonts w:ascii="Times New Roman" w:eastAsia="Times New Roman" w:hAnsi="Times New Roman" w:cs="Times New Roman"/>
                <w:b w:val="0"/>
                <w:bCs w:val="0"/>
                <w:color w:val="000000"/>
                <w:sz w:val="24"/>
                <w:szCs w:val="24"/>
              </w:rPr>
              <w:t xml:space="preserve">-Kaufman, </w:t>
            </w:r>
            <w:proofErr w:type="spellStart"/>
            <w:r w:rsidRPr="009974B7">
              <w:rPr>
                <w:rFonts w:ascii="Times New Roman" w:eastAsia="Times New Roman" w:hAnsi="Times New Roman" w:cs="Times New Roman"/>
                <w:b w:val="0"/>
                <w:bCs w:val="0"/>
                <w:color w:val="000000"/>
                <w:sz w:val="24"/>
                <w:szCs w:val="24"/>
              </w:rPr>
              <w:t>Curby</w:t>
            </w:r>
            <w:proofErr w:type="spellEnd"/>
            <w:r w:rsidRPr="009974B7">
              <w:rPr>
                <w:rFonts w:ascii="Times New Roman" w:eastAsia="Times New Roman" w:hAnsi="Times New Roman" w:cs="Times New Roman"/>
                <w:b w:val="0"/>
                <w:bCs w:val="0"/>
                <w:color w:val="000000"/>
                <w:sz w:val="24"/>
                <w:szCs w:val="24"/>
              </w:rPr>
              <w:t>, Grimm, Nathanson, &amp; Brock (2009)</w:t>
            </w:r>
          </w:p>
        </w:tc>
        <w:tc>
          <w:tcPr>
            <w:tcW w:w="672" w:type="pct"/>
          </w:tcPr>
          <w:p w14:paraId="53A71A63"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eastAsia="Times New Roman" w:hAnsi="Times New Roman" w:cs="Times New Roman"/>
                <w:color w:val="000000"/>
                <w:sz w:val="24"/>
                <w:szCs w:val="24"/>
              </w:rPr>
              <w:t>Global Ratings of Engagement</w:t>
            </w:r>
          </w:p>
        </w:tc>
        <w:tc>
          <w:tcPr>
            <w:tcW w:w="890" w:type="pct"/>
          </w:tcPr>
          <w:p w14:paraId="4CAC2F37" w14:textId="4E05EE3F"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hAnsi="Times New Roman" w:cs="Times New Roman"/>
                <w:sz w:val="24"/>
                <w:szCs w:val="24"/>
              </w:rPr>
              <w:t>Engagement in learning</w:t>
            </w:r>
          </w:p>
        </w:tc>
        <w:tc>
          <w:tcPr>
            <w:tcW w:w="642" w:type="pct"/>
          </w:tcPr>
          <w:p w14:paraId="049C365D" w14:textId="77777777" w:rsidR="0018337E" w:rsidRPr="009974B7" w:rsidRDefault="0018337E" w:rsidP="00A079A9">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974B7">
              <w:rPr>
                <w:rFonts w:ascii="Times New Roman" w:hAnsi="Times New Roman" w:cs="Times New Roman"/>
                <w:sz w:val="24"/>
                <w:szCs w:val="24"/>
              </w:rPr>
              <w:t>Observed Child Engagement Scale</w:t>
            </w:r>
          </w:p>
        </w:tc>
        <w:tc>
          <w:tcPr>
            <w:tcW w:w="886" w:type="pct"/>
            <w:gridSpan w:val="2"/>
          </w:tcPr>
          <w:p w14:paraId="77DE380B" w14:textId="5491C49F" w:rsidR="0018337E" w:rsidRPr="009974B7" w:rsidRDefault="0018337E" w:rsidP="00A079A9">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974B7">
              <w:rPr>
                <w:rFonts w:ascii="Times New Roman" w:eastAsia="Times New Roman" w:hAnsi="Times New Roman" w:cs="Times New Roman"/>
                <w:color w:val="000000"/>
                <w:sz w:val="24"/>
                <w:szCs w:val="24"/>
              </w:rPr>
              <w:t>Compliance, engagement, self-reliance, negative affect attention, peer cooperation, disruptive behavior, and positive affect</w:t>
            </w:r>
          </w:p>
        </w:tc>
      </w:tr>
    </w:tbl>
    <w:p w14:paraId="0DAC6102" w14:textId="77777777" w:rsidR="0018337E" w:rsidRPr="0018337E" w:rsidRDefault="0018337E" w:rsidP="0018337E">
      <w:pPr>
        <w:spacing w:after="160" w:line="240" w:lineRule="auto"/>
        <w:contextualSpacing/>
        <w:rPr>
          <w:color w:val="auto"/>
          <w:sz w:val="22"/>
          <w:szCs w:val="22"/>
        </w:rPr>
      </w:pPr>
      <w:r w:rsidRPr="0018337E">
        <w:rPr>
          <w:color w:val="auto"/>
          <w:sz w:val="22"/>
          <w:szCs w:val="22"/>
        </w:rPr>
        <w:t xml:space="preserve">Note. </w:t>
      </w:r>
      <w:r w:rsidRPr="0018337E">
        <w:rPr>
          <w:i/>
          <w:iCs/>
          <w:color w:val="auto"/>
          <w:sz w:val="22"/>
          <w:szCs w:val="22"/>
        </w:rPr>
        <w:t xml:space="preserve">PLBS is the Preschool Learning Behaviors Scale. ECLS-K is the Early Childhood Longitudinal Study-Kindergarten cohort. </w:t>
      </w:r>
    </w:p>
    <w:p w14:paraId="291230D7" w14:textId="7339B9E8" w:rsidR="0018337E" w:rsidRPr="0018337E" w:rsidRDefault="0018337E" w:rsidP="0018337E">
      <w:pPr>
        <w:spacing w:after="160" w:line="240" w:lineRule="auto"/>
        <w:contextualSpacing/>
        <w:rPr>
          <w:color w:val="auto"/>
          <w:sz w:val="22"/>
          <w:szCs w:val="22"/>
        </w:rPr>
      </w:pPr>
      <w:r w:rsidRPr="0018337E">
        <w:rPr>
          <w:color w:val="auto"/>
          <w:sz w:val="22"/>
          <w:szCs w:val="22"/>
          <w:vertAlign w:val="superscript"/>
        </w:rPr>
        <w:lastRenderedPageBreak/>
        <w:t xml:space="preserve">1 </w:t>
      </w:r>
      <w:r w:rsidRPr="0018337E">
        <w:rPr>
          <w:color w:val="auto"/>
          <w:sz w:val="22"/>
          <w:szCs w:val="22"/>
        </w:rPr>
        <w:t xml:space="preserve">See also Holliday, </w:t>
      </w:r>
      <w:proofErr w:type="spellStart"/>
      <w:r w:rsidRPr="0018337E">
        <w:rPr>
          <w:color w:val="auto"/>
          <w:sz w:val="22"/>
          <w:szCs w:val="22"/>
        </w:rPr>
        <w:t>CImetta</w:t>
      </w:r>
      <w:proofErr w:type="spellEnd"/>
      <w:r w:rsidRPr="0018337E">
        <w:rPr>
          <w:color w:val="auto"/>
          <w:sz w:val="22"/>
          <w:szCs w:val="22"/>
        </w:rPr>
        <w:t xml:space="preserve">, </w:t>
      </w:r>
      <w:proofErr w:type="spellStart"/>
      <w:r w:rsidRPr="0018337E">
        <w:rPr>
          <w:color w:val="auto"/>
          <w:sz w:val="22"/>
          <w:szCs w:val="22"/>
        </w:rPr>
        <w:t>Cutshaw</w:t>
      </w:r>
      <w:proofErr w:type="spellEnd"/>
      <w:r w:rsidRPr="0018337E">
        <w:rPr>
          <w:color w:val="auto"/>
          <w:sz w:val="22"/>
          <w:szCs w:val="22"/>
        </w:rPr>
        <w:t xml:space="preserve">, </w:t>
      </w:r>
      <w:proofErr w:type="spellStart"/>
      <w:r w:rsidRPr="0018337E">
        <w:rPr>
          <w:color w:val="auto"/>
          <w:sz w:val="22"/>
          <w:szCs w:val="22"/>
        </w:rPr>
        <w:t>Yaden</w:t>
      </w:r>
      <w:proofErr w:type="spellEnd"/>
      <w:r w:rsidR="000B4B73">
        <w:rPr>
          <w:color w:val="auto"/>
          <w:sz w:val="22"/>
          <w:szCs w:val="22"/>
        </w:rPr>
        <w:t>,</w:t>
      </w:r>
      <w:r w:rsidRPr="0018337E">
        <w:rPr>
          <w:color w:val="auto"/>
          <w:sz w:val="22"/>
          <w:szCs w:val="22"/>
        </w:rPr>
        <w:t xml:space="preserve"> and Marx (2014) </w:t>
      </w:r>
    </w:p>
    <w:p w14:paraId="39E87AE7" w14:textId="77777777" w:rsidR="0018337E" w:rsidRPr="0018337E" w:rsidRDefault="0018337E" w:rsidP="0018337E">
      <w:pPr>
        <w:spacing w:after="160" w:line="240" w:lineRule="auto"/>
        <w:contextualSpacing/>
        <w:rPr>
          <w:color w:val="auto"/>
          <w:sz w:val="22"/>
          <w:szCs w:val="22"/>
        </w:rPr>
      </w:pPr>
      <w:r w:rsidRPr="0018337E">
        <w:rPr>
          <w:color w:val="auto"/>
          <w:sz w:val="22"/>
          <w:szCs w:val="22"/>
          <w:vertAlign w:val="superscript"/>
        </w:rPr>
        <w:t>2</w:t>
      </w:r>
      <w:r w:rsidRPr="0018337E">
        <w:rPr>
          <w:color w:val="auto"/>
          <w:sz w:val="22"/>
          <w:szCs w:val="22"/>
        </w:rPr>
        <w:t xml:space="preserve"> See Also Harrison, McLeod, </w:t>
      </w:r>
      <w:proofErr w:type="spellStart"/>
      <w:r w:rsidRPr="0018337E">
        <w:rPr>
          <w:color w:val="auto"/>
          <w:sz w:val="22"/>
          <w:szCs w:val="22"/>
        </w:rPr>
        <w:t>Berthelesen</w:t>
      </w:r>
      <w:proofErr w:type="spellEnd"/>
      <w:r w:rsidRPr="0018337E">
        <w:rPr>
          <w:color w:val="auto"/>
          <w:sz w:val="22"/>
          <w:szCs w:val="22"/>
        </w:rPr>
        <w:t xml:space="preserve">, &amp; Walker (2009) </w:t>
      </w:r>
    </w:p>
    <w:p w14:paraId="26BFBEBF" w14:textId="089DDE23" w:rsidR="0018337E" w:rsidRPr="0018337E" w:rsidRDefault="0018337E" w:rsidP="0018337E">
      <w:pPr>
        <w:spacing w:after="160" w:line="240" w:lineRule="auto"/>
        <w:contextualSpacing/>
        <w:rPr>
          <w:color w:val="auto"/>
          <w:sz w:val="22"/>
          <w:szCs w:val="22"/>
        </w:rPr>
      </w:pPr>
      <w:r w:rsidRPr="0018337E">
        <w:rPr>
          <w:color w:val="auto"/>
          <w:sz w:val="22"/>
          <w:szCs w:val="22"/>
          <w:vertAlign w:val="superscript"/>
        </w:rPr>
        <w:t xml:space="preserve">3 </w:t>
      </w:r>
      <w:r w:rsidRPr="0018337E">
        <w:rPr>
          <w:color w:val="auto"/>
          <w:sz w:val="22"/>
          <w:szCs w:val="22"/>
        </w:rPr>
        <w:t xml:space="preserve">See Also Dominguez, </w:t>
      </w:r>
      <w:proofErr w:type="spellStart"/>
      <w:r w:rsidRPr="0018337E">
        <w:rPr>
          <w:color w:val="auto"/>
          <w:sz w:val="22"/>
          <w:szCs w:val="22"/>
        </w:rPr>
        <w:t>Vitiello</w:t>
      </w:r>
      <w:proofErr w:type="spellEnd"/>
      <w:r w:rsidRPr="0018337E">
        <w:rPr>
          <w:color w:val="auto"/>
          <w:sz w:val="22"/>
          <w:szCs w:val="22"/>
        </w:rPr>
        <w:t xml:space="preserve">, </w:t>
      </w:r>
      <w:proofErr w:type="spellStart"/>
      <w:r w:rsidRPr="0018337E">
        <w:rPr>
          <w:color w:val="auto"/>
          <w:sz w:val="22"/>
          <w:szCs w:val="22"/>
        </w:rPr>
        <w:t>Fuccillo</w:t>
      </w:r>
      <w:proofErr w:type="spellEnd"/>
      <w:r w:rsidR="000B4B73">
        <w:rPr>
          <w:color w:val="auto"/>
          <w:sz w:val="22"/>
          <w:szCs w:val="22"/>
        </w:rPr>
        <w:t>,</w:t>
      </w:r>
      <w:r w:rsidRPr="0018337E">
        <w:rPr>
          <w:color w:val="auto"/>
          <w:sz w:val="22"/>
          <w:szCs w:val="22"/>
        </w:rPr>
        <w:t xml:space="preserve"> et al. (2011) </w:t>
      </w:r>
    </w:p>
    <w:p w14:paraId="25055C29" w14:textId="77777777" w:rsidR="0018337E" w:rsidRPr="0018337E" w:rsidRDefault="0018337E" w:rsidP="0018337E">
      <w:pPr>
        <w:spacing w:after="160" w:line="240" w:lineRule="auto"/>
        <w:contextualSpacing/>
        <w:rPr>
          <w:color w:val="auto"/>
          <w:sz w:val="22"/>
          <w:szCs w:val="22"/>
        </w:rPr>
      </w:pPr>
      <w:r w:rsidRPr="0018337E">
        <w:rPr>
          <w:color w:val="auto"/>
          <w:sz w:val="22"/>
          <w:szCs w:val="22"/>
          <w:vertAlign w:val="superscript"/>
        </w:rPr>
        <w:t xml:space="preserve">4 </w:t>
      </w:r>
      <w:r w:rsidRPr="0018337E">
        <w:rPr>
          <w:color w:val="auto"/>
          <w:sz w:val="22"/>
          <w:szCs w:val="22"/>
        </w:rPr>
        <w:t xml:space="preserve">See also Hindman &amp; Morrison (2011) and Son, Kwon, Jeon, &amp; Hong (2013), </w:t>
      </w:r>
    </w:p>
    <w:p w14:paraId="59AD6244" w14:textId="77777777" w:rsidR="0018337E" w:rsidRPr="0018337E" w:rsidRDefault="0018337E" w:rsidP="0018337E">
      <w:pPr>
        <w:spacing w:after="160" w:line="240" w:lineRule="auto"/>
        <w:contextualSpacing/>
        <w:rPr>
          <w:color w:val="auto"/>
          <w:sz w:val="22"/>
          <w:szCs w:val="22"/>
        </w:rPr>
      </w:pPr>
      <w:r w:rsidRPr="0018337E">
        <w:rPr>
          <w:color w:val="auto"/>
          <w:sz w:val="22"/>
          <w:szCs w:val="22"/>
          <w:vertAlign w:val="superscript"/>
        </w:rPr>
        <w:t xml:space="preserve">5 </w:t>
      </w:r>
      <w:r w:rsidRPr="0018337E">
        <w:rPr>
          <w:color w:val="auto"/>
          <w:sz w:val="22"/>
          <w:szCs w:val="22"/>
        </w:rPr>
        <w:t xml:space="preserve">See Also McDermott, Leigh &amp; Perry (2002), McDermott et al. (2017), McDermott, </w:t>
      </w:r>
      <w:proofErr w:type="spellStart"/>
      <w:r w:rsidRPr="0018337E">
        <w:rPr>
          <w:color w:val="auto"/>
          <w:sz w:val="22"/>
          <w:szCs w:val="22"/>
        </w:rPr>
        <w:t>Rikoon</w:t>
      </w:r>
      <w:proofErr w:type="spellEnd"/>
      <w:r w:rsidRPr="0018337E">
        <w:rPr>
          <w:color w:val="auto"/>
          <w:sz w:val="22"/>
          <w:szCs w:val="22"/>
        </w:rPr>
        <w:t xml:space="preserve">, Waterman, &amp; </w:t>
      </w:r>
      <w:proofErr w:type="spellStart"/>
      <w:r w:rsidRPr="0018337E">
        <w:rPr>
          <w:color w:val="auto"/>
          <w:sz w:val="22"/>
          <w:szCs w:val="22"/>
        </w:rPr>
        <w:t>Fantuzzo</w:t>
      </w:r>
      <w:proofErr w:type="spellEnd"/>
      <w:r w:rsidRPr="0018337E">
        <w:rPr>
          <w:color w:val="auto"/>
          <w:sz w:val="22"/>
          <w:szCs w:val="22"/>
        </w:rPr>
        <w:t xml:space="preserve"> (2012) and </w:t>
      </w:r>
      <w:proofErr w:type="spellStart"/>
      <w:r w:rsidRPr="0018337E">
        <w:rPr>
          <w:color w:val="auto"/>
          <w:sz w:val="22"/>
          <w:szCs w:val="22"/>
        </w:rPr>
        <w:t>Fantuzzo</w:t>
      </w:r>
      <w:proofErr w:type="spellEnd"/>
      <w:r w:rsidRPr="0018337E">
        <w:rPr>
          <w:color w:val="auto"/>
          <w:sz w:val="22"/>
          <w:szCs w:val="22"/>
        </w:rPr>
        <w:t>,</w:t>
      </w:r>
    </w:p>
    <w:p w14:paraId="6B9FAE95" w14:textId="77777777" w:rsidR="0018337E" w:rsidRPr="0018337E" w:rsidRDefault="0018337E" w:rsidP="0018337E">
      <w:pPr>
        <w:spacing w:after="160" w:line="240" w:lineRule="auto"/>
        <w:contextualSpacing/>
        <w:rPr>
          <w:b/>
          <w:bCs/>
          <w:color w:val="auto"/>
        </w:rPr>
      </w:pPr>
      <w:r w:rsidRPr="0018337E">
        <w:rPr>
          <w:color w:val="auto"/>
          <w:sz w:val="22"/>
          <w:szCs w:val="22"/>
        </w:rPr>
        <w:t xml:space="preserve"> Perry, &amp; McDermott (2004) for similar definitions of AtL with the LBS or the PLBS </w:t>
      </w:r>
    </w:p>
    <w:p w14:paraId="619B86A6" w14:textId="77777777" w:rsidR="00224D0B" w:rsidRDefault="00224D0B" w:rsidP="004946E9">
      <w:pPr>
        <w:sectPr w:rsidR="00224D0B" w:rsidSect="00D86CCC">
          <w:headerReference w:type="default" r:id="rId16"/>
          <w:footerReference w:type="default" r:id="rId17"/>
          <w:headerReference w:type="first" r:id="rId18"/>
          <w:type w:val="continuous"/>
          <w:pgSz w:w="15840" w:h="12240" w:orient="landscape"/>
          <w:pgMar w:top="1440" w:right="1440" w:bottom="1440" w:left="1440" w:header="720" w:footer="720" w:gutter="0"/>
          <w:cols w:space="720"/>
          <w:titlePg/>
          <w:docGrid w:linePitch="360"/>
        </w:sectPr>
      </w:pPr>
    </w:p>
    <w:p w14:paraId="0B48DB3B" w14:textId="535E3EC9" w:rsidR="004946E9" w:rsidRDefault="004946E9" w:rsidP="004946E9"/>
    <w:p w14:paraId="26EB880A" w14:textId="77777777" w:rsidR="00224D0B" w:rsidRDefault="00224D0B" w:rsidP="009974B7">
      <w:pPr>
        <w:pStyle w:val="Heading1"/>
        <w:rPr>
          <w:b w:val="0"/>
          <w:bCs/>
        </w:rPr>
      </w:pPr>
    </w:p>
    <w:p w14:paraId="62254346" w14:textId="77777777" w:rsidR="001B072F" w:rsidRDefault="001B072F" w:rsidP="001B072F">
      <w:pPr>
        <w:spacing w:line="240" w:lineRule="auto"/>
        <w:contextualSpacing/>
        <w:rPr>
          <w:rFonts w:eastAsia="Calibri"/>
          <w:color w:val="000000"/>
        </w:rPr>
      </w:pPr>
    </w:p>
    <w:p w14:paraId="4A92AFEB" w14:textId="607033C7" w:rsidR="001B072F" w:rsidRPr="00E57231" w:rsidRDefault="001B072F" w:rsidP="001B072F">
      <w:pPr>
        <w:pStyle w:val="Heading1"/>
        <w:rPr>
          <w:b w:val="0"/>
          <w:bCs/>
        </w:rPr>
      </w:pPr>
      <w:bookmarkStart w:id="30" w:name="_Toc46265472"/>
      <w:r w:rsidRPr="00E57231">
        <w:rPr>
          <w:b w:val="0"/>
          <w:bCs/>
        </w:rPr>
        <w:t>MANUSCRIPT II</w:t>
      </w:r>
      <w:bookmarkEnd w:id="30"/>
    </w:p>
    <w:p w14:paraId="78739BE4" w14:textId="77777777" w:rsidR="001B072F" w:rsidRDefault="001B072F" w:rsidP="001B072F">
      <w:pPr>
        <w:tabs>
          <w:tab w:val="left" w:pos="7852"/>
        </w:tabs>
        <w:jc w:val="center"/>
      </w:pPr>
    </w:p>
    <w:p w14:paraId="06306BA6" w14:textId="77777777" w:rsidR="001B072F" w:rsidRDefault="001B072F" w:rsidP="001B072F">
      <w:pPr>
        <w:tabs>
          <w:tab w:val="left" w:pos="7852"/>
        </w:tabs>
        <w:jc w:val="center"/>
      </w:pPr>
    </w:p>
    <w:p w14:paraId="0A9E6F7D" w14:textId="77777777" w:rsidR="001B072F" w:rsidRDefault="001B072F" w:rsidP="001B072F">
      <w:pPr>
        <w:tabs>
          <w:tab w:val="left" w:pos="7852"/>
        </w:tabs>
        <w:jc w:val="center"/>
      </w:pPr>
    </w:p>
    <w:p w14:paraId="7B27BA04" w14:textId="77777777" w:rsidR="001B072F" w:rsidRDefault="001B072F" w:rsidP="001B072F">
      <w:pPr>
        <w:tabs>
          <w:tab w:val="left" w:pos="7852"/>
        </w:tabs>
        <w:jc w:val="center"/>
      </w:pPr>
      <w:r>
        <w:t xml:space="preserve"> </w:t>
      </w:r>
    </w:p>
    <w:p w14:paraId="3E1820B7" w14:textId="77777777" w:rsidR="001B072F" w:rsidRDefault="001B072F" w:rsidP="001B072F">
      <w:pPr>
        <w:jc w:val="center"/>
      </w:pPr>
      <w:bookmarkStart w:id="31" w:name="_Hlk43748569"/>
      <w:r>
        <w:t>Exploration and Dramatizing:</w:t>
      </w:r>
      <w:r w:rsidRPr="00CB5672">
        <w:t xml:space="preserve"> Theoretical Foundations for the </w:t>
      </w:r>
    </w:p>
    <w:p w14:paraId="3EABF0A9" w14:textId="77777777" w:rsidR="001B072F" w:rsidRPr="00CB5672" w:rsidRDefault="001B072F" w:rsidP="001B072F">
      <w:pPr>
        <w:jc w:val="center"/>
      </w:pPr>
      <w:r w:rsidRPr="00CB5672">
        <w:t>Development of Approaches to Learning through Play</w:t>
      </w:r>
    </w:p>
    <w:bookmarkEnd w:id="31"/>
    <w:p w14:paraId="653C579D" w14:textId="77777777" w:rsidR="001B072F" w:rsidRDefault="001B072F" w:rsidP="001B072F"/>
    <w:p w14:paraId="56FA022B" w14:textId="77777777" w:rsidR="001B072F" w:rsidRDefault="001B072F" w:rsidP="001B072F">
      <w:pPr>
        <w:tabs>
          <w:tab w:val="left" w:pos="7852"/>
        </w:tabs>
        <w:jc w:val="center"/>
      </w:pPr>
    </w:p>
    <w:p w14:paraId="5032072F" w14:textId="77777777" w:rsidR="001B072F" w:rsidRDefault="001B072F" w:rsidP="001B072F">
      <w:pPr>
        <w:tabs>
          <w:tab w:val="left" w:pos="7852"/>
        </w:tabs>
        <w:jc w:val="center"/>
      </w:pPr>
    </w:p>
    <w:p w14:paraId="2A4A6E91" w14:textId="77777777" w:rsidR="001B072F" w:rsidRDefault="001B072F" w:rsidP="001B072F">
      <w:pPr>
        <w:tabs>
          <w:tab w:val="left" w:pos="7852"/>
        </w:tabs>
        <w:jc w:val="center"/>
      </w:pPr>
    </w:p>
    <w:p w14:paraId="04807803" w14:textId="77777777" w:rsidR="001B072F" w:rsidRDefault="001B072F" w:rsidP="001B072F">
      <w:pPr>
        <w:tabs>
          <w:tab w:val="left" w:pos="7852"/>
        </w:tabs>
        <w:jc w:val="center"/>
      </w:pPr>
    </w:p>
    <w:p w14:paraId="4F88BB91" w14:textId="77777777" w:rsidR="001B072F" w:rsidRDefault="001B072F" w:rsidP="001B072F">
      <w:pPr>
        <w:tabs>
          <w:tab w:val="left" w:pos="7852"/>
        </w:tabs>
        <w:jc w:val="center"/>
      </w:pPr>
    </w:p>
    <w:p w14:paraId="4B909785" w14:textId="77777777" w:rsidR="001B072F" w:rsidRDefault="001B072F" w:rsidP="001B072F">
      <w:pPr>
        <w:tabs>
          <w:tab w:val="left" w:pos="7852"/>
        </w:tabs>
        <w:jc w:val="center"/>
      </w:pPr>
    </w:p>
    <w:p w14:paraId="0511AE19" w14:textId="77777777" w:rsidR="001B072F" w:rsidRDefault="001B072F" w:rsidP="001B072F">
      <w:pPr>
        <w:tabs>
          <w:tab w:val="left" w:pos="7852"/>
        </w:tabs>
        <w:jc w:val="center"/>
      </w:pPr>
    </w:p>
    <w:p w14:paraId="1250B453" w14:textId="77777777" w:rsidR="001B072F" w:rsidRDefault="001B072F" w:rsidP="001B072F">
      <w:pPr>
        <w:tabs>
          <w:tab w:val="left" w:pos="7852"/>
        </w:tabs>
        <w:jc w:val="center"/>
      </w:pPr>
    </w:p>
    <w:p w14:paraId="3D229351" w14:textId="77777777" w:rsidR="001B072F" w:rsidRDefault="001B072F" w:rsidP="001B072F">
      <w:pPr>
        <w:tabs>
          <w:tab w:val="left" w:pos="7852"/>
        </w:tabs>
        <w:jc w:val="center"/>
      </w:pPr>
    </w:p>
    <w:p w14:paraId="727A68FC" w14:textId="77777777" w:rsidR="001B072F" w:rsidRDefault="001B072F" w:rsidP="001B072F">
      <w:pPr>
        <w:tabs>
          <w:tab w:val="left" w:pos="7852"/>
        </w:tabs>
        <w:jc w:val="center"/>
      </w:pPr>
    </w:p>
    <w:p w14:paraId="5D1A6E3A" w14:textId="091B9D6E" w:rsidR="001B072F" w:rsidRDefault="001B072F" w:rsidP="001B072F">
      <w:pPr>
        <w:tabs>
          <w:tab w:val="left" w:pos="7852"/>
        </w:tabs>
        <w:jc w:val="center"/>
      </w:pPr>
      <w:r>
        <w:t xml:space="preserve">This manuscript is prepared for submission to the peer-reviewed journal </w:t>
      </w:r>
      <w:r>
        <w:rPr>
          <w:i/>
          <w:iCs/>
        </w:rPr>
        <w:t xml:space="preserve">American Journal of Play </w:t>
      </w:r>
      <w:r>
        <w:t xml:space="preserve">and is the </w:t>
      </w:r>
      <w:r w:rsidR="00942262">
        <w:t>second</w:t>
      </w:r>
      <w:r>
        <w:t xml:space="preserve"> of three manuscripts prepared for a journal-ready doctoral dissertation.</w:t>
      </w:r>
    </w:p>
    <w:p w14:paraId="5A038973" w14:textId="77777777" w:rsidR="001B072F" w:rsidRDefault="001B072F" w:rsidP="001B072F">
      <w:pPr>
        <w:pStyle w:val="Heading1"/>
        <w:rPr>
          <w:b w:val="0"/>
          <w:bCs/>
        </w:rPr>
      </w:pPr>
    </w:p>
    <w:p w14:paraId="6EF2F059" w14:textId="77777777" w:rsidR="001B072F" w:rsidRDefault="001B072F" w:rsidP="00DE2FE4">
      <w:pPr>
        <w:pStyle w:val="Heading1"/>
        <w:ind w:firstLine="0"/>
        <w:rPr>
          <w:b w:val="0"/>
          <w:bCs/>
        </w:rPr>
      </w:pPr>
      <w:bookmarkStart w:id="32" w:name="_Toc46265473"/>
      <w:r w:rsidRPr="008C758B">
        <w:rPr>
          <w:b w:val="0"/>
          <w:bCs/>
        </w:rPr>
        <w:lastRenderedPageBreak/>
        <w:t>Abstract</w:t>
      </w:r>
      <w:bookmarkEnd w:id="32"/>
    </w:p>
    <w:p w14:paraId="78FB7F43" w14:textId="67AF3158" w:rsidR="001B072F" w:rsidRPr="004553EE" w:rsidRDefault="001B072F" w:rsidP="001B072F">
      <w:r>
        <w:t xml:space="preserve"> Approaches to Learning (AtL) is a construct widely included in many state standards for PreK as a process-oriented disposition describ</w:t>
      </w:r>
      <w:r w:rsidR="00942262">
        <w:t>ing</w:t>
      </w:r>
      <w:r>
        <w:t xml:space="preserve"> </w:t>
      </w:r>
      <w:r>
        <w:rPr>
          <w:i/>
          <w:iCs/>
        </w:rPr>
        <w:t>how</w:t>
      </w:r>
      <w:r>
        <w:t xml:space="preserve"> children learn. Play is one pedagogical strategy teachers can employ to support the development of AtL. This paper use</w:t>
      </w:r>
      <w:r w:rsidR="00942262">
        <w:t>d</w:t>
      </w:r>
      <w:r>
        <w:t xml:space="preserve"> Vygotsky’s depiction of two kinds of play, object play and pretend play, to provide the theoretical framework to articulate the links between play and AtL. </w:t>
      </w:r>
      <w:r w:rsidR="00942262">
        <w:t>Exploration through o</w:t>
      </w:r>
      <w:r>
        <w:t>bject play supports children’s development of working theories, which</w:t>
      </w:r>
      <w:r w:rsidR="000B4B73">
        <w:t>,</w:t>
      </w:r>
      <w:r>
        <w:t xml:space="preserve"> in turn, help children develop curiosity and problem</w:t>
      </w:r>
      <w:r w:rsidR="000B4B73">
        <w:t>-</w:t>
      </w:r>
      <w:r>
        <w:t xml:space="preserve">solving. </w:t>
      </w:r>
      <w:r w:rsidR="00942262">
        <w:t>Dramatizing through p</w:t>
      </w:r>
      <w:r>
        <w:t>retend play helps children develop symbolic representation necessary for imagination and creativity. Both kinds of play require intentional teacher scaffolding. This paper conclude</w:t>
      </w:r>
      <w:r w:rsidR="00942262">
        <w:t>d</w:t>
      </w:r>
      <w:r>
        <w:t xml:space="preserve"> by presenting ways in which teachers can encourage object and pretend play in the classroom. </w:t>
      </w:r>
    </w:p>
    <w:p w14:paraId="634E3422" w14:textId="77777777" w:rsidR="001B072F" w:rsidRDefault="001B072F" w:rsidP="001B072F">
      <w:pPr>
        <w:rPr>
          <w:rFonts w:eastAsia="Calibri"/>
          <w:color w:val="auto"/>
        </w:rPr>
      </w:pPr>
    </w:p>
    <w:p w14:paraId="4A32F3DD" w14:textId="12FCCC8C" w:rsidR="001B072F" w:rsidRPr="008C758B" w:rsidRDefault="001B072F" w:rsidP="001B072F">
      <w:pPr>
        <w:rPr>
          <w:i/>
          <w:iCs/>
        </w:rPr>
      </w:pPr>
      <w:r w:rsidRPr="008C758B">
        <w:rPr>
          <w:i/>
          <w:iCs/>
        </w:rPr>
        <w:t>Keywords</w:t>
      </w:r>
      <w:r>
        <w:rPr>
          <w:i/>
          <w:iCs/>
        </w:rPr>
        <w:t>: Play</w:t>
      </w:r>
      <w:r w:rsidR="00942262">
        <w:rPr>
          <w:i/>
          <w:iCs/>
        </w:rPr>
        <w:t>-as-learning,</w:t>
      </w:r>
      <w:r>
        <w:rPr>
          <w:i/>
          <w:iCs/>
        </w:rPr>
        <w:t xml:space="preserve"> working theories, Vygotsky, amplification, scaffolding </w:t>
      </w:r>
    </w:p>
    <w:p w14:paraId="1FC23443" w14:textId="77777777" w:rsidR="001B072F" w:rsidRDefault="001B072F" w:rsidP="001B072F">
      <w:pPr>
        <w:rPr>
          <w:rFonts w:eastAsia="Calibri"/>
          <w:color w:val="auto"/>
        </w:rPr>
      </w:pPr>
    </w:p>
    <w:p w14:paraId="785BB30C" w14:textId="77777777" w:rsidR="001B072F" w:rsidRDefault="001B072F" w:rsidP="001B072F">
      <w:pPr>
        <w:rPr>
          <w:rFonts w:eastAsia="Calibri"/>
          <w:color w:val="auto"/>
        </w:rPr>
      </w:pPr>
    </w:p>
    <w:p w14:paraId="70F0C2DA" w14:textId="77777777" w:rsidR="001B072F" w:rsidRDefault="001B072F" w:rsidP="001B072F">
      <w:pPr>
        <w:jc w:val="center"/>
      </w:pPr>
    </w:p>
    <w:p w14:paraId="5F7009D3" w14:textId="77777777" w:rsidR="001B072F" w:rsidRDefault="001B072F" w:rsidP="001B072F">
      <w:pPr>
        <w:jc w:val="center"/>
      </w:pPr>
    </w:p>
    <w:p w14:paraId="6835BB64" w14:textId="77777777" w:rsidR="001B072F" w:rsidRDefault="001B072F" w:rsidP="001B072F">
      <w:pPr>
        <w:jc w:val="center"/>
      </w:pPr>
    </w:p>
    <w:p w14:paraId="7062E010" w14:textId="77777777" w:rsidR="001B072F" w:rsidRDefault="001B072F" w:rsidP="001B072F">
      <w:pPr>
        <w:jc w:val="center"/>
      </w:pPr>
    </w:p>
    <w:p w14:paraId="1C3AC5DE" w14:textId="77777777" w:rsidR="001B072F" w:rsidRDefault="001B072F" w:rsidP="001B072F">
      <w:pPr>
        <w:jc w:val="center"/>
      </w:pPr>
    </w:p>
    <w:p w14:paraId="15C59976" w14:textId="77777777" w:rsidR="001B072F" w:rsidRDefault="001B072F" w:rsidP="001B072F">
      <w:bookmarkStart w:id="33" w:name="_Hlk43651920"/>
      <w:r>
        <w:br w:type="page"/>
      </w:r>
    </w:p>
    <w:p w14:paraId="589D061A" w14:textId="77777777" w:rsidR="001B072F" w:rsidRPr="00CB5672" w:rsidRDefault="001B072F" w:rsidP="001B072F">
      <w:pPr>
        <w:jc w:val="center"/>
      </w:pPr>
      <w:r>
        <w:lastRenderedPageBreak/>
        <w:t>Exploration and Dramatizing:</w:t>
      </w:r>
      <w:r w:rsidRPr="00CB5672">
        <w:t xml:space="preserve"> Theoretical Foundations for the Development of Approaches to Learning through Play</w:t>
      </w:r>
    </w:p>
    <w:p w14:paraId="1B00032A" w14:textId="514D05CB" w:rsidR="001B072F" w:rsidRPr="005673A8" w:rsidRDefault="001B072F" w:rsidP="00BE0966">
      <w:pPr>
        <w:ind w:firstLine="720"/>
        <w:contextualSpacing/>
        <w:rPr>
          <w:color w:val="FF0000"/>
        </w:rPr>
      </w:pPr>
      <w:bookmarkStart w:id="34" w:name="TOT3"/>
      <w:r>
        <w:t xml:space="preserve">Despite the often-used phrase, play is children’s work, the status of play’s role in learning has shifted in the past 20 years. Research has shown that children’s play is less mature, teachers are offering </w:t>
      </w:r>
      <w:r w:rsidR="000B4B73">
        <w:t>fewer</w:t>
      </w:r>
      <w:r>
        <w:t xml:space="preserve"> opportunities for play, and U.S. </w:t>
      </w:r>
      <w:r w:rsidR="00D4331B">
        <w:t xml:space="preserve">educational </w:t>
      </w:r>
      <w:r>
        <w:t xml:space="preserve">policies </w:t>
      </w:r>
      <w:r w:rsidR="00D4331B">
        <w:t>emphasizing academic learning have resulted in reduction of play as a pedagogical approach</w:t>
      </w:r>
      <w:r>
        <w:t xml:space="preserve"> </w:t>
      </w:r>
      <w:r w:rsidRPr="002E1374">
        <w:t>(</w:t>
      </w:r>
      <w:proofErr w:type="spellStart"/>
      <w:r w:rsidRPr="002E1374">
        <w:t>Bodrova</w:t>
      </w:r>
      <w:proofErr w:type="spellEnd"/>
      <w:r w:rsidRPr="002E1374">
        <w:t xml:space="preserve"> &amp; Leong, 2019; </w:t>
      </w:r>
      <w:proofErr w:type="spellStart"/>
      <w:r w:rsidRPr="002E1374">
        <w:t>Gleave</w:t>
      </w:r>
      <w:proofErr w:type="spellEnd"/>
      <w:r w:rsidRPr="002E1374">
        <w:t xml:space="preserve"> &amp; Cole-</w:t>
      </w:r>
      <w:proofErr w:type="spellStart"/>
      <w:r w:rsidRPr="002E1374">
        <w:t>Hamiltion</w:t>
      </w:r>
      <w:proofErr w:type="spellEnd"/>
      <w:r w:rsidRPr="002E1374">
        <w:t xml:space="preserve">, 2012; Smirnova &amp; </w:t>
      </w:r>
      <w:proofErr w:type="spellStart"/>
      <w:r w:rsidRPr="002E1374">
        <w:t>Gudareva</w:t>
      </w:r>
      <w:proofErr w:type="spellEnd"/>
      <w:r w:rsidRPr="002E1374">
        <w:t>, 2015)</w:t>
      </w:r>
      <w:r w:rsidRPr="00CB5672">
        <w:t xml:space="preserve">. </w:t>
      </w:r>
      <w:r>
        <w:t>Although this research is presented sequentially, the cause-effect relationship among these elements i</w:t>
      </w:r>
      <w:r w:rsidR="000B4B73">
        <w:t>s</w:t>
      </w:r>
      <w:r>
        <w:t xml:space="preserve"> not known. Currently, c</w:t>
      </w:r>
      <w:r w:rsidRPr="00CB5672">
        <w:t xml:space="preserve">hildren have less unstructured playtime and fewer opportunities to engage in complex play with more </w:t>
      </w:r>
      <w:r>
        <w:t>competent or experienced peers</w:t>
      </w:r>
      <w:r w:rsidRPr="00CB5672">
        <w:t xml:space="preserve"> (</w:t>
      </w:r>
      <w:proofErr w:type="spellStart"/>
      <w:r w:rsidRPr="00CB5672">
        <w:t>Bodrova</w:t>
      </w:r>
      <w:proofErr w:type="spellEnd"/>
      <w:r w:rsidRPr="00CB5672">
        <w:t xml:space="preserve"> &amp; Leong, 2019). </w:t>
      </w:r>
      <w:r>
        <w:t>During the</w:t>
      </w:r>
      <w:r w:rsidRPr="00CB5672">
        <w:t xml:space="preserve"> preschool</w:t>
      </w:r>
      <w:r>
        <w:t xml:space="preserve"> period, when </w:t>
      </w:r>
      <w:r w:rsidRPr="00CB5672">
        <w:t xml:space="preserve">children’s play should be at its peak performance, </w:t>
      </w:r>
      <w:r>
        <w:t>current observations indicate it</w:t>
      </w:r>
      <w:r w:rsidRPr="00CB5672">
        <w:t xml:space="preserve"> typically resembles the immature play of toddlers and younger preschoolers (</w:t>
      </w:r>
      <w:proofErr w:type="spellStart"/>
      <w:r w:rsidRPr="00CB5672">
        <w:t>Bodrova</w:t>
      </w:r>
      <w:proofErr w:type="spellEnd"/>
      <w:r w:rsidRPr="00CB5672">
        <w:t xml:space="preserve"> &amp; Leong, 2015).</w:t>
      </w:r>
      <w:r>
        <w:t xml:space="preserve"> Preschoolers may play in short bursts before quickly moving onto a new area, use toys that more closely resemble real objects, or continually repeat the same play scripts </w:t>
      </w:r>
      <w:r w:rsidRPr="001A7328">
        <w:t>(</w:t>
      </w:r>
      <w:proofErr w:type="spellStart"/>
      <w:r w:rsidRPr="001A7328">
        <w:t>Bodrova</w:t>
      </w:r>
      <w:proofErr w:type="spellEnd"/>
      <w:r w:rsidRPr="001A7328">
        <w:t xml:space="preserve"> &amp; Leong, 2019)</w:t>
      </w:r>
      <w:r>
        <w:t xml:space="preserve">. </w:t>
      </w:r>
    </w:p>
    <w:p w14:paraId="6A86356D" w14:textId="21F35AE1" w:rsidR="001B072F" w:rsidRDefault="001B072F" w:rsidP="001B072F">
      <w:pPr>
        <w:ind w:firstLine="720"/>
        <w:contextualSpacing/>
      </w:pPr>
      <w:r>
        <w:t xml:space="preserve">The introduction of standards and policies (i.e., No Child Left Behind) aimed to increase academic achievement have restructured the role of play in the classroom </w:t>
      </w:r>
      <w:r w:rsidRPr="009A6864">
        <w:t xml:space="preserve">(Brown, Ku, &amp; Barry, 2020; Nilsson, </w:t>
      </w:r>
      <w:proofErr w:type="spellStart"/>
      <w:r w:rsidRPr="009A6864">
        <w:t>Ferholt</w:t>
      </w:r>
      <w:proofErr w:type="spellEnd"/>
      <w:r w:rsidRPr="009A6864">
        <w:t xml:space="preserve">, &amp; </w:t>
      </w:r>
      <w:proofErr w:type="spellStart"/>
      <w:r w:rsidRPr="009A6864">
        <w:t>Lecusay</w:t>
      </w:r>
      <w:proofErr w:type="spellEnd"/>
      <w:r w:rsidRPr="009A6864">
        <w:t>, 2018)</w:t>
      </w:r>
      <w:r>
        <w:t xml:space="preserve">. By 2009, most states enacted early learning standards for young students that included literacy and math standards tightly aligned with K-12 standards </w:t>
      </w:r>
      <w:r w:rsidRPr="009A6864">
        <w:t>(Bracken &amp; Crawford, 2010)</w:t>
      </w:r>
      <w:r>
        <w:t xml:space="preserve">. </w:t>
      </w:r>
      <w:proofErr w:type="spellStart"/>
      <w:r w:rsidRPr="00432010">
        <w:t>Bassok</w:t>
      </w:r>
      <w:proofErr w:type="spellEnd"/>
      <w:r>
        <w:t xml:space="preserve">, </w:t>
      </w:r>
      <w:proofErr w:type="spellStart"/>
      <w:r>
        <w:t>Lantham</w:t>
      </w:r>
      <w:proofErr w:type="spellEnd"/>
      <w:r w:rsidR="000B4B73">
        <w:t>,</w:t>
      </w:r>
      <w:r>
        <w:t xml:space="preserve"> and Rorem </w:t>
      </w:r>
      <w:r w:rsidRPr="009A6864">
        <w:t>(2016)</w:t>
      </w:r>
      <w:r w:rsidRPr="00432010">
        <w:t xml:space="preserve"> tracked kindergarten practices f</w:t>
      </w:r>
      <w:r w:rsidR="00C16B51">
        <w:t>r</w:t>
      </w:r>
      <w:r w:rsidRPr="00432010">
        <w:t>om 1998 to 2006, when the standards movement came to the fore</w:t>
      </w:r>
      <w:r>
        <w:t xml:space="preserve">, finding </w:t>
      </w:r>
      <w:r w:rsidRPr="00432010">
        <w:t xml:space="preserve">a </w:t>
      </w:r>
      <w:r w:rsidR="000B4B73">
        <w:t>definite</w:t>
      </w:r>
      <w:r w:rsidRPr="00432010">
        <w:t xml:space="preserve"> move towards direct instruction, a focus on curriculum involving literacy and numeracy</w:t>
      </w:r>
      <w:r>
        <w:t>,</w:t>
      </w:r>
      <w:r w:rsidRPr="00432010">
        <w:t xml:space="preserve"> and a decrease in </w:t>
      </w:r>
      <w:r>
        <w:t xml:space="preserve">play-based activities. In a study comparing the implementation of </w:t>
      </w:r>
      <w:proofErr w:type="spellStart"/>
      <w:r>
        <w:t>preK</w:t>
      </w:r>
      <w:proofErr w:type="spellEnd"/>
      <w:r>
        <w:t xml:space="preserve"> standards in </w:t>
      </w:r>
      <w:r>
        <w:lastRenderedPageBreak/>
        <w:t>two different states, researchers found that wherever possible, decision</w:t>
      </w:r>
      <w:r w:rsidR="000B4B73">
        <w:t>-</w:t>
      </w:r>
      <w:r>
        <w:t xml:space="preserve">makers in both states worked purposefully to ensure that students had the academic skills to be successful in kindergarten, often de-valuing the role of play in preparing children for kindergarten </w:t>
      </w:r>
      <w:r w:rsidRPr="009A6864">
        <w:t>(</w:t>
      </w:r>
      <w:proofErr w:type="spellStart"/>
      <w:r w:rsidRPr="009A6864">
        <w:t>Graue</w:t>
      </w:r>
      <w:proofErr w:type="spellEnd"/>
      <w:r w:rsidRPr="009A6864">
        <w:t xml:space="preserve"> et al., 2017)</w:t>
      </w:r>
      <w:r>
        <w:t xml:space="preserve">. </w:t>
      </w:r>
    </w:p>
    <w:p w14:paraId="39BC8844" w14:textId="12E42DD1" w:rsidR="001B072F" w:rsidRDefault="001B072F" w:rsidP="001B072F">
      <w:pPr>
        <w:ind w:firstLine="720"/>
        <w:contextualSpacing/>
      </w:pPr>
      <w:r>
        <w:t xml:space="preserve">Finally, both research and practice have begun to support the idea that teachers should take a more active role in guiding and participating in children’s play </w:t>
      </w:r>
      <w:r w:rsidRPr="009A6864">
        <w:t>(Weisberg, Hirsh-</w:t>
      </w:r>
      <w:proofErr w:type="spellStart"/>
      <w:r w:rsidRPr="009A6864">
        <w:t>Pasek</w:t>
      </w:r>
      <w:proofErr w:type="spellEnd"/>
      <w:r w:rsidRPr="009A6864">
        <w:t xml:space="preserve">, &amp; </w:t>
      </w:r>
      <w:proofErr w:type="spellStart"/>
      <w:r w:rsidRPr="009A6864">
        <w:t>Golinkoff</w:t>
      </w:r>
      <w:proofErr w:type="spellEnd"/>
      <w:r w:rsidRPr="009A6864">
        <w:t>, 2013)</w:t>
      </w:r>
      <w:r>
        <w:t>. Rather than provi</w:t>
      </w:r>
      <w:r w:rsidR="000B4B73">
        <w:t>di</w:t>
      </w:r>
      <w:r>
        <w:t>ng unstructured playtime, which “alone will not be sufficient to help children learn important information</w:t>
      </w:r>
      <w:r w:rsidR="000B4B73">
        <w:t>, a</w:t>
      </w:r>
      <w:r>
        <w:t xml:space="preserve">dults must provide scaffolding to constrain the potential interpretations and possibilities” </w:t>
      </w:r>
      <w:r w:rsidRPr="009A6864">
        <w:t>(</w:t>
      </w:r>
      <w:proofErr w:type="spellStart"/>
      <w:r w:rsidRPr="009A6864">
        <w:t>Toub</w:t>
      </w:r>
      <w:proofErr w:type="spellEnd"/>
      <w:r w:rsidRPr="009A6864">
        <w:t xml:space="preserve">, </w:t>
      </w:r>
      <w:proofErr w:type="spellStart"/>
      <w:r w:rsidRPr="009A6864">
        <w:t>Rajan</w:t>
      </w:r>
      <w:proofErr w:type="spellEnd"/>
      <w:r w:rsidRPr="009A6864">
        <w:t xml:space="preserve">, </w:t>
      </w:r>
      <w:proofErr w:type="spellStart"/>
      <w:r w:rsidRPr="009A6864">
        <w:t>Golinkoff</w:t>
      </w:r>
      <w:proofErr w:type="spellEnd"/>
      <w:r w:rsidRPr="009A6864">
        <w:t>, &amp; Hirsh-</w:t>
      </w:r>
      <w:proofErr w:type="spellStart"/>
      <w:r w:rsidRPr="009A6864">
        <w:t>Pasek</w:t>
      </w:r>
      <w:proofErr w:type="spellEnd"/>
      <w:r w:rsidRPr="009A6864">
        <w:t>, 2016, p. 134)</w:t>
      </w:r>
      <w:r>
        <w:t xml:space="preserve">. Utilizing Vygotsky’s work, Nilsson et al. </w:t>
      </w:r>
      <w:r w:rsidRPr="009A6864">
        <w:t>(2018)</w:t>
      </w:r>
      <w:r>
        <w:t xml:space="preserve"> describe </w:t>
      </w:r>
      <w:r w:rsidR="00BE0966">
        <w:t xml:space="preserve">scaffolded play </w:t>
      </w:r>
      <w:r>
        <w:t xml:space="preserve">as </w:t>
      </w:r>
      <w:r>
        <w:rPr>
          <w:i/>
          <w:iCs/>
        </w:rPr>
        <w:t xml:space="preserve">play-as-learning, </w:t>
      </w:r>
      <w:r>
        <w:t xml:space="preserve">wherein teachers </w:t>
      </w:r>
      <w:r w:rsidR="00BE0966">
        <w:t>use</w:t>
      </w:r>
      <w:r>
        <w:t xml:space="preserve"> play as a pedagogical technique. </w:t>
      </w:r>
    </w:p>
    <w:p w14:paraId="10C4613D" w14:textId="78648477" w:rsidR="001B072F" w:rsidRPr="00DA416D" w:rsidRDefault="001B072F" w:rsidP="001B072F">
      <w:pPr>
        <w:ind w:firstLine="720"/>
        <w:contextualSpacing/>
      </w:pPr>
      <w:r>
        <w:t xml:space="preserve">A more balanced approach that emphasizes play and academics may be most beneficial for children </w:t>
      </w:r>
      <w:r w:rsidRPr="009A6864">
        <w:t>(</w:t>
      </w:r>
      <w:proofErr w:type="spellStart"/>
      <w:r w:rsidRPr="009A6864">
        <w:t>Claessens</w:t>
      </w:r>
      <w:proofErr w:type="spellEnd"/>
      <w:r w:rsidRPr="009A6864">
        <w:t>, Engel, &amp; Curran, 2014)</w:t>
      </w:r>
      <w:r>
        <w:t>. Play-as-learning provides a theoretical framework for teachers to purposefully use play to introduce academic content in developmentally appropriate ways. By using play, which is generally process</w:t>
      </w:r>
      <w:r w:rsidR="000B4B73">
        <w:t>-</w:t>
      </w:r>
      <w:r>
        <w:t xml:space="preserve">oriented, teachers are also able to encourage the development of learning-to-learn skills and to support children’s role as learners. Given that many current standards, such as Common Core and the Head Start Guidelines, include standards that focus on </w:t>
      </w:r>
      <w:r w:rsidRPr="00DA416D">
        <w:rPr>
          <w:i/>
          <w:iCs/>
        </w:rPr>
        <w:t>how</w:t>
      </w:r>
      <w:r>
        <w:rPr>
          <w:i/>
          <w:iCs/>
        </w:rPr>
        <w:t xml:space="preserve"> </w:t>
      </w:r>
      <w:r>
        <w:t xml:space="preserve">children learn as well as </w:t>
      </w:r>
      <w:r w:rsidRPr="00DA416D">
        <w:t>wh</w:t>
      </w:r>
      <w:r>
        <w:t>a</w:t>
      </w:r>
      <w:r w:rsidRPr="00DA416D">
        <w:t>t</w:t>
      </w:r>
      <w:r>
        <w:t xml:space="preserve"> they learn, </w:t>
      </w:r>
      <w:r w:rsidRPr="007874D0">
        <w:t xml:space="preserve">teachers can </w:t>
      </w:r>
      <w:r>
        <w:t xml:space="preserve">use </w:t>
      </w:r>
      <w:r w:rsidRPr="007874D0">
        <w:t>play as a way to support both</w:t>
      </w:r>
      <w:r>
        <w:t xml:space="preserve"> content and process</w:t>
      </w:r>
      <w:r w:rsidRPr="007874D0">
        <w:t xml:space="preserve"> (</w:t>
      </w:r>
      <w:proofErr w:type="spellStart"/>
      <w:r w:rsidRPr="007874D0">
        <w:t>Toub</w:t>
      </w:r>
      <w:proofErr w:type="spellEnd"/>
      <w:r w:rsidRPr="007874D0">
        <w:t xml:space="preserve"> et al., 2016).</w:t>
      </w:r>
      <w:r>
        <w:t xml:space="preserve"> </w:t>
      </w:r>
    </w:p>
    <w:p w14:paraId="58D30E0B" w14:textId="19FE428F" w:rsidR="001B072F" w:rsidRDefault="001B072F" w:rsidP="001B072F">
      <w:pPr>
        <w:contextualSpacing/>
      </w:pPr>
      <w:r>
        <w:tab/>
        <w:t xml:space="preserve">Indeed, the theorist Lev Vygotsky </w:t>
      </w:r>
      <w:r w:rsidRPr="009A6864">
        <w:t>(1967, 2004)</w:t>
      </w:r>
      <w:r>
        <w:t xml:space="preserve"> highlighted the critical role of play in the learning of preschool-aged children. He argued that through adult-scaffolded play, children develop</w:t>
      </w:r>
      <w:r w:rsidR="000B4B73">
        <w:t>ed</w:t>
      </w:r>
      <w:r>
        <w:t xml:space="preserve"> the underlying social and cognitive competenc</w:t>
      </w:r>
      <w:r w:rsidR="000B4B73">
        <w:t>i</w:t>
      </w:r>
      <w:r>
        <w:t xml:space="preserve">es necessary to become self-regulated learners when they entered formal schooling. </w:t>
      </w:r>
      <w:proofErr w:type="gramStart"/>
      <w:r>
        <w:t>In particular, pretend</w:t>
      </w:r>
      <w:proofErr w:type="gramEnd"/>
      <w:r>
        <w:t xml:space="preserve"> play and exploration of </w:t>
      </w:r>
      <w:r>
        <w:lastRenderedPageBreak/>
        <w:t>objects helped children develop underlying higher</w:t>
      </w:r>
      <w:r w:rsidR="000B4B73">
        <w:t>-</w:t>
      </w:r>
      <w:r>
        <w:t xml:space="preserve">order thinking skills, like problem-solving and creativity. While he used the term imagination to describe the process-oriented thinking skills developed through play, his ideas are also captured in the term Approaches to Learning (AtL). His theory </w:t>
      </w:r>
      <w:r w:rsidR="00BE0966">
        <w:t xml:space="preserve">describes </w:t>
      </w:r>
      <w:r>
        <w:t xml:space="preserve">how play supports children’s academic and underlying social/emotional competencies. </w:t>
      </w:r>
    </w:p>
    <w:p w14:paraId="33CE8E45" w14:textId="77777777" w:rsidR="001B072F" w:rsidRDefault="001B072F" w:rsidP="001B072F">
      <w:pPr>
        <w:ind w:firstLine="720"/>
        <w:contextualSpacing/>
      </w:pPr>
      <w:r>
        <w:t xml:space="preserve">The purpose of this paper is to describe AtL as it is currently represented in the research and literature and to articulate how, through engaging in purposeful play, children develop underlying learning skills that support the acquisition of academic content. Vygotsky’s work serves as the theoretical framework explaining how play develops children’s AtL. Finally, the ways in which teachers can help develop children’s AtL through scaffolding play is also discussed. </w:t>
      </w:r>
    </w:p>
    <w:p w14:paraId="1634B17B" w14:textId="77777777" w:rsidR="001B072F" w:rsidRPr="00215744" w:rsidRDefault="001B072F" w:rsidP="001B072F">
      <w:pPr>
        <w:pStyle w:val="Heading1"/>
      </w:pPr>
      <w:bookmarkStart w:id="35" w:name="_Toc46265474"/>
      <w:r>
        <w:t>What is Approaches to Learning?</w:t>
      </w:r>
      <w:bookmarkEnd w:id="35"/>
      <w:r>
        <w:t xml:space="preserve"> </w:t>
      </w:r>
    </w:p>
    <w:p w14:paraId="7E8968F0" w14:textId="133283B3" w:rsidR="001B072F" w:rsidRPr="005E28CE" w:rsidRDefault="001B072F" w:rsidP="001B072F">
      <w:pPr>
        <w:ind w:firstLine="720"/>
        <w:contextualSpacing/>
      </w:pPr>
      <w:r w:rsidRPr="00432010">
        <w:t>In 1995, the National Education Goals Panel (NEGP) set the goal that by the year 2000, all children would come to kindergarten ready to learn. In support of this goal, they identified five different domains</w:t>
      </w:r>
      <w:r>
        <w:t xml:space="preserve"> </w:t>
      </w:r>
      <w:r w:rsidRPr="00432010">
        <w:t xml:space="preserve">of school readiness competencies: social/emotional development, physical development, cognitive development, language, and approaches to learning. </w:t>
      </w:r>
      <w:r>
        <w:t xml:space="preserve">Approaches to learning (AtL) is an umbrella construct for learning behaviors that facilitate children’s successful interaction with teachers and peers in a school setting </w:t>
      </w:r>
      <w:r w:rsidRPr="009A6864">
        <w:t>(</w:t>
      </w:r>
      <w:proofErr w:type="spellStart"/>
      <w:r w:rsidRPr="009A6864">
        <w:t>Fantuzzo</w:t>
      </w:r>
      <w:proofErr w:type="spellEnd"/>
      <w:r w:rsidRPr="009A6864">
        <w:t xml:space="preserve"> et al., 2004; McDermott et al., 2018)</w:t>
      </w:r>
      <w:r>
        <w:t>. Rather than a set of discrete, pre</w:t>
      </w:r>
      <w:r w:rsidR="000B4B73">
        <w:t>-</w:t>
      </w:r>
      <w:r>
        <w:t xml:space="preserve">academic skills, AtL is a set of readiness </w:t>
      </w:r>
      <w:r>
        <w:rPr>
          <w:i/>
        </w:rPr>
        <w:t>for</w:t>
      </w:r>
      <w:r>
        <w:t xml:space="preserve"> learning behaviors, including flexibility, curiosity, problem-solving</w:t>
      </w:r>
      <w:r w:rsidR="000B4B73">
        <w:t>,</w:t>
      </w:r>
      <w:r>
        <w:t xml:space="preserve"> and creativity. These behaviors have consistently been linked with academic success, and so represent foundational skills for children </w:t>
      </w:r>
      <w:r w:rsidRPr="009A6864">
        <w:t>(</w:t>
      </w:r>
      <w:r w:rsidR="00C63AD1" w:rsidRPr="009A6864">
        <w:t>Li-</w:t>
      </w:r>
      <w:proofErr w:type="spellStart"/>
      <w:r w:rsidR="00C63AD1" w:rsidRPr="009A6864">
        <w:t>Grining</w:t>
      </w:r>
      <w:proofErr w:type="spellEnd"/>
      <w:r w:rsidR="00C63AD1" w:rsidRPr="009A6864">
        <w:t>, Votruba-</w:t>
      </w:r>
      <w:proofErr w:type="spellStart"/>
      <w:r w:rsidR="00C63AD1" w:rsidRPr="009A6864">
        <w:t>Drzal</w:t>
      </w:r>
      <w:proofErr w:type="spellEnd"/>
      <w:r w:rsidR="00C63AD1" w:rsidRPr="009A6864">
        <w:t>, Maldonado-</w:t>
      </w:r>
      <w:proofErr w:type="spellStart"/>
      <w:r w:rsidR="00C63AD1" w:rsidRPr="009A6864">
        <w:t>Carreno</w:t>
      </w:r>
      <w:proofErr w:type="spellEnd"/>
      <w:r w:rsidR="00C63AD1" w:rsidRPr="009A6864">
        <w:t>, &amp; Haas</w:t>
      </w:r>
      <w:r w:rsidR="00C63AD1">
        <w:t xml:space="preserve">, </w:t>
      </w:r>
      <w:r w:rsidRPr="009A6864">
        <w:t>2010; McDermott et al., 2014)</w:t>
      </w:r>
      <w:proofErr w:type="gramStart"/>
      <w:r>
        <w:t xml:space="preserve">. </w:t>
      </w:r>
      <w:r w:rsidR="002A797D">
        <w:t xml:space="preserve"> </w:t>
      </w:r>
      <w:proofErr w:type="gramEnd"/>
      <w:r w:rsidR="002A797D">
        <w:t xml:space="preserve">However, it is important to note that the NEGP described AtL as influenced by diverse cultural </w:t>
      </w:r>
      <w:r w:rsidR="002A797D">
        <w:lastRenderedPageBreak/>
        <w:t xml:space="preserve">values and practices which dispose children to go about learning in diverse ways (Chen, Masur, &amp; McNamee, 2011). </w:t>
      </w:r>
    </w:p>
    <w:p w14:paraId="788BB44C" w14:textId="186381A2" w:rsidR="001B072F" w:rsidRDefault="001B072F" w:rsidP="001B072F">
      <w:pPr>
        <w:ind w:firstLine="720"/>
        <w:contextualSpacing/>
      </w:pPr>
      <w:r>
        <w:t xml:space="preserve"> To date, AtL includes a wide variety of skills that vary from study to study </w:t>
      </w:r>
      <w:r w:rsidRPr="009A6864">
        <w:t>(</w:t>
      </w:r>
      <w:proofErr w:type="spellStart"/>
      <w:r w:rsidRPr="009A6864">
        <w:t>Fantuzzo</w:t>
      </w:r>
      <w:proofErr w:type="spellEnd"/>
      <w:r w:rsidRPr="009A6864">
        <w:t xml:space="preserve"> et al., 2007; Stipek et al., 2010)</w:t>
      </w:r>
      <w:r>
        <w:t xml:space="preserve">. Many studies define it as classroom-based behaviors that promote learning </w:t>
      </w:r>
      <w:r w:rsidRPr="009A6864">
        <w:t xml:space="preserve">(Bierman et al., 2009; Cerda et al., 2014; </w:t>
      </w:r>
      <w:proofErr w:type="spellStart"/>
      <w:r w:rsidRPr="009A6864">
        <w:t>Fantuzzo</w:t>
      </w:r>
      <w:proofErr w:type="spellEnd"/>
      <w:r w:rsidRPr="009A6864">
        <w:t xml:space="preserve"> et al., 2007; </w:t>
      </w:r>
      <w:proofErr w:type="spellStart"/>
      <w:r w:rsidRPr="009A6864">
        <w:t>Razza</w:t>
      </w:r>
      <w:proofErr w:type="spellEnd"/>
      <w:r w:rsidRPr="009A6864">
        <w:t>, Martin, &amp; Brooks-Gunn, 2012)</w:t>
      </w:r>
      <w:r>
        <w:t xml:space="preserve">. As such, AtL is not content-specific but focuses on how children learn across various tasks and go about the classroom in an effortful and purposeful way </w:t>
      </w:r>
      <w:r w:rsidRPr="009A6864">
        <w:t>(Chen &amp; McNamee, 2011)</w:t>
      </w:r>
      <w:r>
        <w:t xml:space="preserve">. AtL has also been described as a set of domain-general skills </w:t>
      </w:r>
      <w:r w:rsidRPr="009A6864">
        <w:t>(Bustamante, White, et al., 2018)</w:t>
      </w:r>
      <w:r>
        <w:t xml:space="preserve">. As such, ATL explains </w:t>
      </w:r>
      <w:r>
        <w:rPr>
          <w:i/>
        </w:rPr>
        <w:t>how</w:t>
      </w:r>
      <w:r>
        <w:t xml:space="preserve"> children learn rather than how well they learn </w:t>
      </w:r>
      <w:r w:rsidRPr="009A6864">
        <w:t>(</w:t>
      </w:r>
      <w:proofErr w:type="spellStart"/>
      <w:r w:rsidRPr="009A6864">
        <w:t>Razza</w:t>
      </w:r>
      <w:proofErr w:type="spellEnd"/>
      <w:r w:rsidRPr="009A6864">
        <w:t xml:space="preserve"> et al., 2015)</w:t>
      </w:r>
      <w:r>
        <w:t xml:space="preserve">. Some researchers have highlighted the cognitive aspects of ATL, focusing on AtL as </w:t>
      </w:r>
      <w:proofErr w:type="spellStart"/>
      <w:r>
        <w:t>planfulness</w:t>
      </w:r>
      <w:proofErr w:type="spellEnd"/>
      <w:r>
        <w:t xml:space="preserve"> and goal orientation (</w:t>
      </w:r>
      <w:proofErr w:type="spellStart"/>
      <w:r>
        <w:t>Fantuzzo</w:t>
      </w:r>
      <w:proofErr w:type="spellEnd"/>
      <w:r>
        <w:t xml:space="preserve"> et al., 2007), while other researchers believe that it is a combination of affective, cognitive, and behavioral skills </w:t>
      </w:r>
      <w:r w:rsidRPr="009A6864">
        <w:t>(Fredricks et al., 2004)</w:t>
      </w:r>
      <w:r>
        <w:t xml:space="preserve">. </w:t>
      </w:r>
    </w:p>
    <w:p w14:paraId="2290C438" w14:textId="5A9744A7" w:rsidR="001B072F" w:rsidRPr="005E28CE" w:rsidRDefault="001B072F" w:rsidP="001B072F">
      <w:pPr>
        <w:ind w:firstLine="720"/>
        <w:contextualSpacing/>
      </w:pPr>
      <w:r>
        <w:t xml:space="preserve">AtL is widely included in many state standards for </w:t>
      </w:r>
      <w:proofErr w:type="spellStart"/>
      <w:r>
        <w:t>preK</w:t>
      </w:r>
      <w:proofErr w:type="spellEnd"/>
      <w:r>
        <w:t xml:space="preserve"> and the Head Start frameworks for learning </w:t>
      </w:r>
      <w:r w:rsidRPr="009A6864">
        <w:t>(</w:t>
      </w:r>
      <w:proofErr w:type="spellStart"/>
      <w:r w:rsidRPr="009A6864">
        <w:t>Barbu</w:t>
      </w:r>
      <w:proofErr w:type="spellEnd"/>
      <w:r w:rsidRPr="009A6864">
        <w:t xml:space="preserve"> et al., 2015)</w:t>
      </w:r>
      <w:r>
        <w:t xml:space="preserve">. </w:t>
      </w:r>
      <w:r w:rsidRPr="00432010">
        <w:t xml:space="preserve">Many standards reflect the NEGP’s emphasis on </w:t>
      </w:r>
      <w:proofErr w:type="gramStart"/>
      <w:r w:rsidRPr="00432010">
        <w:t>process-oriented</w:t>
      </w:r>
      <w:proofErr w:type="gramEnd"/>
      <w:r w:rsidRPr="00432010">
        <w:t xml:space="preserve"> </w:t>
      </w:r>
      <w:r>
        <w:t>AtL, including Wisconsin and Hawaii (see Table 1).</w:t>
      </w:r>
      <w:r w:rsidRPr="00C67074">
        <w:t xml:space="preserve"> </w:t>
      </w:r>
      <w:r>
        <w:t xml:space="preserve">Curiously, many of the state standards include play under the standards for AtL. South Dakota includes play and imagination as </w:t>
      </w:r>
      <w:r w:rsidR="00C63AD1">
        <w:t>subdomains of AtL</w:t>
      </w:r>
      <w:r>
        <w:t xml:space="preserve">, while Louisiana includes </w:t>
      </w:r>
      <w:r w:rsidR="00C63AD1">
        <w:t xml:space="preserve">a standard for </w:t>
      </w:r>
      <w:r>
        <w:t xml:space="preserve">dramatic play </w:t>
      </w:r>
      <w:proofErr w:type="gramStart"/>
      <w:r w:rsidR="00C63AD1">
        <w:t>as a way to</w:t>
      </w:r>
      <w:proofErr w:type="gramEnd"/>
      <w:r w:rsidR="00C63AD1">
        <w:t xml:space="preserve"> </w:t>
      </w:r>
      <w:r>
        <w:t>engage in creative thinking. These states also include exploration with objects to obtain information about the world. Washington state includes having children learn by doing hands</w:t>
      </w:r>
      <w:r w:rsidR="000B4B73">
        <w:t>-</w:t>
      </w:r>
      <w:r>
        <w:t xml:space="preserve">on exploration, while Oklahoma advocates through active exploration, including trial and error. </w:t>
      </w:r>
    </w:p>
    <w:p w14:paraId="26C44E85" w14:textId="77777777" w:rsidR="001B072F" w:rsidRDefault="001B072F" w:rsidP="001B072F">
      <w:pPr>
        <w:contextualSpacing/>
        <w:rPr>
          <w:b/>
          <w:bCs/>
        </w:rPr>
        <w:sectPr w:rsidR="001B072F" w:rsidSect="00D86CCC">
          <w:type w:val="continuous"/>
          <w:pgSz w:w="12240" w:h="15840"/>
          <w:pgMar w:top="1440" w:right="1440" w:bottom="1440" w:left="1440" w:header="720" w:footer="720" w:gutter="0"/>
          <w:cols w:space="720"/>
          <w:docGrid w:linePitch="360"/>
        </w:sectPr>
      </w:pPr>
      <w:r>
        <w:rPr>
          <w:b/>
          <w:bCs/>
        </w:rPr>
        <w:tab/>
      </w:r>
    </w:p>
    <w:p w14:paraId="5405044E" w14:textId="3A383235" w:rsidR="001B072F" w:rsidRDefault="001B072F" w:rsidP="001B072F">
      <w:pPr>
        <w:pStyle w:val="Caption"/>
        <w:rPr>
          <w:i/>
          <w:iCs w:val="0"/>
        </w:rPr>
      </w:pPr>
      <w:bookmarkStart w:id="36" w:name="_Toc44366120"/>
      <w:r>
        <w:lastRenderedPageBreak/>
        <w:t xml:space="preserve">Table </w:t>
      </w:r>
      <w:fldSimple w:instr=" SEQ Table \r 1 \* ARABIC ">
        <w:r w:rsidR="002039BE">
          <w:rPr>
            <w:noProof/>
          </w:rPr>
          <w:t>1</w:t>
        </w:r>
        <w:bookmarkEnd w:id="36"/>
      </w:fldSimple>
    </w:p>
    <w:p w14:paraId="5F8302D2" w14:textId="77777777" w:rsidR="001B072F" w:rsidRPr="003312CF" w:rsidRDefault="001B072F" w:rsidP="001B072F">
      <w:pPr>
        <w:contextualSpacing/>
        <w:rPr>
          <w:i/>
          <w:iCs/>
        </w:rPr>
      </w:pPr>
      <w:r w:rsidRPr="003312CF">
        <w:rPr>
          <w:i/>
          <w:iCs/>
        </w:rPr>
        <w:t xml:space="preserve">State Standards for Approaches to Learning </w:t>
      </w:r>
    </w:p>
    <w:tbl>
      <w:tblPr>
        <w:tblStyle w:val="TableGridLight"/>
        <w:tblW w:w="5000" w:type="pct"/>
        <w:tblLook w:val="04A0" w:firstRow="1" w:lastRow="0" w:firstColumn="1" w:lastColumn="0" w:noHBand="0" w:noVBand="1"/>
      </w:tblPr>
      <w:tblGrid>
        <w:gridCol w:w="1376"/>
        <w:gridCol w:w="4168"/>
        <w:gridCol w:w="7406"/>
      </w:tblGrid>
      <w:tr w:rsidR="001B072F" w:rsidRPr="003E789A" w14:paraId="7D9E154F" w14:textId="77777777" w:rsidTr="001B072F">
        <w:trPr>
          <w:trHeight w:val="258"/>
        </w:trPr>
        <w:tc>
          <w:tcPr>
            <w:tcW w:w="500" w:type="pct"/>
            <w:tcBorders>
              <w:top w:val="single" w:sz="4" w:space="0" w:color="auto"/>
              <w:bottom w:val="single" w:sz="4" w:space="0" w:color="auto"/>
            </w:tcBorders>
          </w:tcPr>
          <w:p w14:paraId="40100E00" w14:textId="77777777" w:rsidR="001B072F" w:rsidRPr="003E789A" w:rsidRDefault="001B072F" w:rsidP="001B072F">
            <w:pPr>
              <w:jc w:val="center"/>
              <w:rPr>
                <w:rFonts w:ascii="Times New Roman" w:hAnsi="Times New Roman" w:cs="Times New Roman"/>
                <w:sz w:val="24"/>
                <w:szCs w:val="24"/>
              </w:rPr>
            </w:pPr>
            <w:r w:rsidRPr="003E789A">
              <w:rPr>
                <w:rFonts w:ascii="Times New Roman" w:hAnsi="Times New Roman" w:cs="Times New Roman"/>
                <w:sz w:val="24"/>
                <w:szCs w:val="24"/>
              </w:rPr>
              <w:t>State</w:t>
            </w:r>
          </w:p>
        </w:tc>
        <w:tc>
          <w:tcPr>
            <w:tcW w:w="1625" w:type="pct"/>
            <w:tcBorders>
              <w:top w:val="single" w:sz="4" w:space="0" w:color="auto"/>
              <w:bottom w:val="single" w:sz="4" w:space="0" w:color="auto"/>
            </w:tcBorders>
          </w:tcPr>
          <w:p w14:paraId="42F5FC6D" w14:textId="77777777" w:rsidR="001B072F" w:rsidRPr="003E789A" w:rsidRDefault="001B072F" w:rsidP="001B072F">
            <w:pPr>
              <w:jc w:val="center"/>
              <w:rPr>
                <w:rFonts w:ascii="Times New Roman" w:hAnsi="Times New Roman" w:cs="Times New Roman"/>
                <w:sz w:val="24"/>
                <w:szCs w:val="24"/>
              </w:rPr>
            </w:pPr>
            <w:r w:rsidRPr="003E789A">
              <w:rPr>
                <w:rFonts w:ascii="Times New Roman" w:hAnsi="Times New Roman" w:cs="Times New Roman"/>
                <w:sz w:val="24"/>
                <w:szCs w:val="24"/>
              </w:rPr>
              <w:t>Domains</w:t>
            </w:r>
          </w:p>
        </w:tc>
        <w:tc>
          <w:tcPr>
            <w:tcW w:w="2875" w:type="pct"/>
            <w:tcBorders>
              <w:top w:val="single" w:sz="4" w:space="0" w:color="auto"/>
              <w:bottom w:val="single" w:sz="4" w:space="0" w:color="auto"/>
            </w:tcBorders>
          </w:tcPr>
          <w:p w14:paraId="71E1C70C" w14:textId="77777777" w:rsidR="001B072F" w:rsidRPr="003E789A" w:rsidRDefault="001B072F" w:rsidP="001B072F">
            <w:pPr>
              <w:jc w:val="center"/>
              <w:rPr>
                <w:rFonts w:ascii="Times New Roman" w:hAnsi="Times New Roman" w:cs="Times New Roman"/>
                <w:sz w:val="24"/>
                <w:szCs w:val="24"/>
              </w:rPr>
            </w:pPr>
            <w:r w:rsidRPr="003E789A">
              <w:rPr>
                <w:rFonts w:ascii="Times New Roman" w:hAnsi="Times New Roman" w:cs="Times New Roman"/>
                <w:sz w:val="24"/>
                <w:szCs w:val="24"/>
              </w:rPr>
              <w:t>Sample</w:t>
            </w:r>
          </w:p>
        </w:tc>
      </w:tr>
      <w:tr w:rsidR="001B072F" w:rsidRPr="003E789A" w14:paraId="43D0EAF3" w14:textId="77777777" w:rsidTr="001B072F">
        <w:trPr>
          <w:trHeight w:val="241"/>
        </w:trPr>
        <w:tc>
          <w:tcPr>
            <w:tcW w:w="500" w:type="pct"/>
            <w:vMerge w:val="restart"/>
            <w:tcBorders>
              <w:top w:val="single" w:sz="4" w:space="0" w:color="auto"/>
            </w:tcBorders>
          </w:tcPr>
          <w:p w14:paraId="34A484F1" w14:textId="77777777" w:rsidR="001B072F" w:rsidRPr="003E789A" w:rsidRDefault="001B072F" w:rsidP="001B072F">
            <w:pPr>
              <w:jc w:val="center"/>
              <w:rPr>
                <w:rFonts w:ascii="Times New Roman" w:hAnsi="Times New Roman" w:cs="Times New Roman"/>
                <w:sz w:val="24"/>
                <w:szCs w:val="24"/>
              </w:rPr>
            </w:pPr>
            <w:r w:rsidRPr="003E789A">
              <w:rPr>
                <w:rFonts w:ascii="Times New Roman" w:hAnsi="Times New Roman" w:cs="Times New Roman"/>
                <w:sz w:val="24"/>
                <w:szCs w:val="24"/>
              </w:rPr>
              <w:t>Wisconsin</w:t>
            </w:r>
          </w:p>
        </w:tc>
        <w:tc>
          <w:tcPr>
            <w:tcW w:w="1625" w:type="pct"/>
            <w:vMerge w:val="restart"/>
            <w:tcBorders>
              <w:top w:val="single" w:sz="4" w:space="0" w:color="auto"/>
            </w:tcBorders>
          </w:tcPr>
          <w:p w14:paraId="268CD42A" w14:textId="7831952E"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Curiosity, Engagement</w:t>
            </w:r>
            <w:r w:rsidR="000B4B73">
              <w:rPr>
                <w:rFonts w:ascii="Times New Roman" w:hAnsi="Times New Roman" w:cs="Times New Roman"/>
                <w:sz w:val="24"/>
                <w:szCs w:val="24"/>
              </w:rPr>
              <w:t>,</w:t>
            </w:r>
            <w:r w:rsidRPr="003E789A">
              <w:rPr>
                <w:rFonts w:ascii="Times New Roman" w:hAnsi="Times New Roman" w:cs="Times New Roman"/>
                <w:sz w:val="24"/>
                <w:szCs w:val="24"/>
              </w:rPr>
              <w:t xml:space="preserve"> and Persistence</w:t>
            </w:r>
          </w:p>
          <w:p w14:paraId="03B41518"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Creativity and Imagination</w:t>
            </w:r>
          </w:p>
          <w:p w14:paraId="2E99F849"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Diversity in Learning </w:t>
            </w:r>
          </w:p>
        </w:tc>
        <w:tc>
          <w:tcPr>
            <w:tcW w:w="2875" w:type="pct"/>
            <w:tcBorders>
              <w:top w:val="single" w:sz="4" w:space="0" w:color="auto"/>
            </w:tcBorders>
          </w:tcPr>
          <w:p w14:paraId="63D6D5B2" w14:textId="77777777" w:rsidR="001B072F" w:rsidRPr="003E789A" w:rsidRDefault="001B072F" w:rsidP="001B072F">
            <w:pPr>
              <w:autoSpaceDE w:val="0"/>
              <w:autoSpaceDN w:val="0"/>
              <w:adjustRightInd w:val="0"/>
              <w:rPr>
                <w:rFonts w:ascii="Times New Roman" w:hAnsi="Times New Roman" w:cs="Times New Roman"/>
                <w:sz w:val="24"/>
                <w:szCs w:val="24"/>
              </w:rPr>
            </w:pPr>
            <w:r w:rsidRPr="003E789A">
              <w:rPr>
                <w:rFonts w:ascii="Times New Roman" w:hAnsi="Times New Roman" w:cs="Times New Roman"/>
                <w:sz w:val="24"/>
                <w:szCs w:val="24"/>
              </w:rPr>
              <w:t>A.EL. 1 Displays curiosity, risk-taking, and willingness to engage in new experiences.</w:t>
            </w:r>
          </w:p>
        </w:tc>
      </w:tr>
      <w:tr w:rsidR="001B072F" w:rsidRPr="003E789A" w14:paraId="048CE8FE" w14:textId="77777777" w:rsidTr="001B072F">
        <w:trPr>
          <w:trHeight w:val="482"/>
        </w:trPr>
        <w:tc>
          <w:tcPr>
            <w:tcW w:w="500" w:type="pct"/>
            <w:vMerge/>
          </w:tcPr>
          <w:p w14:paraId="40D24B96" w14:textId="77777777" w:rsidR="001B072F" w:rsidRPr="003E789A" w:rsidRDefault="001B072F" w:rsidP="001B072F">
            <w:pPr>
              <w:jc w:val="center"/>
              <w:rPr>
                <w:rFonts w:ascii="Times New Roman" w:hAnsi="Times New Roman" w:cs="Times New Roman"/>
                <w:sz w:val="24"/>
                <w:szCs w:val="24"/>
              </w:rPr>
            </w:pPr>
          </w:p>
        </w:tc>
        <w:tc>
          <w:tcPr>
            <w:tcW w:w="1625" w:type="pct"/>
            <w:vMerge/>
          </w:tcPr>
          <w:p w14:paraId="5EAA9521" w14:textId="77777777" w:rsidR="001B072F" w:rsidRPr="003E789A" w:rsidRDefault="001B072F" w:rsidP="001B072F">
            <w:pPr>
              <w:rPr>
                <w:rFonts w:ascii="Times New Roman" w:hAnsi="Times New Roman" w:cs="Times New Roman"/>
                <w:sz w:val="24"/>
                <w:szCs w:val="24"/>
              </w:rPr>
            </w:pPr>
          </w:p>
        </w:tc>
        <w:tc>
          <w:tcPr>
            <w:tcW w:w="2875" w:type="pct"/>
          </w:tcPr>
          <w:p w14:paraId="5127F272" w14:textId="77777777" w:rsidR="001B072F" w:rsidRPr="003E789A" w:rsidRDefault="001B072F" w:rsidP="001B072F">
            <w:pPr>
              <w:autoSpaceDE w:val="0"/>
              <w:autoSpaceDN w:val="0"/>
              <w:adjustRightInd w:val="0"/>
              <w:rPr>
                <w:rFonts w:ascii="Times New Roman" w:hAnsi="Times New Roman" w:cs="Times New Roman"/>
                <w:sz w:val="24"/>
                <w:szCs w:val="24"/>
              </w:rPr>
            </w:pPr>
            <w:r w:rsidRPr="003E789A">
              <w:rPr>
                <w:rFonts w:ascii="Times New Roman" w:hAnsi="Times New Roman" w:cs="Times New Roman"/>
                <w:sz w:val="24"/>
                <w:szCs w:val="24"/>
              </w:rPr>
              <w:t>B. EL. 1 Engages in imaginative play and inventive thinking through interactions with people, materials, and the environment</w:t>
            </w:r>
          </w:p>
        </w:tc>
      </w:tr>
      <w:tr w:rsidR="001B072F" w:rsidRPr="003E789A" w14:paraId="0A581CCA" w14:textId="77777777" w:rsidTr="001B072F">
        <w:trPr>
          <w:trHeight w:val="954"/>
        </w:trPr>
        <w:tc>
          <w:tcPr>
            <w:tcW w:w="500" w:type="pct"/>
            <w:vMerge w:val="restart"/>
          </w:tcPr>
          <w:p w14:paraId="2CD30921" w14:textId="77777777" w:rsidR="001B072F" w:rsidRPr="003E789A" w:rsidRDefault="001B072F" w:rsidP="001B072F">
            <w:pPr>
              <w:jc w:val="center"/>
              <w:rPr>
                <w:rFonts w:ascii="Times New Roman" w:hAnsi="Times New Roman" w:cs="Times New Roman"/>
                <w:sz w:val="24"/>
                <w:szCs w:val="24"/>
              </w:rPr>
            </w:pPr>
            <w:r w:rsidRPr="003E789A">
              <w:rPr>
                <w:rFonts w:ascii="Times New Roman" w:hAnsi="Times New Roman" w:cs="Times New Roman"/>
                <w:sz w:val="24"/>
                <w:szCs w:val="24"/>
              </w:rPr>
              <w:t>South Dakota</w:t>
            </w:r>
          </w:p>
        </w:tc>
        <w:tc>
          <w:tcPr>
            <w:tcW w:w="1625" w:type="pct"/>
            <w:vMerge w:val="restart"/>
          </w:tcPr>
          <w:p w14:paraId="3711FAF3" w14:textId="2134EFBD"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Curiosity, Information-seeking</w:t>
            </w:r>
            <w:r w:rsidR="000B4B73">
              <w:rPr>
                <w:rFonts w:ascii="Times New Roman" w:hAnsi="Times New Roman" w:cs="Times New Roman"/>
                <w:sz w:val="24"/>
                <w:szCs w:val="24"/>
              </w:rPr>
              <w:t>,</w:t>
            </w:r>
            <w:r w:rsidRPr="003E789A">
              <w:rPr>
                <w:rFonts w:ascii="Times New Roman" w:hAnsi="Times New Roman" w:cs="Times New Roman"/>
                <w:sz w:val="24"/>
                <w:szCs w:val="24"/>
              </w:rPr>
              <w:t xml:space="preserve"> and eagerness</w:t>
            </w:r>
          </w:p>
          <w:p w14:paraId="47D50C73"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Initiative, Effort, Engagement, and Persistence</w:t>
            </w:r>
          </w:p>
          <w:p w14:paraId="534B7F41" w14:textId="77777777" w:rsidR="001B072F" w:rsidRPr="003E789A" w:rsidRDefault="001B072F" w:rsidP="001B072F">
            <w:pPr>
              <w:autoSpaceDE w:val="0"/>
              <w:autoSpaceDN w:val="0"/>
              <w:adjustRightInd w:val="0"/>
              <w:rPr>
                <w:rFonts w:ascii="Times New Roman" w:hAnsi="Times New Roman" w:cs="Times New Roman"/>
                <w:sz w:val="24"/>
                <w:szCs w:val="24"/>
              </w:rPr>
            </w:pPr>
            <w:r w:rsidRPr="003E789A">
              <w:rPr>
                <w:rFonts w:ascii="Times New Roman" w:hAnsi="Times New Roman" w:cs="Times New Roman"/>
                <w:sz w:val="24"/>
                <w:szCs w:val="24"/>
              </w:rPr>
              <w:t>Risk-Taking, Problem-Solving, Flexibility, and</w:t>
            </w:r>
          </w:p>
          <w:p w14:paraId="125DB489"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Resiliency</w:t>
            </w:r>
          </w:p>
          <w:p w14:paraId="2FE3B008"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Play and Imagination</w:t>
            </w:r>
          </w:p>
          <w:p w14:paraId="4CE4E897" w14:textId="77777777" w:rsidR="001B072F" w:rsidRPr="003E789A" w:rsidRDefault="001B072F" w:rsidP="001B072F">
            <w:pPr>
              <w:rPr>
                <w:rFonts w:ascii="Times New Roman" w:hAnsi="Times New Roman" w:cs="Times New Roman"/>
                <w:sz w:val="24"/>
                <w:szCs w:val="24"/>
              </w:rPr>
            </w:pPr>
          </w:p>
        </w:tc>
        <w:tc>
          <w:tcPr>
            <w:tcW w:w="2875" w:type="pct"/>
          </w:tcPr>
          <w:p w14:paraId="04BBBFDA" w14:textId="06DDDA0A" w:rsidR="001B072F" w:rsidRPr="003E789A" w:rsidRDefault="001B072F" w:rsidP="001B072F">
            <w:pPr>
              <w:autoSpaceDE w:val="0"/>
              <w:autoSpaceDN w:val="0"/>
              <w:adjustRightInd w:val="0"/>
              <w:ind w:right="346"/>
              <w:rPr>
                <w:rFonts w:ascii="Times New Roman" w:hAnsi="Times New Roman" w:cs="Times New Roman"/>
                <w:sz w:val="24"/>
                <w:szCs w:val="24"/>
              </w:rPr>
            </w:pPr>
            <w:r w:rsidRPr="003E789A">
              <w:rPr>
                <w:rFonts w:ascii="Times New Roman" w:hAnsi="Times New Roman" w:cs="Times New Roman"/>
                <w:sz w:val="24"/>
                <w:szCs w:val="24"/>
              </w:rPr>
              <w:t xml:space="preserve">AL-1. Demonstrate </w:t>
            </w:r>
            <w:r w:rsidR="000B4B73">
              <w:rPr>
                <w:rFonts w:ascii="Times New Roman" w:hAnsi="Times New Roman" w:cs="Times New Roman"/>
                <w:sz w:val="24"/>
                <w:szCs w:val="24"/>
              </w:rPr>
              <w:t xml:space="preserve">an </w:t>
            </w:r>
            <w:r w:rsidRPr="003E789A">
              <w:rPr>
                <w:rFonts w:ascii="Times New Roman" w:hAnsi="Times New Roman" w:cs="Times New Roman"/>
                <w:sz w:val="24"/>
                <w:szCs w:val="24"/>
              </w:rPr>
              <w:t>eagerness to find out more about other people, discover new things in their environment, and talk about these things with others.</w:t>
            </w:r>
          </w:p>
          <w:p w14:paraId="31BBBD40" w14:textId="77777777" w:rsidR="001B072F" w:rsidRPr="003E789A" w:rsidRDefault="001B072F" w:rsidP="001B072F">
            <w:pPr>
              <w:autoSpaceDE w:val="0"/>
              <w:autoSpaceDN w:val="0"/>
              <w:adjustRightInd w:val="0"/>
              <w:rPr>
                <w:rFonts w:ascii="Times New Roman" w:hAnsi="Times New Roman" w:cs="Times New Roman"/>
                <w:sz w:val="24"/>
                <w:szCs w:val="24"/>
              </w:rPr>
            </w:pPr>
            <w:r w:rsidRPr="003E789A">
              <w:rPr>
                <w:rFonts w:ascii="Times New Roman" w:hAnsi="Times New Roman" w:cs="Times New Roman"/>
                <w:sz w:val="24"/>
                <w:szCs w:val="24"/>
              </w:rPr>
              <w:t>AL-2. Purposefully try different ways of doing things to see how they work (adjust blocks used as a ramp to make a ball roll faster and farther).</w:t>
            </w:r>
          </w:p>
        </w:tc>
      </w:tr>
      <w:tr w:rsidR="001B072F" w:rsidRPr="003E789A" w14:paraId="66110425" w14:textId="77777777" w:rsidTr="001B072F">
        <w:trPr>
          <w:trHeight w:val="722"/>
        </w:trPr>
        <w:tc>
          <w:tcPr>
            <w:tcW w:w="500" w:type="pct"/>
            <w:vMerge/>
          </w:tcPr>
          <w:p w14:paraId="7155315E" w14:textId="77777777" w:rsidR="001B072F" w:rsidRPr="003E789A" w:rsidRDefault="001B072F" w:rsidP="001B072F">
            <w:pPr>
              <w:jc w:val="center"/>
              <w:rPr>
                <w:rFonts w:ascii="Times New Roman" w:hAnsi="Times New Roman" w:cs="Times New Roman"/>
                <w:sz w:val="24"/>
                <w:szCs w:val="24"/>
              </w:rPr>
            </w:pPr>
          </w:p>
        </w:tc>
        <w:tc>
          <w:tcPr>
            <w:tcW w:w="1625" w:type="pct"/>
            <w:vMerge/>
          </w:tcPr>
          <w:p w14:paraId="6C53E7FE" w14:textId="77777777" w:rsidR="001B072F" w:rsidRPr="003E789A" w:rsidRDefault="001B072F" w:rsidP="001B072F">
            <w:pPr>
              <w:rPr>
                <w:rFonts w:ascii="Times New Roman" w:hAnsi="Times New Roman" w:cs="Times New Roman"/>
                <w:sz w:val="24"/>
                <w:szCs w:val="24"/>
              </w:rPr>
            </w:pPr>
          </w:p>
        </w:tc>
        <w:tc>
          <w:tcPr>
            <w:tcW w:w="2875" w:type="pct"/>
          </w:tcPr>
          <w:p w14:paraId="69F7FD6C" w14:textId="77777777" w:rsidR="001B072F" w:rsidRPr="003E789A" w:rsidRDefault="001B072F" w:rsidP="001B072F">
            <w:pPr>
              <w:autoSpaceDE w:val="0"/>
              <w:autoSpaceDN w:val="0"/>
              <w:adjustRightInd w:val="0"/>
              <w:rPr>
                <w:rFonts w:ascii="Times New Roman" w:hAnsi="Times New Roman" w:cs="Times New Roman"/>
                <w:sz w:val="24"/>
                <w:szCs w:val="24"/>
              </w:rPr>
            </w:pPr>
            <w:r w:rsidRPr="003E789A">
              <w:rPr>
                <w:rFonts w:ascii="Times New Roman" w:hAnsi="Times New Roman" w:cs="Times New Roman"/>
                <w:sz w:val="24"/>
                <w:szCs w:val="24"/>
              </w:rPr>
              <w:t>AL-8. Engage in make-believe play with imaginary objects.</w:t>
            </w:r>
          </w:p>
          <w:p w14:paraId="69C205B4" w14:textId="77777777" w:rsidR="001B072F" w:rsidRPr="003E789A" w:rsidRDefault="001B072F" w:rsidP="001B072F">
            <w:pPr>
              <w:autoSpaceDE w:val="0"/>
              <w:autoSpaceDN w:val="0"/>
              <w:adjustRightInd w:val="0"/>
              <w:rPr>
                <w:rFonts w:ascii="Times New Roman" w:hAnsi="Times New Roman" w:cs="Times New Roman"/>
                <w:sz w:val="24"/>
                <w:szCs w:val="24"/>
              </w:rPr>
            </w:pPr>
            <w:r w:rsidRPr="003E789A">
              <w:rPr>
                <w:rFonts w:ascii="Times New Roman" w:hAnsi="Times New Roman" w:cs="Times New Roman"/>
                <w:sz w:val="24"/>
                <w:szCs w:val="24"/>
              </w:rPr>
              <w:t>AL.9 Use materials (art materials, instruments, construction,</w:t>
            </w:r>
          </w:p>
          <w:p w14:paraId="5361B2B1" w14:textId="77777777" w:rsidR="001B072F" w:rsidRPr="003E789A" w:rsidRDefault="001B072F" w:rsidP="001B072F">
            <w:pPr>
              <w:autoSpaceDE w:val="0"/>
              <w:autoSpaceDN w:val="0"/>
              <w:adjustRightInd w:val="0"/>
              <w:rPr>
                <w:rFonts w:ascii="Times New Roman" w:hAnsi="Times New Roman" w:cs="Times New Roman"/>
                <w:sz w:val="24"/>
                <w:szCs w:val="24"/>
              </w:rPr>
            </w:pPr>
            <w:r w:rsidRPr="003E789A">
              <w:rPr>
                <w:rFonts w:ascii="Times New Roman" w:hAnsi="Times New Roman" w:cs="Times New Roman"/>
                <w:sz w:val="24"/>
                <w:szCs w:val="24"/>
              </w:rPr>
              <w:t>writing implements) or actions to represent experiences or ideas in inventive ways.</w:t>
            </w:r>
          </w:p>
        </w:tc>
      </w:tr>
      <w:tr w:rsidR="001B072F" w:rsidRPr="003E789A" w14:paraId="79F2398D" w14:textId="77777777" w:rsidTr="001B072F">
        <w:trPr>
          <w:trHeight w:val="482"/>
        </w:trPr>
        <w:tc>
          <w:tcPr>
            <w:tcW w:w="500" w:type="pct"/>
            <w:vMerge w:val="restart"/>
          </w:tcPr>
          <w:p w14:paraId="35D8E319" w14:textId="77777777" w:rsidR="001B072F" w:rsidRPr="003E789A" w:rsidRDefault="001B072F" w:rsidP="001B072F">
            <w:pPr>
              <w:jc w:val="center"/>
              <w:rPr>
                <w:rFonts w:ascii="Times New Roman" w:hAnsi="Times New Roman" w:cs="Times New Roman"/>
                <w:sz w:val="24"/>
                <w:szCs w:val="24"/>
              </w:rPr>
            </w:pPr>
            <w:r w:rsidRPr="003E789A">
              <w:rPr>
                <w:rFonts w:ascii="Times New Roman" w:hAnsi="Times New Roman" w:cs="Times New Roman"/>
                <w:sz w:val="24"/>
                <w:szCs w:val="24"/>
              </w:rPr>
              <w:t>Louisiana</w:t>
            </w:r>
          </w:p>
        </w:tc>
        <w:tc>
          <w:tcPr>
            <w:tcW w:w="1625" w:type="pct"/>
            <w:vMerge w:val="restart"/>
          </w:tcPr>
          <w:p w14:paraId="5C8CFFE3"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Initiative and Curiosity </w:t>
            </w:r>
          </w:p>
          <w:p w14:paraId="28417E15"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Attention, Engagement, and persistence </w:t>
            </w:r>
          </w:p>
          <w:p w14:paraId="738EC491"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Reasoning, Problem-Solving, and Creative Thinking </w:t>
            </w:r>
          </w:p>
        </w:tc>
        <w:tc>
          <w:tcPr>
            <w:tcW w:w="2875" w:type="pct"/>
          </w:tcPr>
          <w:p w14:paraId="4717DFD1" w14:textId="080263D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AL 3. Recognize, understand</w:t>
            </w:r>
            <w:r w:rsidR="000B4B73">
              <w:rPr>
                <w:rFonts w:ascii="Times New Roman" w:hAnsi="Times New Roman" w:cs="Times New Roman"/>
                <w:sz w:val="24"/>
                <w:szCs w:val="24"/>
              </w:rPr>
              <w:t>,</w:t>
            </w:r>
            <w:r w:rsidRPr="003E789A">
              <w:rPr>
                <w:rFonts w:ascii="Times New Roman" w:hAnsi="Times New Roman" w:cs="Times New Roman"/>
                <w:sz w:val="24"/>
                <w:szCs w:val="24"/>
              </w:rPr>
              <w:t xml:space="preserve"> and analyze a problem and draw on knowledge or experience to seek solutions. </w:t>
            </w:r>
          </w:p>
        </w:tc>
      </w:tr>
      <w:tr w:rsidR="001B072F" w:rsidRPr="003E789A" w14:paraId="516351A1" w14:textId="77777777" w:rsidTr="001B072F">
        <w:trPr>
          <w:trHeight w:val="472"/>
        </w:trPr>
        <w:tc>
          <w:tcPr>
            <w:tcW w:w="500" w:type="pct"/>
            <w:vMerge/>
          </w:tcPr>
          <w:p w14:paraId="5C96D440" w14:textId="77777777" w:rsidR="001B072F" w:rsidRPr="003E789A" w:rsidRDefault="001B072F" w:rsidP="001B072F">
            <w:pPr>
              <w:jc w:val="center"/>
              <w:rPr>
                <w:rFonts w:ascii="Times New Roman" w:hAnsi="Times New Roman" w:cs="Times New Roman"/>
                <w:sz w:val="24"/>
                <w:szCs w:val="24"/>
              </w:rPr>
            </w:pPr>
          </w:p>
        </w:tc>
        <w:tc>
          <w:tcPr>
            <w:tcW w:w="1625" w:type="pct"/>
            <w:vMerge/>
          </w:tcPr>
          <w:p w14:paraId="2159892C" w14:textId="77777777" w:rsidR="001B072F" w:rsidRPr="003E789A" w:rsidRDefault="001B072F" w:rsidP="001B072F">
            <w:pPr>
              <w:rPr>
                <w:rFonts w:ascii="Times New Roman" w:hAnsi="Times New Roman" w:cs="Times New Roman"/>
                <w:sz w:val="24"/>
                <w:szCs w:val="24"/>
              </w:rPr>
            </w:pPr>
          </w:p>
        </w:tc>
        <w:tc>
          <w:tcPr>
            <w:tcW w:w="2875" w:type="pct"/>
          </w:tcPr>
          <w:p w14:paraId="02F0225F"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CC 3. Explore roles and experiences through dramatic art and play. </w:t>
            </w:r>
          </w:p>
        </w:tc>
      </w:tr>
      <w:tr w:rsidR="001B072F" w:rsidRPr="003E789A" w14:paraId="74D616EE" w14:textId="77777777" w:rsidTr="001B072F">
        <w:trPr>
          <w:trHeight w:val="713"/>
        </w:trPr>
        <w:tc>
          <w:tcPr>
            <w:tcW w:w="500" w:type="pct"/>
          </w:tcPr>
          <w:p w14:paraId="6A3F7364" w14:textId="77777777" w:rsidR="001B072F" w:rsidRPr="003E789A" w:rsidRDefault="001B072F" w:rsidP="001B072F">
            <w:pPr>
              <w:jc w:val="center"/>
              <w:rPr>
                <w:rFonts w:ascii="Times New Roman" w:hAnsi="Times New Roman" w:cs="Times New Roman"/>
                <w:sz w:val="24"/>
                <w:szCs w:val="24"/>
              </w:rPr>
            </w:pPr>
            <w:r w:rsidRPr="003E789A">
              <w:rPr>
                <w:rFonts w:ascii="Times New Roman" w:hAnsi="Times New Roman" w:cs="Times New Roman"/>
                <w:sz w:val="24"/>
                <w:szCs w:val="24"/>
              </w:rPr>
              <w:t>Oklahoma</w:t>
            </w:r>
          </w:p>
        </w:tc>
        <w:tc>
          <w:tcPr>
            <w:tcW w:w="1625" w:type="pct"/>
          </w:tcPr>
          <w:p w14:paraId="1F3AB55F"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Positive Attitudes, Habits, and Learning Styles </w:t>
            </w:r>
          </w:p>
        </w:tc>
        <w:tc>
          <w:tcPr>
            <w:tcW w:w="2875" w:type="pct"/>
          </w:tcPr>
          <w:p w14:paraId="2A4CC286" w14:textId="0D9293B8"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A. Demonstrates eagerness and interest in learning</w:t>
            </w:r>
          </w:p>
          <w:p w14:paraId="5DCF4D51"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I. Recognizes and solves problems through active exploration, including trial and error, interactions, and discussions with peers </w:t>
            </w:r>
          </w:p>
        </w:tc>
      </w:tr>
      <w:tr w:rsidR="001B072F" w:rsidRPr="003E789A" w14:paraId="2EF5E208" w14:textId="77777777" w:rsidTr="001B072F">
        <w:trPr>
          <w:trHeight w:val="2149"/>
        </w:trPr>
        <w:tc>
          <w:tcPr>
            <w:tcW w:w="500" w:type="pct"/>
            <w:vMerge w:val="restart"/>
            <w:vAlign w:val="center"/>
          </w:tcPr>
          <w:p w14:paraId="543AA7FD" w14:textId="77777777" w:rsidR="001B072F" w:rsidRPr="003E789A" w:rsidRDefault="001B072F" w:rsidP="001B072F">
            <w:pPr>
              <w:jc w:val="center"/>
              <w:rPr>
                <w:rFonts w:ascii="Times New Roman" w:hAnsi="Times New Roman" w:cs="Times New Roman"/>
                <w:sz w:val="24"/>
                <w:szCs w:val="24"/>
              </w:rPr>
            </w:pPr>
            <w:r w:rsidRPr="003E789A">
              <w:rPr>
                <w:rFonts w:ascii="Times New Roman" w:hAnsi="Times New Roman" w:cs="Times New Roman"/>
                <w:sz w:val="24"/>
                <w:szCs w:val="24"/>
              </w:rPr>
              <w:t>Washington</w:t>
            </w:r>
          </w:p>
        </w:tc>
        <w:tc>
          <w:tcPr>
            <w:tcW w:w="1625" w:type="pct"/>
            <w:tcBorders>
              <w:bottom w:val="single" w:sz="4" w:space="0" w:color="BFBFBF" w:themeColor="background1" w:themeShade="BF"/>
            </w:tcBorders>
          </w:tcPr>
          <w:p w14:paraId="694B74BE"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About Me and my family/culture</w:t>
            </w:r>
          </w:p>
          <w:p w14:paraId="0ECA8314"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Building Relationships</w:t>
            </w:r>
          </w:p>
          <w:p w14:paraId="0A1358E1"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Touching, seeing, </w:t>
            </w:r>
            <w:proofErr w:type="gramStart"/>
            <w:r w:rsidRPr="003E789A">
              <w:rPr>
                <w:rFonts w:ascii="Times New Roman" w:hAnsi="Times New Roman" w:cs="Times New Roman"/>
                <w:sz w:val="24"/>
                <w:szCs w:val="24"/>
              </w:rPr>
              <w:t>hearing</w:t>
            </w:r>
            <w:proofErr w:type="gramEnd"/>
            <w:r w:rsidRPr="003E789A">
              <w:rPr>
                <w:rFonts w:ascii="Times New Roman" w:hAnsi="Times New Roman" w:cs="Times New Roman"/>
                <w:sz w:val="24"/>
                <w:szCs w:val="24"/>
              </w:rPr>
              <w:t xml:space="preserve"> and moving around</w:t>
            </w:r>
          </w:p>
          <w:p w14:paraId="23457593"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Growing up health</w:t>
            </w:r>
          </w:p>
          <w:p w14:paraId="3ABC46F8"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Communicating</w:t>
            </w:r>
          </w:p>
          <w:p w14:paraId="63FB6545"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Learning about my world </w:t>
            </w:r>
          </w:p>
        </w:tc>
        <w:tc>
          <w:tcPr>
            <w:tcW w:w="2875" w:type="pct"/>
          </w:tcPr>
          <w:p w14:paraId="3E68E55A"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Learning About my World. Children may: </w:t>
            </w:r>
          </w:p>
          <w:p w14:paraId="59338D01"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Ask a lot of “why” and “what” questions.</w:t>
            </w:r>
          </w:p>
          <w:p w14:paraId="29B53B01" w14:textId="4B39C1B3"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 Learn by doing hands-on and through the senses and play </w:t>
            </w:r>
          </w:p>
          <w:p w14:paraId="28A54E76"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 Recall several items after they have been put out of sight. </w:t>
            </w:r>
          </w:p>
          <w:p w14:paraId="68BFC813"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 Draw on own past experiences to choose current actions. </w:t>
            </w:r>
          </w:p>
          <w:p w14:paraId="206B7E7C"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 Make plans for ways to do something. May or may not follow through. </w:t>
            </w:r>
          </w:p>
          <w:p w14:paraId="56E01F01"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lastRenderedPageBreak/>
              <w:t>• Think of a different way to do something, when confronting a problem, with adult help.</w:t>
            </w:r>
          </w:p>
          <w:p w14:paraId="6F125FE6"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Play with materials of different texture (such as sand, water, leaves) and conditions (such as wet, dry, warm, cold), with adult encouragement and supervision.</w:t>
            </w:r>
          </w:p>
        </w:tc>
      </w:tr>
      <w:tr w:rsidR="001B072F" w:rsidRPr="003E789A" w14:paraId="11129C13" w14:textId="77777777" w:rsidTr="001B072F">
        <w:trPr>
          <w:trHeight w:val="472"/>
        </w:trPr>
        <w:tc>
          <w:tcPr>
            <w:tcW w:w="500" w:type="pct"/>
            <w:vMerge/>
          </w:tcPr>
          <w:p w14:paraId="29ED20E7" w14:textId="77777777" w:rsidR="001B072F" w:rsidRPr="003E789A" w:rsidRDefault="001B072F" w:rsidP="001B072F">
            <w:pPr>
              <w:jc w:val="center"/>
              <w:rPr>
                <w:rFonts w:ascii="Times New Roman" w:hAnsi="Times New Roman" w:cs="Times New Roman"/>
                <w:sz w:val="24"/>
                <w:szCs w:val="24"/>
              </w:rPr>
            </w:pPr>
          </w:p>
        </w:tc>
        <w:tc>
          <w:tcPr>
            <w:tcW w:w="1625" w:type="pct"/>
            <w:vMerge w:val="restart"/>
            <w:tcBorders>
              <w:bottom w:val="single" w:sz="4" w:space="0" w:color="auto"/>
            </w:tcBorders>
          </w:tcPr>
          <w:p w14:paraId="09140926"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Initiative and Creativity</w:t>
            </w:r>
          </w:p>
          <w:p w14:paraId="60AFB85E"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Persistence and Attentiveness</w:t>
            </w:r>
          </w:p>
          <w:p w14:paraId="5040C584" w14:textId="1011AE85"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Problem</w:t>
            </w:r>
            <w:r w:rsidR="000B4B73">
              <w:rPr>
                <w:rFonts w:ascii="Times New Roman" w:hAnsi="Times New Roman" w:cs="Times New Roman"/>
                <w:sz w:val="24"/>
                <w:szCs w:val="24"/>
              </w:rPr>
              <w:t>-</w:t>
            </w:r>
            <w:r w:rsidRPr="003E789A">
              <w:rPr>
                <w:rFonts w:ascii="Times New Roman" w:hAnsi="Times New Roman" w:cs="Times New Roman"/>
                <w:sz w:val="24"/>
                <w:szCs w:val="24"/>
              </w:rPr>
              <w:t>solving</w:t>
            </w:r>
          </w:p>
          <w:p w14:paraId="5FE62AD9"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Reflection and interpretation</w:t>
            </w:r>
          </w:p>
          <w:p w14:paraId="1C06B521"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 xml:space="preserve">Effective and ethical technology </w:t>
            </w:r>
          </w:p>
        </w:tc>
        <w:tc>
          <w:tcPr>
            <w:tcW w:w="2875" w:type="pct"/>
            <w:tcBorders>
              <w:bottom w:val="single" w:sz="4" w:space="0" w:color="BFBFBF" w:themeColor="background1" w:themeShade="BF"/>
            </w:tcBorders>
          </w:tcPr>
          <w:p w14:paraId="485F74DA"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Begin to think problems through, considering several possibilities and analyzing results (AL/</w:t>
            </w:r>
            <w:proofErr w:type="spellStart"/>
            <w:r w:rsidRPr="003E789A">
              <w:rPr>
                <w:rFonts w:ascii="Times New Roman" w:hAnsi="Times New Roman" w:cs="Times New Roman"/>
                <w:sz w:val="24"/>
                <w:szCs w:val="24"/>
              </w:rPr>
              <w:t>LA.KE.d</w:t>
            </w:r>
            <w:proofErr w:type="spellEnd"/>
            <w:r w:rsidRPr="003E789A">
              <w:rPr>
                <w:rFonts w:ascii="Times New Roman" w:hAnsi="Times New Roman" w:cs="Times New Roman"/>
                <w:sz w:val="24"/>
                <w:szCs w:val="24"/>
              </w:rPr>
              <w:t>)</w:t>
            </w:r>
          </w:p>
        </w:tc>
      </w:tr>
      <w:tr w:rsidR="001B072F" w:rsidRPr="003E789A" w14:paraId="15816336" w14:textId="77777777" w:rsidTr="001B072F">
        <w:trPr>
          <w:trHeight w:val="713"/>
        </w:trPr>
        <w:tc>
          <w:tcPr>
            <w:tcW w:w="500" w:type="pct"/>
            <w:vMerge/>
            <w:tcBorders>
              <w:bottom w:val="single" w:sz="4" w:space="0" w:color="auto"/>
            </w:tcBorders>
          </w:tcPr>
          <w:p w14:paraId="11FA4651" w14:textId="77777777" w:rsidR="001B072F" w:rsidRPr="003E789A" w:rsidRDefault="001B072F" w:rsidP="001B072F">
            <w:pPr>
              <w:rPr>
                <w:rFonts w:ascii="Times New Roman" w:hAnsi="Times New Roman" w:cs="Times New Roman"/>
                <w:sz w:val="24"/>
                <w:szCs w:val="24"/>
              </w:rPr>
            </w:pPr>
          </w:p>
        </w:tc>
        <w:tc>
          <w:tcPr>
            <w:tcW w:w="1625" w:type="pct"/>
            <w:vMerge/>
            <w:tcBorders>
              <w:bottom w:val="single" w:sz="4" w:space="0" w:color="auto"/>
            </w:tcBorders>
          </w:tcPr>
          <w:p w14:paraId="49685ADB" w14:textId="77777777" w:rsidR="001B072F" w:rsidRPr="003E789A" w:rsidRDefault="001B072F" w:rsidP="001B072F">
            <w:pPr>
              <w:rPr>
                <w:rFonts w:ascii="Times New Roman" w:hAnsi="Times New Roman" w:cs="Times New Roman"/>
                <w:sz w:val="24"/>
                <w:szCs w:val="24"/>
              </w:rPr>
            </w:pPr>
          </w:p>
        </w:tc>
        <w:tc>
          <w:tcPr>
            <w:tcW w:w="2875" w:type="pct"/>
            <w:tcBorders>
              <w:bottom w:val="single" w:sz="4" w:space="0" w:color="auto"/>
            </w:tcBorders>
          </w:tcPr>
          <w:p w14:paraId="43725DB3" w14:textId="77777777" w:rsidR="001B072F" w:rsidRPr="003E789A" w:rsidRDefault="001B072F" w:rsidP="001B072F">
            <w:pPr>
              <w:rPr>
                <w:rFonts w:ascii="Times New Roman" w:hAnsi="Times New Roman" w:cs="Times New Roman"/>
                <w:sz w:val="24"/>
                <w:szCs w:val="24"/>
              </w:rPr>
            </w:pPr>
            <w:r w:rsidRPr="003E789A">
              <w:rPr>
                <w:rFonts w:ascii="Times New Roman" w:hAnsi="Times New Roman" w:cs="Times New Roman"/>
                <w:sz w:val="24"/>
                <w:szCs w:val="24"/>
              </w:rPr>
              <w:t>Use knowledge of everyday experiences to apply to a new situation (AL/</w:t>
            </w:r>
            <w:proofErr w:type="spellStart"/>
            <w:r w:rsidRPr="003E789A">
              <w:rPr>
                <w:rFonts w:ascii="Times New Roman" w:hAnsi="Times New Roman" w:cs="Times New Roman"/>
                <w:sz w:val="24"/>
                <w:szCs w:val="24"/>
              </w:rPr>
              <w:t>LA.KE.f</w:t>
            </w:r>
            <w:proofErr w:type="spellEnd"/>
            <w:r w:rsidRPr="003E789A">
              <w:rPr>
                <w:rFonts w:ascii="Times New Roman" w:hAnsi="Times New Roman" w:cs="Times New Roman"/>
                <w:sz w:val="24"/>
                <w:szCs w:val="24"/>
              </w:rPr>
              <w:t>)</w:t>
            </w:r>
          </w:p>
        </w:tc>
      </w:tr>
    </w:tbl>
    <w:p w14:paraId="1FC7D786" w14:textId="77777777" w:rsidR="001B072F" w:rsidRDefault="001B072F" w:rsidP="001B072F">
      <w:pPr>
        <w:contextualSpacing/>
        <w:sectPr w:rsidR="001B072F" w:rsidSect="00D86CCC">
          <w:type w:val="continuous"/>
          <w:pgSz w:w="15840" w:h="12240" w:orient="landscape"/>
          <w:pgMar w:top="1440" w:right="1440" w:bottom="1440" w:left="1440" w:header="720" w:footer="720" w:gutter="0"/>
          <w:cols w:space="720"/>
          <w:docGrid w:linePitch="360"/>
        </w:sectPr>
      </w:pPr>
    </w:p>
    <w:p w14:paraId="50A3FF67" w14:textId="4D4BB803" w:rsidR="001B072F" w:rsidRPr="00C67074" w:rsidRDefault="001B072F" w:rsidP="001B072F">
      <w:pPr>
        <w:contextualSpacing/>
      </w:pPr>
      <w:r>
        <w:lastRenderedPageBreak/>
        <w:t>What is evident through research and a review of the state standards is that AtL represents a</w:t>
      </w:r>
      <w:r w:rsidR="000B4B73">
        <w:t xml:space="preserve"> critical</w:t>
      </w:r>
      <w:r>
        <w:t xml:space="preserve"> component of school readiness as a process-oriented disposition. Yet exactly how do children develop AtL through play? Furthermore, how does AtL support children’s process-oriented thinking skills in more formalized learning situations? Using Vygotsky’s work, the following sections will consider the role of play in young children’s development. Then, specific features of children’s play will be linked with the development of process-oriented skills. Finally, AtL as a bridge between play and children’s academic outcomes will be explored. </w:t>
      </w:r>
    </w:p>
    <w:p w14:paraId="3E89F673" w14:textId="77777777" w:rsidR="001B072F" w:rsidRPr="00B377E4" w:rsidRDefault="001B072F" w:rsidP="001B072F">
      <w:pPr>
        <w:pStyle w:val="Heading1"/>
      </w:pPr>
      <w:bookmarkStart w:id="37" w:name="_Toc46265475"/>
      <w:r>
        <w:t>Play as a Leading Activity</w:t>
      </w:r>
      <w:bookmarkEnd w:id="37"/>
      <w:r>
        <w:t xml:space="preserve"> </w:t>
      </w:r>
    </w:p>
    <w:p w14:paraId="4DC0600F" w14:textId="3C30C835" w:rsidR="001B072F" w:rsidRDefault="001B072F" w:rsidP="001B072F">
      <w:pPr>
        <w:ind w:firstLine="720"/>
        <w:contextualSpacing/>
      </w:pPr>
      <w:r>
        <w:t xml:space="preserve">Vygotsky, utilizing a cultural-historical view, believed play developed from the experiences and social interactions children undergo </w:t>
      </w:r>
      <w:r w:rsidRPr="000B02F5">
        <w:t>(</w:t>
      </w:r>
      <w:proofErr w:type="spellStart"/>
      <w:r w:rsidRPr="000B02F5">
        <w:t>Bodrova</w:t>
      </w:r>
      <w:proofErr w:type="spellEnd"/>
      <w:r w:rsidRPr="000B02F5">
        <w:t xml:space="preserve">, 2008; Holzman, 1995; </w:t>
      </w:r>
      <w:proofErr w:type="spellStart"/>
      <w:r w:rsidRPr="000B02F5">
        <w:t>Oers</w:t>
      </w:r>
      <w:proofErr w:type="spellEnd"/>
      <w:r w:rsidRPr="000B02F5">
        <w:t xml:space="preserve"> &amp; </w:t>
      </w:r>
      <w:proofErr w:type="spellStart"/>
      <w:r w:rsidRPr="000B02F5">
        <w:t>Duijkers</w:t>
      </w:r>
      <w:proofErr w:type="spellEnd"/>
      <w:r w:rsidRPr="000B02F5">
        <w:t>, 2013)</w:t>
      </w:r>
      <w:r>
        <w:t xml:space="preserve">. </w:t>
      </w:r>
      <w:r w:rsidR="00D4331B">
        <w:t>He</w:t>
      </w:r>
      <w:r>
        <w:t xml:space="preserve"> described play as a leading or primary activity d</w:t>
      </w:r>
      <w:r w:rsidRPr="00CB5672">
        <w:t>riv</w:t>
      </w:r>
      <w:r>
        <w:t xml:space="preserve">ing preschool-aged children’s </w:t>
      </w:r>
      <w:r w:rsidRPr="00CB5672">
        <w:t xml:space="preserve">development </w:t>
      </w:r>
      <w:r w:rsidRPr="009A6864">
        <w:t>(Elkonin, 2005)</w:t>
      </w:r>
      <w:r>
        <w:t xml:space="preserve">. </w:t>
      </w:r>
      <w:r>
        <w:rPr>
          <w:i/>
          <w:iCs/>
        </w:rPr>
        <w:t>L</w:t>
      </w:r>
      <w:r w:rsidRPr="00CB1093">
        <w:rPr>
          <w:i/>
          <w:iCs/>
        </w:rPr>
        <w:t>eading</w:t>
      </w:r>
      <w:r w:rsidRPr="00CB5672">
        <w:t xml:space="preserve"> </w:t>
      </w:r>
      <w:r w:rsidRPr="00CB1093">
        <w:rPr>
          <w:i/>
          <w:iCs/>
        </w:rPr>
        <w:t>activities</w:t>
      </w:r>
      <w:r w:rsidRPr="00CB5672">
        <w:t xml:space="preserve"> consist of “the activity on which the main psychological changes in the </w:t>
      </w:r>
      <w:r>
        <w:t>qu</w:t>
      </w:r>
      <w:r w:rsidRPr="00CB5672">
        <w:t xml:space="preserve">ality at a given period of development depend in the closest way” </w:t>
      </w:r>
      <w:r w:rsidRPr="009A6864">
        <w:t>(</w:t>
      </w:r>
      <w:proofErr w:type="spellStart"/>
      <w:r w:rsidRPr="009A6864">
        <w:t>Leont’ev</w:t>
      </w:r>
      <w:proofErr w:type="spellEnd"/>
      <w:r w:rsidRPr="009A6864">
        <w:t>, 1981, p. 396)</w:t>
      </w:r>
      <w:r w:rsidRPr="00CB5672">
        <w:t xml:space="preserve">. </w:t>
      </w:r>
      <w:r>
        <w:t xml:space="preserve">Rather than internally driven psychological structures, such as mental schema, leading activities focus on </w:t>
      </w:r>
      <w:proofErr w:type="gramStart"/>
      <w:r>
        <w:t>culturally-mediated</w:t>
      </w:r>
      <w:proofErr w:type="gramEnd"/>
      <w:r>
        <w:t xml:space="preserve"> interactions as the mechanism for developmental change </w:t>
      </w:r>
      <w:r w:rsidRPr="00CE2979">
        <w:t>(</w:t>
      </w:r>
      <w:proofErr w:type="spellStart"/>
      <w:r w:rsidRPr="00CE2979">
        <w:t>Bodrova</w:t>
      </w:r>
      <w:proofErr w:type="spellEnd"/>
      <w:r w:rsidRPr="00CE2979">
        <w:t xml:space="preserve"> &amp; Leong, 2015)</w:t>
      </w:r>
      <w:r>
        <w:t xml:space="preserve">. </w:t>
      </w:r>
      <w:r w:rsidRPr="00CB5672">
        <w:t xml:space="preserve">They support the most </w:t>
      </w:r>
      <w:r>
        <w:t>critical</w:t>
      </w:r>
      <w:r w:rsidRPr="00CB5672">
        <w:t xml:space="preserve"> changes that take place within the child’s mind and pave </w:t>
      </w:r>
      <w:r>
        <w:t>the</w:t>
      </w:r>
      <w:r w:rsidRPr="00CB5672">
        <w:t xml:space="preserve"> way for the child to transition into a new, higher </w:t>
      </w:r>
      <w:r>
        <w:t xml:space="preserve">role in society </w:t>
      </w:r>
      <w:r w:rsidRPr="009A6864">
        <w:t xml:space="preserve">(Duncan &amp; </w:t>
      </w:r>
      <w:proofErr w:type="spellStart"/>
      <w:r w:rsidRPr="009A6864">
        <w:t>Tarulli</w:t>
      </w:r>
      <w:proofErr w:type="spellEnd"/>
      <w:r w:rsidRPr="009A6864">
        <w:t>, 2003; Fleer, 2011a; Rogoff, 2003)</w:t>
      </w:r>
      <w:r>
        <w:t xml:space="preserve">. For preschool-aged children, play as a leading activity prepares children to transition to school, the next phase of life, </w:t>
      </w:r>
      <w:r w:rsidRPr="009A6864">
        <w:t>(</w:t>
      </w:r>
      <w:proofErr w:type="spellStart"/>
      <w:r w:rsidRPr="009A6864">
        <w:t>Leont’ev</w:t>
      </w:r>
      <w:proofErr w:type="spellEnd"/>
      <w:r w:rsidRPr="009A6864">
        <w:t>, 1981)</w:t>
      </w:r>
      <w:r>
        <w:t xml:space="preserve">. </w:t>
      </w:r>
    </w:p>
    <w:p w14:paraId="3EA34F35" w14:textId="099FE31B" w:rsidR="00E869A3" w:rsidRDefault="00E869A3" w:rsidP="001B072F">
      <w:pPr>
        <w:ind w:firstLine="720"/>
        <w:contextualSpacing/>
      </w:pPr>
      <w:r>
        <w:t xml:space="preserve">Leading activities </w:t>
      </w:r>
      <w:r w:rsidRPr="00CB5672">
        <w:t>are not universal</w:t>
      </w:r>
      <w:r w:rsidR="00D4331B">
        <w:t xml:space="preserve">. They </w:t>
      </w:r>
      <w:r w:rsidRPr="00CB5672">
        <w:t xml:space="preserve">are culturally </w:t>
      </w:r>
      <w:r>
        <w:t xml:space="preserve">specific and depend upon the historical conditions in which the child’s development is taking place. In Western societies, children are often sheltered from the world of adults, and thus use play to make sense of the </w:t>
      </w:r>
      <w:r>
        <w:lastRenderedPageBreak/>
        <w:t xml:space="preserve">world around them </w:t>
      </w:r>
      <w:r w:rsidRPr="00630563">
        <w:t>(</w:t>
      </w:r>
      <w:proofErr w:type="spellStart"/>
      <w:r w:rsidRPr="00630563">
        <w:t>Bodrova</w:t>
      </w:r>
      <w:proofErr w:type="spellEnd"/>
      <w:r w:rsidRPr="00630563">
        <w:t xml:space="preserve"> &amp; Leong, 2015)</w:t>
      </w:r>
      <w:r>
        <w:t xml:space="preserve">. </w:t>
      </w:r>
      <w:r w:rsidR="002D3867">
        <w:t>They</w:t>
      </w:r>
      <w:r w:rsidRPr="00192C80">
        <w:t xml:space="preserve"> acquire understanding through engaging in activities of the culture</w:t>
      </w:r>
      <w:r>
        <w:t xml:space="preserve">, </w:t>
      </w:r>
      <w:r w:rsidRPr="00192C80">
        <w:t>such as household work, mealtimes, games, and storytelling</w:t>
      </w:r>
      <w:r>
        <w:t xml:space="preserve"> (Vygotsky, 1967). </w:t>
      </w:r>
      <w:r w:rsidR="002D3867">
        <w:t>They</w:t>
      </w:r>
      <w:r>
        <w:t xml:space="preserve"> also use pretend play to re-enact adult roles </w:t>
      </w:r>
      <w:r w:rsidRPr="00192C80">
        <w:fldChar w:fldCharType="begin"/>
      </w:r>
      <w:r w:rsidRPr="00192C80">
        <w:instrText xml:space="preserve"> ADDIN ZOTERO_ITEM CSL_CITATION {"citationID":"LoDFw3RM","properties":{"formattedCitation":"(Berk, Mann, &amp; Ogan, 2006)","plainCitation":"(Berk, Mann, &amp; Ogan, 2006)","noteIndex":0},"citationItems":[{"id":656,"uris":["http://zotero.org/users/5334424/items/SK7QDEG4"],"uri":["http://zotero.org/users/5334424/items/SK7QDEG4"],"itemData":{"id":656,"type":"chapter","container-title":"Play=learning: How play motivates and enhances children's cognitive and social- emotional growth","publisher":"Oxford University Press","title":"Make-Believe play: Wellspring for development of self-regulation","author":[{"family":"Berk","given":"Laura"},{"family":"Mann","given":"Trisha"},{"family":"Ogan","given":"Amy"}],"editor":[{"family":"Singer","given":"Dorothy"},{"family":"Golinkoff","given":"Roberta Michnick"},{"family":"Hirsh-Pasek","given":"Kathy"}],"issued":{"date-parts":[["2006"]]}}}],"schema":"https://github.com/citation-style-language/schema/raw/master/csl-citation.json"} </w:instrText>
      </w:r>
      <w:r w:rsidRPr="00192C80">
        <w:fldChar w:fldCharType="separate"/>
      </w:r>
      <w:r w:rsidRPr="00192C80">
        <w:t xml:space="preserve">(Berk, Mann, &amp; </w:t>
      </w:r>
      <w:proofErr w:type="spellStart"/>
      <w:r w:rsidRPr="00192C80">
        <w:t>Ogan</w:t>
      </w:r>
      <w:proofErr w:type="spellEnd"/>
      <w:r w:rsidRPr="00192C80">
        <w:t>, 2006)</w:t>
      </w:r>
      <w:r w:rsidRPr="00192C80">
        <w:fldChar w:fldCharType="end"/>
      </w:r>
      <w:r w:rsidRPr="00192C80">
        <w:t>.</w:t>
      </w:r>
      <w:r>
        <w:t xml:space="preserve"> </w:t>
      </w:r>
      <w:r w:rsidR="002D3867">
        <w:t>Thus, p</w:t>
      </w:r>
      <w:r>
        <w:t>articipati</w:t>
      </w:r>
      <w:r w:rsidR="002D3867">
        <w:t xml:space="preserve">on </w:t>
      </w:r>
      <w:r>
        <w:t xml:space="preserve">in </w:t>
      </w:r>
      <w:r w:rsidR="002D3867">
        <w:t xml:space="preserve">daily </w:t>
      </w:r>
      <w:r>
        <w:t xml:space="preserve">activities </w:t>
      </w:r>
      <w:r w:rsidR="002D3867">
        <w:t>i</w:t>
      </w:r>
      <w:r>
        <w:t xml:space="preserve">s the </w:t>
      </w:r>
      <w:r w:rsidR="002D3867">
        <w:t>culturally mediated</w:t>
      </w:r>
      <w:r>
        <w:t xml:space="preserve"> context through which children learn. </w:t>
      </w:r>
    </w:p>
    <w:p w14:paraId="7AF78C3E" w14:textId="335A045D" w:rsidR="00BA3A89" w:rsidRDefault="001B072F" w:rsidP="00BA3A89">
      <w:pPr>
        <w:ind w:firstLine="720"/>
        <w:contextualSpacing/>
      </w:pPr>
      <w:r>
        <w:t xml:space="preserve">Play </w:t>
      </w:r>
      <w:r w:rsidR="00912FFC">
        <w:t>i</w:t>
      </w:r>
      <w:r>
        <w:t xml:space="preserve">s </w:t>
      </w:r>
      <w:r w:rsidR="000E201B">
        <w:t>a</w:t>
      </w:r>
      <w:r w:rsidR="00F21B24">
        <w:t xml:space="preserve">lso a </w:t>
      </w:r>
      <w:r>
        <w:t>leading activity because it</w:t>
      </w:r>
      <w:r w:rsidR="00F21B24">
        <w:t xml:space="preserve"> </w:t>
      </w:r>
      <w:r w:rsidR="000E201B">
        <w:t>enable</w:t>
      </w:r>
      <w:r w:rsidR="00912FFC">
        <w:t>s</w:t>
      </w:r>
      <w:r w:rsidR="000E201B">
        <w:t xml:space="preserve"> children to </w:t>
      </w:r>
      <w:r w:rsidR="00E869A3">
        <w:t xml:space="preserve">experiment with a wide array of challenging skills </w:t>
      </w:r>
      <w:r w:rsidRPr="009A6864">
        <w:t>(Vygotsky, 1967)</w:t>
      </w:r>
      <w:r>
        <w:t xml:space="preserve">. </w:t>
      </w:r>
      <w:bookmarkStart w:id="38" w:name="_Toc44346051"/>
      <w:r w:rsidR="00F21B24">
        <w:t>It</w:t>
      </w:r>
      <w:r w:rsidR="00F21B24" w:rsidRPr="00CB5672">
        <w:t xml:space="preserve"> </w:t>
      </w:r>
      <w:r w:rsidR="00912FFC">
        <w:t>i</w:t>
      </w:r>
      <w:r w:rsidR="00F21B24" w:rsidRPr="00CB5672">
        <w:t xml:space="preserve">s not the result of children’s naturalistic tendencies, but rather a cultural-historical phenomenon dependent upon the quality and degree of adult mediation. </w:t>
      </w:r>
      <w:r w:rsidR="00F21B24">
        <w:t>His</w:t>
      </w:r>
      <w:r w:rsidR="00E869A3">
        <w:t xml:space="preserve"> focus on interaction di</w:t>
      </w:r>
      <w:r w:rsidR="00E869A3" w:rsidRPr="00CB5672">
        <w:t xml:space="preserve">stinguishes </w:t>
      </w:r>
      <w:r w:rsidR="00E869A3">
        <w:t xml:space="preserve">his theory </w:t>
      </w:r>
      <w:r w:rsidR="00E869A3" w:rsidRPr="00CB5672">
        <w:t>of play from other</w:t>
      </w:r>
      <w:r w:rsidR="00E869A3">
        <w:t>s who v</w:t>
      </w:r>
      <w:r w:rsidR="00E869A3" w:rsidRPr="00CB5672">
        <w:t xml:space="preserve">iew play </w:t>
      </w:r>
      <w:r w:rsidR="00E869A3">
        <w:t>from</w:t>
      </w:r>
      <w:r w:rsidR="00E869A3" w:rsidRPr="00CB5672">
        <w:t xml:space="preserve"> a maturational view, where play progresses as the child ages </w:t>
      </w:r>
      <w:r w:rsidR="00E869A3" w:rsidRPr="009A6864">
        <w:t>(Fleer, 2011a)</w:t>
      </w:r>
      <w:r w:rsidR="00E869A3" w:rsidRPr="00CB5672">
        <w:t xml:space="preserve">. </w:t>
      </w:r>
      <w:r w:rsidR="00992B9F">
        <w:t>With adult scaffolding, a ch</w:t>
      </w:r>
      <w:r w:rsidR="00E869A3" w:rsidRPr="00CB5672">
        <w:t xml:space="preserve">ild in play </w:t>
      </w:r>
      <w:r w:rsidR="00992B9F">
        <w:t>i</w:t>
      </w:r>
      <w:r w:rsidR="00E869A3" w:rsidRPr="00CB5672">
        <w:t>s “…a head taller than himself, above his usual everyday behavior</w:t>
      </w:r>
      <w:r w:rsidR="00E869A3">
        <w:t>”</w:t>
      </w:r>
      <w:r w:rsidR="00E869A3" w:rsidRPr="00CB5672">
        <w:t xml:space="preserve"> (</w:t>
      </w:r>
      <w:r w:rsidR="00992B9F">
        <w:t xml:space="preserve">Vygotsky, 1978, </w:t>
      </w:r>
      <w:r w:rsidR="00E869A3" w:rsidRPr="00CB5672">
        <w:t xml:space="preserve">p. 74). </w:t>
      </w:r>
      <w:r w:rsidR="00E869A3">
        <w:t>According to this view, p</w:t>
      </w:r>
      <w:r w:rsidR="00E869A3" w:rsidRPr="00CB5672">
        <w:t>lay draws a child forward to a level of activity beyond what she c</w:t>
      </w:r>
      <w:r w:rsidR="00E869A3">
        <w:t xml:space="preserve">an </w:t>
      </w:r>
      <w:r w:rsidR="00E869A3" w:rsidRPr="00CB5672">
        <w:t xml:space="preserve">accomplish </w:t>
      </w:r>
      <w:r w:rsidR="00E869A3">
        <w:t>o</w:t>
      </w:r>
      <w:r w:rsidR="00E869A3" w:rsidRPr="00CB5672">
        <w:t>n her own (</w:t>
      </w:r>
      <w:proofErr w:type="spellStart"/>
      <w:r w:rsidR="00E869A3" w:rsidRPr="00CB5672">
        <w:t>Bodrova</w:t>
      </w:r>
      <w:proofErr w:type="spellEnd"/>
      <w:r w:rsidR="00E869A3" w:rsidRPr="00CB5672">
        <w:t xml:space="preserve"> &amp; Leong, 2005; Bredekamp, 2004)</w:t>
      </w:r>
      <w:r w:rsidR="00E869A3">
        <w:t>.</w:t>
      </w:r>
      <w:r w:rsidR="00BA3A89" w:rsidRPr="00BA3A89">
        <w:t xml:space="preserve"> </w:t>
      </w:r>
    </w:p>
    <w:p w14:paraId="593C19FC" w14:textId="07BD8E14" w:rsidR="00E869A3" w:rsidRDefault="00992B9F" w:rsidP="00BA3A89">
      <w:pPr>
        <w:ind w:firstLine="720"/>
        <w:contextualSpacing/>
      </w:pPr>
      <w:r>
        <w:t xml:space="preserve">Through play, children were able to participate in activities that naturally supported their academic development, i.e., learning about quantity through cooking or patterning through songs (Vygotsky, 1967). </w:t>
      </w:r>
      <w:r w:rsidR="00BA3A89">
        <w:t xml:space="preserve">However, more recent understandings of play have separated play and instruction in children’s development. </w:t>
      </w:r>
      <w:r w:rsidR="00B07982">
        <w:t xml:space="preserve">Teacher instruction is the primary driver of learning (see Figure 1). </w:t>
      </w:r>
      <w:proofErr w:type="spellStart"/>
      <w:r w:rsidR="00BA3A89">
        <w:t>Nilssom</w:t>
      </w:r>
      <w:proofErr w:type="spellEnd"/>
      <w:r w:rsidR="00BA3A89">
        <w:t xml:space="preserve"> et al. </w:t>
      </w:r>
      <w:r w:rsidR="00BA3A89" w:rsidRPr="009A6864">
        <w:t>(2018)</w:t>
      </w:r>
      <w:r w:rsidR="00BA3A89">
        <w:t xml:space="preserve"> describe this as play-for-learning, wherein play is primarily a means to an end (i.e., learning). Children may be able to learn through play; however, it is embedded in an instructional goal, e.g., playing math games to support number sense. </w:t>
      </w:r>
    </w:p>
    <w:p w14:paraId="678ED48F" w14:textId="77777777" w:rsidR="00B07982" w:rsidRDefault="00B07982" w:rsidP="001B072F">
      <w:pPr>
        <w:pStyle w:val="Caption"/>
      </w:pPr>
    </w:p>
    <w:p w14:paraId="7F5D81AD" w14:textId="77777777" w:rsidR="00B07982" w:rsidRDefault="00B07982" w:rsidP="001B072F">
      <w:pPr>
        <w:pStyle w:val="Caption"/>
      </w:pPr>
    </w:p>
    <w:p w14:paraId="3A6C8449" w14:textId="77777777" w:rsidR="00992B9F" w:rsidRDefault="00992B9F" w:rsidP="001B072F">
      <w:pPr>
        <w:pStyle w:val="Caption"/>
      </w:pPr>
    </w:p>
    <w:p w14:paraId="71127BBB" w14:textId="77777777" w:rsidR="00992B9F" w:rsidRDefault="00992B9F" w:rsidP="001B072F">
      <w:pPr>
        <w:pStyle w:val="Caption"/>
      </w:pPr>
    </w:p>
    <w:p w14:paraId="59BBB162" w14:textId="701BAEEC" w:rsidR="001B072F" w:rsidRDefault="001B072F" w:rsidP="001B072F">
      <w:pPr>
        <w:pStyle w:val="Caption"/>
      </w:pPr>
      <w:r>
        <w:lastRenderedPageBreak/>
        <w:t xml:space="preserve">Figure </w:t>
      </w:r>
      <w:fldSimple w:instr=" SEQ Figure \r 1\* ARABIC ">
        <w:r w:rsidR="002039BE">
          <w:rPr>
            <w:noProof/>
          </w:rPr>
          <w:t>1</w:t>
        </w:r>
        <w:bookmarkEnd w:id="38"/>
      </w:fldSimple>
      <w:r>
        <w:t xml:space="preserve"> </w:t>
      </w:r>
    </w:p>
    <w:p w14:paraId="1090CFB3" w14:textId="77777777" w:rsidR="001B072F" w:rsidRPr="00CC0A67" w:rsidRDefault="001B072F" w:rsidP="001B072F">
      <w:pPr>
        <w:rPr>
          <w:i/>
          <w:iCs/>
        </w:rPr>
      </w:pPr>
      <w:r>
        <w:rPr>
          <w:i/>
          <w:iCs/>
        </w:rPr>
        <w:t xml:space="preserve">Conceptual Model of the Relationship Between Play and Learning </w:t>
      </w:r>
    </w:p>
    <w:p w14:paraId="1E7CCA5D" w14:textId="77777777" w:rsidR="001B072F" w:rsidRPr="00306734" w:rsidRDefault="001B072F" w:rsidP="001B072F">
      <w:pPr>
        <w:contextualSpacing/>
      </w:pPr>
      <w:r>
        <w:rPr>
          <w:noProof/>
        </w:rPr>
        <w:drawing>
          <wp:inline distT="0" distB="0" distL="0" distR="0" wp14:anchorId="2C5DD6CB" wp14:editId="2705E41E">
            <wp:extent cx="5915025" cy="5153025"/>
            <wp:effectExtent l="0" t="0" r="9525" b="9525"/>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sertation Theory Figure.jpg"/>
                    <pic:cNvPicPr/>
                  </pic:nvPicPr>
                  <pic:blipFill>
                    <a:blip r:embed="rId19">
                      <a:extLst>
                        <a:ext uri="{28A0092B-C50C-407E-A947-70E740481C1C}">
                          <a14:useLocalDpi xmlns:a14="http://schemas.microsoft.com/office/drawing/2010/main" val="0"/>
                        </a:ext>
                      </a:extLst>
                    </a:blip>
                    <a:stretch>
                      <a:fillRect/>
                    </a:stretch>
                  </pic:blipFill>
                  <pic:spPr>
                    <a:xfrm>
                      <a:off x="0" y="0"/>
                      <a:ext cx="5915025" cy="5153025"/>
                    </a:xfrm>
                    <a:prstGeom prst="rect">
                      <a:avLst/>
                    </a:prstGeom>
                  </pic:spPr>
                </pic:pic>
              </a:graphicData>
            </a:graphic>
          </wp:inline>
        </w:drawing>
      </w:r>
    </w:p>
    <w:p w14:paraId="2C6CBE74" w14:textId="02C84CCD" w:rsidR="00BA3A89" w:rsidRDefault="00BA3A89" w:rsidP="00BA3A89">
      <w:pPr>
        <w:contextualSpacing/>
      </w:pPr>
      <w:r>
        <w:t xml:space="preserve">In Vygotsky’s theory, learning and development were interconnected, with play as the primary mechanism for the development of both, in play-as-learning. </w:t>
      </w:r>
      <w:r w:rsidR="006302CC">
        <w:t>From this perspective, play and learning are bi-directional: play leads to learning, and learning enhances children’s play. Adults scaffold play by structuring and p</w:t>
      </w:r>
      <w:r w:rsidR="00D872CC">
        <w:t xml:space="preserve">articipating in play. Involvement in play provides opportunities for children to develop the </w:t>
      </w:r>
      <w:proofErr w:type="gramStart"/>
      <w:r w:rsidR="00D872CC">
        <w:t>culturally-mediated</w:t>
      </w:r>
      <w:proofErr w:type="gramEnd"/>
      <w:r w:rsidR="00D872CC">
        <w:t xml:space="preserve"> knowledge and skills to be a successful learner. </w:t>
      </w:r>
    </w:p>
    <w:p w14:paraId="346C1E70" w14:textId="4AC616FD" w:rsidR="001B072F" w:rsidRDefault="00E869A3" w:rsidP="00BA3A89">
      <w:pPr>
        <w:ind w:firstLine="720"/>
        <w:contextualSpacing/>
        <w:rPr>
          <w:b/>
          <w:bCs/>
        </w:rPr>
      </w:pPr>
      <w:r>
        <w:lastRenderedPageBreak/>
        <w:t xml:space="preserve">As will become evident throughout this paper, Vygotsky envisioned pretense leading to learning and the exploration of objects leading to an understanding of reality. Importantly, both exploration and pretense require adult scaffolding. This view of play stresses the teacher’s role as a mediator between pretense and reality </w:t>
      </w:r>
      <w:r w:rsidRPr="009A6864">
        <w:t>(</w:t>
      </w:r>
      <w:proofErr w:type="spellStart"/>
      <w:r w:rsidRPr="009A6864">
        <w:t>Karpov</w:t>
      </w:r>
      <w:proofErr w:type="spellEnd"/>
      <w:r w:rsidRPr="009A6864">
        <w:t>, 2014)</w:t>
      </w:r>
      <w:r>
        <w:t>. The next section describes the way that exploration leads to an understanding of reality through the development of working theories as well as the role of pretend play in the development of symbolic representation.</w:t>
      </w:r>
    </w:p>
    <w:p w14:paraId="0EC7F20B" w14:textId="3CE68872" w:rsidR="001B072F" w:rsidRDefault="001B072F" w:rsidP="001B072F">
      <w:pPr>
        <w:pStyle w:val="Heading1"/>
      </w:pPr>
      <w:bookmarkStart w:id="39" w:name="_Toc46265476"/>
      <w:r>
        <w:t>The Development of Working Theories Through Exploration</w:t>
      </w:r>
      <w:bookmarkEnd w:id="39"/>
      <w:r>
        <w:t xml:space="preserve"> </w:t>
      </w:r>
    </w:p>
    <w:p w14:paraId="279D3B62" w14:textId="34340E01" w:rsidR="001B072F" w:rsidRPr="00CB5672" w:rsidRDefault="001B072F" w:rsidP="001B072F">
      <w:pPr>
        <w:ind w:firstLine="720"/>
        <w:contextualSpacing/>
      </w:pPr>
      <w:r>
        <w:t xml:space="preserve">The development of AtL through play occurs with two different styles of play, </w:t>
      </w:r>
      <w:proofErr w:type="gramStart"/>
      <w:r>
        <w:t>exploration</w:t>
      </w:r>
      <w:proofErr w:type="gramEnd"/>
      <w:r>
        <w:t xml:space="preserve"> and dramatizing. Although these styles are discussed separately, children will shift between both styles of play</w:t>
      </w:r>
      <w:r w:rsidR="000B4B73">
        <w:t>,</w:t>
      </w:r>
      <w:r>
        <w:t xml:space="preserve"> and both are necessary </w:t>
      </w:r>
      <w:r w:rsidRPr="009A6864">
        <w:t>(Creaser, 1990)</w:t>
      </w:r>
      <w:r>
        <w:t>. Exploration or object play supports process-oriented dispositions</w:t>
      </w:r>
      <w:r w:rsidR="000B4B73">
        <w:t>,</w:t>
      </w:r>
      <w:r>
        <w:t xml:space="preserve"> including curiosity and problem-solving, which </w:t>
      </w:r>
      <w:r w:rsidR="008F7DFA">
        <w:t>lead to</w:t>
      </w:r>
      <w:r>
        <w:t xml:space="preserve"> science and math understanding </w:t>
      </w:r>
      <w:r w:rsidRPr="009A6864">
        <w:t>(Fleer, 2009)</w:t>
      </w:r>
      <w:r>
        <w:t xml:space="preserve">. Dramatists’ creation of pretend scenes encourages them to make meaning through interactions with others by developing imagination and flexibility that supports their literacy and math development </w:t>
      </w:r>
      <w:r w:rsidRPr="009A6864">
        <w:t xml:space="preserve">(Duncan &amp; </w:t>
      </w:r>
      <w:proofErr w:type="spellStart"/>
      <w:r w:rsidRPr="009A6864">
        <w:t>Tarulli</w:t>
      </w:r>
      <w:proofErr w:type="spellEnd"/>
      <w:r w:rsidRPr="009A6864">
        <w:t>, 2003; Fleer, 2018)</w:t>
      </w:r>
      <w:r>
        <w:t xml:space="preserve">. </w:t>
      </w:r>
    </w:p>
    <w:p w14:paraId="55FBD898" w14:textId="27FD1363" w:rsidR="001B072F" w:rsidRDefault="001B072F" w:rsidP="001B072F">
      <w:pPr>
        <w:ind w:firstLine="720"/>
        <w:contextualSpacing/>
      </w:pPr>
      <w:r>
        <w:t xml:space="preserve">During construction or object play, children acquire information about the tactile and physical properties of objects through tinkering, manipulating, and decomposing </w:t>
      </w:r>
      <w:r w:rsidRPr="009A6864">
        <w:t>(Miller &amp; Almon, 2009)</w:t>
      </w:r>
      <w:r>
        <w:t xml:space="preserve">. </w:t>
      </w:r>
      <w:r w:rsidR="008F7DFA">
        <w:t xml:space="preserve">Children begin with everyday utensils, natural materials, or other found objects. They </w:t>
      </w:r>
      <w:r>
        <w:t>build, manipulat</w:t>
      </w:r>
      <w:r w:rsidR="000B4B73">
        <w:t>e</w:t>
      </w:r>
      <w:r>
        <w:t>, investigat</w:t>
      </w:r>
      <w:r w:rsidR="000B4B73">
        <w:t>e</w:t>
      </w:r>
      <w:r>
        <w:t xml:space="preserve">, and </w:t>
      </w:r>
      <w:r w:rsidR="000B4B73">
        <w:t xml:space="preserve">ask </w:t>
      </w:r>
      <w:r>
        <w:t xml:space="preserve">questions </w:t>
      </w:r>
      <w:r w:rsidRPr="009A6864">
        <w:t>(Solis, Curtis, &amp; Hayes-</w:t>
      </w:r>
      <w:proofErr w:type="spellStart"/>
      <w:r w:rsidRPr="009A6864">
        <w:t>Messinger</w:t>
      </w:r>
      <w:proofErr w:type="spellEnd"/>
      <w:r w:rsidRPr="009A6864">
        <w:t>, 2017)</w:t>
      </w:r>
      <w:r>
        <w:t>. Rather than use the objects in pretense, children are genuinely interested in the objects and their properties.</w:t>
      </w:r>
    </w:p>
    <w:p w14:paraId="39B12FB0" w14:textId="32DD8113" w:rsidR="001B072F" w:rsidRDefault="001B072F" w:rsidP="001B072F">
      <w:pPr>
        <w:ind w:firstLine="720"/>
        <w:contextualSpacing/>
      </w:pPr>
      <w:r>
        <w:t xml:space="preserve">Young children’s object play helps them to develop an understanding of the world around them </w:t>
      </w:r>
      <w:r w:rsidRPr="009A6864">
        <w:t>(</w:t>
      </w:r>
      <w:proofErr w:type="spellStart"/>
      <w:r w:rsidRPr="009A6864">
        <w:t>Eshach</w:t>
      </w:r>
      <w:proofErr w:type="spellEnd"/>
      <w:r w:rsidRPr="009A6864">
        <w:t xml:space="preserve"> &amp; Fried, 2005)</w:t>
      </w:r>
      <w:r>
        <w:t xml:space="preserve">. When children explore with objects, they are not interested in making something happen but rather trying out </w:t>
      </w:r>
      <w:r w:rsidRPr="00D81D06">
        <w:rPr>
          <w:i/>
          <w:iCs/>
        </w:rPr>
        <w:t>whether</w:t>
      </w:r>
      <w:r>
        <w:rPr>
          <w:i/>
          <w:iCs/>
        </w:rPr>
        <w:t xml:space="preserve"> </w:t>
      </w:r>
      <w:r>
        <w:t xml:space="preserve">things can happen </w:t>
      </w:r>
      <w:r w:rsidRPr="009A6864">
        <w:t>(Foreman, 2006)</w:t>
      </w:r>
      <w:r w:rsidR="000B4B73">
        <w:t>.</w:t>
      </w:r>
      <w:r>
        <w:t xml:space="preserve"> </w:t>
      </w:r>
      <w:r>
        <w:lastRenderedPageBreak/>
        <w:t>P</w:t>
      </w:r>
      <w:r w:rsidRPr="00EE66A6">
        <w:t>laying with objects allows children to observe phenomena that call for explanations, which they try to formulate (either implicitly or explicitly) by testing object properties and structure</w:t>
      </w:r>
      <w:r>
        <w:t xml:space="preserve"> </w:t>
      </w:r>
      <w:r w:rsidRPr="009A6864">
        <w:t>(Wolfe, Cummins, Myers, &amp; Cedillos, 2006)</w:t>
      </w:r>
      <w:r>
        <w:t xml:space="preserve">. It also helps children to test hypotheses and understand causal relationships </w:t>
      </w:r>
      <w:r w:rsidRPr="009A6864">
        <w:t>(Bjorklund &amp; Gardiner, 2011)</w:t>
      </w:r>
      <w:r>
        <w:t xml:space="preserve">. </w:t>
      </w:r>
    </w:p>
    <w:p w14:paraId="30BB4F09" w14:textId="77777777" w:rsidR="008F7DFA" w:rsidRDefault="001B072F" w:rsidP="001B072F">
      <w:pPr>
        <w:ind w:firstLine="720"/>
        <w:contextualSpacing/>
      </w:pPr>
      <w:r>
        <w:t xml:space="preserve">However, object play also supports children as they make sense of more than just the physical properties of individual objects (Solis et al., 2017). Play with blocks helps children understand both how objects fit together in physical space and how to represent and manipulate objects mentally. As children play more with objects, they understand how objects may be similar and different, and they are able to link objects together by categories. They also create mental representations of objects that will provide the conceptual foundation of language development </w:t>
      </w:r>
      <w:r w:rsidRPr="009A6864">
        <w:t>(French, 2004)</w:t>
      </w:r>
      <w:r>
        <w:t xml:space="preserve">. For example, after exploring with buttons, beads, </w:t>
      </w:r>
      <w:proofErr w:type="spellStart"/>
      <w:r>
        <w:t>unifix</w:t>
      </w:r>
      <w:proofErr w:type="spellEnd"/>
      <w:r>
        <w:t xml:space="preserve"> cubes, and blocks, children understand that five buttons, five blocks, and five cubes are all the same quantity </w:t>
      </w:r>
      <w:r w:rsidRPr="009A6864">
        <w:t>(Carlsson-Paige, 2008)</w:t>
      </w:r>
      <w:r>
        <w:t xml:space="preserve">. </w:t>
      </w:r>
    </w:p>
    <w:p w14:paraId="75A337A1" w14:textId="06E91912" w:rsidR="001B072F" w:rsidRPr="00CC79B5" w:rsidRDefault="001B072F" w:rsidP="008F7DFA">
      <w:pPr>
        <w:ind w:firstLine="720"/>
        <w:contextualSpacing/>
      </w:pPr>
      <w:r>
        <w:t xml:space="preserve">The hypotheses and conceptual knowledge around everyday objects that children develop through object exploration is what Vygotsky </w:t>
      </w:r>
      <w:r w:rsidRPr="009A6864">
        <w:t>(1987)</w:t>
      </w:r>
      <w:r>
        <w:t xml:space="preserve"> termed </w:t>
      </w:r>
      <w:r w:rsidRPr="0024337E">
        <w:rPr>
          <w:i/>
          <w:iCs/>
        </w:rPr>
        <w:t>everyday knowledge</w:t>
      </w:r>
      <w:r>
        <w:rPr>
          <w:i/>
          <w:iCs/>
        </w:rPr>
        <w:t xml:space="preserve"> </w:t>
      </w:r>
      <w:r>
        <w:t xml:space="preserve">(also called informal or spontaneous knowledge). </w:t>
      </w:r>
      <w:r w:rsidR="008F7DFA">
        <w:t xml:space="preserve">It </w:t>
      </w:r>
      <w:r w:rsidRPr="00AC2584">
        <w:t xml:space="preserve">is created </w:t>
      </w:r>
      <w:r>
        <w:t xml:space="preserve">without explicit instruction </w:t>
      </w:r>
      <w:r w:rsidRPr="00AC2584">
        <w:t xml:space="preserve">through </w:t>
      </w:r>
      <w:r>
        <w:t xml:space="preserve">interactions with adults </w:t>
      </w:r>
      <w:r w:rsidRPr="009A6864">
        <w:t xml:space="preserve">(Worthington &amp; van </w:t>
      </w:r>
      <w:proofErr w:type="spellStart"/>
      <w:r w:rsidRPr="009A6864">
        <w:t>Oers</w:t>
      </w:r>
      <w:proofErr w:type="spellEnd"/>
      <w:r w:rsidRPr="009A6864">
        <w:t>, 2016)</w:t>
      </w:r>
      <w:r>
        <w:t xml:space="preserve">. In the home, it can include routines, cultural practices, and concepts about objects found around the home </w:t>
      </w:r>
      <w:r w:rsidRPr="009A6864">
        <w:t xml:space="preserve">(Fox &amp; </w:t>
      </w:r>
      <w:proofErr w:type="spellStart"/>
      <w:r w:rsidRPr="009A6864">
        <w:t>Riconscente</w:t>
      </w:r>
      <w:proofErr w:type="spellEnd"/>
      <w:r w:rsidRPr="009A6864">
        <w:t xml:space="preserve">, 2008; van </w:t>
      </w:r>
      <w:proofErr w:type="spellStart"/>
      <w:r w:rsidRPr="009A6864">
        <w:t>Oers</w:t>
      </w:r>
      <w:proofErr w:type="spellEnd"/>
      <w:r w:rsidRPr="009A6864">
        <w:t>, 2010)</w:t>
      </w:r>
      <w:r>
        <w:t>.</w:t>
      </w:r>
      <w:r w:rsidRPr="0024337E">
        <w:t xml:space="preserve"> </w:t>
      </w:r>
      <w:r w:rsidRPr="00AC2584">
        <w:t xml:space="preserve">Young children </w:t>
      </w:r>
      <w:r>
        <w:t xml:space="preserve">develop informal knowledge when adults react and interpret these </w:t>
      </w:r>
      <w:r w:rsidRPr="00AC2584">
        <w:t xml:space="preserve">actions </w:t>
      </w:r>
      <w:r>
        <w:t>as meaningful</w:t>
      </w:r>
      <w:r w:rsidRPr="00AC2584">
        <w:t xml:space="preserve"> (Vygotsky, 2004).</w:t>
      </w:r>
      <w:r w:rsidRPr="00CC79B5">
        <w:t xml:space="preserve"> </w:t>
      </w:r>
      <w:r>
        <w:t xml:space="preserve">These </w:t>
      </w:r>
      <w:r w:rsidRPr="00AC2584">
        <w:t>interactions with adults or peers</w:t>
      </w:r>
      <w:r>
        <w:t xml:space="preserve"> help </w:t>
      </w:r>
      <w:r w:rsidRPr="00AC2584">
        <w:t>to connect objects, concepts, and language</w:t>
      </w:r>
      <w:r>
        <w:t xml:space="preserve"> </w:t>
      </w:r>
      <w:r w:rsidRPr="009A6864">
        <w:t xml:space="preserve">(Rudd, Lambert, Satterwhite, &amp; </w:t>
      </w:r>
      <w:proofErr w:type="spellStart"/>
      <w:r w:rsidRPr="009A6864">
        <w:t>Zaier</w:t>
      </w:r>
      <w:proofErr w:type="spellEnd"/>
      <w:r w:rsidRPr="009A6864">
        <w:t>, 2008)</w:t>
      </w:r>
      <w:r w:rsidRPr="00AC2584">
        <w:t>.</w:t>
      </w:r>
      <w:r>
        <w:t xml:space="preserve"> For instance, </w:t>
      </w:r>
      <w:r w:rsidRPr="00AC2584">
        <w:t>a mother and her infant daughter are eating together</w:t>
      </w:r>
      <w:r>
        <w:t>,</w:t>
      </w:r>
      <w:r w:rsidRPr="00AC2584">
        <w:t xml:space="preserve"> and the daughter points to her plate. The mo</w:t>
      </w:r>
      <w:r>
        <w:t>ther</w:t>
      </w:r>
      <w:r w:rsidRPr="00AC2584">
        <w:t xml:space="preserve"> responds, “</w:t>
      </w:r>
      <w:r>
        <w:t>o</w:t>
      </w:r>
      <w:r w:rsidRPr="00AC2584">
        <w:t>h, you want more?” and brings the child more food. This</w:t>
      </w:r>
      <w:r>
        <w:t xml:space="preserve"> adult </w:t>
      </w:r>
      <w:r>
        <w:lastRenderedPageBreak/>
        <w:t xml:space="preserve">mediated interaction </w:t>
      </w:r>
      <w:r w:rsidRPr="00AC2584">
        <w:t xml:space="preserve">helps the child develop the concept of quantity. </w:t>
      </w:r>
      <w:r>
        <w:t>The daughter’s informal knowledge of more is r</w:t>
      </w:r>
      <w:r w:rsidRPr="00AC2584">
        <w:t xml:space="preserve">efined a few years later when the mom and daughter are playing with marbles. The child may say, “I want more marbles.” </w:t>
      </w:r>
      <w:r>
        <w:t>T</w:t>
      </w:r>
      <w:r w:rsidRPr="00AC2584">
        <w:t>he mo</w:t>
      </w:r>
      <w:r>
        <w:t>ther</w:t>
      </w:r>
      <w:r w:rsidRPr="00AC2584">
        <w:t xml:space="preserve"> respond</w:t>
      </w:r>
      <w:r>
        <w:t>s</w:t>
      </w:r>
      <w:r w:rsidRPr="00AC2584">
        <w:t>, “</w:t>
      </w:r>
      <w:r>
        <w:t>h</w:t>
      </w:r>
      <w:r w:rsidRPr="00AC2584">
        <w:t>ow many more?” or “</w:t>
      </w:r>
      <w:r>
        <w:t>h</w:t>
      </w:r>
      <w:r w:rsidRPr="00AC2584">
        <w:t xml:space="preserve">ere are </w:t>
      </w:r>
      <w:r>
        <w:t>five</w:t>
      </w:r>
      <w:r w:rsidRPr="00AC2584">
        <w:t xml:space="preserve"> more</w:t>
      </w:r>
      <w:r>
        <w:t>,</w:t>
      </w:r>
      <w:r w:rsidRPr="00AC2584">
        <w:t>” extend</w:t>
      </w:r>
      <w:r>
        <w:t>ing</w:t>
      </w:r>
      <w:r w:rsidRPr="00AC2584">
        <w:t xml:space="preserve"> the concept of more to a specific numeric quantity</w:t>
      </w:r>
      <w:r>
        <w:t xml:space="preserve">. </w:t>
      </w:r>
    </w:p>
    <w:p w14:paraId="119A0E22" w14:textId="3CAE7971" w:rsidR="001B072F" w:rsidRDefault="001B072F" w:rsidP="001B072F">
      <w:pPr>
        <w:ind w:firstLine="720"/>
        <w:contextualSpacing/>
        <w:rPr>
          <w:sz w:val="22"/>
        </w:rPr>
      </w:pPr>
      <w:bookmarkStart w:id="40" w:name="_Hlk41843526"/>
      <w:r>
        <w:t xml:space="preserve">In the classroom, children’s object exploration creates working theories that can be used to develop more formal, scientific knowledge </w:t>
      </w:r>
      <w:r w:rsidRPr="009A6864">
        <w:t>(Fleer, 2009; Hedges &amp; Cullen, 2012)</w:t>
      </w:r>
      <w:r>
        <w:t xml:space="preserve">. Children’s experiences help them shift from concrete experiences </w:t>
      </w:r>
      <w:r w:rsidR="008F7DFA">
        <w:t xml:space="preserve">to abstract concepts </w:t>
      </w:r>
      <w:r>
        <w:t xml:space="preserve">and vice versa </w:t>
      </w:r>
      <w:r w:rsidRPr="009A6864">
        <w:t>(</w:t>
      </w:r>
      <w:proofErr w:type="spellStart"/>
      <w:r w:rsidRPr="009A6864">
        <w:t>Anastasiou</w:t>
      </w:r>
      <w:proofErr w:type="spellEnd"/>
      <w:r w:rsidRPr="009A6864">
        <w:t xml:space="preserve">, </w:t>
      </w:r>
      <w:proofErr w:type="spellStart"/>
      <w:r w:rsidRPr="009A6864">
        <w:t>Kostaras</w:t>
      </w:r>
      <w:proofErr w:type="spellEnd"/>
      <w:r w:rsidRPr="009A6864">
        <w:t xml:space="preserve">, Kyritsis, &amp; </w:t>
      </w:r>
      <w:proofErr w:type="spellStart"/>
      <w:r w:rsidRPr="009A6864">
        <w:t>Kostaras</w:t>
      </w:r>
      <w:proofErr w:type="spellEnd"/>
      <w:r w:rsidRPr="009A6864">
        <w:t>, 2015)</w:t>
      </w:r>
      <w:r>
        <w:t xml:space="preserve">. Scientific concepts can be taught, provided children have had time to develop working theories </w:t>
      </w:r>
      <w:r w:rsidRPr="009A6864">
        <w:t>(Fleer, 2011a)</w:t>
      </w:r>
      <w:r>
        <w:t xml:space="preserve">. As an illustration, children can engage in water play to develop an understanding of concepts such as liquids and measurement </w:t>
      </w:r>
      <w:r w:rsidRPr="009A6864">
        <w:t xml:space="preserve">(Hamlin &amp; </w:t>
      </w:r>
      <w:proofErr w:type="spellStart"/>
      <w:r w:rsidRPr="009A6864">
        <w:t>Wisneski</w:t>
      </w:r>
      <w:proofErr w:type="spellEnd"/>
      <w:r w:rsidRPr="009A6864">
        <w:t>, 2012)</w:t>
      </w:r>
      <w:r>
        <w:t>. This understanding provides an essential context for children to develop the scientific notion of volume (</w:t>
      </w:r>
      <w:proofErr w:type="spellStart"/>
      <w:r>
        <w:t>Bodrova</w:t>
      </w:r>
      <w:proofErr w:type="spellEnd"/>
      <w:r>
        <w:t xml:space="preserve"> &amp; Leong, 2007). Once children understand volume, they can refine their understanding of liquid by testing how to measure the volume of different liquids. </w:t>
      </w:r>
    </w:p>
    <w:p w14:paraId="5E1CDE87" w14:textId="77777777" w:rsidR="001B072F" w:rsidRDefault="001B072F" w:rsidP="001B072F">
      <w:pPr>
        <w:tabs>
          <w:tab w:val="left" w:pos="630"/>
        </w:tabs>
        <w:contextualSpacing/>
      </w:pPr>
      <w:r>
        <w:tab/>
        <w:t xml:space="preserve">Exploration with objects helps children acquire an understanding of the way the world works, including both the properties of objects but also how objects can be linked to concepts </w:t>
      </w:r>
      <w:r w:rsidRPr="009A6864">
        <w:t>(Vygotsky, 1978a)</w:t>
      </w:r>
      <w:r>
        <w:t xml:space="preserve">. Adult scaffolding extends children’s object play by linking children’s explorations to more scientific understandings </w:t>
      </w:r>
      <w:r>
        <w:rPr>
          <w:color w:val="000000"/>
        </w:rPr>
        <w:t xml:space="preserve">(Hamlin &amp; </w:t>
      </w:r>
      <w:proofErr w:type="spellStart"/>
      <w:r>
        <w:rPr>
          <w:color w:val="000000"/>
        </w:rPr>
        <w:t>Wiskneski</w:t>
      </w:r>
      <w:proofErr w:type="spellEnd"/>
      <w:r w:rsidRPr="008F7DFA">
        <w:rPr>
          <w:color w:val="auto"/>
        </w:rPr>
        <w:t>, 2012</w:t>
      </w:r>
      <w:r>
        <w:rPr>
          <w:color w:val="000000"/>
        </w:rPr>
        <w:t>)</w:t>
      </w:r>
      <w:r>
        <w:t xml:space="preserve">. Through experiences and discussions, adults can further connect children’s hypotheses to formal concepts. </w:t>
      </w:r>
    </w:p>
    <w:p w14:paraId="1491D961" w14:textId="77777777" w:rsidR="001B072F" w:rsidRPr="00B377E4" w:rsidRDefault="001B072F" w:rsidP="001B072F">
      <w:pPr>
        <w:pStyle w:val="Heading1"/>
      </w:pPr>
      <w:bookmarkStart w:id="41" w:name="_Toc46265477"/>
      <w:bookmarkEnd w:id="40"/>
      <w:r>
        <w:t>The Development of Symbolic Representation Through Dramatizing</w:t>
      </w:r>
      <w:bookmarkEnd w:id="41"/>
      <w:r>
        <w:t xml:space="preserve"> </w:t>
      </w:r>
    </w:p>
    <w:p w14:paraId="3A4D2D23" w14:textId="77777777" w:rsidR="001B072F" w:rsidRDefault="001B072F" w:rsidP="001B072F">
      <w:pPr>
        <w:tabs>
          <w:tab w:val="left" w:pos="4320"/>
        </w:tabs>
        <w:ind w:firstLine="720"/>
        <w:contextualSpacing/>
      </w:pPr>
      <w:r>
        <w:t xml:space="preserve">To propel development forward, dramatists engage in pretend play with specific characteristics: </w:t>
      </w:r>
      <w:r w:rsidRPr="00CB5672">
        <w:t xml:space="preserve">an imaginary situation, the enactment of roles, and a predetermined set of rules </w:t>
      </w:r>
      <w:r w:rsidRPr="00CB5672">
        <w:lastRenderedPageBreak/>
        <w:t>related to the roles</w:t>
      </w:r>
      <w:r>
        <w:t xml:space="preserve"> and situations </w:t>
      </w:r>
      <w:r w:rsidRPr="009A6864">
        <w:t>(Elkonin, 2005)</w:t>
      </w:r>
      <w:r w:rsidRPr="00CB5672">
        <w:t xml:space="preserve">. </w:t>
      </w:r>
      <w:r>
        <w:t xml:space="preserve">Children’s first attempt at pretend play typically involves the symbolic representation of objects closely matching the object they </w:t>
      </w:r>
    </w:p>
    <w:p w14:paraId="3DC97BD2" w14:textId="77777777" w:rsidR="001B072F" w:rsidRDefault="001B072F" w:rsidP="001B072F">
      <w:pPr>
        <w:tabs>
          <w:tab w:val="left" w:pos="4320"/>
        </w:tabs>
        <w:contextualSpacing/>
      </w:pPr>
      <w:r>
        <w:t xml:space="preserve">represent, for example, pretending to drink from a toy cup </w:t>
      </w:r>
      <w:r w:rsidRPr="009A6864">
        <w:t xml:space="preserve">(Duncan &amp; </w:t>
      </w:r>
      <w:proofErr w:type="spellStart"/>
      <w:r w:rsidRPr="009A6864">
        <w:t>Tarulli</w:t>
      </w:r>
      <w:proofErr w:type="spellEnd"/>
      <w:r w:rsidRPr="009A6864">
        <w:t>, 2003)</w:t>
      </w:r>
      <w:r>
        <w:t xml:space="preserve">. With practice, these objects can become more abstract until they </w:t>
      </w:r>
      <w:r w:rsidRPr="00CB5672">
        <w:t xml:space="preserve">bear little </w:t>
      </w:r>
      <w:r>
        <w:t xml:space="preserve">physical </w:t>
      </w:r>
      <w:r w:rsidRPr="00CB5672">
        <w:t>resemblance to the objects they symbolize (</w:t>
      </w:r>
      <w:proofErr w:type="spellStart"/>
      <w:r w:rsidRPr="00CB5672">
        <w:t>Bodrova</w:t>
      </w:r>
      <w:proofErr w:type="spellEnd"/>
      <w:r w:rsidRPr="00CB5672">
        <w:t>, 2008).</w:t>
      </w:r>
      <w:r>
        <w:t xml:space="preserve"> </w:t>
      </w:r>
      <w:r w:rsidRPr="00CB5672">
        <w:t xml:space="preserve">Children also use gestures to represent actions associated with objects. </w:t>
      </w:r>
      <w:r>
        <w:t xml:space="preserve">In this case, a flick of the wrist can indicate writing on a piece of paper. </w:t>
      </w:r>
    </w:p>
    <w:p w14:paraId="759FF48A" w14:textId="35538CDF" w:rsidR="001B072F" w:rsidRPr="00CB5672" w:rsidRDefault="001B072F" w:rsidP="001B072F">
      <w:pPr>
        <w:ind w:firstLine="720"/>
        <w:contextualSpacing/>
      </w:pPr>
      <w:r w:rsidRPr="00CB5672">
        <w:t xml:space="preserve">During make-believe play, </w:t>
      </w:r>
      <w:r>
        <w:t xml:space="preserve">a </w:t>
      </w:r>
      <w:r w:rsidRPr="00CB5672">
        <w:t>child act</w:t>
      </w:r>
      <w:r>
        <w:t>s</w:t>
      </w:r>
      <w:r w:rsidRPr="00CB5672">
        <w:t xml:space="preserve"> out a role </w:t>
      </w:r>
      <w:r>
        <w:t>by synthesizing</w:t>
      </w:r>
      <w:r w:rsidRPr="00CB5672">
        <w:t xml:space="preserve"> what the child believes to be the behavior of adults</w:t>
      </w:r>
      <w:r>
        <w:t xml:space="preserve"> in that role</w:t>
      </w:r>
      <w:r w:rsidRPr="00CB5672">
        <w:t xml:space="preserve">. Children </w:t>
      </w:r>
      <w:r>
        <w:t xml:space="preserve">replicate the </w:t>
      </w:r>
      <w:r w:rsidRPr="00CB5672">
        <w:t xml:space="preserve">language, actions, thinking, and emotions of the </w:t>
      </w:r>
      <w:r>
        <w:t xml:space="preserve">doctors, mommies, or chefs </w:t>
      </w:r>
      <w:r w:rsidRPr="00CB5672">
        <w:t xml:space="preserve">they are representing (Vygotsky, 2004). </w:t>
      </w:r>
      <w:r w:rsidR="0018333B">
        <w:t xml:space="preserve">They </w:t>
      </w:r>
      <w:r>
        <w:t>recombine and re-invent roles b</w:t>
      </w:r>
      <w:r w:rsidRPr="00CB5672">
        <w:t>ased on input from others and the</w:t>
      </w:r>
      <w:r>
        <w:t>mselves</w:t>
      </w:r>
      <w:r w:rsidRPr="00CB5672">
        <w:t xml:space="preserve">, integrating both realistic thinking and </w:t>
      </w:r>
      <w:r>
        <w:t xml:space="preserve">fantasy </w:t>
      </w:r>
      <w:r w:rsidRPr="009A6864">
        <w:t>(Fleer, 2018)</w:t>
      </w:r>
      <w:r>
        <w:t xml:space="preserve">. </w:t>
      </w:r>
      <w:r w:rsidRPr="00CB5672">
        <w:t xml:space="preserve">As Vygotsky (2004) described it, “a child’s play is …a </w:t>
      </w:r>
      <w:r w:rsidRPr="009656E7">
        <w:rPr>
          <w:i/>
          <w:iCs/>
        </w:rPr>
        <w:t>creative</w:t>
      </w:r>
      <w:r w:rsidRPr="00CB5672">
        <w:t xml:space="preserve"> reworking of the impressions he has acquired. He combines them and uses them to construct a new reality (p. 11-12; emphasis </w:t>
      </w:r>
      <w:r>
        <w:t xml:space="preserve">in original). Rather than an exact replication, these roles are a </w:t>
      </w:r>
      <w:r w:rsidRPr="00CB5672">
        <w:t>general model of the</w:t>
      </w:r>
      <w:r>
        <w:t xml:space="preserve"> child’s v</w:t>
      </w:r>
      <w:r w:rsidRPr="00CB5672">
        <w:t>ersion of mommy</w:t>
      </w:r>
      <w:r>
        <w:t>-</w:t>
      </w:r>
      <w:r w:rsidRPr="00CB5672">
        <w:t>ness or doctor-ness</w:t>
      </w:r>
      <w:r>
        <w:t>,</w:t>
      </w:r>
      <w:r w:rsidRPr="00CB5672">
        <w:t xml:space="preserve"> comprised of the creative reworking of the impressions he</w:t>
      </w:r>
      <w:r>
        <w:t xml:space="preserve"> or she</w:t>
      </w:r>
      <w:r w:rsidRPr="00CB5672">
        <w:t xml:space="preserve"> has acquired </w:t>
      </w:r>
      <w:r w:rsidRPr="009A6864">
        <w:t>(Nilsson et al., 2018)</w:t>
      </w:r>
      <w:r w:rsidRPr="00CB5672">
        <w:t xml:space="preserve">. </w:t>
      </w:r>
    </w:p>
    <w:p w14:paraId="14753664" w14:textId="77777777" w:rsidR="001B072F" w:rsidRDefault="001B072F" w:rsidP="001B072F">
      <w:pPr>
        <w:ind w:firstLine="720"/>
        <w:contextualSpacing/>
      </w:pPr>
      <w:r w:rsidRPr="00CB5672">
        <w:t xml:space="preserve">Finally, rules are the sets of behaviors allowed by the role </w:t>
      </w:r>
      <w:r>
        <w:t>in</w:t>
      </w:r>
      <w:r w:rsidRPr="00CB5672">
        <w:t xml:space="preserve"> the scenario. </w:t>
      </w:r>
      <w:r>
        <w:t xml:space="preserve">For example, a doctor must check the patient, </w:t>
      </w:r>
      <w:r w:rsidRPr="00CB5672">
        <w:t xml:space="preserve">attempt to diagnose </w:t>
      </w:r>
      <w:r>
        <w:t xml:space="preserve">the </w:t>
      </w:r>
      <w:r w:rsidRPr="00CB5672">
        <w:t xml:space="preserve">illnesses, and then prescribe medication or treat the patient. </w:t>
      </w:r>
      <w:r>
        <w:t xml:space="preserve">These rules are hidden or unexpressed in the beginning. Children expect specific vocabulary and actions to be present during doctor play and might protest if the doctor suddenly began making pizza or using gardening tools. </w:t>
      </w:r>
      <w:r w:rsidRPr="00CB5672">
        <w:t>Later, as children’s language develops, they</w:t>
      </w:r>
      <w:r>
        <w:t xml:space="preserve"> </w:t>
      </w:r>
      <w:r w:rsidRPr="00CB5672">
        <w:t>discuss and negotiate the rules (</w:t>
      </w:r>
      <w:proofErr w:type="spellStart"/>
      <w:r w:rsidRPr="00CB5672">
        <w:t>Bodrova</w:t>
      </w:r>
      <w:proofErr w:type="spellEnd"/>
      <w:r w:rsidRPr="00CB5672">
        <w:t xml:space="preserve"> &amp; Leong, 2007). </w:t>
      </w:r>
    </w:p>
    <w:p w14:paraId="6FB44F4D" w14:textId="4ED2622D" w:rsidR="001B072F" w:rsidRDefault="001B072F" w:rsidP="001B072F">
      <w:pPr>
        <w:ind w:firstLine="720"/>
        <w:contextualSpacing/>
      </w:pPr>
      <w:r>
        <w:t xml:space="preserve">One of the developments </w:t>
      </w:r>
      <w:r w:rsidR="0018333B">
        <w:t xml:space="preserve">emerging from </w:t>
      </w:r>
      <w:r>
        <w:t xml:space="preserve">complex pretend play is </w:t>
      </w:r>
      <w:r w:rsidR="0018333B">
        <w:t>sym</w:t>
      </w:r>
      <w:r>
        <w:t xml:space="preserve">bolic representation </w:t>
      </w:r>
      <w:r w:rsidRPr="009A6864">
        <w:t>(Vygotsky, 1967)</w:t>
      </w:r>
      <w:r>
        <w:t xml:space="preserve">. </w:t>
      </w:r>
      <w:r w:rsidR="0018333B">
        <w:t xml:space="preserve">Through </w:t>
      </w:r>
      <w:r w:rsidRPr="00432010">
        <w:t>pretend play, children explore the relationship between a s</w:t>
      </w:r>
      <w:r w:rsidR="0018333B">
        <w:t>ign (e.g.</w:t>
      </w:r>
      <w:r w:rsidR="000B4B73">
        <w:t>,</w:t>
      </w:r>
      <w:r w:rsidR="0018333B">
        <w:t xml:space="preserve"> </w:t>
      </w:r>
      <w:r w:rsidR="0018333B">
        <w:lastRenderedPageBreak/>
        <w:t>symbol, scribble, object)</w:t>
      </w:r>
      <w:r w:rsidRPr="00432010">
        <w:t xml:space="preserve"> and its meaning (van </w:t>
      </w:r>
      <w:proofErr w:type="spellStart"/>
      <w:r w:rsidRPr="00432010">
        <w:t>Oers</w:t>
      </w:r>
      <w:proofErr w:type="spellEnd"/>
      <w:r w:rsidRPr="00432010">
        <w:t xml:space="preserve">, 1994). Vygotsky used the word </w:t>
      </w:r>
      <w:r w:rsidRPr="001D02DA">
        <w:rPr>
          <w:iCs/>
        </w:rPr>
        <w:t>pivots</w:t>
      </w:r>
      <w:r w:rsidRPr="00432010">
        <w:t xml:space="preserve"> to describe how children used objects as alternate possibilities (Hao &amp; Fleer, 2016). As physical objects, pivots act as a placeholder of an imaginary object in a child’s play. Children begin to try out the new meaning of the object, </w:t>
      </w:r>
      <w:r w:rsidR="000B4B73">
        <w:t>emphasizing</w:t>
      </w:r>
      <w:r w:rsidRPr="00432010">
        <w:t xml:space="preserve"> the abstract meaning behind the object rather than the object itself</w:t>
      </w:r>
      <w:r>
        <w:t xml:space="preserve"> </w:t>
      </w:r>
      <w:r w:rsidRPr="009A6864">
        <w:t>(Nilsson et al., 2018)</w:t>
      </w:r>
      <w:r>
        <w:t xml:space="preserve">. </w:t>
      </w:r>
      <w:r w:rsidRPr="00432010">
        <w:t xml:space="preserve">Language and </w:t>
      </w:r>
      <w:r w:rsidR="00362289">
        <w:t>the s</w:t>
      </w:r>
      <w:r w:rsidRPr="00432010">
        <w:t xml:space="preserve">hared cultural context help children co-create meanings through objects. For example, children use blocks to represent food items at a restaurant because they understand the roles of </w:t>
      </w:r>
      <w:r w:rsidR="000B4B73">
        <w:t xml:space="preserve">the </w:t>
      </w:r>
      <w:r w:rsidRPr="00432010">
        <w:t>server, cook</w:t>
      </w:r>
      <w:r w:rsidR="000B4B73">
        <w:t>,</w:t>
      </w:r>
      <w:r w:rsidRPr="00432010">
        <w:t xml:space="preserve"> and patron</w:t>
      </w:r>
      <w:r>
        <w:t xml:space="preserve"> </w:t>
      </w:r>
      <w:r w:rsidRPr="009A6864">
        <w:t>(Fleer, 2011b)</w:t>
      </w:r>
      <w:r>
        <w:t xml:space="preserve">. </w:t>
      </w:r>
    </w:p>
    <w:p w14:paraId="735326EB" w14:textId="2DB2A874" w:rsidR="001B072F" w:rsidRPr="00AA78EC" w:rsidRDefault="001B072F" w:rsidP="001B072F">
      <w:pPr>
        <w:ind w:firstLine="720"/>
        <w:contextualSpacing/>
      </w:pPr>
      <w:r w:rsidRPr="00432010">
        <w:t>As children co-construct symbolic meaning, the basis of language as a symbolic tool is crysta</w:t>
      </w:r>
      <w:r w:rsidR="000B4B73">
        <w:t>l</w:t>
      </w:r>
      <w:r w:rsidRPr="00432010">
        <w:t xml:space="preserve">lized. </w:t>
      </w:r>
      <w:r>
        <w:t xml:space="preserve">Symbolic representation helps children as they organize their experiences and expand their understanding of the world </w:t>
      </w:r>
      <w:r w:rsidRPr="009A6864">
        <w:t>(</w:t>
      </w:r>
      <w:proofErr w:type="spellStart"/>
      <w:r w:rsidRPr="009A6864">
        <w:t>Emfinger</w:t>
      </w:r>
      <w:proofErr w:type="spellEnd"/>
      <w:r w:rsidRPr="009A6864">
        <w:t>, 2009)</w:t>
      </w:r>
      <w:r>
        <w:t>.</w:t>
      </w:r>
      <w:r w:rsidRPr="007E3CCB">
        <w:t xml:space="preserve"> </w:t>
      </w:r>
      <w:r>
        <w:t>Children may use gestures, drawings, words, or scribbles to represent ideas. For example, once children have constructed an idea about “three</w:t>
      </w:r>
      <w:r w:rsidR="000B4B73">
        <w:t>,”</w:t>
      </w:r>
      <w:r>
        <w:t xml:space="preserve"> they invent symbols to represent this knowledge, often through marks on a paper that bear little resemblance to the numerals they represent </w:t>
      </w:r>
      <w:r w:rsidRPr="009A6864">
        <w:t xml:space="preserve">(van </w:t>
      </w:r>
      <w:proofErr w:type="spellStart"/>
      <w:r w:rsidRPr="009A6864">
        <w:t>Oers</w:t>
      </w:r>
      <w:proofErr w:type="spellEnd"/>
      <w:r w:rsidRPr="009A6864">
        <w:t>, 1994)</w:t>
      </w:r>
      <w:r>
        <w:t xml:space="preserve">. Over time and with input from others, children’s representations become more conventional. In addition, they develop the ability to imbue more conventional meanings on objects </w:t>
      </w:r>
      <w:r w:rsidRPr="009A6864">
        <w:t xml:space="preserve">(Worthington &amp; van </w:t>
      </w:r>
      <w:proofErr w:type="spellStart"/>
      <w:r w:rsidRPr="009A6864">
        <w:t>Oers</w:t>
      </w:r>
      <w:proofErr w:type="spellEnd"/>
      <w:r w:rsidRPr="009A6864">
        <w:t>, 2016)</w:t>
      </w:r>
      <w:r>
        <w:t xml:space="preserve">. Having explored how blocks can serve as walkie-talkies helps children as they make the leap that a centimeter block can represent a unit of measurement or a place value block can represent a quantity. </w:t>
      </w:r>
    </w:p>
    <w:p w14:paraId="6C41B47E" w14:textId="19D702C1" w:rsidR="001B072F" w:rsidRPr="007E3CCB" w:rsidRDefault="001B072F" w:rsidP="001B072F">
      <w:pPr>
        <w:ind w:firstLine="720"/>
        <w:contextualSpacing/>
      </w:pPr>
      <w:r>
        <w:t xml:space="preserve">Symbolic language, developed through pretend play, will be vital as children acquire literacy and math concepts, as summarized in Table 2. Pretend play encourages children to develop more sophisticated, abstract understandings </w:t>
      </w:r>
      <w:r w:rsidRPr="009A6864">
        <w:t>(Ginsburg, Lee, &amp; Boyd, 2008)</w:t>
      </w:r>
      <w:r>
        <w:t xml:space="preserve">. Adult scaffolding plays a critical role in supporting children’s development from pretense to learning </w:t>
      </w:r>
      <w:r w:rsidRPr="009A6864">
        <w:lastRenderedPageBreak/>
        <w:t>(Devi, Fleer, &amp; Li, 2018)</w:t>
      </w:r>
      <w:r>
        <w:t xml:space="preserve">. Adults can take an active role by </w:t>
      </w:r>
      <w:r w:rsidR="00C16B51">
        <w:t>entering</w:t>
      </w:r>
      <w:r>
        <w:t xml:space="preserve"> children</w:t>
      </w:r>
      <w:r w:rsidR="000B4B73">
        <w:t>'s</w:t>
      </w:r>
      <w:r>
        <w:t xml:space="preserve"> play as </w:t>
      </w:r>
      <w:r w:rsidR="00C16B51">
        <w:t xml:space="preserve">a </w:t>
      </w:r>
      <w:r>
        <w:t>model</w:t>
      </w:r>
      <w:r w:rsidR="00C16B51">
        <w:t xml:space="preserve"> for the </w:t>
      </w:r>
      <w:proofErr w:type="gramStart"/>
      <w:r w:rsidR="00C16B51">
        <w:t>roles</w:t>
      </w:r>
      <w:proofErr w:type="gramEnd"/>
      <w:r w:rsidR="00C16B51">
        <w:t xml:space="preserve"> children will enact </w:t>
      </w:r>
      <w:r w:rsidRPr="009A6864">
        <w:t>(</w:t>
      </w:r>
      <w:proofErr w:type="spellStart"/>
      <w:r w:rsidRPr="009A6864">
        <w:t>Hakkarainen</w:t>
      </w:r>
      <w:proofErr w:type="spellEnd"/>
      <w:r w:rsidRPr="009A6864">
        <w:t>, 2010)</w:t>
      </w:r>
      <w:r>
        <w:t xml:space="preserve">. </w:t>
      </w:r>
    </w:p>
    <w:p w14:paraId="41DB49B4" w14:textId="77777777" w:rsidR="00992B9F" w:rsidRDefault="00992B9F" w:rsidP="001B072F">
      <w:pPr>
        <w:pStyle w:val="Caption"/>
      </w:pPr>
      <w:bookmarkStart w:id="42" w:name="_Toc44366121"/>
    </w:p>
    <w:p w14:paraId="715E3335" w14:textId="77777777" w:rsidR="00992B9F" w:rsidRDefault="00992B9F" w:rsidP="001B072F">
      <w:pPr>
        <w:pStyle w:val="Caption"/>
      </w:pPr>
    </w:p>
    <w:p w14:paraId="2FB63CE9" w14:textId="14A74DBE" w:rsidR="001B072F" w:rsidRDefault="001B072F" w:rsidP="001B072F">
      <w:pPr>
        <w:pStyle w:val="Caption"/>
      </w:pPr>
      <w:r>
        <w:t xml:space="preserve">Table </w:t>
      </w:r>
      <w:fldSimple w:instr=" SEQ Table \* ARABIC ">
        <w:r w:rsidR="002039BE">
          <w:rPr>
            <w:noProof/>
          </w:rPr>
          <w:t>2</w:t>
        </w:r>
        <w:bookmarkEnd w:id="42"/>
      </w:fldSimple>
    </w:p>
    <w:p w14:paraId="7D4B8949" w14:textId="77777777" w:rsidR="001B072F" w:rsidRPr="0082609C" w:rsidRDefault="001B072F" w:rsidP="001B072F">
      <w:pPr>
        <w:rPr>
          <w:i/>
          <w:iCs/>
        </w:rPr>
      </w:pPr>
      <w:r>
        <w:rPr>
          <w:i/>
          <w:iCs/>
        </w:rPr>
        <w:t xml:space="preserve">Summary of Types of Play  </w:t>
      </w:r>
    </w:p>
    <w:tbl>
      <w:tblPr>
        <w:tblStyle w:val="TableGridLight"/>
        <w:tblW w:w="5000" w:type="pct"/>
        <w:tblLook w:val="04A0" w:firstRow="1" w:lastRow="0" w:firstColumn="1" w:lastColumn="0" w:noHBand="0" w:noVBand="1"/>
      </w:tblPr>
      <w:tblGrid>
        <w:gridCol w:w="1417"/>
        <w:gridCol w:w="1505"/>
        <w:gridCol w:w="3243"/>
        <w:gridCol w:w="3185"/>
      </w:tblGrid>
      <w:tr w:rsidR="001B072F" w:rsidRPr="008E7EC3" w14:paraId="6AF35143" w14:textId="77777777" w:rsidTr="001B072F">
        <w:trPr>
          <w:trHeight w:val="350"/>
        </w:trPr>
        <w:tc>
          <w:tcPr>
            <w:tcW w:w="758" w:type="pct"/>
            <w:tcBorders>
              <w:top w:val="single" w:sz="4" w:space="0" w:color="auto"/>
              <w:bottom w:val="single" w:sz="4" w:space="0" w:color="auto"/>
            </w:tcBorders>
          </w:tcPr>
          <w:p w14:paraId="55DEC322" w14:textId="77777777" w:rsidR="001B072F" w:rsidRPr="008E7EC3" w:rsidRDefault="001B072F" w:rsidP="001B072F">
            <w:pPr>
              <w:jc w:val="center"/>
              <w:rPr>
                <w:rFonts w:ascii="Times New Roman" w:hAnsi="Times New Roman" w:cs="Times New Roman"/>
                <w:sz w:val="24"/>
                <w:szCs w:val="24"/>
              </w:rPr>
            </w:pPr>
            <w:r w:rsidRPr="008E7EC3">
              <w:rPr>
                <w:rFonts w:ascii="Times New Roman" w:hAnsi="Times New Roman" w:cs="Times New Roman"/>
                <w:sz w:val="24"/>
                <w:szCs w:val="24"/>
              </w:rPr>
              <w:t>Type of Play</w:t>
            </w:r>
          </w:p>
        </w:tc>
        <w:tc>
          <w:tcPr>
            <w:tcW w:w="805" w:type="pct"/>
            <w:tcBorders>
              <w:top w:val="single" w:sz="4" w:space="0" w:color="auto"/>
              <w:bottom w:val="single" w:sz="4" w:space="0" w:color="auto"/>
            </w:tcBorders>
          </w:tcPr>
          <w:p w14:paraId="5DF0D4E1" w14:textId="77777777" w:rsidR="001B072F" w:rsidRPr="008E7EC3" w:rsidRDefault="001B072F" w:rsidP="001B072F">
            <w:pPr>
              <w:jc w:val="center"/>
              <w:rPr>
                <w:rFonts w:ascii="Times New Roman" w:hAnsi="Times New Roman" w:cs="Times New Roman"/>
                <w:sz w:val="24"/>
                <w:szCs w:val="24"/>
              </w:rPr>
            </w:pPr>
            <w:r w:rsidRPr="008E7EC3">
              <w:rPr>
                <w:rFonts w:ascii="Times New Roman" w:hAnsi="Times New Roman" w:cs="Times New Roman"/>
                <w:sz w:val="24"/>
                <w:szCs w:val="24"/>
              </w:rPr>
              <w:t>Examples</w:t>
            </w:r>
          </w:p>
        </w:tc>
        <w:tc>
          <w:tcPr>
            <w:tcW w:w="1734" w:type="pct"/>
            <w:tcBorders>
              <w:top w:val="single" w:sz="4" w:space="0" w:color="auto"/>
              <w:bottom w:val="single" w:sz="4" w:space="0" w:color="auto"/>
            </w:tcBorders>
          </w:tcPr>
          <w:p w14:paraId="7B239A4B" w14:textId="77777777" w:rsidR="001B072F" w:rsidRPr="008E7EC3" w:rsidRDefault="001B072F" w:rsidP="001B072F">
            <w:pPr>
              <w:jc w:val="center"/>
              <w:rPr>
                <w:rFonts w:ascii="Times New Roman" w:hAnsi="Times New Roman" w:cs="Times New Roman"/>
                <w:sz w:val="24"/>
                <w:szCs w:val="24"/>
              </w:rPr>
            </w:pPr>
            <w:r w:rsidRPr="008E7EC3">
              <w:rPr>
                <w:rFonts w:ascii="Times New Roman" w:hAnsi="Times New Roman" w:cs="Times New Roman"/>
                <w:sz w:val="24"/>
                <w:szCs w:val="24"/>
              </w:rPr>
              <w:t xml:space="preserve">Concepts </w:t>
            </w:r>
            <w:r>
              <w:rPr>
                <w:rFonts w:ascii="Times New Roman" w:hAnsi="Times New Roman" w:cs="Times New Roman"/>
                <w:sz w:val="24"/>
                <w:szCs w:val="24"/>
              </w:rPr>
              <w:t xml:space="preserve">Acquired </w:t>
            </w:r>
          </w:p>
        </w:tc>
        <w:tc>
          <w:tcPr>
            <w:tcW w:w="1703" w:type="pct"/>
            <w:tcBorders>
              <w:top w:val="single" w:sz="4" w:space="0" w:color="auto"/>
              <w:bottom w:val="single" w:sz="4" w:space="0" w:color="auto"/>
            </w:tcBorders>
          </w:tcPr>
          <w:p w14:paraId="1FE3384B" w14:textId="77777777" w:rsidR="001B072F" w:rsidRPr="008E7EC3" w:rsidRDefault="001B072F" w:rsidP="001B072F">
            <w:pPr>
              <w:jc w:val="center"/>
              <w:rPr>
                <w:rFonts w:ascii="Times New Roman" w:hAnsi="Times New Roman" w:cs="Times New Roman"/>
                <w:sz w:val="24"/>
                <w:szCs w:val="24"/>
              </w:rPr>
            </w:pPr>
            <w:r w:rsidRPr="008E7EC3">
              <w:rPr>
                <w:rFonts w:ascii="Times New Roman" w:hAnsi="Times New Roman" w:cs="Times New Roman"/>
                <w:sz w:val="24"/>
                <w:szCs w:val="24"/>
              </w:rPr>
              <w:t>Teacher’s Scaffolding</w:t>
            </w:r>
          </w:p>
        </w:tc>
      </w:tr>
      <w:tr w:rsidR="001B072F" w:rsidRPr="008E7EC3" w14:paraId="7F16EDB9" w14:textId="77777777" w:rsidTr="001B072F">
        <w:trPr>
          <w:trHeight w:val="2651"/>
        </w:trPr>
        <w:tc>
          <w:tcPr>
            <w:tcW w:w="758" w:type="pct"/>
            <w:tcBorders>
              <w:top w:val="single" w:sz="4" w:space="0" w:color="auto"/>
              <w:bottom w:val="single" w:sz="4" w:space="0" w:color="auto"/>
            </w:tcBorders>
          </w:tcPr>
          <w:p w14:paraId="13816424" w14:textId="77777777" w:rsidR="001B072F" w:rsidRPr="008E7EC3" w:rsidRDefault="001B072F" w:rsidP="001B072F">
            <w:r w:rsidRPr="008E7EC3">
              <w:rPr>
                <w:rFonts w:ascii="Times New Roman" w:hAnsi="Times New Roman" w:cs="Times New Roman"/>
                <w:sz w:val="24"/>
                <w:szCs w:val="24"/>
              </w:rPr>
              <w:t>Exploration</w:t>
            </w:r>
          </w:p>
        </w:tc>
        <w:tc>
          <w:tcPr>
            <w:tcW w:w="805" w:type="pct"/>
            <w:tcBorders>
              <w:top w:val="single" w:sz="4" w:space="0" w:color="auto"/>
              <w:bottom w:val="single" w:sz="4" w:space="0" w:color="auto"/>
            </w:tcBorders>
          </w:tcPr>
          <w:p w14:paraId="65EB62A9" w14:textId="77777777" w:rsidR="001B072F" w:rsidRPr="008E7EC3" w:rsidRDefault="001B072F" w:rsidP="001B072F">
            <w:r w:rsidRPr="008E7EC3">
              <w:rPr>
                <w:rFonts w:ascii="Times New Roman" w:hAnsi="Times New Roman" w:cs="Times New Roman"/>
                <w:sz w:val="24"/>
                <w:szCs w:val="24"/>
              </w:rPr>
              <w:t xml:space="preserve">Block Play: A child aims to build the tallest tower but uses long blocks on the smallest end. </w:t>
            </w:r>
          </w:p>
        </w:tc>
        <w:tc>
          <w:tcPr>
            <w:tcW w:w="1734" w:type="pct"/>
            <w:tcBorders>
              <w:top w:val="single" w:sz="4" w:space="0" w:color="auto"/>
              <w:bottom w:val="single" w:sz="4" w:space="0" w:color="auto"/>
            </w:tcBorders>
          </w:tcPr>
          <w:p w14:paraId="1234E655" w14:textId="77777777" w:rsidR="001B072F" w:rsidRPr="008E7EC3" w:rsidRDefault="001B072F" w:rsidP="001B072F">
            <w:pPr>
              <w:rPr>
                <w:rFonts w:ascii="Times New Roman" w:hAnsi="Times New Roman" w:cs="Times New Roman"/>
                <w:sz w:val="24"/>
                <w:szCs w:val="24"/>
              </w:rPr>
            </w:pPr>
            <w:r w:rsidRPr="008E7EC3">
              <w:rPr>
                <w:rFonts w:ascii="Times New Roman" w:hAnsi="Times New Roman" w:cs="Times New Roman"/>
                <w:sz w:val="24"/>
                <w:szCs w:val="24"/>
              </w:rPr>
              <w:t xml:space="preserve">Working Theories About: </w:t>
            </w:r>
          </w:p>
          <w:p w14:paraId="127504CD" w14:textId="77777777" w:rsidR="001B072F" w:rsidRDefault="001B072F" w:rsidP="001B072F">
            <w:pPr>
              <w:pStyle w:val="ListParagraph"/>
              <w:numPr>
                <w:ilvl w:val="0"/>
                <w:numId w:val="38"/>
              </w:numPr>
              <w:rPr>
                <w:rFonts w:ascii="Times New Roman" w:hAnsi="Times New Roman" w:cs="Times New Roman"/>
                <w:sz w:val="24"/>
                <w:szCs w:val="24"/>
              </w:rPr>
            </w:pPr>
            <w:r w:rsidRPr="008E7EC3">
              <w:rPr>
                <w:rFonts w:ascii="Times New Roman" w:hAnsi="Times New Roman" w:cs="Times New Roman"/>
                <w:sz w:val="24"/>
                <w:szCs w:val="24"/>
              </w:rPr>
              <w:t>Cause and effect—if I stack the blocks this way, this happens</w:t>
            </w:r>
          </w:p>
          <w:p w14:paraId="2E45EF9C" w14:textId="77777777" w:rsidR="001B072F" w:rsidRPr="00D01C63" w:rsidRDefault="001B072F" w:rsidP="001B072F">
            <w:pPr>
              <w:pStyle w:val="ListParagraph"/>
              <w:numPr>
                <w:ilvl w:val="0"/>
                <w:numId w:val="38"/>
              </w:numPr>
              <w:rPr>
                <w:rFonts w:ascii="Times New Roman" w:hAnsi="Times New Roman" w:cs="Times New Roman"/>
                <w:sz w:val="24"/>
                <w:szCs w:val="24"/>
              </w:rPr>
            </w:pPr>
            <w:r w:rsidRPr="00D01C63">
              <w:rPr>
                <w:rFonts w:ascii="Times New Roman" w:hAnsi="Times New Roman" w:cs="Times New Roman"/>
                <w:sz w:val="24"/>
                <w:szCs w:val="24"/>
              </w:rPr>
              <w:t>Properties of objects—some blocks stack easier or are more stable</w:t>
            </w:r>
          </w:p>
        </w:tc>
        <w:tc>
          <w:tcPr>
            <w:tcW w:w="1703" w:type="pct"/>
            <w:tcBorders>
              <w:top w:val="single" w:sz="4" w:space="0" w:color="auto"/>
              <w:bottom w:val="single" w:sz="4" w:space="0" w:color="auto"/>
            </w:tcBorders>
          </w:tcPr>
          <w:p w14:paraId="4C0603EB" w14:textId="77777777" w:rsidR="001B072F" w:rsidRPr="008E7EC3" w:rsidRDefault="001B072F" w:rsidP="001B072F">
            <w:pPr>
              <w:pStyle w:val="ListParagraph"/>
              <w:numPr>
                <w:ilvl w:val="0"/>
                <w:numId w:val="39"/>
              </w:numPr>
              <w:rPr>
                <w:rFonts w:ascii="Times New Roman" w:hAnsi="Times New Roman" w:cs="Times New Roman"/>
                <w:sz w:val="24"/>
                <w:szCs w:val="24"/>
              </w:rPr>
            </w:pPr>
            <w:r w:rsidRPr="008E7EC3">
              <w:rPr>
                <w:rFonts w:ascii="Times New Roman" w:hAnsi="Times New Roman" w:cs="Times New Roman"/>
                <w:sz w:val="24"/>
                <w:szCs w:val="24"/>
              </w:rPr>
              <w:t xml:space="preserve">Asking the child why the blocks are falling </w:t>
            </w:r>
          </w:p>
          <w:p w14:paraId="1DD13CD1" w14:textId="77777777" w:rsidR="001B072F" w:rsidRPr="008E7EC3" w:rsidRDefault="001B072F" w:rsidP="001B072F">
            <w:pPr>
              <w:pStyle w:val="ListParagraph"/>
              <w:numPr>
                <w:ilvl w:val="0"/>
                <w:numId w:val="39"/>
              </w:numPr>
            </w:pPr>
            <w:r w:rsidRPr="008E7EC3">
              <w:rPr>
                <w:rFonts w:ascii="Times New Roman" w:hAnsi="Times New Roman" w:cs="Times New Roman"/>
                <w:sz w:val="24"/>
                <w:szCs w:val="24"/>
              </w:rPr>
              <w:t xml:space="preserve">Encouraging the child to continue to try alternate solutions or strategies </w:t>
            </w:r>
          </w:p>
        </w:tc>
      </w:tr>
      <w:tr w:rsidR="001B072F" w:rsidRPr="008E7EC3" w14:paraId="3362685D" w14:textId="77777777" w:rsidTr="001B072F">
        <w:trPr>
          <w:trHeight w:val="2651"/>
        </w:trPr>
        <w:tc>
          <w:tcPr>
            <w:tcW w:w="758" w:type="pct"/>
            <w:tcBorders>
              <w:top w:val="single" w:sz="4" w:space="0" w:color="auto"/>
              <w:bottom w:val="single" w:sz="4" w:space="0" w:color="auto"/>
            </w:tcBorders>
          </w:tcPr>
          <w:p w14:paraId="2DAABD35" w14:textId="77777777" w:rsidR="001B072F" w:rsidRPr="008E7EC3" w:rsidRDefault="001B072F" w:rsidP="001B072F">
            <w:pPr>
              <w:rPr>
                <w:rFonts w:ascii="Times New Roman" w:hAnsi="Times New Roman" w:cs="Times New Roman"/>
                <w:sz w:val="24"/>
                <w:szCs w:val="24"/>
              </w:rPr>
            </w:pPr>
            <w:r w:rsidRPr="008E7EC3">
              <w:rPr>
                <w:rFonts w:ascii="Times New Roman" w:hAnsi="Times New Roman" w:cs="Times New Roman"/>
                <w:sz w:val="24"/>
                <w:szCs w:val="24"/>
              </w:rPr>
              <w:t xml:space="preserve">Dramatizing </w:t>
            </w:r>
          </w:p>
        </w:tc>
        <w:tc>
          <w:tcPr>
            <w:tcW w:w="805" w:type="pct"/>
            <w:tcBorders>
              <w:top w:val="single" w:sz="4" w:space="0" w:color="auto"/>
              <w:bottom w:val="single" w:sz="4" w:space="0" w:color="auto"/>
            </w:tcBorders>
          </w:tcPr>
          <w:p w14:paraId="0A295C6B" w14:textId="11F5BD95" w:rsidR="001B072F" w:rsidRPr="008E7EC3" w:rsidRDefault="001B072F" w:rsidP="001B072F">
            <w:pPr>
              <w:rPr>
                <w:rFonts w:ascii="Times New Roman" w:hAnsi="Times New Roman" w:cs="Times New Roman"/>
                <w:sz w:val="24"/>
                <w:szCs w:val="24"/>
              </w:rPr>
            </w:pPr>
            <w:r w:rsidRPr="008E7EC3">
              <w:rPr>
                <w:rFonts w:ascii="Times New Roman" w:hAnsi="Times New Roman" w:cs="Times New Roman"/>
                <w:sz w:val="24"/>
                <w:szCs w:val="24"/>
              </w:rPr>
              <w:t>Children are in the dramatic play center which has props for children to engage in “Grocery Store Play</w:t>
            </w:r>
            <w:r w:rsidR="000B4B73">
              <w:rPr>
                <w:rFonts w:ascii="Times New Roman" w:hAnsi="Times New Roman" w:cs="Times New Roman"/>
                <w:sz w:val="24"/>
                <w:szCs w:val="24"/>
              </w:rPr>
              <w:t>.</w:t>
            </w:r>
            <w:r w:rsidRPr="008E7EC3">
              <w:rPr>
                <w:rFonts w:ascii="Times New Roman" w:hAnsi="Times New Roman" w:cs="Times New Roman"/>
                <w:sz w:val="24"/>
                <w:szCs w:val="24"/>
              </w:rPr>
              <w:t xml:space="preserve">” </w:t>
            </w:r>
          </w:p>
        </w:tc>
        <w:tc>
          <w:tcPr>
            <w:tcW w:w="1734" w:type="pct"/>
            <w:tcBorders>
              <w:top w:val="single" w:sz="4" w:space="0" w:color="auto"/>
              <w:bottom w:val="single" w:sz="4" w:space="0" w:color="auto"/>
            </w:tcBorders>
          </w:tcPr>
          <w:p w14:paraId="6FCB3741" w14:textId="77777777" w:rsidR="001B072F" w:rsidRPr="008E7EC3" w:rsidRDefault="001B072F" w:rsidP="001B072F">
            <w:pPr>
              <w:rPr>
                <w:rFonts w:ascii="Times New Roman" w:hAnsi="Times New Roman" w:cs="Times New Roman"/>
                <w:sz w:val="24"/>
                <w:szCs w:val="24"/>
              </w:rPr>
            </w:pPr>
            <w:r w:rsidRPr="008E7EC3">
              <w:rPr>
                <w:rFonts w:ascii="Times New Roman" w:hAnsi="Times New Roman" w:cs="Times New Roman"/>
                <w:sz w:val="24"/>
                <w:szCs w:val="24"/>
              </w:rPr>
              <w:t>Symbolic Representation as</w:t>
            </w:r>
          </w:p>
          <w:p w14:paraId="6213B644" w14:textId="77777777" w:rsidR="001B072F" w:rsidRPr="008E7EC3" w:rsidRDefault="001B072F" w:rsidP="001B072F">
            <w:pPr>
              <w:pStyle w:val="ListParagraph"/>
              <w:numPr>
                <w:ilvl w:val="0"/>
                <w:numId w:val="38"/>
              </w:numPr>
              <w:rPr>
                <w:rFonts w:ascii="Times New Roman" w:hAnsi="Times New Roman" w:cs="Times New Roman"/>
                <w:sz w:val="24"/>
                <w:szCs w:val="24"/>
              </w:rPr>
            </w:pPr>
            <w:r w:rsidRPr="008E7EC3">
              <w:rPr>
                <w:rFonts w:ascii="Times New Roman" w:hAnsi="Times New Roman" w:cs="Times New Roman"/>
                <w:sz w:val="24"/>
                <w:szCs w:val="24"/>
              </w:rPr>
              <w:t>Pieces of paper used as money</w:t>
            </w:r>
          </w:p>
          <w:p w14:paraId="29444012" w14:textId="77777777" w:rsidR="001B072F" w:rsidRPr="008E7EC3" w:rsidRDefault="001B072F" w:rsidP="001B072F">
            <w:pPr>
              <w:pStyle w:val="ListParagraph"/>
              <w:numPr>
                <w:ilvl w:val="0"/>
                <w:numId w:val="38"/>
              </w:numPr>
              <w:rPr>
                <w:rFonts w:ascii="Times New Roman" w:hAnsi="Times New Roman" w:cs="Times New Roman"/>
                <w:sz w:val="24"/>
                <w:szCs w:val="24"/>
              </w:rPr>
            </w:pPr>
            <w:r w:rsidRPr="008E7EC3">
              <w:rPr>
                <w:rFonts w:ascii="Times New Roman" w:hAnsi="Times New Roman" w:cs="Times New Roman"/>
                <w:sz w:val="24"/>
                <w:szCs w:val="24"/>
              </w:rPr>
              <w:t xml:space="preserve">Receipts or store signs </w:t>
            </w:r>
          </w:p>
          <w:p w14:paraId="3A5AC58F" w14:textId="77777777" w:rsidR="001B072F" w:rsidRPr="008E7EC3" w:rsidRDefault="001B072F" w:rsidP="001B072F">
            <w:pPr>
              <w:pStyle w:val="ListParagraph"/>
              <w:numPr>
                <w:ilvl w:val="0"/>
                <w:numId w:val="38"/>
              </w:numPr>
              <w:rPr>
                <w:rFonts w:ascii="Times New Roman" w:hAnsi="Times New Roman" w:cs="Times New Roman"/>
                <w:sz w:val="24"/>
                <w:szCs w:val="24"/>
              </w:rPr>
            </w:pPr>
            <w:r w:rsidRPr="008E7EC3">
              <w:rPr>
                <w:rFonts w:ascii="Times New Roman" w:hAnsi="Times New Roman" w:cs="Times New Roman"/>
                <w:sz w:val="24"/>
                <w:szCs w:val="24"/>
              </w:rPr>
              <w:t>Purchasing a specific quantity of items</w:t>
            </w:r>
          </w:p>
          <w:p w14:paraId="4759E2AE" w14:textId="77777777" w:rsidR="001B072F" w:rsidRPr="008E7EC3" w:rsidRDefault="001B072F" w:rsidP="001B072F">
            <w:pPr>
              <w:pStyle w:val="ListParagraph"/>
              <w:numPr>
                <w:ilvl w:val="0"/>
                <w:numId w:val="38"/>
              </w:numPr>
              <w:rPr>
                <w:rFonts w:ascii="Times New Roman" w:hAnsi="Times New Roman" w:cs="Times New Roman"/>
                <w:sz w:val="24"/>
                <w:szCs w:val="24"/>
              </w:rPr>
            </w:pPr>
            <w:r w:rsidRPr="008E7EC3">
              <w:rPr>
                <w:rFonts w:ascii="Times New Roman" w:hAnsi="Times New Roman" w:cs="Times New Roman"/>
                <w:sz w:val="24"/>
                <w:szCs w:val="24"/>
              </w:rPr>
              <w:t xml:space="preserve">Representing abstract quantities—asking customers if they want more or less of something </w:t>
            </w:r>
          </w:p>
          <w:p w14:paraId="5E59FDFB" w14:textId="77777777" w:rsidR="001B072F" w:rsidRPr="008E7EC3" w:rsidRDefault="001B072F" w:rsidP="001B072F">
            <w:pPr>
              <w:pStyle w:val="ListParagraph"/>
              <w:numPr>
                <w:ilvl w:val="0"/>
                <w:numId w:val="38"/>
              </w:numPr>
              <w:rPr>
                <w:rFonts w:ascii="Times New Roman" w:hAnsi="Times New Roman" w:cs="Times New Roman"/>
                <w:sz w:val="24"/>
                <w:szCs w:val="24"/>
              </w:rPr>
            </w:pPr>
            <w:r w:rsidRPr="008E7EC3">
              <w:rPr>
                <w:rFonts w:ascii="Times New Roman" w:hAnsi="Times New Roman" w:cs="Times New Roman"/>
                <w:sz w:val="24"/>
                <w:szCs w:val="24"/>
              </w:rPr>
              <w:t>Using numerals in price tags</w:t>
            </w:r>
          </w:p>
          <w:p w14:paraId="3D717F0B" w14:textId="77777777" w:rsidR="001B072F" w:rsidRPr="008E7EC3" w:rsidRDefault="001B072F" w:rsidP="001B072F">
            <w:pPr>
              <w:pStyle w:val="ListParagraph"/>
              <w:numPr>
                <w:ilvl w:val="0"/>
                <w:numId w:val="38"/>
              </w:numPr>
              <w:rPr>
                <w:rFonts w:ascii="Times New Roman" w:hAnsi="Times New Roman" w:cs="Times New Roman"/>
                <w:sz w:val="24"/>
                <w:szCs w:val="24"/>
              </w:rPr>
            </w:pPr>
            <w:r w:rsidRPr="008E7EC3">
              <w:rPr>
                <w:rFonts w:ascii="Times New Roman" w:hAnsi="Times New Roman" w:cs="Times New Roman"/>
                <w:sz w:val="24"/>
                <w:szCs w:val="24"/>
              </w:rPr>
              <w:t>Making change from purchases</w:t>
            </w:r>
          </w:p>
        </w:tc>
        <w:tc>
          <w:tcPr>
            <w:tcW w:w="1703" w:type="pct"/>
            <w:tcBorders>
              <w:top w:val="single" w:sz="4" w:space="0" w:color="auto"/>
              <w:bottom w:val="single" w:sz="4" w:space="0" w:color="auto"/>
            </w:tcBorders>
          </w:tcPr>
          <w:p w14:paraId="4623A250" w14:textId="77777777" w:rsidR="001B072F" w:rsidRPr="008E7EC3" w:rsidRDefault="001B072F" w:rsidP="001B072F">
            <w:pPr>
              <w:pStyle w:val="ListParagraph"/>
              <w:numPr>
                <w:ilvl w:val="0"/>
                <w:numId w:val="39"/>
              </w:numPr>
              <w:rPr>
                <w:rFonts w:ascii="Times New Roman" w:hAnsi="Times New Roman" w:cs="Times New Roman"/>
                <w:sz w:val="24"/>
                <w:szCs w:val="24"/>
              </w:rPr>
            </w:pPr>
            <w:r w:rsidRPr="008E7EC3">
              <w:rPr>
                <w:rFonts w:ascii="Times New Roman" w:hAnsi="Times New Roman" w:cs="Times New Roman"/>
                <w:sz w:val="24"/>
                <w:szCs w:val="24"/>
              </w:rPr>
              <w:t>Being a customer in the store</w:t>
            </w:r>
          </w:p>
          <w:p w14:paraId="60169E51" w14:textId="77777777" w:rsidR="001B072F" w:rsidRPr="008E7EC3" w:rsidRDefault="001B072F" w:rsidP="001B072F">
            <w:pPr>
              <w:pStyle w:val="ListParagraph"/>
              <w:numPr>
                <w:ilvl w:val="0"/>
                <w:numId w:val="39"/>
              </w:numPr>
              <w:rPr>
                <w:rFonts w:ascii="Times New Roman" w:hAnsi="Times New Roman" w:cs="Times New Roman"/>
                <w:sz w:val="24"/>
                <w:szCs w:val="24"/>
              </w:rPr>
            </w:pPr>
            <w:r w:rsidRPr="008E7EC3">
              <w:rPr>
                <w:rFonts w:ascii="Times New Roman" w:hAnsi="Times New Roman" w:cs="Times New Roman"/>
                <w:sz w:val="24"/>
                <w:szCs w:val="24"/>
              </w:rPr>
              <w:t>Extending play by providing additional play props and explaining their use (scales, paper for signs)</w:t>
            </w:r>
          </w:p>
          <w:p w14:paraId="5EC47FA9" w14:textId="77777777" w:rsidR="001B072F" w:rsidRPr="008E7EC3" w:rsidRDefault="001B072F" w:rsidP="001B072F">
            <w:pPr>
              <w:rPr>
                <w:rFonts w:ascii="Times New Roman" w:hAnsi="Times New Roman" w:cs="Times New Roman"/>
                <w:sz w:val="24"/>
                <w:szCs w:val="24"/>
              </w:rPr>
            </w:pPr>
          </w:p>
        </w:tc>
      </w:tr>
    </w:tbl>
    <w:p w14:paraId="614A75D3" w14:textId="77777777" w:rsidR="001B072F" w:rsidRDefault="001B072F" w:rsidP="001B072F">
      <w:pPr>
        <w:contextualSpacing/>
        <w:jc w:val="center"/>
        <w:rPr>
          <w:b/>
          <w:bCs/>
        </w:rPr>
      </w:pPr>
    </w:p>
    <w:p w14:paraId="009708C8" w14:textId="77777777" w:rsidR="001B072F" w:rsidRPr="00741C2F" w:rsidRDefault="001B072F" w:rsidP="001B072F">
      <w:pPr>
        <w:pStyle w:val="Heading1"/>
      </w:pPr>
      <w:bookmarkStart w:id="43" w:name="_Toc46265478"/>
      <w:r>
        <w:t>Approaches to Learning</w:t>
      </w:r>
      <w:r w:rsidRPr="00741C2F">
        <w:t xml:space="preserve"> </w:t>
      </w:r>
      <w:r>
        <w:t>as a Bridge Between Play and Learning</w:t>
      </w:r>
      <w:bookmarkEnd w:id="43"/>
      <w:r>
        <w:t xml:space="preserve"> </w:t>
      </w:r>
    </w:p>
    <w:p w14:paraId="3D388E10" w14:textId="7122C057" w:rsidR="001B072F" w:rsidRDefault="001B072F" w:rsidP="001B072F">
      <w:pPr>
        <w:ind w:firstLine="720"/>
        <w:contextualSpacing/>
      </w:pPr>
      <w:r>
        <w:t xml:space="preserve">The previous sections highlighted how children’s object exploration helps to develop working theories about properties and causal structures and how pretend play helps to develop </w:t>
      </w:r>
      <w:r>
        <w:lastRenderedPageBreak/>
        <w:t xml:space="preserve">symbolic representation. </w:t>
      </w:r>
      <w:r w:rsidR="006C5E41">
        <w:t>E</w:t>
      </w:r>
      <w:r>
        <w:t>ngaging in both exploration and dramatizing contributes to the development of process</w:t>
      </w:r>
      <w:r w:rsidR="000B4B73">
        <w:t>-</w:t>
      </w:r>
      <w:r>
        <w:t>oriented, learning-to-learn skills, such as AtL. Exploration and dramatization support the development of AtL subdomains like curiosity, problem-solving, persistence</w:t>
      </w:r>
      <w:r w:rsidR="000B4B73">
        <w:t>,</w:t>
      </w:r>
      <w:r>
        <w:t xml:space="preserve"> and flexibility primarily by enabling the child to move freely between reality and pretense (</w:t>
      </w:r>
      <w:r w:rsidRPr="00037CAE">
        <w:t>see Table 3</w:t>
      </w:r>
      <w:r>
        <w:t xml:space="preserve">). </w:t>
      </w:r>
      <w:r w:rsidRPr="00CB5672">
        <w:t xml:space="preserve">While these skills are </w:t>
      </w:r>
      <w:r>
        <w:t>often discussed</w:t>
      </w:r>
      <w:r w:rsidRPr="00CB5672">
        <w:t xml:space="preserve"> as discrete </w:t>
      </w:r>
      <w:r>
        <w:t>dimensions</w:t>
      </w:r>
      <w:r w:rsidRPr="00CB5672">
        <w:t xml:space="preserve">, it is </w:t>
      </w:r>
      <w:r w:rsidR="000B4B73">
        <w:t>essential</w:t>
      </w:r>
      <w:r w:rsidRPr="00CB5672">
        <w:t xml:space="preserve"> to </w:t>
      </w:r>
      <w:r>
        <w:t xml:space="preserve">recognize </w:t>
      </w:r>
      <w:r w:rsidRPr="00CB5672">
        <w:t>that they are process</w:t>
      </w:r>
      <w:r>
        <w:t>-</w:t>
      </w:r>
      <w:r w:rsidRPr="00CB5672">
        <w:t xml:space="preserve">oriented skills </w:t>
      </w:r>
      <w:r>
        <w:t>that</w:t>
      </w:r>
      <w:r w:rsidRPr="00CB5672">
        <w:t xml:space="preserve"> are dynamically interwoven and difficult to tease apart </w:t>
      </w:r>
      <w:r w:rsidRPr="009A6864">
        <w:t>(</w:t>
      </w:r>
      <w:proofErr w:type="spellStart"/>
      <w:r w:rsidRPr="009A6864">
        <w:t>Carr</w:t>
      </w:r>
      <w:proofErr w:type="spellEnd"/>
      <w:r w:rsidRPr="009A6864">
        <w:t xml:space="preserve"> &amp; Claxton, 2002)</w:t>
      </w:r>
      <w:r w:rsidRPr="00CB5672">
        <w:t xml:space="preserve">. </w:t>
      </w:r>
      <w:r>
        <w:t>In the examples below, the elements of AtL serve as a bridge to support children’s meaning</w:t>
      </w:r>
      <w:r w:rsidR="000B4B73">
        <w:t>-</w:t>
      </w:r>
      <w:r>
        <w:t xml:space="preserve">making. </w:t>
      </w:r>
    </w:p>
    <w:p w14:paraId="2658E300" w14:textId="77777777" w:rsidR="006C5E41" w:rsidRDefault="006C5E41" w:rsidP="006C5E41">
      <w:pPr>
        <w:pStyle w:val="Heading2"/>
      </w:pPr>
      <w:bookmarkStart w:id="44" w:name="_Toc46265479"/>
      <w:r>
        <w:t>Problem Solving, Flexibility and Curiosity</w:t>
      </w:r>
      <w:bookmarkEnd w:id="44"/>
      <w:r>
        <w:t xml:space="preserve"> </w:t>
      </w:r>
    </w:p>
    <w:p w14:paraId="3DAED880" w14:textId="5D39ACA9" w:rsidR="001B072F" w:rsidRDefault="006C5E41" w:rsidP="006C5E41">
      <w:pPr>
        <w:pStyle w:val="Caption"/>
      </w:pPr>
      <w:r>
        <w:tab/>
      </w:r>
      <w:r w:rsidRPr="00037CAE">
        <w:t>By engaging in object exploration, children develop curiosity and problem solving that helps them understand reality (i.e.</w:t>
      </w:r>
      <w:r w:rsidR="000B4B73">
        <w:t>,</w:t>
      </w:r>
      <w:r w:rsidRPr="00037CAE">
        <w:t xml:space="preserve"> develop working theories). </w:t>
      </w:r>
      <w:r>
        <w:t>Young children are often deemed</w:t>
      </w:r>
    </w:p>
    <w:p w14:paraId="77B47FE3" w14:textId="1AFC7EE7" w:rsidR="001B072F" w:rsidRPr="00E57231" w:rsidRDefault="001B072F" w:rsidP="001B072F">
      <w:pPr>
        <w:pStyle w:val="Caption"/>
      </w:pPr>
      <w:bookmarkStart w:id="45" w:name="_Toc44366122"/>
      <w:r>
        <w:t xml:space="preserve">Table </w:t>
      </w:r>
      <w:fldSimple w:instr=" SEQ Table \* ARABIC ">
        <w:r w:rsidR="002039BE">
          <w:rPr>
            <w:noProof/>
          </w:rPr>
          <w:t>3</w:t>
        </w:r>
        <w:bookmarkEnd w:id="45"/>
      </w:fldSimple>
    </w:p>
    <w:p w14:paraId="629B1C0D" w14:textId="77777777" w:rsidR="001B072F" w:rsidRPr="0014616E" w:rsidRDefault="001B072F" w:rsidP="001B072F">
      <w:pPr>
        <w:contextualSpacing/>
        <w:rPr>
          <w:i/>
          <w:iCs/>
        </w:rPr>
      </w:pPr>
      <w:r w:rsidRPr="0014616E">
        <w:rPr>
          <w:i/>
          <w:iCs/>
        </w:rPr>
        <w:t xml:space="preserve">Summary of Meaning Making </w:t>
      </w:r>
    </w:p>
    <w:tbl>
      <w:tblPr>
        <w:tblStyle w:val="TableGridLight"/>
        <w:tblW w:w="5000" w:type="pct"/>
        <w:tblLook w:val="04A0" w:firstRow="1" w:lastRow="0" w:firstColumn="1" w:lastColumn="0" w:noHBand="0" w:noVBand="1"/>
      </w:tblPr>
      <w:tblGrid>
        <w:gridCol w:w="1697"/>
        <w:gridCol w:w="3057"/>
        <w:gridCol w:w="4596"/>
      </w:tblGrid>
      <w:tr w:rsidR="001B072F" w:rsidRPr="008E7EC3" w14:paraId="5D78D7EC" w14:textId="77777777" w:rsidTr="001B072F">
        <w:tc>
          <w:tcPr>
            <w:tcW w:w="907" w:type="pct"/>
            <w:tcBorders>
              <w:top w:val="single" w:sz="4" w:space="0" w:color="auto"/>
              <w:bottom w:val="single" w:sz="4" w:space="0" w:color="auto"/>
            </w:tcBorders>
          </w:tcPr>
          <w:p w14:paraId="739010D6" w14:textId="77777777" w:rsidR="001B072F" w:rsidRPr="008E7EC3" w:rsidRDefault="001B072F" w:rsidP="001B072F">
            <w:pPr>
              <w:contextualSpacing/>
              <w:jc w:val="center"/>
              <w:rPr>
                <w:rFonts w:ascii="Times New Roman" w:hAnsi="Times New Roman" w:cs="Times New Roman"/>
                <w:sz w:val="24"/>
                <w:szCs w:val="24"/>
              </w:rPr>
            </w:pPr>
            <w:r w:rsidRPr="008E7EC3">
              <w:rPr>
                <w:rFonts w:ascii="Times New Roman" w:hAnsi="Times New Roman" w:cs="Times New Roman"/>
                <w:sz w:val="24"/>
                <w:szCs w:val="24"/>
              </w:rPr>
              <w:t>Types of Play</w:t>
            </w:r>
          </w:p>
        </w:tc>
        <w:tc>
          <w:tcPr>
            <w:tcW w:w="1635" w:type="pct"/>
            <w:tcBorders>
              <w:top w:val="single" w:sz="4" w:space="0" w:color="auto"/>
              <w:bottom w:val="single" w:sz="4" w:space="0" w:color="auto"/>
            </w:tcBorders>
          </w:tcPr>
          <w:p w14:paraId="78E2D414" w14:textId="77777777" w:rsidR="001B072F" w:rsidRPr="008E7EC3" w:rsidRDefault="001B072F" w:rsidP="001B072F">
            <w:pPr>
              <w:contextualSpacing/>
              <w:jc w:val="center"/>
              <w:rPr>
                <w:rFonts w:ascii="Times New Roman" w:hAnsi="Times New Roman" w:cs="Times New Roman"/>
                <w:sz w:val="24"/>
                <w:szCs w:val="24"/>
              </w:rPr>
            </w:pPr>
            <w:r w:rsidRPr="008E7EC3">
              <w:rPr>
                <w:rFonts w:ascii="Times New Roman" w:hAnsi="Times New Roman" w:cs="Times New Roman"/>
                <w:sz w:val="24"/>
                <w:szCs w:val="24"/>
              </w:rPr>
              <w:t>How Children Make Meaning</w:t>
            </w:r>
          </w:p>
        </w:tc>
        <w:tc>
          <w:tcPr>
            <w:tcW w:w="2458" w:type="pct"/>
            <w:tcBorders>
              <w:top w:val="single" w:sz="4" w:space="0" w:color="auto"/>
              <w:bottom w:val="single" w:sz="4" w:space="0" w:color="auto"/>
            </w:tcBorders>
          </w:tcPr>
          <w:p w14:paraId="30EF0AAA" w14:textId="77777777" w:rsidR="001B072F" w:rsidRPr="008E7EC3" w:rsidRDefault="001B072F" w:rsidP="001B072F">
            <w:pPr>
              <w:contextualSpacing/>
              <w:jc w:val="center"/>
              <w:rPr>
                <w:rFonts w:ascii="Times New Roman" w:hAnsi="Times New Roman" w:cs="Times New Roman"/>
                <w:sz w:val="24"/>
                <w:szCs w:val="24"/>
              </w:rPr>
            </w:pPr>
            <w:r w:rsidRPr="008E7EC3">
              <w:rPr>
                <w:rFonts w:ascii="Times New Roman" w:hAnsi="Times New Roman" w:cs="Times New Roman"/>
                <w:sz w:val="24"/>
                <w:szCs w:val="24"/>
              </w:rPr>
              <w:t>Element of Approaches to Learning</w:t>
            </w:r>
          </w:p>
        </w:tc>
      </w:tr>
      <w:tr w:rsidR="001B072F" w:rsidRPr="008E7EC3" w14:paraId="772F32E7" w14:textId="77777777" w:rsidTr="001B072F">
        <w:tc>
          <w:tcPr>
            <w:tcW w:w="907" w:type="pct"/>
            <w:tcBorders>
              <w:top w:val="single" w:sz="4" w:space="0" w:color="auto"/>
              <w:bottom w:val="single" w:sz="4" w:space="0" w:color="BFBFBF" w:themeColor="background1" w:themeShade="BF"/>
            </w:tcBorders>
          </w:tcPr>
          <w:p w14:paraId="00007379" w14:textId="77777777" w:rsidR="001B072F" w:rsidRPr="008E7EC3" w:rsidRDefault="001B072F" w:rsidP="001B072F">
            <w:pPr>
              <w:contextualSpacing/>
              <w:rPr>
                <w:rFonts w:ascii="Times New Roman" w:hAnsi="Times New Roman" w:cs="Times New Roman"/>
                <w:sz w:val="24"/>
                <w:szCs w:val="24"/>
              </w:rPr>
            </w:pPr>
            <w:r w:rsidRPr="008E7EC3">
              <w:rPr>
                <w:rFonts w:ascii="Times New Roman" w:hAnsi="Times New Roman" w:cs="Times New Roman"/>
                <w:sz w:val="24"/>
                <w:szCs w:val="24"/>
              </w:rPr>
              <w:t xml:space="preserve">Exploration </w:t>
            </w:r>
          </w:p>
        </w:tc>
        <w:tc>
          <w:tcPr>
            <w:tcW w:w="1635" w:type="pct"/>
            <w:tcBorders>
              <w:top w:val="single" w:sz="4" w:space="0" w:color="auto"/>
              <w:bottom w:val="single" w:sz="4" w:space="0" w:color="BFBFBF" w:themeColor="background1" w:themeShade="BF"/>
            </w:tcBorders>
          </w:tcPr>
          <w:p w14:paraId="2C5A8A4D" w14:textId="77777777" w:rsidR="001B072F" w:rsidRPr="008E7EC3" w:rsidRDefault="001B072F" w:rsidP="001B072F">
            <w:pPr>
              <w:contextualSpacing/>
              <w:rPr>
                <w:rFonts w:ascii="Times New Roman" w:hAnsi="Times New Roman" w:cs="Times New Roman"/>
                <w:sz w:val="24"/>
                <w:szCs w:val="24"/>
              </w:rPr>
            </w:pPr>
            <w:r w:rsidRPr="008E7EC3">
              <w:rPr>
                <w:rFonts w:ascii="Times New Roman" w:hAnsi="Times New Roman" w:cs="Times New Roman"/>
                <w:sz w:val="24"/>
                <w:szCs w:val="24"/>
              </w:rPr>
              <w:t>Exploration</w:t>
            </w:r>
            <w:r w:rsidRPr="008E7EC3">
              <w:rPr>
                <w:rFonts w:ascii="Times New Roman" w:hAnsi="Times New Roman" w:cs="Times New Roman"/>
                <w:sz w:val="24"/>
                <w:szCs w:val="24"/>
              </w:rPr>
              <w:sym w:font="Wingdings" w:char="F0E0"/>
            </w:r>
            <w:r w:rsidRPr="008E7EC3">
              <w:rPr>
                <w:rFonts w:ascii="Times New Roman" w:hAnsi="Times New Roman" w:cs="Times New Roman"/>
                <w:sz w:val="24"/>
                <w:szCs w:val="24"/>
              </w:rPr>
              <w:t xml:space="preserve">Reality </w:t>
            </w:r>
          </w:p>
        </w:tc>
        <w:tc>
          <w:tcPr>
            <w:tcW w:w="2458" w:type="pct"/>
            <w:tcBorders>
              <w:top w:val="single" w:sz="4" w:space="0" w:color="auto"/>
              <w:bottom w:val="single" w:sz="4" w:space="0" w:color="BFBFBF" w:themeColor="background1" w:themeShade="BF"/>
            </w:tcBorders>
          </w:tcPr>
          <w:p w14:paraId="28787F4C" w14:textId="77777777" w:rsidR="001B072F" w:rsidRPr="008E7EC3" w:rsidRDefault="001B072F" w:rsidP="001B072F">
            <w:pPr>
              <w:contextualSpacing/>
              <w:rPr>
                <w:rFonts w:ascii="Times New Roman" w:hAnsi="Times New Roman" w:cs="Times New Roman"/>
                <w:sz w:val="24"/>
                <w:szCs w:val="24"/>
              </w:rPr>
            </w:pPr>
            <w:r w:rsidRPr="008E7EC3">
              <w:rPr>
                <w:rFonts w:ascii="Times New Roman" w:hAnsi="Times New Roman" w:cs="Times New Roman"/>
                <w:sz w:val="24"/>
                <w:szCs w:val="24"/>
              </w:rPr>
              <w:t xml:space="preserve">Curiosity </w:t>
            </w:r>
          </w:p>
          <w:p w14:paraId="31B84746" w14:textId="77777777" w:rsidR="001B072F" w:rsidRPr="008E7EC3" w:rsidRDefault="001B072F" w:rsidP="001B072F">
            <w:pPr>
              <w:contextualSpacing/>
              <w:rPr>
                <w:rFonts w:ascii="Times New Roman" w:hAnsi="Times New Roman" w:cs="Times New Roman"/>
                <w:sz w:val="24"/>
                <w:szCs w:val="24"/>
              </w:rPr>
            </w:pPr>
            <w:r w:rsidRPr="008E7EC3">
              <w:rPr>
                <w:rFonts w:ascii="Times New Roman" w:hAnsi="Times New Roman" w:cs="Times New Roman"/>
                <w:sz w:val="24"/>
                <w:szCs w:val="24"/>
              </w:rPr>
              <w:t>Problem Solving and Persistence</w:t>
            </w:r>
          </w:p>
          <w:p w14:paraId="059318E8" w14:textId="77777777" w:rsidR="001B072F" w:rsidRPr="008E7EC3" w:rsidRDefault="001B072F" w:rsidP="001B072F">
            <w:pPr>
              <w:contextualSpacing/>
              <w:rPr>
                <w:rFonts w:ascii="Times New Roman" w:hAnsi="Times New Roman" w:cs="Times New Roman"/>
                <w:sz w:val="24"/>
                <w:szCs w:val="24"/>
              </w:rPr>
            </w:pPr>
            <w:r w:rsidRPr="008E7EC3">
              <w:rPr>
                <w:rFonts w:ascii="Times New Roman" w:hAnsi="Times New Roman" w:cs="Times New Roman"/>
                <w:sz w:val="24"/>
                <w:szCs w:val="24"/>
              </w:rPr>
              <w:t>Flexibility</w:t>
            </w:r>
          </w:p>
        </w:tc>
      </w:tr>
      <w:tr w:rsidR="001B072F" w:rsidRPr="008E7EC3" w14:paraId="09B4AF95" w14:textId="77777777" w:rsidTr="001B072F">
        <w:tc>
          <w:tcPr>
            <w:tcW w:w="907" w:type="pct"/>
            <w:tcBorders>
              <w:bottom w:val="single" w:sz="4" w:space="0" w:color="auto"/>
            </w:tcBorders>
          </w:tcPr>
          <w:p w14:paraId="68C0B1B7" w14:textId="77777777" w:rsidR="001B072F" w:rsidRPr="008E7EC3" w:rsidRDefault="001B072F" w:rsidP="001B072F">
            <w:pPr>
              <w:contextualSpacing/>
              <w:rPr>
                <w:rFonts w:ascii="Times New Roman" w:hAnsi="Times New Roman" w:cs="Times New Roman"/>
                <w:sz w:val="24"/>
                <w:szCs w:val="24"/>
              </w:rPr>
            </w:pPr>
            <w:r w:rsidRPr="008E7EC3">
              <w:rPr>
                <w:rFonts w:ascii="Times New Roman" w:hAnsi="Times New Roman" w:cs="Times New Roman"/>
                <w:sz w:val="24"/>
                <w:szCs w:val="24"/>
              </w:rPr>
              <w:t xml:space="preserve">Dramatizing </w:t>
            </w:r>
          </w:p>
        </w:tc>
        <w:tc>
          <w:tcPr>
            <w:tcW w:w="1635" w:type="pct"/>
            <w:tcBorders>
              <w:bottom w:val="single" w:sz="4" w:space="0" w:color="auto"/>
            </w:tcBorders>
          </w:tcPr>
          <w:p w14:paraId="436EA59A" w14:textId="77777777" w:rsidR="001B072F" w:rsidRPr="008E7EC3" w:rsidRDefault="001B072F" w:rsidP="001B072F">
            <w:pPr>
              <w:contextualSpacing/>
              <w:rPr>
                <w:rFonts w:ascii="Times New Roman" w:hAnsi="Times New Roman" w:cs="Times New Roman"/>
                <w:sz w:val="24"/>
                <w:szCs w:val="24"/>
              </w:rPr>
            </w:pPr>
            <w:r w:rsidRPr="008E7EC3">
              <w:rPr>
                <w:rFonts w:ascii="Times New Roman" w:hAnsi="Times New Roman" w:cs="Times New Roman"/>
                <w:sz w:val="24"/>
                <w:szCs w:val="24"/>
              </w:rPr>
              <w:t>Pretense</w:t>
            </w:r>
            <w:r w:rsidRPr="008E7EC3">
              <w:rPr>
                <w:rFonts w:ascii="Times New Roman" w:hAnsi="Times New Roman" w:cs="Times New Roman"/>
                <w:sz w:val="24"/>
                <w:szCs w:val="24"/>
              </w:rPr>
              <w:sym w:font="Wingdings" w:char="F0E0"/>
            </w:r>
            <w:r w:rsidRPr="008E7EC3">
              <w:rPr>
                <w:rFonts w:ascii="Times New Roman" w:hAnsi="Times New Roman" w:cs="Times New Roman"/>
                <w:sz w:val="24"/>
                <w:szCs w:val="24"/>
              </w:rPr>
              <w:t xml:space="preserve">Learning </w:t>
            </w:r>
          </w:p>
        </w:tc>
        <w:tc>
          <w:tcPr>
            <w:tcW w:w="2458" w:type="pct"/>
            <w:tcBorders>
              <w:bottom w:val="single" w:sz="4" w:space="0" w:color="auto"/>
            </w:tcBorders>
          </w:tcPr>
          <w:p w14:paraId="06D3E2E9" w14:textId="77777777" w:rsidR="001B072F" w:rsidRPr="008E7EC3" w:rsidRDefault="001B072F" w:rsidP="001B072F">
            <w:pPr>
              <w:contextualSpacing/>
              <w:rPr>
                <w:rFonts w:ascii="Times New Roman" w:hAnsi="Times New Roman" w:cs="Times New Roman"/>
                <w:sz w:val="24"/>
                <w:szCs w:val="24"/>
              </w:rPr>
            </w:pPr>
            <w:r w:rsidRPr="008E7EC3">
              <w:rPr>
                <w:rFonts w:ascii="Times New Roman" w:hAnsi="Times New Roman" w:cs="Times New Roman"/>
                <w:sz w:val="24"/>
                <w:szCs w:val="24"/>
              </w:rPr>
              <w:t xml:space="preserve">Imagination and Creativity </w:t>
            </w:r>
          </w:p>
        </w:tc>
      </w:tr>
    </w:tbl>
    <w:p w14:paraId="73C09DAD" w14:textId="77777777" w:rsidR="001B072F" w:rsidRDefault="001B072F" w:rsidP="001B072F">
      <w:pPr>
        <w:ind w:firstLine="720"/>
        <w:contextualSpacing/>
      </w:pPr>
    </w:p>
    <w:p w14:paraId="741E552A" w14:textId="08A1AE55" w:rsidR="001B072F" w:rsidRDefault="006C5E41" w:rsidP="006C5E41">
      <w:pPr>
        <w:tabs>
          <w:tab w:val="left" w:pos="720"/>
        </w:tabs>
        <w:contextualSpacing/>
      </w:pPr>
      <w:r>
        <w:t xml:space="preserve">naturally curious: they ask questions and explore their environment to understand the world around them </w:t>
      </w:r>
      <w:r w:rsidRPr="009A6864">
        <w:t>(</w:t>
      </w:r>
      <w:proofErr w:type="spellStart"/>
      <w:r w:rsidRPr="009A6864">
        <w:t>Chak</w:t>
      </w:r>
      <w:proofErr w:type="spellEnd"/>
      <w:r w:rsidRPr="009A6864">
        <w:t>, 2007)</w:t>
      </w:r>
      <w:r>
        <w:t xml:space="preserve">. </w:t>
      </w:r>
      <w:r w:rsidRPr="001A0DFB">
        <w:rPr>
          <w:rFonts w:cs="Tellural"/>
          <w:color w:val="000000"/>
        </w:rPr>
        <w:t>Curiosity compels children to touch, taste, smell</w:t>
      </w:r>
      <w:r w:rsidR="000B4B73">
        <w:rPr>
          <w:rFonts w:cs="Tellural"/>
          <w:color w:val="000000"/>
        </w:rPr>
        <w:t>,</w:t>
      </w:r>
      <w:r w:rsidRPr="001A0DFB">
        <w:rPr>
          <w:rFonts w:cs="Tellural"/>
          <w:color w:val="000000"/>
        </w:rPr>
        <w:t xml:space="preserve"> and</w:t>
      </w:r>
      <w:r w:rsidRPr="00B004BD">
        <w:rPr>
          <w:sz w:val="28"/>
        </w:rPr>
        <w:t xml:space="preserve"> </w:t>
      </w:r>
      <w:r w:rsidRPr="00B004BD">
        <w:t>discover.</w:t>
      </w:r>
      <w:r>
        <w:rPr>
          <w:sz w:val="28"/>
        </w:rPr>
        <w:t xml:space="preserve"> </w:t>
      </w:r>
      <w:r w:rsidR="001B072F">
        <w:t xml:space="preserve">An initial interest in ladybugs may prompt children to ask questions about what they eat, where they live, etc. Persistence and problem-solving often co-occur. Persistent thinkers take risks and are willing to engage in trial and error to verify their results. Persistence involves maintaining focus on and investing energy into a task. It may include following a series of steps to complete a </w:t>
      </w:r>
      <w:r w:rsidR="001B072F">
        <w:lastRenderedPageBreak/>
        <w:t xml:space="preserve">project, setting a goal, or continuing despite frustration. It also describes the strategies a child may use to overcome a difficult task </w:t>
      </w:r>
      <w:r w:rsidR="001B072F" w:rsidRPr="009A6864">
        <w:t>(Chang &amp; Olson, 2016)</w:t>
      </w:r>
      <w:r w:rsidR="001B072F">
        <w:t>.</w:t>
      </w:r>
      <w:r w:rsidR="001B072F" w:rsidRPr="001A0DFB">
        <w:t xml:space="preserve"> </w:t>
      </w:r>
    </w:p>
    <w:p w14:paraId="4AB610D0" w14:textId="01D84DB1" w:rsidR="001B072F" w:rsidRDefault="001B072F" w:rsidP="001B072F">
      <w:pPr>
        <w:tabs>
          <w:tab w:val="left" w:pos="720"/>
        </w:tabs>
        <w:contextualSpacing/>
      </w:pPr>
      <w:r>
        <w:tab/>
        <w:t>While children are naturally curious problem-solvers, they need interventions from adults to direct their curiosity into testable hypotheses. Children’s initial curiosity may lead them to ask questions</w:t>
      </w:r>
      <w:r w:rsidR="000B4B73">
        <w:t>,</w:t>
      </w:r>
      <w:r>
        <w:t xml:space="preserve"> including “why is the grass green?” which may be </w:t>
      </w:r>
      <w:r w:rsidR="000B4B73">
        <w:t>challenging</w:t>
      </w:r>
      <w:r>
        <w:t xml:space="preserve"> to explore. However, as children are given more opportunities, they can develop more sophisticated questions and testable hypotheses, such as “what are the ways I can get water to move?” (</w:t>
      </w:r>
      <w:proofErr w:type="spellStart"/>
      <w:r>
        <w:t>Chalufour</w:t>
      </w:r>
      <w:proofErr w:type="spellEnd"/>
      <w:r>
        <w:t xml:space="preserve"> &amp; Worth, 2005). Children learn how to persist through trial and error and to create models to represent their thinking </w:t>
      </w:r>
      <w:r w:rsidRPr="009A6864">
        <w:t>(Bustamante, White, et al., 2018)</w:t>
      </w:r>
      <w:r>
        <w:t xml:space="preserve">. </w:t>
      </w:r>
    </w:p>
    <w:p w14:paraId="45AFCC69" w14:textId="622937F2" w:rsidR="001B072F" w:rsidRDefault="001B072F" w:rsidP="001B072F">
      <w:pPr>
        <w:tabs>
          <w:tab w:val="left" w:pos="720"/>
        </w:tabs>
        <w:contextualSpacing/>
      </w:pPr>
      <w:r>
        <w:tab/>
        <w:t>Another aspect of AtL is flexibility. Flexible thinking helps children to consider a problem from multiple perspectives, adjust their approach to new information</w:t>
      </w:r>
      <w:r w:rsidR="000B4B73">
        <w:t>,</w:t>
      </w:r>
      <w:r>
        <w:t xml:space="preserve"> or plan the next steps. In young children, flexible thinking often includes being able to apply or combine existing knowledge in new ways (National Research Council, 2012). As children engage in object exploration, they continue to refine their working theories about the way the world works by combining initial hunches with new data. As children enter formal schooling, this ability to flexibly combine knowledge will be critical as they refine their thinking given more formal or scientific theories. </w:t>
      </w:r>
    </w:p>
    <w:p w14:paraId="0441B19D" w14:textId="77777777" w:rsidR="001B072F" w:rsidRPr="00F63742" w:rsidRDefault="001B072F" w:rsidP="001B072F">
      <w:pPr>
        <w:pStyle w:val="Heading2"/>
      </w:pPr>
      <w:bookmarkStart w:id="46" w:name="_Toc46265480"/>
      <w:r>
        <w:t>Imagination and Creativity</w:t>
      </w:r>
      <w:bookmarkEnd w:id="46"/>
      <w:r>
        <w:t xml:space="preserve"> </w:t>
      </w:r>
    </w:p>
    <w:p w14:paraId="674782DD" w14:textId="77777777" w:rsidR="001B072F" w:rsidRDefault="001B072F" w:rsidP="001B072F">
      <w:pPr>
        <w:ind w:firstLine="720"/>
        <w:contextualSpacing/>
      </w:pPr>
      <w:r>
        <w:t xml:space="preserve">Engaging in complex pretend play helps children develop the imagination and creativity necessary to understand the more abstract world. Vygotsky </w:t>
      </w:r>
      <w:r w:rsidRPr="009A6864">
        <w:t>(2004)</w:t>
      </w:r>
      <w:r>
        <w:t xml:space="preserve"> described imagination as having a dual role in moving children between reality and pretense, and as such, </w:t>
      </w:r>
      <w:r w:rsidRPr="000F4C30">
        <w:t>serves as a bridge between play and learning</w:t>
      </w:r>
      <w:r>
        <w:t xml:space="preserve">. Through pretend play, children develop the underlying cognitive abilities to assign meaning to objects and people </w:t>
      </w:r>
      <w:r w:rsidRPr="009A6864">
        <w:t>(Fleer, 2011a)</w:t>
      </w:r>
      <w:r>
        <w:t>. This ability to re-</w:t>
      </w:r>
      <w:r>
        <w:lastRenderedPageBreak/>
        <w:t xml:space="preserve">imagine information will support children as they understand the more formal symbolic representations in school—letters, numerals, place value, gravity, etc. </w:t>
      </w:r>
    </w:p>
    <w:p w14:paraId="3D744648" w14:textId="35790F44" w:rsidR="001B072F" w:rsidRDefault="001B072F" w:rsidP="001B072F">
      <w:pPr>
        <w:ind w:firstLine="720"/>
        <w:contextualSpacing/>
      </w:pPr>
      <w:r w:rsidRPr="000F4C30">
        <w:t>Imagination is a generative mental activity that allows children to create new ways of thinking (</w:t>
      </w:r>
      <w:proofErr w:type="spellStart"/>
      <w:r w:rsidRPr="000F4C30">
        <w:t>Bodrova</w:t>
      </w:r>
      <w:proofErr w:type="spellEnd"/>
      <w:r w:rsidRPr="000F4C30">
        <w:t xml:space="preserve"> &amp; Leong, 2006).</w:t>
      </w:r>
      <w:r>
        <w:t xml:space="preserve"> Through pretend play, children impose meaning on an object—the block becomes the walkie-talkie. Children rely on their imaginations to see the object not just as a block but as whatever meaning they have assigned to that object; children move further from physical reality as they use their walkie-talkie in play. Inversely, children imbue meaning when they enact roles during pretend play that moves them towards reality. Children use pretend play to examine the rules associated with that role, such as being a police</w:t>
      </w:r>
      <w:r w:rsidR="000B4B73">
        <w:t xml:space="preserve"> officer </w:t>
      </w:r>
      <w:r>
        <w:t xml:space="preserve">or construction worker. Children then use their imagination to envision a situation to play out that role. Early play may focus on being a police officer and everything that is involved in police work. However, as play advances, children focus on adventures the police may have as they fight crime together; the rules associated with the role are less important. Imagination helps support these transitions between reality and fantasy, just as AtL helps support children’s learning through interactions with materials and adults. </w:t>
      </w:r>
    </w:p>
    <w:p w14:paraId="30B90482" w14:textId="3F5F7584" w:rsidR="001B072F" w:rsidRDefault="001B072F" w:rsidP="001B072F">
      <w:pPr>
        <w:ind w:firstLine="720"/>
        <w:contextualSpacing/>
        <w:rPr>
          <w:b/>
          <w:bCs/>
        </w:rPr>
      </w:pPr>
      <w:r>
        <w:t>Through play, children develop process-oriented skills</w:t>
      </w:r>
      <w:r w:rsidR="000B4B73">
        <w:t>,</w:t>
      </w:r>
      <w:r>
        <w:t xml:space="preserve"> including curiosity, flexibility, problem-solving, and imagination. These learning-to-learn skills serve as underlying competencies </w:t>
      </w:r>
      <w:r w:rsidR="000B4B73">
        <w:t>that</w:t>
      </w:r>
      <w:r>
        <w:t xml:space="preserve"> support children’s efforts to learn in the classroom. </w:t>
      </w:r>
      <w:r w:rsidR="00781EE0">
        <w:t xml:space="preserve">Vygotsky’s cultural-historical theory highlights both how and in what context children develop AtL. </w:t>
      </w:r>
      <w:r>
        <w:t>Through pretend play in the grocery store, children develop problem-solving and creativity to create a system of buying and selling based on hand-written tickets symboliz</w:t>
      </w:r>
      <w:r w:rsidR="006C5E41">
        <w:t>ing</w:t>
      </w:r>
      <w:r>
        <w:t xml:space="preserve"> money. They understand both the process of exchange as well as how to explain that process to others. </w:t>
      </w:r>
      <w:r w:rsidR="00781EE0">
        <w:t xml:space="preserve">Through engaging in both kinds of play, children participate in social contexts that teach children how to learn. </w:t>
      </w:r>
      <w:r>
        <w:t xml:space="preserve">However, to </w:t>
      </w:r>
      <w:r>
        <w:lastRenderedPageBreak/>
        <w:t xml:space="preserve">reap the maximum benefits of play, teachers must be able to provide opportunities for children to engage in these experiences and </w:t>
      </w:r>
      <w:r w:rsidR="000B4B73">
        <w:t>appropriate</w:t>
      </w:r>
      <w:r>
        <w:t xml:space="preserve">ly scaffold their play. </w:t>
      </w:r>
      <w:proofErr w:type="gramStart"/>
      <w:r>
        <w:t>In particular, teachers</w:t>
      </w:r>
      <w:proofErr w:type="gramEnd"/>
      <w:r>
        <w:t xml:space="preserve"> can scaffold children’s exploration through inquiry-based science activities and pretend play </w:t>
      </w:r>
      <w:r w:rsidR="000B4B73">
        <w:t>related to different roles in the classroom</w:t>
      </w:r>
      <w:r>
        <w:t xml:space="preserve">. </w:t>
      </w:r>
    </w:p>
    <w:p w14:paraId="44EECC96" w14:textId="77777777" w:rsidR="001B072F" w:rsidRPr="0091681C" w:rsidRDefault="001B072F" w:rsidP="001B072F">
      <w:pPr>
        <w:pStyle w:val="Heading1"/>
      </w:pPr>
      <w:bookmarkStart w:id="47" w:name="_Toc46265481"/>
      <w:r>
        <w:t>Amplifying Approaches to Learning</w:t>
      </w:r>
      <w:bookmarkEnd w:id="47"/>
      <w:r>
        <w:t xml:space="preserve"> </w:t>
      </w:r>
    </w:p>
    <w:p w14:paraId="182B7CC6" w14:textId="77777777" w:rsidR="001B072F" w:rsidRDefault="001B072F" w:rsidP="001B072F">
      <w:pPr>
        <w:contextualSpacing/>
      </w:pPr>
      <w:r>
        <w:tab/>
        <w:t xml:space="preserve">Play potentially fulfills a critical role in advancing children’s persistence, problem-solving, imagination, and creativity. However, not all play will lead to optimal developmental outcomes that boost children’s school readiness </w:t>
      </w:r>
      <w:r w:rsidRPr="006B3144">
        <w:t>(</w:t>
      </w:r>
      <w:proofErr w:type="spellStart"/>
      <w:r w:rsidRPr="006B3144">
        <w:t>Bodrova</w:t>
      </w:r>
      <w:proofErr w:type="spellEnd"/>
      <w:r w:rsidRPr="006B3144">
        <w:t xml:space="preserve"> &amp; Leong, 2005)</w:t>
      </w:r>
      <w:r>
        <w:t xml:space="preserve">. To support the development of AtL, it is not merely a matter of offering children materials to engage in play or allowing for free play in between academic sessions </w:t>
      </w:r>
      <w:r w:rsidRPr="009A6864">
        <w:t>(</w:t>
      </w:r>
      <w:proofErr w:type="spellStart"/>
      <w:r w:rsidRPr="009A6864">
        <w:t>Scharer</w:t>
      </w:r>
      <w:proofErr w:type="spellEnd"/>
      <w:r w:rsidRPr="009A6864">
        <w:t>, 2017)</w:t>
      </w:r>
      <w:r>
        <w:t xml:space="preserve">. Educational practices should integrate play into the curriculum in structured ways that support children’s initiative and creativity </w:t>
      </w:r>
      <w:r w:rsidRPr="009A6864">
        <w:t>(</w:t>
      </w:r>
      <w:proofErr w:type="spellStart"/>
      <w:r w:rsidRPr="009A6864">
        <w:t>Nicolopoulou</w:t>
      </w:r>
      <w:proofErr w:type="spellEnd"/>
      <w:r w:rsidRPr="009A6864">
        <w:t xml:space="preserve">, Barbosa de Sa, </w:t>
      </w:r>
      <w:proofErr w:type="spellStart"/>
      <w:r w:rsidRPr="009A6864">
        <w:t>Ilgaz</w:t>
      </w:r>
      <w:proofErr w:type="spellEnd"/>
      <w:r w:rsidRPr="009A6864">
        <w:t xml:space="preserve">, &amp; </w:t>
      </w:r>
      <w:proofErr w:type="spellStart"/>
      <w:r w:rsidRPr="009A6864">
        <w:t>Brockmeyer</w:t>
      </w:r>
      <w:proofErr w:type="spellEnd"/>
      <w:r w:rsidRPr="009A6864">
        <w:t>, 2009)</w:t>
      </w:r>
      <w:r>
        <w:t xml:space="preserve">. </w:t>
      </w:r>
      <w:proofErr w:type="spellStart"/>
      <w:r>
        <w:t>Zaporozhets</w:t>
      </w:r>
      <w:proofErr w:type="spellEnd"/>
      <w:r>
        <w:t xml:space="preserve">, a student of Vygotsky, described this kind of curriculum as the </w:t>
      </w:r>
      <w:r w:rsidRPr="006B3144">
        <w:rPr>
          <w:i/>
          <w:iCs/>
        </w:rPr>
        <w:t>amplification</w:t>
      </w:r>
      <w:r>
        <w:t xml:space="preserve"> of child development, wherein particular curricula promote children’s development through activities uniquely suited to children’s capabilities, i.e., leading activities </w:t>
      </w:r>
      <w:r w:rsidRPr="006B3144">
        <w:t>(</w:t>
      </w:r>
      <w:proofErr w:type="spellStart"/>
      <w:r w:rsidRPr="006B3144">
        <w:t>Bodrova</w:t>
      </w:r>
      <w:proofErr w:type="spellEnd"/>
      <w:r w:rsidRPr="006B3144">
        <w:t xml:space="preserve"> &amp; Leong, 2005)</w:t>
      </w:r>
      <w:r>
        <w:t xml:space="preserve">. </w:t>
      </w:r>
    </w:p>
    <w:p w14:paraId="575E6915" w14:textId="77777777" w:rsidR="001B072F" w:rsidRDefault="001B072F" w:rsidP="001B072F">
      <w:pPr>
        <w:ind w:firstLine="720"/>
        <w:contextualSpacing/>
        <w:rPr>
          <w:b/>
          <w:bCs/>
        </w:rPr>
      </w:pPr>
      <w:r>
        <w:t xml:space="preserve">Children’s AtL can be amplified in today’s curriculum through play-based activities, which encourage them to explore and engage in dramatic play. Teachers’ use of play-based curricula provides the essential scaffold to support the development of AtL </w:t>
      </w:r>
      <w:r w:rsidRPr="009A6864">
        <w:t>(Stone, 2017)</w:t>
      </w:r>
      <w:r>
        <w:t xml:space="preserve">. While play provides a rich context for children to improve their imagination, self-regulation, and other school readiness skills, to truly become a head taller in play, children need intentional adult scaffolding to help infuse meaning through play </w:t>
      </w:r>
      <w:r w:rsidRPr="009A6864">
        <w:t xml:space="preserve">(van </w:t>
      </w:r>
      <w:proofErr w:type="spellStart"/>
      <w:r w:rsidRPr="009A6864">
        <w:t>Oers</w:t>
      </w:r>
      <w:proofErr w:type="spellEnd"/>
      <w:r w:rsidRPr="009A6864">
        <w:t>, 2010)</w:t>
      </w:r>
      <w:r>
        <w:t xml:space="preserve">. The examples that follow demonstrate how teachers can scaffold children’s object exploration and dramatic play in ways that nurture AtL. Ultimately, in Vygotsky’s </w:t>
      </w:r>
      <w:r w:rsidRPr="0053698C">
        <w:rPr>
          <w:i/>
          <w:iCs/>
        </w:rPr>
        <w:t>play AS learning</w:t>
      </w:r>
      <w:r>
        <w:t xml:space="preserve">, teachers can scaffold children’s </w:t>
      </w:r>
      <w:r>
        <w:lastRenderedPageBreak/>
        <w:t xml:space="preserve">play to support readiness for learning </w:t>
      </w:r>
      <w:r w:rsidRPr="009A6864">
        <w:t xml:space="preserve">(Ginsberg, 2006; Stipek, 2006; Worthington &amp; van </w:t>
      </w:r>
      <w:proofErr w:type="spellStart"/>
      <w:r w:rsidRPr="009A6864">
        <w:t>Oers</w:t>
      </w:r>
      <w:proofErr w:type="spellEnd"/>
      <w:r w:rsidRPr="009A6864">
        <w:t>, 2016)</w:t>
      </w:r>
      <w:r>
        <w:t xml:space="preserve">. </w:t>
      </w:r>
    </w:p>
    <w:p w14:paraId="5BF22A76" w14:textId="77777777" w:rsidR="001B072F" w:rsidRDefault="001B072F" w:rsidP="001B072F">
      <w:pPr>
        <w:pStyle w:val="Heading2"/>
      </w:pPr>
      <w:bookmarkStart w:id="48" w:name="_Toc46265482"/>
      <w:r>
        <w:t>Using Scientific Inquiry to support AtL</w:t>
      </w:r>
      <w:bookmarkEnd w:id="48"/>
      <w:r>
        <w:t xml:space="preserve"> </w:t>
      </w:r>
    </w:p>
    <w:p w14:paraId="7453D6EB" w14:textId="231509F0" w:rsidR="001B072F" w:rsidRPr="00712450" w:rsidRDefault="001B072F" w:rsidP="001B072F">
      <w:pPr>
        <w:ind w:firstLine="720"/>
        <w:contextualSpacing/>
      </w:pPr>
      <w:r>
        <w:t xml:space="preserve">Engaging in scientific exploration allows children can test out different hypotheses, explore alternative theories, and create models of their thinking, all process-oriented skills supported by AtL </w:t>
      </w:r>
      <w:r w:rsidRPr="009A6864">
        <w:t xml:space="preserve">(Bustamante, Greenfield, &amp; </w:t>
      </w:r>
      <w:proofErr w:type="spellStart"/>
      <w:r w:rsidRPr="009A6864">
        <w:t>Nayfeld</w:t>
      </w:r>
      <w:proofErr w:type="spellEnd"/>
      <w:r w:rsidRPr="009A6864">
        <w:t>, 2018)</w:t>
      </w:r>
      <w:r>
        <w:t xml:space="preserve">. Children’s play provides many opportunities to </w:t>
      </w:r>
      <w:r w:rsidR="000B4B73">
        <w:t>explore scientific concepts naturally</w:t>
      </w:r>
      <w:r>
        <w:t xml:space="preserve"> and to develop everyday knowledge </w:t>
      </w:r>
      <w:r w:rsidRPr="009A6864">
        <w:t>(Worth, 2010)</w:t>
      </w:r>
      <w:r>
        <w:t xml:space="preserve">. At its core, inquiry-based science is “exploration of phenomena and materials” </w:t>
      </w:r>
      <w:r w:rsidRPr="009A6864">
        <w:t>(Worth, 2010, p. 3)</w:t>
      </w:r>
      <w:r>
        <w:t xml:space="preserve">. By engaging in exploratory play, children can develop inquiry skills, such as observing, asking questions, providing explanations, interpreting, and sharing ideas </w:t>
      </w:r>
      <w:r w:rsidRPr="009A6864">
        <w:t>(National Research Council, 2000)</w:t>
      </w:r>
      <w:r>
        <w:t>.</w:t>
      </w:r>
      <w:r w:rsidRPr="00712450">
        <w:rPr>
          <w:color w:val="7030A0"/>
        </w:rPr>
        <w:t xml:space="preserve"> </w:t>
      </w:r>
      <w:r>
        <w:t xml:space="preserve">As the first steps in the process of inquiry, children often notice and wonder why. </w:t>
      </w:r>
      <w:r w:rsidR="0087183B">
        <w:t xml:space="preserve">Children may first observe how balls roll down ramps and wonder why this is so. </w:t>
      </w:r>
      <w:r>
        <w:t>This noticing and “</w:t>
      </w:r>
      <w:r w:rsidRPr="0053698C">
        <w:t>mere looking</w:t>
      </w:r>
      <w:r>
        <w:t xml:space="preserve">” is essential </w:t>
      </w:r>
      <w:r w:rsidRPr="009A6864">
        <w:t>(</w:t>
      </w:r>
      <w:proofErr w:type="spellStart"/>
      <w:r w:rsidRPr="009A6864">
        <w:t>Eshach</w:t>
      </w:r>
      <w:proofErr w:type="spellEnd"/>
      <w:r w:rsidRPr="009A6864">
        <w:t xml:space="preserve"> &amp; Fried, 2005, p. 320)</w:t>
      </w:r>
      <w:r>
        <w:t xml:space="preserve">. In addition, the scientific process involves cyclical thinking as children test ideas, refine theories, and re-test. Continued exploration of ramps or balls of different sizes helps children develop an understanding of force and motion </w:t>
      </w:r>
      <w:r w:rsidRPr="009A6864">
        <w:t xml:space="preserve">(Hamlin &amp; </w:t>
      </w:r>
      <w:proofErr w:type="spellStart"/>
      <w:r w:rsidRPr="009A6864">
        <w:t>Wisneski</w:t>
      </w:r>
      <w:proofErr w:type="spellEnd"/>
      <w:r w:rsidRPr="009A6864">
        <w:t>, 2012)</w:t>
      </w:r>
      <w:r>
        <w:t xml:space="preserve">. </w:t>
      </w:r>
    </w:p>
    <w:p w14:paraId="4F68DE58" w14:textId="7FC60F18" w:rsidR="001B072F" w:rsidRDefault="001B072F" w:rsidP="001B072F">
      <w:pPr>
        <w:contextualSpacing/>
      </w:pPr>
      <w:r>
        <w:tab/>
        <w:t>Scaffolding children’s inquiry-based explorations help</w:t>
      </w:r>
      <w:r w:rsidR="000B4B73">
        <w:t>s</w:t>
      </w:r>
      <w:r>
        <w:t xml:space="preserve"> children develop working theories. </w:t>
      </w:r>
      <w:proofErr w:type="spellStart"/>
      <w:r>
        <w:t>Hamil</w:t>
      </w:r>
      <w:proofErr w:type="spellEnd"/>
      <w:r>
        <w:t xml:space="preserve"> and </w:t>
      </w:r>
      <w:proofErr w:type="spellStart"/>
      <w:r>
        <w:t>Wisneski</w:t>
      </w:r>
      <w:proofErr w:type="spellEnd"/>
      <w:r>
        <w:t xml:space="preserve"> (2012) describe how one group of children developed an understanding of exoskeletons by examining cicada shells found on the playground. Children wondered if the shells were alive or dead, and sought an answer by touching, squeezing, examining with a microscope, and rubbing the shells onto other objects. The teacher provided books about insects and different exoskeletons for the children to compare. She also encouraged children to draw what they found in books and on the playground to represent their </w:t>
      </w:r>
      <w:r>
        <w:lastRenderedPageBreak/>
        <w:t xml:space="preserve">understanding. These models helped children refine their thinking about living animals while also supporting their understanding of more scientific terminology about the characteristics of insects. </w:t>
      </w:r>
    </w:p>
    <w:p w14:paraId="0526C23E" w14:textId="2070D01C" w:rsidR="001B072F" w:rsidRDefault="001B072F" w:rsidP="001B072F">
      <w:pPr>
        <w:contextualSpacing/>
      </w:pPr>
      <w:r>
        <w:tab/>
      </w:r>
      <w:r w:rsidRPr="002A3344">
        <w:t xml:space="preserve"> </w:t>
      </w:r>
      <w:r>
        <w:t xml:space="preserve">Another example is provided by </w:t>
      </w:r>
      <w:proofErr w:type="spellStart"/>
      <w:r>
        <w:t>Chalufour</w:t>
      </w:r>
      <w:proofErr w:type="spellEnd"/>
      <w:r>
        <w:t xml:space="preserve"> and Worth (2005) in their description of a unit on children’s exploration with water. In this example, the teacher scaffolds the children’s attempt to answer the question, ‘how can I make water move?’ At the water table, children are </w:t>
      </w:r>
      <w:r w:rsidR="0087183B">
        <w:t xml:space="preserve">first </w:t>
      </w:r>
      <w:r>
        <w:t xml:space="preserve">provided with materials that support their exploration of water movement: funnels, rubber tubing and connectors, and a wire water wall, a structure that allows children to hold funnels and tubing securely at various spots in the water table. Children may have developed prior working theories about ways to make water move through physical movement or blowing. However, as children explore the water wall, they discover </w:t>
      </w:r>
      <w:r w:rsidR="0087183B">
        <w:t xml:space="preserve">how the </w:t>
      </w:r>
      <w:r>
        <w:t xml:space="preserve">water level impacts the amount of water and air necessary to move water. They begin to ask more refined questions, such as “what makes water move fast or slow” or “how can I move water up?” They also begin to plan, predict, </w:t>
      </w:r>
      <w:proofErr w:type="gramStart"/>
      <w:r>
        <w:t>take action</w:t>
      </w:r>
      <w:proofErr w:type="gramEnd"/>
      <w:r>
        <w:t xml:space="preserve">, and reflect on what happened </w:t>
      </w:r>
      <w:r w:rsidRPr="009A6864">
        <w:t>(Worth, 2010)</w:t>
      </w:r>
      <w:r>
        <w:t>. This kind of exploration provides multiple opportunities to develop AtL by encouraging children to problem-solve (how can I use different containers to get water from one spot to another?) and persist</w:t>
      </w:r>
      <w:r w:rsidR="0087183B">
        <w:t xml:space="preserve"> through spills and setbacks. </w:t>
      </w:r>
    </w:p>
    <w:p w14:paraId="3AF68A0F" w14:textId="77777777" w:rsidR="001B072F" w:rsidRDefault="001B072F" w:rsidP="001B072F">
      <w:pPr>
        <w:pStyle w:val="Heading2"/>
      </w:pPr>
      <w:bookmarkStart w:id="49" w:name="_Toc46265483"/>
      <w:r>
        <w:t>Enacting Roles in the Classroom</w:t>
      </w:r>
      <w:bookmarkEnd w:id="49"/>
      <w:r>
        <w:t xml:space="preserve"> </w:t>
      </w:r>
    </w:p>
    <w:p w14:paraId="26D5E96F" w14:textId="77777777" w:rsidR="0087183B" w:rsidRDefault="001B072F" w:rsidP="001B072F">
      <w:pPr>
        <w:ind w:firstLine="720"/>
        <w:contextualSpacing/>
      </w:pPr>
      <w:r w:rsidRPr="00432010">
        <w:t xml:space="preserve">Pretend play presents a rich environment for children to practice and act on what they have seen in the environment (Munn &amp; Schaffer, 1993). </w:t>
      </w:r>
      <w:r w:rsidR="0087183B">
        <w:t xml:space="preserve">It also </w:t>
      </w:r>
      <w:r>
        <w:t xml:space="preserve">provides multiple contexts for the development of process-oriented skills when teachers take opportunities to capitalize on content-oriented concepts inherent in many children’s play. </w:t>
      </w:r>
      <w:r w:rsidR="0087183B">
        <w:t xml:space="preserve">Children can </w:t>
      </w:r>
      <w:r w:rsidR="0087183B" w:rsidRPr="00432010">
        <w:t xml:space="preserve">extend </w:t>
      </w:r>
      <w:r w:rsidR="0087183B">
        <w:t xml:space="preserve">abstract </w:t>
      </w:r>
      <w:r w:rsidR="0087183B" w:rsidRPr="00432010">
        <w:t>ideas about number</w:t>
      </w:r>
      <w:r w:rsidR="0087183B">
        <w:t xml:space="preserve"> </w:t>
      </w:r>
      <w:r w:rsidR="0087183B" w:rsidRPr="00432010">
        <w:t xml:space="preserve">because </w:t>
      </w:r>
      <w:r w:rsidR="0087183B">
        <w:t>they have tested</w:t>
      </w:r>
      <w:r w:rsidR="0087183B" w:rsidRPr="00432010">
        <w:t xml:space="preserve"> relationships between objects through play</w:t>
      </w:r>
      <w:r w:rsidR="0087183B">
        <w:t xml:space="preserve"> </w:t>
      </w:r>
      <w:r w:rsidR="0087183B" w:rsidRPr="009A6864">
        <w:t>(Paz-</w:t>
      </w:r>
      <w:proofErr w:type="spellStart"/>
      <w:r w:rsidR="0087183B" w:rsidRPr="009A6864">
        <w:t>Albo</w:t>
      </w:r>
      <w:proofErr w:type="spellEnd"/>
      <w:r w:rsidR="0087183B" w:rsidRPr="009A6864">
        <w:t xml:space="preserve"> Prieto, </w:t>
      </w:r>
      <w:proofErr w:type="spellStart"/>
      <w:r w:rsidR="0087183B" w:rsidRPr="009A6864">
        <w:t>Cvencek</w:t>
      </w:r>
      <w:proofErr w:type="spellEnd"/>
      <w:r w:rsidR="0087183B" w:rsidRPr="009A6864">
        <w:t xml:space="preserve">, </w:t>
      </w:r>
      <w:proofErr w:type="spellStart"/>
      <w:r w:rsidR="0087183B" w:rsidRPr="009A6864">
        <w:t>Herranz</w:t>
      </w:r>
      <w:proofErr w:type="spellEnd"/>
      <w:r w:rsidR="0087183B" w:rsidRPr="009A6864">
        <w:t xml:space="preserve"> </w:t>
      </w:r>
      <w:proofErr w:type="spellStart"/>
      <w:r w:rsidR="0087183B" w:rsidRPr="009A6864">
        <w:t>Llácer</w:t>
      </w:r>
      <w:proofErr w:type="spellEnd"/>
      <w:r w:rsidR="0087183B" w:rsidRPr="009A6864">
        <w:t xml:space="preserve">, </w:t>
      </w:r>
      <w:proofErr w:type="spellStart"/>
      <w:r w:rsidR="0087183B" w:rsidRPr="009A6864">
        <w:t>Hervás</w:t>
      </w:r>
      <w:proofErr w:type="spellEnd"/>
      <w:r w:rsidR="0087183B" w:rsidRPr="009A6864">
        <w:t xml:space="preserve"> Escobar, &amp; Meltzoff, 2017; </w:t>
      </w:r>
      <w:proofErr w:type="spellStart"/>
      <w:r w:rsidR="0087183B" w:rsidRPr="009A6864">
        <w:t>Sarama</w:t>
      </w:r>
      <w:proofErr w:type="spellEnd"/>
      <w:r w:rsidR="0087183B" w:rsidRPr="009A6864">
        <w:t xml:space="preserve"> &amp; Clements, 2009)</w:t>
      </w:r>
      <w:r w:rsidR="0087183B">
        <w:t xml:space="preserve">. </w:t>
      </w:r>
    </w:p>
    <w:p w14:paraId="703A7485" w14:textId="22EC798C" w:rsidR="001B072F" w:rsidRDefault="001B072F" w:rsidP="0087183B">
      <w:pPr>
        <w:ind w:firstLine="720"/>
        <w:contextualSpacing/>
      </w:pPr>
      <w:r>
        <w:lastRenderedPageBreak/>
        <w:t xml:space="preserve">By encouraging children to make meaning through their pretend play, teachers can support the development of imagination and creativity (Perry, Young-Loveridge, </w:t>
      </w:r>
      <w:proofErr w:type="spellStart"/>
      <w:r>
        <w:t>Dolckett</w:t>
      </w:r>
      <w:proofErr w:type="spellEnd"/>
      <w:r>
        <w:t xml:space="preserve">, &amp; Doig, 2008). One activity described by </w:t>
      </w:r>
      <w:proofErr w:type="spellStart"/>
      <w:r>
        <w:t>Karpov</w:t>
      </w:r>
      <w:proofErr w:type="spellEnd"/>
      <w:r>
        <w:t xml:space="preserve"> </w:t>
      </w:r>
      <w:r w:rsidRPr="009A6864">
        <w:t>(2014)</w:t>
      </w:r>
      <w:r>
        <w:t xml:space="preserve"> is architects, builders</w:t>
      </w:r>
      <w:r w:rsidR="000B4B73">
        <w:t>,</w:t>
      </w:r>
      <w:r>
        <w:t xml:space="preserve"> and building inspectors. </w:t>
      </w:r>
      <w:r w:rsidR="0087183B">
        <w:t>T</w:t>
      </w:r>
      <w:r>
        <w:t xml:space="preserve">he teacher encouraged the children to be architects (to draw houses), builders, who looked at designs and created houses, and building inspectors, who ensured that the house or castle matched the drawings. </w:t>
      </w:r>
      <w:r w:rsidR="0087183B">
        <w:t>C</w:t>
      </w:r>
      <w:r>
        <w:t xml:space="preserve">hildren </w:t>
      </w:r>
      <w:r w:rsidR="0087183B">
        <w:t>developed their s</w:t>
      </w:r>
      <w:r>
        <w:t xml:space="preserve">ymbolic representation </w:t>
      </w:r>
      <w:r w:rsidR="0087183B">
        <w:t xml:space="preserve">by </w:t>
      </w:r>
      <w:r>
        <w:t>us</w:t>
      </w:r>
      <w:r w:rsidR="0087183B">
        <w:t>ing</w:t>
      </w:r>
      <w:r>
        <w:t xml:space="preserve"> blocks as substitutes for objects and us</w:t>
      </w:r>
      <w:r w:rsidR="0087183B">
        <w:t>ing</w:t>
      </w:r>
      <w:r>
        <w:t xml:space="preserve"> drawings as substitutes for block configurations. The building inspectors used both kinds of representations to check them against one another. As children</w:t>
      </w:r>
      <w:r w:rsidR="0087183B">
        <w:t xml:space="preserve"> enacted roles as architects</w:t>
      </w:r>
      <w:r w:rsidR="006E5125">
        <w:t>,</w:t>
      </w:r>
      <w:r w:rsidR="0087183B">
        <w:t xml:space="preserve"> they developed creativity by representing buildings as</w:t>
      </w:r>
      <w:r>
        <w:t xml:space="preserve"> houses, castles, apartments, or cabins.</w:t>
      </w:r>
      <w:r w:rsidR="006E5125">
        <w:t xml:space="preserve"> As builders, they </w:t>
      </w:r>
      <w:r>
        <w:t>imaginatively re-create</w:t>
      </w:r>
      <w:r w:rsidR="006E5125">
        <w:t>d</w:t>
      </w:r>
      <w:r>
        <w:t xml:space="preserve"> an object or building that they have seen, both with blocks and on paper. </w:t>
      </w:r>
    </w:p>
    <w:p w14:paraId="0D951478" w14:textId="3F7FFC86" w:rsidR="001B072F" w:rsidRDefault="001B072F" w:rsidP="001B072F">
      <w:pPr>
        <w:contextualSpacing/>
      </w:pPr>
      <w:r>
        <w:tab/>
        <w:t xml:space="preserve">In another activity, described by </w:t>
      </w:r>
      <w:proofErr w:type="spellStart"/>
      <w:r>
        <w:t>Nicolopoulou</w:t>
      </w:r>
      <w:proofErr w:type="spellEnd"/>
      <w:r>
        <w:t xml:space="preserve"> et al. </w:t>
      </w:r>
      <w:r w:rsidRPr="009A6864">
        <w:t>(2009)</w:t>
      </w:r>
      <w:r>
        <w:t xml:space="preserve">, children engaged in storytelling/story acting. </w:t>
      </w:r>
      <w:r w:rsidR="006E5125">
        <w:t>Ch</w:t>
      </w:r>
      <w:r>
        <w:t>ildren dictated a story to the teacher, who wrote it down as the child told it. At a later period, the stories were read aloud by the teacher, while the child acted out the story. This activity required children to be able to use their imagination in telling stories and in re-enacting stories using props available in the classroom or through gestures. Children also engaged in creativity as they re-imagined and retold parts of other children’s stories, fairy tales, and other media in ways that work</w:t>
      </w:r>
      <w:r w:rsidR="006E5125">
        <w:t>ed</w:t>
      </w:r>
      <w:r>
        <w:t xml:space="preserve"> for their own purposes. As children engaged in storytelling/story acting, they heard and developed their sense of the arch of a story, along with other oral language skills. </w:t>
      </w:r>
    </w:p>
    <w:p w14:paraId="2B3F06B4" w14:textId="7071821B" w:rsidR="001B072F" w:rsidRPr="00651042" w:rsidRDefault="001B072F" w:rsidP="001B072F">
      <w:pPr>
        <w:ind w:firstLine="720"/>
        <w:contextualSpacing/>
      </w:pPr>
      <w:r>
        <w:t xml:space="preserve">In many dramatic play scenarios, teachers can work with children to provide opportunities to encourage symbolic representation </w:t>
      </w:r>
      <w:r w:rsidRPr="009A6864">
        <w:t>(Wager, 2013)</w:t>
      </w:r>
      <w:r>
        <w:t xml:space="preserve">. Often, representing ideas or concepts through writing builds creativity by requiring children to make their understanding </w:t>
      </w:r>
      <w:r>
        <w:lastRenderedPageBreak/>
        <w:t xml:space="preserve">visible </w:t>
      </w:r>
      <w:r w:rsidRPr="009A6864">
        <w:t xml:space="preserve">(van </w:t>
      </w:r>
      <w:proofErr w:type="spellStart"/>
      <w:r w:rsidRPr="009A6864">
        <w:t>Oers</w:t>
      </w:r>
      <w:proofErr w:type="spellEnd"/>
      <w:r w:rsidRPr="009A6864">
        <w:t>, 2010)</w:t>
      </w:r>
      <w:r>
        <w:t xml:space="preserve">. Worthington and van </w:t>
      </w:r>
      <w:proofErr w:type="spellStart"/>
      <w:r>
        <w:t>Oers</w:t>
      </w:r>
      <w:proofErr w:type="spellEnd"/>
      <w:r w:rsidR="006E5125">
        <w:t xml:space="preserve"> (2016)</w:t>
      </w:r>
      <w:r>
        <w:t xml:space="preserve"> described a pretend play scene with a child, Ayaan, who operated an ice cream store in the outdoor gazebo of their classroom. To denote ice cream orders, the </w:t>
      </w:r>
      <w:bookmarkStart w:id="50" w:name="_Toc43146918"/>
      <w:r>
        <w:t>child “</w:t>
      </w:r>
      <w:r w:rsidRPr="0014616E">
        <w:t>drew dashes in a notebook without comment</w:t>
      </w:r>
      <w:r>
        <w:t>”</w:t>
      </w:r>
      <w:r w:rsidRPr="0014616E">
        <w:t xml:space="preserve"> </w:t>
      </w:r>
      <w:bookmarkEnd w:id="50"/>
      <w:r w:rsidRPr="009A6864">
        <w:t>(p. 263)</w:t>
      </w:r>
      <w:r>
        <w:t xml:space="preserve">. Teachers can encourage children’s play by asking children like Ayaan to describe their marks on the page or read back the order. </w:t>
      </w:r>
    </w:p>
    <w:p w14:paraId="2BF0E954" w14:textId="507A9A99" w:rsidR="001B072F" w:rsidRDefault="006E5125" w:rsidP="006E5125">
      <w:pPr>
        <w:ind w:firstLine="720"/>
        <w:contextualSpacing/>
      </w:pPr>
      <w:r>
        <w:t xml:space="preserve">Adults play a critical role in supporting children’s pretend play by scaffolding </w:t>
      </w:r>
      <w:r w:rsidRPr="00CB5672">
        <w:t xml:space="preserve">children in how to use </w:t>
      </w:r>
      <w:r>
        <w:t xml:space="preserve">reality to represent </w:t>
      </w:r>
      <w:r w:rsidRPr="00CB5672">
        <w:t>imaginary situations</w:t>
      </w:r>
      <w:r>
        <w:t xml:space="preserve"> and how to use exploration to develop working theories. </w:t>
      </w:r>
      <w:r w:rsidR="001B072F">
        <w:t xml:space="preserve">These curricula highlight the central role of adults in </w:t>
      </w:r>
      <w:r>
        <w:t xml:space="preserve">interacting with children to facilitate play. Indeed, without these social interactions leading the development of imagination, children’s play may not advance to more complex, mature forms </w:t>
      </w:r>
      <w:r w:rsidRPr="009A6864">
        <w:t>(Elkonin, 2005)</w:t>
      </w:r>
      <w:r>
        <w:t xml:space="preserve">. Inquiry-based curriculum and practices like storytelling/story acting can support children’s AtL and prepare them for formal schooling. </w:t>
      </w:r>
    </w:p>
    <w:p w14:paraId="54340F5C" w14:textId="77777777" w:rsidR="001B072F" w:rsidRPr="00CB5672" w:rsidRDefault="001B072F" w:rsidP="0022759B">
      <w:pPr>
        <w:pStyle w:val="Heading1"/>
        <w:ind w:firstLine="0"/>
      </w:pPr>
      <w:bookmarkStart w:id="51" w:name="_Toc46265484"/>
      <w:r w:rsidRPr="009E5972">
        <w:t>Conclusion</w:t>
      </w:r>
      <w:bookmarkEnd w:id="51"/>
    </w:p>
    <w:p w14:paraId="6C3E2013" w14:textId="1BF66D7E" w:rsidR="001B072F" w:rsidRDefault="001B072F" w:rsidP="001B072F">
      <w:pPr>
        <w:ind w:firstLine="720"/>
        <w:contextualSpacing/>
      </w:pPr>
      <w:r>
        <w:t xml:space="preserve">The role of play in </w:t>
      </w:r>
      <w:proofErr w:type="spellStart"/>
      <w:r>
        <w:t>preK</w:t>
      </w:r>
      <w:proofErr w:type="spellEnd"/>
      <w:r>
        <w:t xml:space="preserve"> classrooms is in a state of flux, with some advocates favoring more academic approaches to prepare children for K-12 </w:t>
      </w:r>
      <w:r w:rsidRPr="009A6864">
        <w:t>(</w:t>
      </w:r>
      <w:proofErr w:type="spellStart"/>
      <w:r w:rsidRPr="009A6864">
        <w:t>Graue</w:t>
      </w:r>
      <w:proofErr w:type="spellEnd"/>
      <w:r w:rsidRPr="009A6864">
        <w:t xml:space="preserve"> et al., 2017)</w:t>
      </w:r>
      <w:r>
        <w:t xml:space="preserve">. Rather than present play and learning as dichotomies, theorists, like Vygotsky, see the interconnection. Play is precisely the activity designed to develop underlying social and cognitive competencies that will enable children to learn as they go onto first grade, and as such, children should spend more time engaged in play, not less </w:t>
      </w:r>
      <w:r w:rsidRPr="009E5972">
        <w:t>(</w:t>
      </w:r>
      <w:proofErr w:type="spellStart"/>
      <w:r w:rsidRPr="009E5972">
        <w:t>Bodrova</w:t>
      </w:r>
      <w:proofErr w:type="spellEnd"/>
      <w:r w:rsidRPr="009E5972">
        <w:t xml:space="preserve"> &amp; Leong, 2019; </w:t>
      </w:r>
      <w:proofErr w:type="spellStart"/>
      <w:r w:rsidRPr="009E5972">
        <w:t>Bodrova</w:t>
      </w:r>
      <w:proofErr w:type="spellEnd"/>
      <w:r w:rsidRPr="009E5972">
        <w:t>, 2008)</w:t>
      </w:r>
      <w:r>
        <w:t xml:space="preserve">. </w:t>
      </w:r>
      <w:r w:rsidRPr="00CB5672">
        <w:t>Vygotsky</w:t>
      </w:r>
      <w:r>
        <w:t xml:space="preserve"> </w:t>
      </w:r>
      <w:r w:rsidRPr="009A6864">
        <w:t>(1978)</w:t>
      </w:r>
      <w:r w:rsidRPr="00CB5672">
        <w:t xml:space="preserve"> argued</w:t>
      </w:r>
      <w:r w:rsidR="000B4B73">
        <w:t>,</w:t>
      </w:r>
      <w:r w:rsidRPr="00CB5672">
        <w:t xml:space="preserve"> “we need to concentrate not on the </w:t>
      </w:r>
      <w:r w:rsidRPr="008436E2">
        <w:rPr>
          <w:i/>
          <w:iCs/>
        </w:rPr>
        <w:t>product</w:t>
      </w:r>
      <w:r w:rsidRPr="00CB5672">
        <w:t xml:space="preserve"> of development but on the very </w:t>
      </w:r>
      <w:r w:rsidRPr="008436E2">
        <w:rPr>
          <w:i/>
          <w:iCs/>
        </w:rPr>
        <w:t>process</w:t>
      </w:r>
      <w:r w:rsidRPr="00CB5672">
        <w:t xml:space="preserve"> by which higher forms are established” (pg. </w:t>
      </w:r>
      <w:r>
        <w:t>64; italics in original</w:t>
      </w:r>
      <w:r w:rsidRPr="00CB5672">
        <w:t>).</w:t>
      </w:r>
      <w:r>
        <w:t xml:space="preserve"> Play was the very process through which children developed </w:t>
      </w:r>
      <w:proofErr w:type="gramStart"/>
      <w:r>
        <w:t>higher</w:t>
      </w:r>
      <w:r w:rsidR="000B4B73">
        <w:t>-</w:t>
      </w:r>
      <w:r w:rsidR="00D53012">
        <w:t>order</w:t>
      </w:r>
      <w:proofErr w:type="gramEnd"/>
      <w:r w:rsidR="00D53012">
        <w:t xml:space="preserve"> thinking that would, </w:t>
      </w:r>
      <w:r>
        <w:t xml:space="preserve">in turn, lead to the acquisition of more formal academic knowledge in school. </w:t>
      </w:r>
    </w:p>
    <w:p w14:paraId="7ADED766" w14:textId="1E4A323F" w:rsidR="00D53012" w:rsidRDefault="00D53012" w:rsidP="00161AA7">
      <w:pPr>
        <w:pStyle w:val="Caption"/>
        <w:ind w:firstLine="720"/>
      </w:pPr>
      <w:r>
        <w:lastRenderedPageBreak/>
        <w:t>High</w:t>
      </w:r>
      <w:r w:rsidR="000B4B73">
        <w:t>-</w:t>
      </w:r>
      <w:r>
        <w:t>quality play supports children’s process-oriented thinking and content knowledge</w:t>
      </w:r>
      <w:proofErr w:type="gramStart"/>
      <w:r>
        <w:t xml:space="preserve">.  </w:t>
      </w:r>
      <w:proofErr w:type="gramEnd"/>
      <w:r>
        <w:t xml:space="preserve">Indeed, children naturally explore science and math concepts during play </w:t>
      </w:r>
      <w:r w:rsidRPr="00161AA7">
        <w:t>(</w:t>
      </w:r>
      <w:proofErr w:type="spellStart"/>
      <w:r w:rsidR="00161AA7" w:rsidRPr="00161AA7">
        <w:t>Seo</w:t>
      </w:r>
      <w:proofErr w:type="spellEnd"/>
      <w:r w:rsidR="00161AA7" w:rsidRPr="00161AA7">
        <w:t xml:space="preserve"> &amp; Ginsburg, 2004</w:t>
      </w:r>
      <w:r w:rsidR="00161AA7">
        <w:t xml:space="preserve">; </w:t>
      </w:r>
      <w:r w:rsidRPr="00161AA7">
        <w:t xml:space="preserve">van </w:t>
      </w:r>
      <w:proofErr w:type="spellStart"/>
      <w:r w:rsidRPr="00161AA7">
        <w:t>Oers</w:t>
      </w:r>
      <w:proofErr w:type="spellEnd"/>
      <w:r w:rsidRPr="00161AA7">
        <w:t xml:space="preserve">, </w:t>
      </w:r>
      <w:r w:rsidR="00FC1D08" w:rsidRPr="00161AA7">
        <w:t>2010</w:t>
      </w:r>
      <w:r w:rsidRPr="00161AA7">
        <w:t>).</w:t>
      </w:r>
      <w:r>
        <w:t xml:space="preserve"> While children are curious and eager to play, teachers must be prepared to engage children in rich play-based experiences that support process-oriented dispositions, rather than adopting curricular approaches that emphasize </w:t>
      </w:r>
      <w:r w:rsidR="00161AA7">
        <w:t>skills in isolation (</w:t>
      </w:r>
      <w:proofErr w:type="spellStart"/>
      <w:r w:rsidR="00161AA7">
        <w:t>Sarama</w:t>
      </w:r>
      <w:proofErr w:type="spellEnd"/>
      <w:r w:rsidR="00161AA7">
        <w:t xml:space="preserve"> &amp; Clements, 2009). Table 4 highlights the overlap between PreK content standards and math and science process standards, emphasizing </w:t>
      </w:r>
      <w:r w:rsidR="000B4B73">
        <w:t>how</w:t>
      </w:r>
      <w:r w:rsidR="00161AA7">
        <w:t xml:space="preserve">, by developing AtL, teachers can help children develop content skills. </w:t>
      </w:r>
    </w:p>
    <w:p w14:paraId="26616912" w14:textId="640A295B" w:rsidR="001B072F" w:rsidRDefault="00161AA7" w:rsidP="001B072F">
      <w:pPr>
        <w:pStyle w:val="Caption"/>
      </w:pPr>
      <w:bookmarkStart w:id="52" w:name="_Toc44366123"/>
      <w:r>
        <w:t>T</w:t>
      </w:r>
      <w:r w:rsidR="001B072F">
        <w:t xml:space="preserve">able </w:t>
      </w:r>
      <w:fldSimple w:instr=" SEQ Table \* ARABIC ">
        <w:r w:rsidR="002039BE">
          <w:rPr>
            <w:noProof/>
          </w:rPr>
          <w:t>4</w:t>
        </w:r>
        <w:bookmarkEnd w:id="52"/>
      </w:fldSimple>
    </w:p>
    <w:p w14:paraId="0208AE3C" w14:textId="6378EC67" w:rsidR="001B072F" w:rsidRPr="003E4A29" w:rsidRDefault="001B072F" w:rsidP="001B072F">
      <w:pPr>
        <w:rPr>
          <w:i/>
          <w:iCs/>
        </w:rPr>
      </w:pPr>
      <w:r>
        <w:rPr>
          <w:i/>
          <w:iCs/>
        </w:rPr>
        <w:t>Alignment of Play, At</w:t>
      </w:r>
      <w:r w:rsidR="00D53012">
        <w:rPr>
          <w:i/>
          <w:iCs/>
        </w:rPr>
        <w:t>L</w:t>
      </w:r>
      <w:r>
        <w:rPr>
          <w:i/>
          <w:iCs/>
        </w:rPr>
        <w:t xml:space="preserve">, and Academic Standards </w:t>
      </w:r>
    </w:p>
    <w:tbl>
      <w:tblPr>
        <w:tblStyle w:val="TableGridLight"/>
        <w:tblW w:w="5000" w:type="pct"/>
        <w:tblLook w:val="04A0" w:firstRow="1" w:lastRow="0" w:firstColumn="1" w:lastColumn="0" w:noHBand="0" w:noVBand="1"/>
      </w:tblPr>
      <w:tblGrid>
        <w:gridCol w:w="1870"/>
        <w:gridCol w:w="1870"/>
        <w:gridCol w:w="1870"/>
        <w:gridCol w:w="1870"/>
        <w:gridCol w:w="1870"/>
      </w:tblGrid>
      <w:tr w:rsidR="001B072F" w:rsidRPr="000F10A4" w14:paraId="13933C60" w14:textId="77777777" w:rsidTr="001B072F">
        <w:tc>
          <w:tcPr>
            <w:tcW w:w="1000" w:type="pct"/>
            <w:tcBorders>
              <w:top w:val="single" w:sz="4" w:space="0" w:color="auto"/>
              <w:bottom w:val="single" w:sz="4" w:space="0" w:color="auto"/>
            </w:tcBorders>
          </w:tcPr>
          <w:p w14:paraId="2210ED58" w14:textId="77777777" w:rsidR="001B072F" w:rsidRPr="000F10A4" w:rsidRDefault="001B072F" w:rsidP="001B072F">
            <w:pPr>
              <w:contextualSpacing/>
              <w:rPr>
                <w:rFonts w:ascii="Times New Roman" w:hAnsi="Times New Roman" w:cs="Times New Roman"/>
                <w:sz w:val="24"/>
                <w:szCs w:val="24"/>
              </w:rPr>
            </w:pPr>
          </w:p>
        </w:tc>
        <w:tc>
          <w:tcPr>
            <w:tcW w:w="1000" w:type="pct"/>
            <w:tcBorders>
              <w:top w:val="single" w:sz="4" w:space="0" w:color="auto"/>
              <w:bottom w:val="single" w:sz="4" w:space="0" w:color="auto"/>
            </w:tcBorders>
          </w:tcPr>
          <w:p w14:paraId="7E6E0FA0"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Curiosity</w:t>
            </w:r>
          </w:p>
        </w:tc>
        <w:tc>
          <w:tcPr>
            <w:tcW w:w="1000" w:type="pct"/>
            <w:tcBorders>
              <w:top w:val="single" w:sz="4" w:space="0" w:color="auto"/>
              <w:bottom w:val="single" w:sz="4" w:space="0" w:color="auto"/>
            </w:tcBorders>
          </w:tcPr>
          <w:p w14:paraId="5F5A68FB"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Problem Solving</w:t>
            </w:r>
          </w:p>
        </w:tc>
        <w:tc>
          <w:tcPr>
            <w:tcW w:w="1000" w:type="pct"/>
            <w:tcBorders>
              <w:top w:val="single" w:sz="4" w:space="0" w:color="auto"/>
              <w:bottom w:val="single" w:sz="4" w:space="0" w:color="auto"/>
            </w:tcBorders>
          </w:tcPr>
          <w:p w14:paraId="2A7A48C4"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Imagination</w:t>
            </w:r>
          </w:p>
        </w:tc>
        <w:tc>
          <w:tcPr>
            <w:tcW w:w="1000" w:type="pct"/>
            <w:tcBorders>
              <w:top w:val="single" w:sz="4" w:space="0" w:color="auto"/>
              <w:bottom w:val="single" w:sz="4" w:space="0" w:color="auto"/>
            </w:tcBorders>
          </w:tcPr>
          <w:p w14:paraId="30464A0A"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Creativity</w:t>
            </w:r>
          </w:p>
        </w:tc>
      </w:tr>
      <w:tr w:rsidR="001B072F" w:rsidRPr="000F10A4" w14:paraId="4C5C28EA" w14:textId="77777777" w:rsidTr="001B072F">
        <w:tc>
          <w:tcPr>
            <w:tcW w:w="1000" w:type="pct"/>
            <w:tcBorders>
              <w:top w:val="single" w:sz="4" w:space="0" w:color="auto"/>
            </w:tcBorders>
          </w:tcPr>
          <w:p w14:paraId="127FE114" w14:textId="77777777" w:rsidR="001B072F" w:rsidRPr="000F10A4" w:rsidRDefault="001B072F" w:rsidP="001B072F">
            <w:pPr>
              <w:contextualSpacing/>
              <w:rPr>
                <w:rFonts w:ascii="Times New Roman" w:hAnsi="Times New Roman" w:cs="Times New Roman"/>
                <w:sz w:val="24"/>
                <w:szCs w:val="24"/>
              </w:rPr>
            </w:pPr>
            <w:r w:rsidRPr="000F10A4">
              <w:rPr>
                <w:rFonts w:ascii="Times New Roman" w:hAnsi="Times New Roman" w:cs="Times New Roman"/>
                <w:sz w:val="24"/>
                <w:szCs w:val="24"/>
              </w:rPr>
              <w:t xml:space="preserve">Georgia Early Learning and Development Standards </w:t>
            </w:r>
          </w:p>
        </w:tc>
        <w:tc>
          <w:tcPr>
            <w:tcW w:w="1000" w:type="pct"/>
            <w:tcBorders>
              <w:top w:val="single" w:sz="4" w:space="0" w:color="auto"/>
            </w:tcBorders>
          </w:tcPr>
          <w:p w14:paraId="4EEA8A91"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APL1.3a. Initiates new task by himself</w:t>
            </w:r>
          </w:p>
        </w:tc>
        <w:tc>
          <w:tcPr>
            <w:tcW w:w="1000" w:type="pct"/>
            <w:tcBorders>
              <w:top w:val="single" w:sz="4" w:space="0" w:color="auto"/>
            </w:tcBorders>
          </w:tcPr>
          <w:p w14:paraId="16D2AF66"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APL1.3c. Makes plans and follows through</w:t>
            </w:r>
          </w:p>
        </w:tc>
        <w:tc>
          <w:tcPr>
            <w:tcW w:w="1000" w:type="pct"/>
            <w:tcBorders>
              <w:top w:val="single" w:sz="4" w:space="0" w:color="auto"/>
            </w:tcBorders>
          </w:tcPr>
          <w:p w14:paraId="2B9FA3EA"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APL5.3a.Uses imagination to create a variety of ideas, role-plays</w:t>
            </w:r>
          </w:p>
        </w:tc>
        <w:tc>
          <w:tcPr>
            <w:tcW w:w="1000" w:type="pct"/>
            <w:tcBorders>
              <w:top w:val="single" w:sz="4" w:space="0" w:color="auto"/>
            </w:tcBorders>
          </w:tcPr>
          <w:p w14:paraId="266002E7"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APL5.3c.Finds creative ways of doing a familiar task</w:t>
            </w:r>
          </w:p>
        </w:tc>
      </w:tr>
      <w:tr w:rsidR="001B072F" w:rsidRPr="000F10A4" w14:paraId="1C0AA59F" w14:textId="77777777" w:rsidTr="001B072F">
        <w:tc>
          <w:tcPr>
            <w:tcW w:w="1000" w:type="pct"/>
            <w:tcBorders>
              <w:bottom w:val="single" w:sz="4" w:space="0" w:color="BFBFBF" w:themeColor="background1" w:themeShade="BF"/>
            </w:tcBorders>
          </w:tcPr>
          <w:p w14:paraId="069A806A" w14:textId="77777777" w:rsidR="001B072F" w:rsidRPr="000F10A4" w:rsidRDefault="001B072F" w:rsidP="001B072F">
            <w:pPr>
              <w:contextualSpacing/>
              <w:rPr>
                <w:rFonts w:ascii="Times New Roman" w:hAnsi="Times New Roman" w:cs="Times New Roman"/>
                <w:sz w:val="24"/>
                <w:szCs w:val="24"/>
              </w:rPr>
            </w:pPr>
            <w:r w:rsidRPr="000F10A4">
              <w:rPr>
                <w:rFonts w:ascii="Times New Roman" w:hAnsi="Times New Roman" w:cs="Times New Roman"/>
                <w:sz w:val="24"/>
                <w:szCs w:val="24"/>
              </w:rPr>
              <w:t xml:space="preserve">Common Core </w:t>
            </w:r>
            <w:r>
              <w:rPr>
                <w:rFonts w:ascii="Times New Roman" w:hAnsi="Times New Roman" w:cs="Times New Roman"/>
                <w:sz w:val="24"/>
                <w:szCs w:val="24"/>
              </w:rPr>
              <w:t>Standards for Mathematical Practice</w:t>
            </w:r>
          </w:p>
        </w:tc>
        <w:tc>
          <w:tcPr>
            <w:tcW w:w="1000" w:type="pct"/>
            <w:tcBorders>
              <w:bottom w:val="single" w:sz="4" w:space="0" w:color="BFBFBF" w:themeColor="background1" w:themeShade="BF"/>
            </w:tcBorders>
          </w:tcPr>
          <w:p w14:paraId="703D0918"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Make sense of problems and preserve in solving them</w:t>
            </w:r>
          </w:p>
        </w:tc>
        <w:tc>
          <w:tcPr>
            <w:tcW w:w="1000" w:type="pct"/>
            <w:tcBorders>
              <w:bottom w:val="single" w:sz="4" w:space="0" w:color="BFBFBF" w:themeColor="background1" w:themeShade="BF"/>
            </w:tcBorders>
          </w:tcPr>
          <w:p w14:paraId="7092CC76"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Reason on abstractly and quantitatively</w:t>
            </w:r>
          </w:p>
        </w:tc>
        <w:tc>
          <w:tcPr>
            <w:tcW w:w="1000" w:type="pct"/>
            <w:tcBorders>
              <w:bottom w:val="single" w:sz="4" w:space="0" w:color="BFBFBF" w:themeColor="background1" w:themeShade="BF"/>
            </w:tcBorders>
          </w:tcPr>
          <w:p w14:paraId="4ABAB6B0"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Model with mathematics</w:t>
            </w:r>
          </w:p>
        </w:tc>
        <w:tc>
          <w:tcPr>
            <w:tcW w:w="1000" w:type="pct"/>
            <w:tcBorders>
              <w:bottom w:val="single" w:sz="4" w:space="0" w:color="BFBFBF" w:themeColor="background1" w:themeShade="BF"/>
            </w:tcBorders>
          </w:tcPr>
          <w:p w14:paraId="77FF6676"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Look for and make sure of structure</w:t>
            </w:r>
          </w:p>
        </w:tc>
      </w:tr>
      <w:tr w:rsidR="001B072F" w:rsidRPr="000F10A4" w14:paraId="4945B479" w14:textId="77777777" w:rsidTr="001B072F">
        <w:tc>
          <w:tcPr>
            <w:tcW w:w="1000" w:type="pct"/>
            <w:tcBorders>
              <w:bottom w:val="single" w:sz="4" w:space="0" w:color="auto"/>
            </w:tcBorders>
          </w:tcPr>
          <w:p w14:paraId="5F8075D7" w14:textId="77777777" w:rsidR="001B072F" w:rsidRPr="000F10A4" w:rsidRDefault="001B072F" w:rsidP="001B072F">
            <w:pPr>
              <w:contextualSpacing/>
              <w:rPr>
                <w:rFonts w:ascii="Times New Roman" w:hAnsi="Times New Roman" w:cs="Times New Roman"/>
                <w:sz w:val="24"/>
                <w:szCs w:val="24"/>
              </w:rPr>
            </w:pPr>
            <w:r w:rsidRPr="000F10A4">
              <w:rPr>
                <w:rFonts w:ascii="Times New Roman" w:hAnsi="Times New Roman" w:cs="Times New Roman"/>
                <w:sz w:val="24"/>
                <w:szCs w:val="24"/>
              </w:rPr>
              <w:t>Next Generation Science Standards</w:t>
            </w:r>
          </w:p>
        </w:tc>
        <w:tc>
          <w:tcPr>
            <w:tcW w:w="1000" w:type="pct"/>
            <w:tcBorders>
              <w:bottom w:val="single" w:sz="4" w:space="0" w:color="auto"/>
            </w:tcBorders>
          </w:tcPr>
          <w:p w14:paraId="5E3591F8"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Ask questions based on observations to find more information</w:t>
            </w:r>
          </w:p>
        </w:tc>
        <w:tc>
          <w:tcPr>
            <w:tcW w:w="1000" w:type="pct"/>
            <w:tcBorders>
              <w:bottom w:val="single" w:sz="4" w:space="0" w:color="auto"/>
            </w:tcBorders>
          </w:tcPr>
          <w:p w14:paraId="482DC144"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Define a simple problem that can be solved; analyze data from tests to determine of tool worked</w:t>
            </w:r>
          </w:p>
        </w:tc>
        <w:tc>
          <w:tcPr>
            <w:tcW w:w="1000" w:type="pct"/>
            <w:tcBorders>
              <w:bottom w:val="single" w:sz="4" w:space="0" w:color="auto"/>
            </w:tcBorders>
          </w:tcPr>
          <w:p w14:paraId="1E5C364E"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Develop a simple model based on evidence to represent a proposed object or tool</w:t>
            </w:r>
          </w:p>
        </w:tc>
        <w:tc>
          <w:tcPr>
            <w:tcW w:w="1000" w:type="pct"/>
            <w:tcBorders>
              <w:bottom w:val="single" w:sz="4" w:space="0" w:color="auto"/>
            </w:tcBorders>
          </w:tcPr>
          <w:p w14:paraId="529C17B1" w14:textId="77777777" w:rsidR="001B072F" w:rsidRPr="000F10A4" w:rsidRDefault="001B072F" w:rsidP="001B072F">
            <w:pPr>
              <w:contextualSpacing/>
              <w:jc w:val="center"/>
              <w:rPr>
                <w:rFonts w:ascii="Times New Roman" w:hAnsi="Times New Roman" w:cs="Times New Roman"/>
                <w:sz w:val="24"/>
                <w:szCs w:val="24"/>
              </w:rPr>
            </w:pPr>
            <w:r w:rsidRPr="000F10A4">
              <w:rPr>
                <w:rFonts w:ascii="Times New Roman" w:hAnsi="Times New Roman" w:cs="Times New Roman"/>
                <w:sz w:val="24"/>
                <w:szCs w:val="24"/>
              </w:rPr>
              <w:t>Use tools to build a device that solves a specific problem; compare multiple solutions</w:t>
            </w:r>
          </w:p>
        </w:tc>
      </w:tr>
    </w:tbl>
    <w:p w14:paraId="12295143" w14:textId="77777777" w:rsidR="001B072F" w:rsidRPr="0022759B" w:rsidRDefault="001B072F" w:rsidP="001B072F">
      <w:pPr>
        <w:spacing w:line="240" w:lineRule="auto"/>
        <w:contextualSpacing/>
        <w:rPr>
          <w:color w:val="auto"/>
          <w:sz w:val="18"/>
          <w:szCs w:val="22"/>
        </w:rPr>
      </w:pPr>
      <w:r w:rsidRPr="0022759B">
        <w:rPr>
          <w:color w:val="auto"/>
          <w:sz w:val="18"/>
          <w:szCs w:val="22"/>
        </w:rPr>
        <w:t xml:space="preserve">Note: Georgia Early Learning and Development standards available at </w:t>
      </w:r>
      <w:hyperlink r:id="rId20" w:history="1">
        <w:r w:rsidRPr="0022759B">
          <w:rPr>
            <w:rStyle w:val="Hyperlink"/>
            <w:color w:val="auto"/>
            <w:sz w:val="18"/>
            <w:szCs w:val="22"/>
          </w:rPr>
          <w:t>http://gelds.decal.ga.gov/Default.aspx</w:t>
        </w:r>
      </w:hyperlink>
      <w:r w:rsidRPr="0022759B">
        <w:rPr>
          <w:color w:val="auto"/>
          <w:sz w:val="18"/>
          <w:szCs w:val="22"/>
        </w:rPr>
        <w:t xml:space="preserve">. Common Core Standards available at </w:t>
      </w:r>
      <w:hyperlink r:id="rId21" w:history="1">
        <w:r w:rsidRPr="0022759B">
          <w:rPr>
            <w:rStyle w:val="Hyperlink"/>
            <w:color w:val="auto"/>
            <w:sz w:val="18"/>
            <w:szCs w:val="22"/>
          </w:rPr>
          <w:t>http://www.corestandards.org/Math/Practice/</w:t>
        </w:r>
      </w:hyperlink>
      <w:r w:rsidRPr="0022759B">
        <w:rPr>
          <w:color w:val="auto"/>
          <w:sz w:val="18"/>
          <w:szCs w:val="22"/>
        </w:rPr>
        <w:t xml:space="preserve">. Next Generation Science Standards are available at </w:t>
      </w:r>
      <w:hyperlink r:id="rId22" w:history="1">
        <w:r w:rsidRPr="0022759B">
          <w:rPr>
            <w:rStyle w:val="Hyperlink"/>
            <w:color w:val="auto"/>
            <w:sz w:val="18"/>
            <w:szCs w:val="22"/>
          </w:rPr>
          <w:t>https://www.nextgenscience.org/sites/default/files/Appendix%20F%20%20Science%20and%20Engineering%20Practices%20in%20the%20NGSS%20-%20FINAL%20060513.pdf</w:t>
        </w:r>
      </w:hyperlink>
      <w:r w:rsidRPr="0022759B">
        <w:rPr>
          <w:color w:val="auto"/>
          <w:sz w:val="18"/>
          <w:szCs w:val="22"/>
        </w:rPr>
        <w:t xml:space="preserve"> </w:t>
      </w:r>
    </w:p>
    <w:p w14:paraId="561F3FDF" w14:textId="77777777" w:rsidR="001B072F" w:rsidRDefault="001B072F" w:rsidP="001B072F">
      <w:pPr>
        <w:ind w:firstLine="720"/>
        <w:contextualSpacing/>
      </w:pPr>
    </w:p>
    <w:p w14:paraId="07E22143" w14:textId="3FBEDEED" w:rsidR="001B072F" w:rsidRDefault="001B072F" w:rsidP="00161AA7">
      <w:pPr>
        <w:ind w:firstLine="720"/>
        <w:contextualSpacing/>
      </w:pPr>
      <w:r>
        <w:t xml:space="preserve">At the classroom grocery store, children have opportunities to read grocery lists, write signs, </w:t>
      </w:r>
      <w:proofErr w:type="gramStart"/>
      <w:r>
        <w:t>count</w:t>
      </w:r>
      <w:proofErr w:type="gramEnd"/>
      <w:r>
        <w:t xml:space="preserve"> and make change, bag groceries, and interact with other shoppers at the store. Along </w:t>
      </w:r>
      <w:r>
        <w:lastRenderedPageBreak/>
        <w:t>the way, they will learn how to recognize numbers and letters, how objects fit together, how to classify vegetables and fruits, how to count, take turns, and share. However, they also develop critical learning dispositions</w:t>
      </w:r>
      <w:r w:rsidR="000B4B73">
        <w:t>,</w:t>
      </w:r>
      <w:r>
        <w:t xml:space="preserve"> including initiative, problem-solving, flexibility, and persistence</w:t>
      </w:r>
      <w:r w:rsidR="000B4B73">
        <w:t>,</w:t>
      </w:r>
      <w:r>
        <w:t xml:space="preserve"> as they create props, sustain play, and maintain roles of cashier and shopper. These dispositions help students transition into the role of learner. Children will be best prepared to enter formalized school as readers, writers, scientists, and mathematicians if they first have time to explore and dramatize, which can be accomplished in classrooms that offer ample opportunities to play. </w:t>
      </w:r>
      <w:bookmarkEnd w:id="33"/>
    </w:p>
    <w:bookmarkEnd w:id="34"/>
    <w:p w14:paraId="0922B340" w14:textId="77777777" w:rsidR="001B072F" w:rsidRDefault="001B072F" w:rsidP="001B072F">
      <w:pPr>
        <w:contextualSpacing/>
        <w:jc w:val="center"/>
      </w:pPr>
      <w:r>
        <w:br w:type="page"/>
      </w:r>
    </w:p>
    <w:p w14:paraId="134362AA" w14:textId="77777777" w:rsidR="001B072F" w:rsidRPr="00E57231" w:rsidRDefault="001B072F" w:rsidP="001B072F">
      <w:pPr>
        <w:pStyle w:val="Heading1"/>
        <w:rPr>
          <w:b w:val="0"/>
          <w:bCs/>
        </w:rPr>
      </w:pPr>
      <w:bookmarkStart w:id="53" w:name="_Toc46265485"/>
      <w:r w:rsidRPr="00E57231">
        <w:rPr>
          <w:b w:val="0"/>
          <w:bCs/>
        </w:rPr>
        <w:lastRenderedPageBreak/>
        <w:t>References</w:t>
      </w:r>
      <w:bookmarkEnd w:id="53"/>
      <w:r w:rsidRPr="00E57231">
        <w:rPr>
          <w:b w:val="0"/>
          <w:bCs/>
        </w:rPr>
        <w:t xml:space="preserve"> </w:t>
      </w:r>
    </w:p>
    <w:p w14:paraId="1B2CC104" w14:textId="77777777" w:rsidR="001B072F" w:rsidRDefault="001B072F" w:rsidP="001B072F">
      <w:pPr>
        <w:pStyle w:val="Bibliography"/>
      </w:pPr>
      <w:proofErr w:type="spellStart"/>
      <w:r>
        <w:t>Anastasiou</w:t>
      </w:r>
      <w:proofErr w:type="spellEnd"/>
      <w:r>
        <w:t xml:space="preserve">, L., </w:t>
      </w:r>
      <w:proofErr w:type="spellStart"/>
      <w:r>
        <w:t>Kostaras</w:t>
      </w:r>
      <w:proofErr w:type="spellEnd"/>
      <w:r>
        <w:t xml:space="preserve">, N., Kyritsis, E., &amp; </w:t>
      </w:r>
      <w:proofErr w:type="spellStart"/>
      <w:r>
        <w:t>Kostaras</w:t>
      </w:r>
      <w:proofErr w:type="spellEnd"/>
      <w:r>
        <w:t xml:space="preserve">, A. (2015). The construction of scientific knowledge at an early age: Two crucial factors. </w:t>
      </w:r>
      <w:r>
        <w:rPr>
          <w:i/>
          <w:iCs/>
        </w:rPr>
        <w:t>Creative Education</w:t>
      </w:r>
      <w:r>
        <w:t xml:space="preserve">, </w:t>
      </w:r>
      <w:r>
        <w:rPr>
          <w:i/>
          <w:iCs/>
        </w:rPr>
        <w:t>06</w:t>
      </w:r>
      <w:r>
        <w:t xml:space="preserve">(02), 262–272. </w:t>
      </w:r>
      <w:proofErr w:type="spellStart"/>
      <w:r>
        <w:t>doi</w:t>
      </w:r>
      <w:proofErr w:type="spellEnd"/>
      <w:r>
        <w:t>: 10.4236/ce.2015.62025</w:t>
      </w:r>
    </w:p>
    <w:p w14:paraId="1EF58535" w14:textId="77777777" w:rsidR="001B072F" w:rsidRDefault="001B072F" w:rsidP="001B072F">
      <w:pPr>
        <w:pStyle w:val="Bibliography"/>
      </w:pPr>
      <w:proofErr w:type="spellStart"/>
      <w:r>
        <w:t>Barbu</w:t>
      </w:r>
      <w:proofErr w:type="spellEnd"/>
      <w:r>
        <w:t xml:space="preserve">, O. C., </w:t>
      </w:r>
      <w:proofErr w:type="spellStart"/>
      <w:r>
        <w:t>Yaden</w:t>
      </w:r>
      <w:proofErr w:type="spellEnd"/>
      <w:r>
        <w:t>, D. B., Levine-</w:t>
      </w:r>
      <w:proofErr w:type="spellStart"/>
      <w:r>
        <w:t>Donnerstein</w:t>
      </w:r>
      <w:proofErr w:type="spellEnd"/>
      <w:r>
        <w:t xml:space="preserve">, D., &amp; Marx, R. W. (2015). Assessing approaches to learning in school readiness: Comparing the Devereux Early Childhood Assessment to an early learning standards-based measure. </w:t>
      </w:r>
      <w:r>
        <w:rPr>
          <w:i/>
          <w:iCs/>
        </w:rPr>
        <w:t>AERA Open</w:t>
      </w:r>
      <w:r>
        <w:t xml:space="preserve">, </w:t>
      </w:r>
      <w:r>
        <w:rPr>
          <w:i/>
          <w:iCs/>
        </w:rPr>
        <w:t>1</w:t>
      </w:r>
      <w:r>
        <w:t xml:space="preserve">(3), 1–15. </w:t>
      </w:r>
      <w:proofErr w:type="spellStart"/>
      <w:r>
        <w:t>doi</w:t>
      </w:r>
      <w:proofErr w:type="spellEnd"/>
      <w:r>
        <w:t>: 10.1177/2332858415593923</w:t>
      </w:r>
    </w:p>
    <w:p w14:paraId="4C03F20F" w14:textId="77777777" w:rsidR="001B072F" w:rsidRDefault="001B072F" w:rsidP="001B072F">
      <w:pPr>
        <w:pStyle w:val="Bibliography"/>
      </w:pPr>
      <w:proofErr w:type="spellStart"/>
      <w:r>
        <w:t>Bassok</w:t>
      </w:r>
      <w:proofErr w:type="spellEnd"/>
      <w:r>
        <w:t xml:space="preserve">, D., Latham, S., &amp; </w:t>
      </w:r>
      <w:proofErr w:type="spellStart"/>
      <w:r>
        <w:t>Rosem</w:t>
      </w:r>
      <w:proofErr w:type="spellEnd"/>
      <w:r>
        <w:t xml:space="preserve">, A. (2016). Is kindergarten the new first grade? </w:t>
      </w:r>
      <w:r>
        <w:rPr>
          <w:i/>
          <w:iCs/>
        </w:rPr>
        <w:t>AREA Open</w:t>
      </w:r>
      <w:r>
        <w:t xml:space="preserve">, </w:t>
      </w:r>
      <w:r>
        <w:rPr>
          <w:i/>
          <w:iCs/>
        </w:rPr>
        <w:t>4</w:t>
      </w:r>
      <w:r>
        <w:t xml:space="preserve">(1), 1–31. </w:t>
      </w:r>
      <w:proofErr w:type="spellStart"/>
      <w:r>
        <w:t>doi</w:t>
      </w:r>
      <w:proofErr w:type="spellEnd"/>
      <w:r>
        <w:t>: 10.1177/2332858415616358</w:t>
      </w:r>
    </w:p>
    <w:p w14:paraId="4E69FEF1" w14:textId="77777777" w:rsidR="001B072F" w:rsidRDefault="001B072F" w:rsidP="001B072F">
      <w:pPr>
        <w:pStyle w:val="Bibliography"/>
      </w:pPr>
      <w:r>
        <w:t xml:space="preserve">Bierman, K. L., Torres, M. M., </w:t>
      </w:r>
      <w:proofErr w:type="spellStart"/>
      <w:r>
        <w:t>Domitrovich</w:t>
      </w:r>
      <w:proofErr w:type="spellEnd"/>
      <w:r>
        <w:t xml:space="preserve">, C. E., Welsh, J. A., &amp; Gest, S. D. (2009). Behavioral and cognitive readiness for school: Cross-domain associations for children attending Head Start. </w:t>
      </w:r>
      <w:r>
        <w:rPr>
          <w:i/>
          <w:iCs/>
        </w:rPr>
        <w:t>Social Development</w:t>
      </w:r>
      <w:r>
        <w:t xml:space="preserve">, </w:t>
      </w:r>
      <w:r>
        <w:rPr>
          <w:i/>
          <w:iCs/>
        </w:rPr>
        <w:t>18</w:t>
      </w:r>
      <w:r>
        <w:t xml:space="preserve">(2), 305–323. </w:t>
      </w:r>
      <w:proofErr w:type="spellStart"/>
      <w:r>
        <w:t>doi</w:t>
      </w:r>
      <w:proofErr w:type="spellEnd"/>
      <w:r>
        <w:t>: 10.1111/j.1467-9507.2008.00490.x</w:t>
      </w:r>
    </w:p>
    <w:p w14:paraId="5366470E" w14:textId="6A6E32A4" w:rsidR="001B072F" w:rsidRDefault="001B072F" w:rsidP="001B072F">
      <w:pPr>
        <w:pStyle w:val="Bibliography"/>
      </w:pPr>
      <w:r>
        <w:t xml:space="preserve">Bjorklund, D. F., &amp; Gardiner, A. K. (2011). </w:t>
      </w:r>
      <w:proofErr w:type="gramStart"/>
      <w:r>
        <w:t>Object</w:t>
      </w:r>
      <w:proofErr w:type="gramEnd"/>
      <w:r>
        <w:t xml:space="preserve"> play and tool use: Developmental and evolutionary perspectives. In D. Pellegrini (Ed.), </w:t>
      </w:r>
      <w:r>
        <w:rPr>
          <w:i/>
          <w:iCs/>
        </w:rPr>
        <w:t>The Oxford handbook of the development of play</w:t>
      </w:r>
      <w:r w:rsidR="003C7A61">
        <w:rPr>
          <w:i/>
          <w:iCs/>
        </w:rPr>
        <w:t xml:space="preserve"> (</w:t>
      </w:r>
      <w:r w:rsidR="00DB440B">
        <w:t>pp. 153-171)</w:t>
      </w:r>
      <w:r>
        <w:t>. Oxford, UK: Oxford University Press.</w:t>
      </w:r>
    </w:p>
    <w:p w14:paraId="15C0C652" w14:textId="1F7A9CD5" w:rsidR="001B072F" w:rsidRDefault="001B072F" w:rsidP="001B072F">
      <w:pPr>
        <w:pStyle w:val="Bibliography"/>
      </w:pPr>
      <w:proofErr w:type="spellStart"/>
      <w:r>
        <w:t>Bodrova</w:t>
      </w:r>
      <w:proofErr w:type="spellEnd"/>
      <w:r>
        <w:t>, E., &amp; Leong, D. J. (2005). High</w:t>
      </w:r>
      <w:r w:rsidR="00E869A3">
        <w:t>-</w:t>
      </w:r>
      <w:r>
        <w:t xml:space="preserve">quality preschool programs: What would Vygotsky say? </w:t>
      </w:r>
      <w:r>
        <w:rPr>
          <w:i/>
          <w:iCs/>
        </w:rPr>
        <w:t>Early Education &amp; Development</w:t>
      </w:r>
      <w:r>
        <w:t xml:space="preserve">, </w:t>
      </w:r>
      <w:r>
        <w:rPr>
          <w:i/>
          <w:iCs/>
        </w:rPr>
        <w:t>16</w:t>
      </w:r>
      <w:r>
        <w:t xml:space="preserve">(4), 435–444. </w:t>
      </w:r>
      <w:proofErr w:type="spellStart"/>
      <w:r>
        <w:t>doi</w:t>
      </w:r>
      <w:proofErr w:type="spellEnd"/>
      <w:r>
        <w:t>: 10.1207/s15566935eed1604_4</w:t>
      </w:r>
    </w:p>
    <w:p w14:paraId="1F84F04A" w14:textId="77777777" w:rsidR="001B072F" w:rsidRDefault="001B072F" w:rsidP="001B072F">
      <w:pPr>
        <w:pStyle w:val="Bibliography"/>
      </w:pPr>
      <w:proofErr w:type="spellStart"/>
      <w:r>
        <w:t>Bodrova</w:t>
      </w:r>
      <w:proofErr w:type="spellEnd"/>
      <w:r>
        <w:t xml:space="preserve">, E., &amp; Leong, D. J. (2007). </w:t>
      </w:r>
      <w:r>
        <w:rPr>
          <w:i/>
          <w:iCs/>
        </w:rPr>
        <w:t>Tools of the mind.</w:t>
      </w:r>
      <w:r>
        <w:t xml:space="preserve"> Columbus, OH: Merrill.</w:t>
      </w:r>
    </w:p>
    <w:p w14:paraId="4A02F8B6" w14:textId="77777777" w:rsidR="001B072F" w:rsidRDefault="001B072F" w:rsidP="001B072F">
      <w:pPr>
        <w:pStyle w:val="Bibliography"/>
      </w:pPr>
      <w:proofErr w:type="spellStart"/>
      <w:r>
        <w:t>Bodrova</w:t>
      </w:r>
      <w:proofErr w:type="spellEnd"/>
      <w:r>
        <w:t xml:space="preserve">, E., &amp; Leong, D. J. (2015). Vygotskian and post-Vygotskian views on children’s play. In J. Johnson, S. Eberle, T. Hendricks, &amp; D. </w:t>
      </w:r>
      <w:proofErr w:type="spellStart"/>
      <w:r>
        <w:t>Kuschner</w:t>
      </w:r>
      <w:proofErr w:type="spellEnd"/>
      <w:r>
        <w:t xml:space="preserve"> (Eds.), </w:t>
      </w:r>
      <w:r>
        <w:rPr>
          <w:i/>
          <w:iCs/>
        </w:rPr>
        <w:t>The handbook of the study of play</w:t>
      </w:r>
      <w:r>
        <w:t xml:space="preserve"> (pp. 203–228). Lanham, MD: Roman &amp; Littlefield.</w:t>
      </w:r>
    </w:p>
    <w:p w14:paraId="6F0C2FF0" w14:textId="77777777" w:rsidR="001B072F" w:rsidRDefault="001B072F" w:rsidP="001B072F">
      <w:pPr>
        <w:pStyle w:val="Bibliography"/>
      </w:pPr>
      <w:proofErr w:type="spellStart"/>
      <w:r>
        <w:t>Bodrova</w:t>
      </w:r>
      <w:proofErr w:type="spellEnd"/>
      <w:r>
        <w:t xml:space="preserve">, E., &amp; Leong, D. J. (2019). Making play smarter, stronger, and kinder: Lessons from tools of the mind. </w:t>
      </w:r>
      <w:r>
        <w:rPr>
          <w:i/>
          <w:iCs/>
        </w:rPr>
        <w:t>American Journal of Play</w:t>
      </w:r>
      <w:r>
        <w:t xml:space="preserve">, </w:t>
      </w:r>
      <w:r>
        <w:rPr>
          <w:i/>
          <w:iCs/>
        </w:rPr>
        <w:t>12</w:t>
      </w:r>
      <w:r>
        <w:t>(1), 37–53. Retrieved from https://www.journalofplay.org/</w:t>
      </w:r>
    </w:p>
    <w:p w14:paraId="4197F184" w14:textId="131954E1" w:rsidR="001B072F" w:rsidRDefault="001B072F" w:rsidP="001B072F">
      <w:pPr>
        <w:pStyle w:val="Bibliography"/>
      </w:pPr>
      <w:proofErr w:type="spellStart"/>
      <w:r>
        <w:t>Bodrova</w:t>
      </w:r>
      <w:proofErr w:type="spellEnd"/>
      <w:r>
        <w:t xml:space="preserve">, E. (2008). Make‐believe play versus academic skills: A Vygotskian approach to today’s dilemma of early childhood education. </w:t>
      </w:r>
      <w:r>
        <w:rPr>
          <w:i/>
          <w:iCs/>
        </w:rPr>
        <w:t>European Early Childhood Education Research Journal</w:t>
      </w:r>
      <w:r>
        <w:t xml:space="preserve">, </w:t>
      </w:r>
      <w:r>
        <w:rPr>
          <w:i/>
          <w:iCs/>
        </w:rPr>
        <w:t>16</w:t>
      </w:r>
      <w:r>
        <w:t xml:space="preserve">(3), 357–369. </w:t>
      </w:r>
      <w:proofErr w:type="spellStart"/>
      <w:r>
        <w:t>doi</w:t>
      </w:r>
      <w:proofErr w:type="spellEnd"/>
      <w:r>
        <w:t>: 10.1080/13502930802291777</w:t>
      </w:r>
    </w:p>
    <w:p w14:paraId="7D191B02" w14:textId="77777777" w:rsidR="001B072F" w:rsidRDefault="001B072F" w:rsidP="001B072F">
      <w:pPr>
        <w:pStyle w:val="Bibliography"/>
      </w:pPr>
      <w:r>
        <w:t xml:space="preserve">Bracken, B. A., &amp; Crawford, E. (2010). Basic concepts in early childhood educational standards: A 50-state review. </w:t>
      </w:r>
      <w:r>
        <w:rPr>
          <w:i/>
          <w:iCs/>
        </w:rPr>
        <w:t>Early Childhood Education Journal</w:t>
      </w:r>
      <w:r>
        <w:t xml:space="preserve">, </w:t>
      </w:r>
      <w:r>
        <w:rPr>
          <w:i/>
          <w:iCs/>
        </w:rPr>
        <w:t>37</w:t>
      </w:r>
      <w:r>
        <w:t xml:space="preserve">(5), 421–430. </w:t>
      </w:r>
      <w:proofErr w:type="spellStart"/>
      <w:r>
        <w:t>doi</w:t>
      </w:r>
      <w:proofErr w:type="spellEnd"/>
      <w:r>
        <w:t>: 10.1007/s10643-009-0363-7</w:t>
      </w:r>
    </w:p>
    <w:p w14:paraId="472E158F" w14:textId="77777777" w:rsidR="001B072F" w:rsidRDefault="001B072F" w:rsidP="001B072F">
      <w:pPr>
        <w:pStyle w:val="Bibliography"/>
      </w:pPr>
      <w:r>
        <w:t xml:space="preserve">Bredekamp, S. (2004). Play and school readiness. In </w:t>
      </w:r>
      <w:r>
        <w:rPr>
          <w:i/>
          <w:iCs/>
        </w:rPr>
        <w:t>Children’s play: The roots of Reading</w:t>
      </w:r>
      <w:r>
        <w:t xml:space="preserve"> (pp. 159–174). Washington, DC: Zero to Three.</w:t>
      </w:r>
    </w:p>
    <w:p w14:paraId="4DFDF646" w14:textId="77777777" w:rsidR="001B072F" w:rsidRDefault="001B072F" w:rsidP="001B072F">
      <w:pPr>
        <w:pStyle w:val="Bibliography"/>
      </w:pPr>
      <w:r>
        <w:lastRenderedPageBreak/>
        <w:t xml:space="preserve">Brown, C. P., Ku, D. H., &amp; Barry, D. P. (2020). “Kindergarten isn’t fun anymore. Isn’t that so sad?”: Examining how kindergarten teachers in the US made sense of the changed kindergarten. </w:t>
      </w:r>
      <w:r>
        <w:rPr>
          <w:i/>
          <w:iCs/>
        </w:rPr>
        <w:t>Teaching and Teacher Education</w:t>
      </w:r>
      <w:r>
        <w:t xml:space="preserve">, </w:t>
      </w:r>
      <w:r>
        <w:rPr>
          <w:i/>
          <w:iCs/>
        </w:rPr>
        <w:t>90</w:t>
      </w:r>
      <w:r>
        <w:t xml:space="preserve">, 1–13. </w:t>
      </w:r>
      <w:proofErr w:type="spellStart"/>
      <w:r>
        <w:t>doi</w:t>
      </w:r>
      <w:proofErr w:type="spellEnd"/>
      <w:r>
        <w:t>: 10.1016/j.tate.2020.103029</w:t>
      </w:r>
    </w:p>
    <w:p w14:paraId="22DDC7C7" w14:textId="77777777" w:rsidR="001B072F" w:rsidRDefault="001B072F" w:rsidP="001B072F">
      <w:pPr>
        <w:pStyle w:val="Bibliography"/>
      </w:pPr>
      <w:r>
        <w:t xml:space="preserve">Bustamante, A. S., Greenfield, D. B., &amp; </w:t>
      </w:r>
      <w:proofErr w:type="spellStart"/>
      <w:r>
        <w:t>Nayfeld</w:t>
      </w:r>
      <w:proofErr w:type="spellEnd"/>
      <w:r>
        <w:t xml:space="preserve">, I. (2018). Early childhood science and engineering: Engaging platforms for fostering domain-general learning skills. </w:t>
      </w:r>
      <w:r>
        <w:rPr>
          <w:i/>
          <w:iCs/>
        </w:rPr>
        <w:t>Education Sciences</w:t>
      </w:r>
      <w:r>
        <w:t xml:space="preserve">, </w:t>
      </w:r>
      <w:r>
        <w:rPr>
          <w:i/>
          <w:iCs/>
        </w:rPr>
        <w:t>8</w:t>
      </w:r>
      <w:r>
        <w:t xml:space="preserve">(3), 144. </w:t>
      </w:r>
      <w:proofErr w:type="spellStart"/>
      <w:r>
        <w:t>doi</w:t>
      </w:r>
      <w:proofErr w:type="spellEnd"/>
      <w:r>
        <w:t>: 10.3390/educsci8030144</w:t>
      </w:r>
    </w:p>
    <w:p w14:paraId="3145E9CC" w14:textId="77777777" w:rsidR="001B072F" w:rsidRDefault="001B072F" w:rsidP="001B072F">
      <w:pPr>
        <w:pStyle w:val="Bibliography"/>
      </w:pPr>
      <w:r>
        <w:t xml:space="preserve">Bustamante, A. S., White, L. J., &amp; Greenfield, D. B. (2018). Approaches to learning and science education in Head Start: Examining bidirectionality. </w:t>
      </w:r>
      <w:r>
        <w:rPr>
          <w:i/>
          <w:iCs/>
        </w:rPr>
        <w:t>Early Childhood Research Quarterly</w:t>
      </w:r>
      <w:r>
        <w:t xml:space="preserve">, </w:t>
      </w:r>
      <w:r>
        <w:rPr>
          <w:i/>
          <w:iCs/>
        </w:rPr>
        <w:t>44</w:t>
      </w:r>
      <w:r>
        <w:t xml:space="preserve">, 34–42. </w:t>
      </w:r>
      <w:proofErr w:type="spellStart"/>
      <w:r>
        <w:t>doi</w:t>
      </w:r>
      <w:proofErr w:type="spellEnd"/>
      <w:r>
        <w:t>: 10.1016/j.ecresq.2018.02.013</w:t>
      </w:r>
    </w:p>
    <w:p w14:paraId="6226FC0B" w14:textId="77777777" w:rsidR="001B072F" w:rsidRDefault="001B072F" w:rsidP="001B072F">
      <w:pPr>
        <w:pStyle w:val="Bibliography"/>
      </w:pPr>
      <w:r>
        <w:t xml:space="preserve">Carlsson-Paige, N. (2008). Reclaiming play: Helping children learn and thrive in school. </w:t>
      </w:r>
      <w:r>
        <w:rPr>
          <w:i/>
          <w:iCs/>
        </w:rPr>
        <w:t>Exchange: The Early Childhood Leaders’ Magazine Since 1978</w:t>
      </w:r>
      <w:r>
        <w:t xml:space="preserve">, </w:t>
      </w:r>
      <w:r>
        <w:rPr>
          <w:i/>
          <w:iCs/>
        </w:rPr>
        <w:t>180</w:t>
      </w:r>
      <w:r>
        <w:t>. Retrieved from https://www.childcareexchange.com</w:t>
      </w:r>
    </w:p>
    <w:p w14:paraId="0CA01009" w14:textId="77777777" w:rsidR="001B072F" w:rsidRDefault="001B072F" w:rsidP="001B072F">
      <w:pPr>
        <w:pStyle w:val="Bibliography"/>
      </w:pPr>
      <w:proofErr w:type="spellStart"/>
      <w:r>
        <w:t>Carr</w:t>
      </w:r>
      <w:proofErr w:type="spellEnd"/>
      <w:r>
        <w:t xml:space="preserve">, M., &amp; Claxton, G. (2002). Tracking the development of learning dispositions. </w:t>
      </w:r>
      <w:r>
        <w:rPr>
          <w:i/>
          <w:iCs/>
        </w:rPr>
        <w:t>Assessment in Education: Principles, Policy &amp; Practice</w:t>
      </w:r>
      <w:r>
        <w:t xml:space="preserve">, </w:t>
      </w:r>
      <w:r>
        <w:rPr>
          <w:i/>
          <w:iCs/>
        </w:rPr>
        <w:t>9</w:t>
      </w:r>
      <w:r>
        <w:t xml:space="preserve">(1), 9–37. </w:t>
      </w:r>
      <w:proofErr w:type="spellStart"/>
      <w:r>
        <w:t>doi</w:t>
      </w:r>
      <w:proofErr w:type="spellEnd"/>
      <w:r>
        <w:t>: 10.1080/09695940220119148</w:t>
      </w:r>
    </w:p>
    <w:p w14:paraId="7393DB2B" w14:textId="77777777" w:rsidR="001B072F" w:rsidRDefault="001B072F" w:rsidP="001B072F">
      <w:pPr>
        <w:pStyle w:val="Bibliography"/>
      </w:pPr>
      <w:r>
        <w:t xml:space="preserve">Cerda, C. A., Im, M. H., &amp; Hughes, J. N. (2014). Learning-related skills and academic achievement in academically at-risk first graders. </w:t>
      </w:r>
      <w:r>
        <w:rPr>
          <w:i/>
          <w:iCs/>
        </w:rPr>
        <w:t>Journal of Applied Developmental Psychology</w:t>
      </w:r>
      <w:r>
        <w:t xml:space="preserve">, </w:t>
      </w:r>
      <w:r>
        <w:rPr>
          <w:i/>
          <w:iCs/>
        </w:rPr>
        <w:t>35</w:t>
      </w:r>
      <w:r>
        <w:t xml:space="preserve">(5), 433–443. </w:t>
      </w:r>
      <w:proofErr w:type="spellStart"/>
      <w:r>
        <w:t>doi</w:t>
      </w:r>
      <w:proofErr w:type="spellEnd"/>
      <w:r>
        <w:t>: 10.1016/j.appdev.2014.08.001</w:t>
      </w:r>
    </w:p>
    <w:p w14:paraId="0A4BFFC7" w14:textId="77777777" w:rsidR="001B072F" w:rsidRDefault="001B072F" w:rsidP="001B072F">
      <w:pPr>
        <w:pStyle w:val="Bibliography"/>
      </w:pPr>
      <w:proofErr w:type="spellStart"/>
      <w:r>
        <w:t>Chak</w:t>
      </w:r>
      <w:proofErr w:type="spellEnd"/>
      <w:r>
        <w:t xml:space="preserve">, A. (2007). Teachers’ and parents’ conceptions of children’s curiosity and exploration. </w:t>
      </w:r>
      <w:r>
        <w:rPr>
          <w:i/>
          <w:iCs/>
        </w:rPr>
        <w:t>International Journal of Early Years Education</w:t>
      </w:r>
      <w:r>
        <w:t xml:space="preserve">, </w:t>
      </w:r>
      <w:r>
        <w:rPr>
          <w:i/>
          <w:iCs/>
        </w:rPr>
        <w:t>15</w:t>
      </w:r>
      <w:r>
        <w:t xml:space="preserve">(2), 141–159. </w:t>
      </w:r>
      <w:proofErr w:type="spellStart"/>
      <w:r>
        <w:t>doi</w:t>
      </w:r>
      <w:proofErr w:type="spellEnd"/>
      <w:r>
        <w:t>: 10.1080/09669760701288690</w:t>
      </w:r>
    </w:p>
    <w:p w14:paraId="20A03236" w14:textId="77777777" w:rsidR="001B072F" w:rsidRDefault="001B072F" w:rsidP="001B072F">
      <w:pPr>
        <w:pStyle w:val="Bibliography"/>
      </w:pPr>
      <w:proofErr w:type="spellStart"/>
      <w:r>
        <w:t>Chalufour</w:t>
      </w:r>
      <w:proofErr w:type="spellEnd"/>
      <w:r>
        <w:t xml:space="preserve">, I., &amp; Worth, K. (2005). </w:t>
      </w:r>
      <w:r>
        <w:rPr>
          <w:i/>
          <w:iCs/>
        </w:rPr>
        <w:t>Exploring Water with Young Children, Trainer’s Guide</w:t>
      </w:r>
      <w:r>
        <w:t xml:space="preserve">. Corona, CA: </w:t>
      </w:r>
      <w:proofErr w:type="spellStart"/>
      <w:r>
        <w:t>Redleaf</w:t>
      </w:r>
      <w:proofErr w:type="spellEnd"/>
      <w:r>
        <w:t xml:space="preserve"> Press.</w:t>
      </w:r>
    </w:p>
    <w:p w14:paraId="3CB30EF2" w14:textId="77777777" w:rsidR="001B072F" w:rsidRDefault="001B072F" w:rsidP="001B072F">
      <w:pPr>
        <w:pStyle w:val="Bibliography"/>
      </w:pPr>
      <w:r>
        <w:t xml:space="preserve">Chang, H., &amp; Olson, S. L. (2016). Examining early behavioral persistence as a dynamic process: Correlates and consequences spanning ages 3–10 years. </w:t>
      </w:r>
      <w:r>
        <w:rPr>
          <w:i/>
          <w:iCs/>
        </w:rPr>
        <w:t>Journal of Abnormal Child Psychology</w:t>
      </w:r>
      <w:r>
        <w:t xml:space="preserve">, </w:t>
      </w:r>
      <w:r>
        <w:rPr>
          <w:i/>
          <w:iCs/>
        </w:rPr>
        <w:t>44</w:t>
      </w:r>
      <w:r>
        <w:t xml:space="preserve">(4), 799–810. </w:t>
      </w:r>
      <w:proofErr w:type="spellStart"/>
      <w:r>
        <w:t>doi</w:t>
      </w:r>
      <w:proofErr w:type="spellEnd"/>
      <w:r>
        <w:t>: 10.1007/s10802-015-0063-2</w:t>
      </w:r>
    </w:p>
    <w:p w14:paraId="3C511EC6" w14:textId="77777777" w:rsidR="001B072F" w:rsidRDefault="001B072F" w:rsidP="001B072F">
      <w:pPr>
        <w:pStyle w:val="Bibliography"/>
      </w:pPr>
      <w:r>
        <w:t xml:space="preserve">Chen, J.-Q., &amp; McNamee, G. D. (2011). Positive approaches to learning in the context of preschool classroom activities. </w:t>
      </w:r>
      <w:r>
        <w:rPr>
          <w:i/>
          <w:iCs/>
        </w:rPr>
        <w:t>Early Childhood Education Journal</w:t>
      </w:r>
      <w:r>
        <w:t xml:space="preserve">, </w:t>
      </w:r>
      <w:r>
        <w:rPr>
          <w:i/>
          <w:iCs/>
        </w:rPr>
        <w:t>39</w:t>
      </w:r>
      <w:r>
        <w:t xml:space="preserve">(1), 71–78. </w:t>
      </w:r>
      <w:proofErr w:type="spellStart"/>
      <w:r>
        <w:t>doi</w:t>
      </w:r>
      <w:proofErr w:type="spellEnd"/>
      <w:r>
        <w:t>: 10.1007/s10643-010-0441-x</w:t>
      </w:r>
    </w:p>
    <w:p w14:paraId="0F166900" w14:textId="77777777" w:rsidR="001B072F" w:rsidRDefault="001B072F" w:rsidP="001B072F">
      <w:pPr>
        <w:pStyle w:val="Bibliography"/>
      </w:pPr>
      <w:proofErr w:type="spellStart"/>
      <w:r>
        <w:t>Claessens</w:t>
      </w:r>
      <w:proofErr w:type="spellEnd"/>
      <w:r>
        <w:t xml:space="preserve">, A., Engel, M., &amp; Curran, F. C. (2014). Academic content, student learning, and the persistence of preschool effects. </w:t>
      </w:r>
      <w:r>
        <w:rPr>
          <w:i/>
          <w:iCs/>
        </w:rPr>
        <w:t>American Educational Research Journal</w:t>
      </w:r>
      <w:r>
        <w:t xml:space="preserve">, </w:t>
      </w:r>
      <w:r>
        <w:rPr>
          <w:i/>
          <w:iCs/>
        </w:rPr>
        <w:t>51</w:t>
      </w:r>
      <w:r>
        <w:t xml:space="preserve">(2), 403–434. </w:t>
      </w:r>
      <w:proofErr w:type="spellStart"/>
      <w:r>
        <w:t>doi</w:t>
      </w:r>
      <w:proofErr w:type="spellEnd"/>
      <w:r>
        <w:t>: 10.3102/0002831213513634</w:t>
      </w:r>
    </w:p>
    <w:p w14:paraId="69C6DB05" w14:textId="77777777" w:rsidR="001B072F" w:rsidRDefault="001B072F" w:rsidP="001B072F">
      <w:pPr>
        <w:pStyle w:val="Bibliography"/>
      </w:pPr>
      <w:r>
        <w:t xml:space="preserve">Creaser, B. (1990). </w:t>
      </w:r>
      <w:r>
        <w:rPr>
          <w:i/>
          <w:iCs/>
        </w:rPr>
        <w:t>Pretend Play: A Natural Path to Learning.</w:t>
      </w:r>
      <w:r>
        <w:t xml:space="preserve"> Retrieved from Australian Early Childhood Association website: https://files.eric.ed.gov/fulltext/ED370690.pdf</w:t>
      </w:r>
    </w:p>
    <w:p w14:paraId="0CCD4D99" w14:textId="77777777" w:rsidR="001B072F" w:rsidRDefault="001B072F" w:rsidP="001B072F">
      <w:pPr>
        <w:pStyle w:val="Bibliography"/>
      </w:pPr>
      <w:r>
        <w:lastRenderedPageBreak/>
        <w:t xml:space="preserve">Devi, A., Fleer, M., &amp; Li, L. (2018). ‘We set up a small world’: Preschool teachers’ involvement in children’s imaginative play. </w:t>
      </w:r>
      <w:r>
        <w:rPr>
          <w:i/>
          <w:iCs/>
        </w:rPr>
        <w:t>International Journal of Early Years Education</w:t>
      </w:r>
      <w:r>
        <w:t xml:space="preserve">, </w:t>
      </w:r>
      <w:r>
        <w:rPr>
          <w:i/>
          <w:iCs/>
        </w:rPr>
        <w:t>26</w:t>
      </w:r>
      <w:r>
        <w:t xml:space="preserve">(3), 295–311. </w:t>
      </w:r>
      <w:proofErr w:type="spellStart"/>
      <w:r>
        <w:t>doi</w:t>
      </w:r>
      <w:proofErr w:type="spellEnd"/>
      <w:r>
        <w:t>: 10.1080/09669760.2018.1452720</w:t>
      </w:r>
    </w:p>
    <w:p w14:paraId="3B26A6F2" w14:textId="77777777" w:rsidR="001B072F" w:rsidRDefault="001B072F" w:rsidP="001B072F">
      <w:pPr>
        <w:pStyle w:val="Bibliography"/>
      </w:pPr>
      <w:r>
        <w:t xml:space="preserve">Duncan, R. M., &amp; </w:t>
      </w:r>
      <w:proofErr w:type="spellStart"/>
      <w:r>
        <w:t>Tarulli</w:t>
      </w:r>
      <w:proofErr w:type="spellEnd"/>
      <w:r>
        <w:t xml:space="preserve">, D. (2003). Play as the leading activity of the preschool period. </w:t>
      </w:r>
      <w:r>
        <w:rPr>
          <w:i/>
          <w:iCs/>
        </w:rPr>
        <w:t>Early Education and Development</w:t>
      </w:r>
      <w:r>
        <w:t xml:space="preserve">, </w:t>
      </w:r>
      <w:r>
        <w:rPr>
          <w:i/>
          <w:iCs/>
        </w:rPr>
        <w:t>14</w:t>
      </w:r>
      <w:r>
        <w:t xml:space="preserve">(3), 271–292. </w:t>
      </w:r>
      <w:proofErr w:type="spellStart"/>
      <w:r>
        <w:t>doi</w:t>
      </w:r>
      <w:proofErr w:type="spellEnd"/>
      <w:r>
        <w:t>: 10.1207/s15566935eed1403_2</w:t>
      </w:r>
    </w:p>
    <w:p w14:paraId="54DF6CE0" w14:textId="77777777" w:rsidR="001B072F" w:rsidRDefault="001B072F" w:rsidP="001B072F">
      <w:pPr>
        <w:pStyle w:val="Bibliography"/>
      </w:pPr>
      <w:r>
        <w:t xml:space="preserve">Elkonin, D. B. (2005). The psychology of play. </w:t>
      </w:r>
      <w:r>
        <w:rPr>
          <w:i/>
          <w:iCs/>
        </w:rPr>
        <w:t>Journal of Russian and East European Psychology</w:t>
      </w:r>
      <w:r>
        <w:t xml:space="preserve">, </w:t>
      </w:r>
      <w:r>
        <w:rPr>
          <w:i/>
          <w:iCs/>
        </w:rPr>
        <w:t>43</w:t>
      </w:r>
      <w:r>
        <w:t xml:space="preserve">(1), 12. </w:t>
      </w:r>
      <w:proofErr w:type="spellStart"/>
      <w:r>
        <w:t>doi</w:t>
      </w:r>
      <w:proofErr w:type="spellEnd"/>
      <w:r>
        <w:t>: 10.1080/10610405.2005.11059245</w:t>
      </w:r>
    </w:p>
    <w:p w14:paraId="1A60BAD9" w14:textId="77777777" w:rsidR="001B072F" w:rsidRDefault="001B072F" w:rsidP="001B072F">
      <w:pPr>
        <w:pStyle w:val="Bibliography"/>
      </w:pPr>
      <w:proofErr w:type="spellStart"/>
      <w:r>
        <w:t>Emfinger</w:t>
      </w:r>
      <w:proofErr w:type="spellEnd"/>
      <w:r>
        <w:t xml:space="preserve">, K. (2009). Numerical conceptions reflected during multiage child-initiated pretend play. </w:t>
      </w:r>
      <w:r>
        <w:rPr>
          <w:i/>
          <w:iCs/>
        </w:rPr>
        <w:t>Journal of Instructional Psychology</w:t>
      </w:r>
      <w:r>
        <w:t xml:space="preserve">, </w:t>
      </w:r>
      <w:r>
        <w:rPr>
          <w:i/>
          <w:iCs/>
        </w:rPr>
        <w:t>36</w:t>
      </w:r>
      <w:r>
        <w:t>(4), 326–334. Retrieved from https://www.questia.com/library/p6137/journal-of-instructional-psychology</w:t>
      </w:r>
    </w:p>
    <w:p w14:paraId="0BECD8C6" w14:textId="77777777" w:rsidR="001B072F" w:rsidRDefault="001B072F" w:rsidP="001B072F">
      <w:pPr>
        <w:pStyle w:val="Bibliography"/>
      </w:pPr>
      <w:proofErr w:type="spellStart"/>
      <w:r>
        <w:t>Eshach</w:t>
      </w:r>
      <w:proofErr w:type="spellEnd"/>
      <w:r>
        <w:t xml:space="preserve">, H., &amp; Fried, M. N. (2005). Should science be taught in early childhood? </w:t>
      </w:r>
      <w:r>
        <w:rPr>
          <w:i/>
          <w:iCs/>
        </w:rPr>
        <w:t>Journal of Science Education and Technology</w:t>
      </w:r>
      <w:r>
        <w:t xml:space="preserve">, </w:t>
      </w:r>
      <w:r>
        <w:rPr>
          <w:i/>
          <w:iCs/>
        </w:rPr>
        <w:t>14</w:t>
      </w:r>
      <w:r>
        <w:t xml:space="preserve">(3), 315–336. </w:t>
      </w:r>
      <w:proofErr w:type="spellStart"/>
      <w:r>
        <w:t>doi</w:t>
      </w:r>
      <w:proofErr w:type="spellEnd"/>
      <w:r>
        <w:t>: 10.1007/s10956-005-7198-9</w:t>
      </w:r>
    </w:p>
    <w:p w14:paraId="1844D16A" w14:textId="77777777" w:rsidR="001B072F" w:rsidRDefault="001B072F" w:rsidP="001B072F">
      <w:pPr>
        <w:pStyle w:val="Bibliography"/>
      </w:pPr>
      <w:proofErr w:type="spellStart"/>
      <w:r>
        <w:t>Fantuzzo</w:t>
      </w:r>
      <w:proofErr w:type="spellEnd"/>
      <w:r>
        <w:t xml:space="preserve">, J., </w:t>
      </w:r>
      <w:proofErr w:type="spellStart"/>
      <w:r>
        <w:t>Bulotsky</w:t>
      </w:r>
      <w:proofErr w:type="spellEnd"/>
      <w:r>
        <w:t xml:space="preserve">-Shearer, R., McDermott, P., McWayne, C., Frye, D., &amp; Perlman, S. (2007). Investigation of dimensions of social-emotional classroom behavior and school readiness for low-income urban preschool children. </w:t>
      </w:r>
      <w:r>
        <w:rPr>
          <w:i/>
          <w:iCs/>
        </w:rPr>
        <w:t>School Psychology Review</w:t>
      </w:r>
      <w:r>
        <w:t xml:space="preserve">, </w:t>
      </w:r>
      <w:r>
        <w:rPr>
          <w:i/>
          <w:iCs/>
        </w:rPr>
        <w:t>36</w:t>
      </w:r>
      <w:r>
        <w:t>(1), 44–62. Retrieved from https://naspjournals.org/loi/spsr</w:t>
      </w:r>
    </w:p>
    <w:p w14:paraId="23228CCD" w14:textId="77777777" w:rsidR="001B072F" w:rsidRDefault="001B072F" w:rsidP="001B072F">
      <w:pPr>
        <w:pStyle w:val="Bibliography"/>
      </w:pPr>
      <w:proofErr w:type="spellStart"/>
      <w:r>
        <w:t>Fantuzzo</w:t>
      </w:r>
      <w:proofErr w:type="spellEnd"/>
      <w:r>
        <w:t xml:space="preserve">, J., Perry, M. A., &amp; McDermott, P. (2004). Preschool approaches to learning and their relationship to other relevant classroom competencies for low-income children. </w:t>
      </w:r>
      <w:r>
        <w:rPr>
          <w:i/>
          <w:iCs/>
        </w:rPr>
        <w:t>School Psychology Quarterly</w:t>
      </w:r>
      <w:r>
        <w:t xml:space="preserve">, </w:t>
      </w:r>
      <w:r>
        <w:rPr>
          <w:i/>
          <w:iCs/>
        </w:rPr>
        <w:t>19</w:t>
      </w:r>
      <w:r>
        <w:t xml:space="preserve">(3), 212–230. </w:t>
      </w:r>
      <w:proofErr w:type="spellStart"/>
      <w:r>
        <w:t>doi</w:t>
      </w:r>
      <w:proofErr w:type="spellEnd"/>
      <w:r>
        <w:t>: 10.1521/scpq.19.3.212.40276</w:t>
      </w:r>
    </w:p>
    <w:p w14:paraId="7F805E46" w14:textId="77777777" w:rsidR="001B072F" w:rsidRDefault="001B072F" w:rsidP="001B072F">
      <w:pPr>
        <w:pStyle w:val="Bibliography"/>
      </w:pPr>
      <w:r>
        <w:t xml:space="preserve">Fleer, M. (2009). Understanding the dialectical relations between everyday concepts and scientific concepts within play-based programs. </w:t>
      </w:r>
      <w:r>
        <w:rPr>
          <w:i/>
          <w:iCs/>
        </w:rPr>
        <w:t>Research in Science Education</w:t>
      </w:r>
      <w:r>
        <w:t xml:space="preserve">, </w:t>
      </w:r>
      <w:r>
        <w:rPr>
          <w:i/>
          <w:iCs/>
        </w:rPr>
        <w:t>39</w:t>
      </w:r>
      <w:r>
        <w:t xml:space="preserve">(2), 281–306. </w:t>
      </w:r>
      <w:proofErr w:type="spellStart"/>
      <w:r>
        <w:t>doi</w:t>
      </w:r>
      <w:proofErr w:type="spellEnd"/>
      <w:r>
        <w:t>: 10.1007/s11165-008-9085-x</w:t>
      </w:r>
    </w:p>
    <w:p w14:paraId="7AADA068" w14:textId="77777777" w:rsidR="001B072F" w:rsidRDefault="001B072F" w:rsidP="001B072F">
      <w:pPr>
        <w:pStyle w:val="Bibliography"/>
      </w:pPr>
      <w:r>
        <w:t xml:space="preserve">Fleer, M. (2011a). ‘Conceptual play’: Foregrounding imagination and cognition during concept formation in early years education. </w:t>
      </w:r>
      <w:r>
        <w:rPr>
          <w:i/>
          <w:iCs/>
        </w:rPr>
        <w:t>Contemporary Issues in Early Childhood</w:t>
      </w:r>
      <w:r>
        <w:t xml:space="preserve">, </w:t>
      </w:r>
      <w:r>
        <w:rPr>
          <w:i/>
          <w:iCs/>
        </w:rPr>
        <w:t>12</w:t>
      </w:r>
      <w:r>
        <w:t xml:space="preserve">(3), 224–240. </w:t>
      </w:r>
      <w:proofErr w:type="spellStart"/>
      <w:r>
        <w:t>doi</w:t>
      </w:r>
      <w:proofErr w:type="spellEnd"/>
      <w:r>
        <w:t>: 10.2304/ciec.2011.12.3.224</w:t>
      </w:r>
    </w:p>
    <w:p w14:paraId="71EFB515" w14:textId="77777777" w:rsidR="001B072F" w:rsidRDefault="001B072F" w:rsidP="001B072F">
      <w:pPr>
        <w:pStyle w:val="Bibliography"/>
      </w:pPr>
      <w:r>
        <w:t xml:space="preserve">Fleer, M. (2011b). Kindergartens in cognitive times: Imagination as a dialectical relation between play and learning. </w:t>
      </w:r>
      <w:r>
        <w:rPr>
          <w:i/>
          <w:iCs/>
        </w:rPr>
        <w:t>International Journal of Early Childhood</w:t>
      </w:r>
      <w:r>
        <w:t xml:space="preserve">, </w:t>
      </w:r>
      <w:r>
        <w:rPr>
          <w:i/>
          <w:iCs/>
        </w:rPr>
        <w:t>43</w:t>
      </w:r>
      <w:r>
        <w:t xml:space="preserve">(3), 245–259. </w:t>
      </w:r>
      <w:proofErr w:type="spellStart"/>
      <w:r>
        <w:t>doi</w:t>
      </w:r>
      <w:proofErr w:type="spellEnd"/>
      <w:r>
        <w:t>: 10.1007/s13158-011-0044-8</w:t>
      </w:r>
    </w:p>
    <w:p w14:paraId="1402D7D9" w14:textId="77777777" w:rsidR="001B072F" w:rsidRDefault="001B072F" w:rsidP="001B072F">
      <w:pPr>
        <w:pStyle w:val="Bibliography"/>
      </w:pPr>
      <w:r>
        <w:t xml:space="preserve">Fleer, M. (2018). Conceptual </w:t>
      </w:r>
      <w:proofErr w:type="spellStart"/>
      <w:r>
        <w:t>Playworlds</w:t>
      </w:r>
      <w:proofErr w:type="spellEnd"/>
      <w:r>
        <w:t xml:space="preserve">: The role of imagination in play and learning. </w:t>
      </w:r>
      <w:r>
        <w:rPr>
          <w:i/>
          <w:iCs/>
        </w:rPr>
        <w:t>Early Years</w:t>
      </w:r>
      <w:r>
        <w:t xml:space="preserve">, 1–12. </w:t>
      </w:r>
      <w:proofErr w:type="spellStart"/>
      <w:r>
        <w:t>doi</w:t>
      </w:r>
      <w:proofErr w:type="spellEnd"/>
      <w:r>
        <w:t>: 10.1080/09575146.2018.1549024</w:t>
      </w:r>
    </w:p>
    <w:p w14:paraId="4C1F64FE" w14:textId="77777777" w:rsidR="001B072F" w:rsidRDefault="001B072F" w:rsidP="001B072F">
      <w:pPr>
        <w:pStyle w:val="Bibliography"/>
      </w:pPr>
      <w:r>
        <w:t xml:space="preserve">Foreman, G. (2006). Constructive play. In D. </w:t>
      </w:r>
      <w:proofErr w:type="spellStart"/>
      <w:r>
        <w:t>Fromberg</w:t>
      </w:r>
      <w:proofErr w:type="spellEnd"/>
      <w:r>
        <w:t xml:space="preserve"> &amp; D. Bergen (Eds.), </w:t>
      </w:r>
      <w:r>
        <w:rPr>
          <w:i/>
          <w:iCs/>
        </w:rPr>
        <w:t>Play from birth to twelve: Contexts, perspectives, and meanings.</w:t>
      </w:r>
      <w:r>
        <w:t xml:space="preserve"> (2nd ed., pp. 103–111). New York: Routledge.</w:t>
      </w:r>
    </w:p>
    <w:p w14:paraId="6B7230D9" w14:textId="77777777" w:rsidR="001B072F" w:rsidRDefault="001B072F" w:rsidP="001B072F">
      <w:pPr>
        <w:pStyle w:val="Bibliography"/>
      </w:pPr>
      <w:r>
        <w:t xml:space="preserve">Fox, E., &amp; </w:t>
      </w:r>
      <w:proofErr w:type="spellStart"/>
      <w:r>
        <w:t>Riconscente</w:t>
      </w:r>
      <w:proofErr w:type="spellEnd"/>
      <w:r>
        <w:t xml:space="preserve">, M. (2008). Metacognition and self-regulation in James, Piaget, and Vygotsky. </w:t>
      </w:r>
      <w:r>
        <w:rPr>
          <w:i/>
          <w:iCs/>
        </w:rPr>
        <w:t>Educational Psychology Review</w:t>
      </w:r>
      <w:r>
        <w:t xml:space="preserve">, </w:t>
      </w:r>
      <w:r>
        <w:rPr>
          <w:i/>
          <w:iCs/>
        </w:rPr>
        <w:t>20</w:t>
      </w:r>
      <w:r>
        <w:t xml:space="preserve">(4), 373–389. </w:t>
      </w:r>
      <w:proofErr w:type="spellStart"/>
      <w:r>
        <w:t>doi</w:t>
      </w:r>
      <w:proofErr w:type="spellEnd"/>
      <w:r>
        <w:t>: 10.1007/s10648-008-9079-2</w:t>
      </w:r>
    </w:p>
    <w:p w14:paraId="16C8E71A" w14:textId="77777777" w:rsidR="001B072F" w:rsidRDefault="001B072F" w:rsidP="001B072F">
      <w:pPr>
        <w:pStyle w:val="Bibliography"/>
      </w:pPr>
      <w:r>
        <w:lastRenderedPageBreak/>
        <w:t xml:space="preserve">Fredricks, J. A., Blumenfeld, P. C., &amp; Paris, A. H. (2004). School engagement: Potential of the concept, state of the evidence. </w:t>
      </w:r>
      <w:r>
        <w:rPr>
          <w:i/>
          <w:iCs/>
        </w:rPr>
        <w:t>Review of Educational Research</w:t>
      </w:r>
      <w:r>
        <w:t xml:space="preserve">, </w:t>
      </w:r>
      <w:r>
        <w:rPr>
          <w:i/>
          <w:iCs/>
        </w:rPr>
        <w:t>74</w:t>
      </w:r>
      <w:r>
        <w:t xml:space="preserve">(1), 59–109. </w:t>
      </w:r>
      <w:proofErr w:type="spellStart"/>
      <w:r>
        <w:t>doi</w:t>
      </w:r>
      <w:proofErr w:type="spellEnd"/>
      <w:r>
        <w:t>: 10.3102/00346543074001059</w:t>
      </w:r>
    </w:p>
    <w:p w14:paraId="34568412" w14:textId="77777777" w:rsidR="001B072F" w:rsidRDefault="001B072F" w:rsidP="001B072F">
      <w:pPr>
        <w:pStyle w:val="Bibliography"/>
      </w:pPr>
      <w:r>
        <w:t xml:space="preserve">French, L. (2004). Science as the center of a coherent, integrated early childhood curriculum. </w:t>
      </w:r>
      <w:r>
        <w:rPr>
          <w:i/>
          <w:iCs/>
        </w:rPr>
        <w:t>Early Childhood Research Quarterly</w:t>
      </w:r>
      <w:r>
        <w:t xml:space="preserve">, </w:t>
      </w:r>
      <w:r>
        <w:rPr>
          <w:i/>
          <w:iCs/>
        </w:rPr>
        <w:t>19</w:t>
      </w:r>
      <w:r>
        <w:t xml:space="preserve">(1), 138–149. </w:t>
      </w:r>
      <w:proofErr w:type="spellStart"/>
      <w:r>
        <w:t>doi</w:t>
      </w:r>
      <w:proofErr w:type="spellEnd"/>
      <w:r>
        <w:t>: 10.1016/j.ecresq.2004.01.004</w:t>
      </w:r>
    </w:p>
    <w:p w14:paraId="76158625" w14:textId="5224A87C" w:rsidR="001B072F" w:rsidRDefault="001B072F" w:rsidP="001B072F">
      <w:pPr>
        <w:pStyle w:val="Bibliography"/>
      </w:pPr>
      <w:r>
        <w:t>Ginsberg, H. P. (2006). Mathemati</w:t>
      </w:r>
      <w:r w:rsidR="00DB440B">
        <w:t>c</w:t>
      </w:r>
      <w:r>
        <w:t>al play and playful mathematics: A guild for early education. In D. Singer, K. Hirsh-</w:t>
      </w:r>
      <w:proofErr w:type="spellStart"/>
      <w:r>
        <w:t>Pasek</w:t>
      </w:r>
      <w:proofErr w:type="spellEnd"/>
      <w:r>
        <w:t xml:space="preserve">, &amp; R. </w:t>
      </w:r>
      <w:proofErr w:type="spellStart"/>
      <w:r>
        <w:t>Golinkoff</w:t>
      </w:r>
      <w:proofErr w:type="spellEnd"/>
      <w:r>
        <w:t xml:space="preserve"> (Eds.), </w:t>
      </w:r>
      <w:r>
        <w:rPr>
          <w:i/>
          <w:iCs/>
        </w:rPr>
        <w:t>Play = Learning</w:t>
      </w:r>
      <w:r w:rsidR="00DB440B">
        <w:t xml:space="preserve">: </w:t>
      </w:r>
      <w:r w:rsidR="00DB440B">
        <w:rPr>
          <w:i/>
          <w:iCs/>
        </w:rPr>
        <w:t xml:space="preserve">How play motivates and enhances children’s cognitive and social-emotional growth </w:t>
      </w:r>
      <w:r w:rsidR="00DB440B" w:rsidRPr="00DB440B">
        <w:t>(pp</w:t>
      </w:r>
      <w:r w:rsidR="00DB440B">
        <w:rPr>
          <w:i/>
          <w:iCs/>
        </w:rPr>
        <w:t>.</w:t>
      </w:r>
      <w:r w:rsidR="00DB440B">
        <w:t>145-168)</w:t>
      </w:r>
      <w:proofErr w:type="gramStart"/>
      <w:r w:rsidR="00DB440B">
        <w:t xml:space="preserve">. </w:t>
      </w:r>
      <w:r w:rsidR="00DB440B">
        <w:rPr>
          <w:i/>
          <w:iCs/>
        </w:rPr>
        <w:t xml:space="preserve"> </w:t>
      </w:r>
      <w:proofErr w:type="gramEnd"/>
      <w:r>
        <w:t xml:space="preserve"> Oxford, England: University Press Scholarship.</w:t>
      </w:r>
    </w:p>
    <w:p w14:paraId="32C830F4" w14:textId="77777777" w:rsidR="001B072F" w:rsidRDefault="001B072F" w:rsidP="001B072F">
      <w:pPr>
        <w:pStyle w:val="Bibliography"/>
      </w:pPr>
      <w:r>
        <w:t xml:space="preserve">Ginsburg, H. P., Lee, J. S., &amp; Boyd, J. S. (2008). Mathematics education for young children: What it is and how to promote it. </w:t>
      </w:r>
      <w:r>
        <w:rPr>
          <w:i/>
          <w:iCs/>
        </w:rPr>
        <w:t>Social Policy Report</w:t>
      </w:r>
      <w:r>
        <w:t xml:space="preserve">, </w:t>
      </w:r>
      <w:r>
        <w:rPr>
          <w:i/>
          <w:iCs/>
        </w:rPr>
        <w:t>12</w:t>
      </w:r>
      <w:r>
        <w:t>(1), 3–24. Retrieved from https://eric.ed.gov/?id=ED521700</w:t>
      </w:r>
    </w:p>
    <w:p w14:paraId="450ACFB1" w14:textId="77777777" w:rsidR="001B072F" w:rsidRDefault="001B072F" w:rsidP="001B072F">
      <w:pPr>
        <w:pStyle w:val="Bibliography"/>
      </w:pPr>
      <w:proofErr w:type="spellStart"/>
      <w:r>
        <w:t>Gleave</w:t>
      </w:r>
      <w:proofErr w:type="spellEnd"/>
      <w:r>
        <w:t>, J., &amp; Cole-</w:t>
      </w:r>
      <w:proofErr w:type="spellStart"/>
      <w:r>
        <w:t>Hamiltion</w:t>
      </w:r>
      <w:proofErr w:type="spellEnd"/>
      <w:r>
        <w:t xml:space="preserve">, I. (2012). </w:t>
      </w:r>
      <w:r>
        <w:rPr>
          <w:i/>
          <w:iCs/>
        </w:rPr>
        <w:t>A world without play: A literature review</w:t>
      </w:r>
      <w:r>
        <w:t>. Retrieved from Play England and BTHA website: https://www.eerg.com.au/images/PDF/A-world-without-play-literature-review-2012.pdf</w:t>
      </w:r>
    </w:p>
    <w:p w14:paraId="4ACE84FA" w14:textId="77777777" w:rsidR="001B072F" w:rsidRDefault="001B072F" w:rsidP="001B072F">
      <w:pPr>
        <w:pStyle w:val="Bibliography"/>
      </w:pPr>
      <w:proofErr w:type="spellStart"/>
      <w:r>
        <w:t>Graue</w:t>
      </w:r>
      <w:proofErr w:type="spellEnd"/>
      <w:r>
        <w:t xml:space="preserve">, M. E., Ryan, S., Nocera, A., Northey, K., &amp; </w:t>
      </w:r>
      <w:proofErr w:type="spellStart"/>
      <w:r>
        <w:t>Wilinski</w:t>
      </w:r>
      <w:proofErr w:type="spellEnd"/>
      <w:r>
        <w:t xml:space="preserve">, B. (2017). Pulling </w:t>
      </w:r>
      <w:proofErr w:type="spellStart"/>
      <w:r>
        <w:t>preK</w:t>
      </w:r>
      <w:proofErr w:type="spellEnd"/>
      <w:r>
        <w:t xml:space="preserve"> into a K-12 orbit: The evolution of </w:t>
      </w:r>
      <w:proofErr w:type="spellStart"/>
      <w:r>
        <w:t>preK</w:t>
      </w:r>
      <w:proofErr w:type="spellEnd"/>
      <w:r>
        <w:t xml:space="preserve"> in the age of standards. </w:t>
      </w:r>
      <w:r>
        <w:rPr>
          <w:i/>
          <w:iCs/>
        </w:rPr>
        <w:t>Early Years</w:t>
      </w:r>
      <w:r>
        <w:t xml:space="preserve">, </w:t>
      </w:r>
      <w:r>
        <w:rPr>
          <w:i/>
          <w:iCs/>
        </w:rPr>
        <w:t>37</w:t>
      </w:r>
      <w:r>
        <w:t xml:space="preserve">(1), 108–122. </w:t>
      </w:r>
      <w:proofErr w:type="spellStart"/>
      <w:r>
        <w:t>doi</w:t>
      </w:r>
      <w:proofErr w:type="spellEnd"/>
      <w:r>
        <w:t>: 10.1080/09575146.2016.1220925</w:t>
      </w:r>
    </w:p>
    <w:p w14:paraId="6FD05631" w14:textId="77777777" w:rsidR="001B072F" w:rsidRDefault="001B072F" w:rsidP="001B072F">
      <w:pPr>
        <w:pStyle w:val="Bibliography"/>
      </w:pPr>
      <w:proofErr w:type="spellStart"/>
      <w:r>
        <w:t>Hakkarainen</w:t>
      </w:r>
      <w:proofErr w:type="spellEnd"/>
      <w:r>
        <w:t xml:space="preserve">, P. (2010). Cultural-historical methodology of the study of human development in transitions. </w:t>
      </w:r>
      <w:r>
        <w:rPr>
          <w:i/>
          <w:iCs/>
        </w:rPr>
        <w:t>Cultural-Historical Psychology</w:t>
      </w:r>
      <w:r>
        <w:t xml:space="preserve">, </w:t>
      </w:r>
      <w:r>
        <w:rPr>
          <w:i/>
          <w:iCs/>
        </w:rPr>
        <w:t>6</w:t>
      </w:r>
      <w:r>
        <w:t>(4), 75–82. Retrieved from https://psyjournals.ru/en/kip/2010/n4/Hakkarainen.shtml</w:t>
      </w:r>
    </w:p>
    <w:p w14:paraId="26877ACE" w14:textId="77777777" w:rsidR="001B072F" w:rsidRDefault="001B072F" w:rsidP="001B072F">
      <w:pPr>
        <w:pStyle w:val="Bibliography"/>
      </w:pPr>
      <w:r>
        <w:t xml:space="preserve">Hamlin, M., &amp; </w:t>
      </w:r>
      <w:proofErr w:type="spellStart"/>
      <w:r>
        <w:t>Wisneski</w:t>
      </w:r>
      <w:proofErr w:type="spellEnd"/>
      <w:r>
        <w:t xml:space="preserve">, D. B. (2012). Supporting the scientific thinking and inquiry of toddlers and preschoolers through play. </w:t>
      </w:r>
      <w:r>
        <w:rPr>
          <w:i/>
          <w:iCs/>
        </w:rPr>
        <w:t>YC Young Children</w:t>
      </w:r>
      <w:r>
        <w:t xml:space="preserve">, </w:t>
      </w:r>
      <w:r>
        <w:rPr>
          <w:i/>
          <w:iCs/>
        </w:rPr>
        <w:t>67</w:t>
      </w:r>
      <w:r>
        <w:t>(3), 82. Retrieved from https://www.naeyc.org/resources/pubs/yc</w:t>
      </w:r>
    </w:p>
    <w:p w14:paraId="367F04FB" w14:textId="77777777" w:rsidR="001B072F" w:rsidRDefault="001B072F" w:rsidP="001B072F">
      <w:pPr>
        <w:pStyle w:val="Bibliography"/>
      </w:pPr>
      <w:r>
        <w:t xml:space="preserve">Hao, Y., &amp; Fleer, M. (2016). Pretend sign created during collective family play: A cultural-historical study of a child’s scientific learning through everyday family play practices. </w:t>
      </w:r>
      <w:r>
        <w:rPr>
          <w:i/>
          <w:iCs/>
        </w:rPr>
        <w:t>International Research in Early Childhood Education</w:t>
      </w:r>
      <w:r>
        <w:t xml:space="preserve">, </w:t>
      </w:r>
      <w:r>
        <w:rPr>
          <w:i/>
          <w:iCs/>
        </w:rPr>
        <w:t>7</w:t>
      </w:r>
      <w:r>
        <w:t>(2), 38–58. Retrieved from https://eric.ed.gov/?id=EJ1138699</w:t>
      </w:r>
    </w:p>
    <w:p w14:paraId="41EEEA59" w14:textId="77777777" w:rsidR="001B072F" w:rsidRDefault="001B072F" w:rsidP="001B072F">
      <w:pPr>
        <w:pStyle w:val="Bibliography"/>
      </w:pPr>
      <w:r>
        <w:t xml:space="preserve">Hedges, H., &amp; Cullen, J. (2012). Participatory learning theories: A framework for early childhood pedagogy. </w:t>
      </w:r>
      <w:r>
        <w:rPr>
          <w:i/>
          <w:iCs/>
        </w:rPr>
        <w:t>Early Child Development and Care</w:t>
      </w:r>
      <w:r>
        <w:t xml:space="preserve">, </w:t>
      </w:r>
      <w:r>
        <w:rPr>
          <w:i/>
          <w:iCs/>
        </w:rPr>
        <w:t>182</w:t>
      </w:r>
      <w:r>
        <w:t xml:space="preserve">(7), 921–940. </w:t>
      </w:r>
      <w:proofErr w:type="spellStart"/>
      <w:r>
        <w:t>doi</w:t>
      </w:r>
      <w:proofErr w:type="spellEnd"/>
      <w:r>
        <w:t>: 10.1080/03004430.2011.597504</w:t>
      </w:r>
    </w:p>
    <w:p w14:paraId="05A13805" w14:textId="77777777" w:rsidR="001B072F" w:rsidRDefault="001B072F" w:rsidP="001B072F">
      <w:pPr>
        <w:pStyle w:val="Bibliography"/>
      </w:pPr>
      <w:r>
        <w:t xml:space="preserve">Holzman, L. (1995). Creating developmental learning environments: A Vygotskian practice. </w:t>
      </w:r>
      <w:r>
        <w:rPr>
          <w:i/>
          <w:iCs/>
        </w:rPr>
        <w:t>School Psychology International</w:t>
      </w:r>
      <w:r>
        <w:t xml:space="preserve">, </w:t>
      </w:r>
      <w:r>
        <w:rPr>
          <w:i/>
          <w:iCs/>
        </w:rPr>
        <w:t>16</w:t>
      </w:r>
      <w:r>
        <w:t xml:space="preserve">(2), 199–212. </w:t>
      </w:r>
      <w:proofErr w:type="spellStart"/>
      <w:r>
        <w:t>doi</w:t>
      </w:r>
      <w:proofErr w:type="spellEnd"/>
      <w:r>
        <w:t>: 10.1177/0143034395162009</w:t>
      </w:r>
    </w:p>
    <w:p w14:paraId="14EEC992" w14:textId="77777777" w:rsidR="001B072F" w:rsidRDefault="001B072F" w:rsidP="001B072F">
      <w:pPr>
        <w:pStyle w:val="Bibliography"/>
      </w:pPr>
      <w:proofErr w:type="spellStart"/>
      <w:r>
        <w:t>Karpov</w:t>
      </w:r>
      <w:proofErr w:type="spellEnd"/>
      <w:r>
        <w:t xml:space="preserve">, Y. V. (2014). </w:t>
      </w:r>
      <w:r>
        <w:rPr>
          <w:i/>
          <w:iCs/>
        </w:rPr>
        <w:t>Vygotsky for educators</w:t>
      </w:r>
      <w:r>
        <w:t>. New York: Cambridge University Press.</w:t>
      </w:r>
    </w:p>
    <w:p w14:paraId="27B7B0E5" w14:textId="77777777" w:rsidR="001B072F" w:rsidRDefault="001B072F" w:rsidP="001B072F">
      <w:pPr>
        <w:pStyle w:val="Bibliography"/>
      </w:pPr>
      <w:proofErr w:type="spellStart"/>
      <w:r>
        <w:t>Leont’ev</w:t>
      </w:r>
      <w:proofErr w:type="spellEnd"/>
      <w:r>
        <w:t xml:space="preserve">, A. N. (1981). </w:t>
      </w:r>
      <w:r>
        <w:rPr>
          <w:i/>
          <w:iCs/>
        </w:rPr>
        <w:t>Problems in the development of the mind</w:t>
      </w:r>
      <w:r>
        <w:t>. Moscow, Russia: Progress.</w:t>
      </w:r>
    </w:p>
    <w:p w14:paraId="4D0A0646" w14:textId="77777777" w:rsidR="001B072F" w:rsidRDefault="001B072F" w:rsidP="001B072F">
      <w:pPr>
        <w:pStyle w:val="Bibliography"/>
      </w:pPr>
      <w:r>
        <w:lastRenderedPageBreak/>
        <w:t>Li-</w:t>
      </w:r>
      <w:proofErr w:type="spellStart"/>
      <w:r>
        <w:t>Grining</w:t>
      </w:r>
      <w:proofErr w:type="spellEnd"/>
      <w:r>
        <w:t>, C. P., Votruba-</w:t>
      </w:r>
      <w:proofErr w:type="spellStart"/>
      <w:r>
        <w:t>Drzal</w:t>
      </w:r>
      <w:proofErr w:type="spellEnd"/>
      <w:r>
        <w:t>, E., Maldonado-</w:t>
      </w:r>
      <w:proofErr w:type="spellStart"/>
      <w:r>
        <w:t>Carreno</w:t>
      </w:r>
      <w:proofErr w:type="spellEnd"/>
      <w:r>
        <w:t xml:space="preserve">, C., &amp; Haas, K. (2010). Children’s early approaches to learning and academic trajectories through fifth grade. </w:t>
      </w:r>
      <w:r>
        <w:rPr>
          <w:i/>
          <w:iCs/>
        </w:rPr>
        <w:t>Developmental Psychology</w:t>
      </w:r>
      <w:r>
        <w:t xml:space="preserve">, </w:t>
      </w:r>
      <w:r>
        <w:rPr>
          <w:i/>
          <w:iCs/>
        </w:rPr>
        <w:t>46</w:t>
      </w:r>
      <w:r>
        <w:t xml:space="preserve">(5), 1062–1077. </w:t>
      </w:r>
      <w:proofErr w:type="spellStart"/>
      <w:r>
        <w:t>doi</w:t>
      </w:r>
      <w:proofErr w:type="spellEnd"/>
      <w:r>
        <w:t>: 10.1037/a0020066</w:t>
      </w:r>
    </w:p>
    <w:p w14:paraId="149F9768" w14:textId="77777777" w:rsidR="001B072F" w:rsidRDefault="001B072F" w:rsidP="001B072F">
      <w:pPr>
        <w:pStyle w:val="Bibliography"/>
      </w:pPr>
      <w:r>
        <w:t xml:space="preserve">McDermott, P. A., </w:t>
      </w:r>
      <w:proofErr w:type="spellStart"/>
      <w:r>
        <w:t>Rikoon</w:t>
      </w:r>
      <w:proofErr w:type="spellEnd"/>
      <w:r>
        <w:t xml:space="preserve">, S. H., &amp; </w:t>
      </w:r>
      <w:proofErr w:type="spellStart"/>
      <w:r>
        <w:t>Fantuzzo</w:t>
      </w:r>
      <w:proofErr w:type="spellEnd"/>
      <w:r>
        <w:t xml:space="preserve">, J. W. (2014). Tracing children’s approaches to learning through Head Start, kindergarten, and first grade: Different pathways to different outcomes. </w:t>
      </w:r>
      <w:r>
        <w:rPr>
          <w:i/>
          <w:iCs/>
        </w:rPr>
        <w:t>Journal of Educational Psychology</w:t>
      </w:r>
      <w:r>
        <w:t xml:space="preserve">, </w:t>
      </w:r>
      <w:r>
        <w:rPr>
          <w:i/>
          <w:iCs/>
        </w:rPr>
        <w:t>106</w:t>
      </w:r>
      <w:r>
        <w:t xml:space="preserve">(1), 200–213. </w:t>
      </w:r>
      <w:proofErr w:type="spellStart"/>
      <w:r>
        <w:t>doi</w:t>
      </w:r>
      <w:proofErr w:type="spellEnd"/>
      <w:r>
        <w:t>: http://dx.doi.org.ezproxy.lib.ou.edu/10.1037/a0033547</w:t>
      </w:r>
    </w:p>
    <w:p w14:paraId="49801A71" w14:textId="77777777" w:rsidR="001B072F" w:rsidRDefault="001B072F" w:rsidP="001B072F">
      <w:pPr>
        <w:pStyle w:val="Bibliography"/>
      </w:pPr>
      <w:r>
        <w:t xml:space="preserve">McDermott, P. A., </w:t>
      </w:r>
      <w:proofErr w:type="spellStart"/>
      <w:r>
        <w:t>Rovine</w:t>
      </w:r>
      <w:proofErr w:type="spellEnd"/>
      <w:r>
        <w:t xml:space="preserve">, M. J., Reyes, R. S., Chao, J. L., Scruggs, R., </w:t>
      </w:r>
      <w:proofErr w:type="spellStart"/>
      <w:r>
        <w:t>Buek</w:t>
      </w:r>
      <w:proofErr w:type="spellEnd"/>
      <w:r>
        <w:t xml:space="preserve">, K., &amp; </w:t>
      </w:r>
      <w:proofErr w:type="spellStart"/>
      <w:r>
        <w:t>Fantuzzo</w:t>
      </w:r>
      <w:proofErr w:type="spellEnd"/>
      <w:r>
        <w:t xml:space="preserve">, J. W. (2018). Trajectories of early education learning behaviors among children at risk: A growth mixture modeling approach. </w:t>
      </w:r>
      <w:r>
        <w:rPr>
          <w:i/>
          <w:iCs/>
        </w:rPr>
        <w:t>Psychology in the Schools</w:t>
      </w:r>
      <w:r>
        <w:t xml:space="preserve">, </w:t>
      </w:r>
      <w:r>
        <w:rPr>
          <w:i/>
          <w:iCs/>
        </w:rPr>
        <w:t>55</w:t>
      </w:r>
      <w:r>
        <w:t xml:space="preserve">(10), 1205–1223. </w:t>
      </w:r>
      <w:proofErr w:type="spellStart"/>
      <w:r>
        <w:t>doi</w:t>
      </w:r>
      <w:proofErr w:type="spellEnd"/>
      <w:r>
        <w:t>: 10.1002/pits.22145</w:t>
      </w:r>
    </w:p>
    <w:p w14:paraId="52833A97" w14:textId="77777777" w:rsidR="001B072F" w:rsidRDefault="001B072F" w:rsidP="001B072F">
      <w:pPr>
        <w:pStyle w:val="Bibliography"/>
      </w:pPr>
      <w:r>
        <w:t xml:space="preserve">Miller, E., &amp; Almon, J. (2009). </w:t>
      </w:r>
      <w:r>
        <w:rPr>
          <w:i/>
          <w:iCs/>
        </w:rPr>
        <w:t>Crisis in the kindergarten: Why children need to play in school</w:t>
      </w:r>
      <w:r>
        <w:t>. Retrieved from Alliance for Childhood website: https://files.eric.ed.gov/fulltext/ED504839.pdf</w:t>
      </w:r>
    </w:p>
    <w:p w14:paraId="0F6B8F05" w14:textId="77777777" w:rsidR="001B072F" w:rsidRDefault="001B072F" w:rsidP="001B072F">
      <w:pPr>
        <w:pStyle w:val="Bibliography"/>
      </w:pPr>
      <w:r>
        <w:t xml:space="preserve">National Research Council. (2000). </w:t>
      </w:r>
      <w:r>
        <w:rPr>
          <w:i/>
          <w:iCs/>
        </w:rPr>
        <w:t>Inquiry and the National Science Education Standards: A guide for teaching and learning</w:t>
      </w:r>
      <w:r>
        <w:t>. Washington, DC: National Academies Press.</w:t>
      </w:r>
    </w:p>
    <w:p w14:paraId="2C5A7654" w14:textId="77777777" w:rsidR="001B072F" w:rsidRDefault="001B072F" w:rsidP="001B072F">
      <w:pPr>
        <w:pStyle w:val="Bibliography"/>
      </w:pPr>
      <w:r>
        <w:t xml:space="preserve">National Research Council. (2012). </w:t>
      </w:r>
      <w:r>
        <w:rPr>
          <w:i/>
          <w:iCs/>
        </w:rPr>
        <w:t>Education for life and work: Developing transferable knowledge and skills in the 21st century</w:t>
      </w:r>
      <w:r>
        <w:t>. Washington, DC: National Academies Press.</w:t>
      </w:r>
    </w:p>
    <w:p w14:paraId="257A413F" w14:textId="77777777" w:rsidR="001B072F" w:rsidRDefault="001B072F" w:rsidP="001B072F">
      <w:pPr>
        <w:pStyle w:val="Bibliography"/>
      </w:pPr>
      <w:proofErr w:type="spellStart"/>
      <w:r>
        <w:t>Nicolopoulou</w:t>
      </w:r>
      <w:proofErr w:type="spellEnd"/>
      <w:r>
        <w:t xml:space="preserve">, A., Barbosa de Sa, A., </w:t>
      </w:r>
      <w:proofErr w:type="spellStart"/>
      <w:r>
        <w:t>Ilgaz</w:t>
      </w:r>
      <w:proofErr w:type="spellEnd"/>
      <w:r>
        <w:t xml:space="preserve">, H., &amp; </w:t>
      </w:r>
      <w:proofErr w:type="spellStart"/>
      <w:r>
        <w:t>Brockmeyer</w:t>
      </w:r>
      <w:proofErr w:type="spellEnd"/>
      <w:r>
        <w:t xml:space="preserve">, C. (2009). Using the transformative power of play to educate hearts and minds: From Vygotsky to Vivian Paley and beyond. </w:t>
      </w:r>
      <w:r>
        <w:rPr>
          <w:i/>
          <w:iCs/>
        </w:rPr>
        <w:t>Mind, Culture, and Activity</w:t>
      </w:r>
      <w:r>
        <w:t xml:space="preserve">, </w:t>
      </w:r>
      <w:r>
        <w:rPr>
          <w:i/>
          <w:iCs/>
        </w:rPr>
        <w:t>17</w:t>
      </w:r>
      <w:r>
        <w:t xml:space="preserve">(1), 42–58. </w:t>
      </w:r>
      <w:proofErr w:type="spellStart"/>
      <w:r>
        <w:t>doi</w:t>
      </w:r>
      <w:proofErr w:type="spellEnd"/>
      <w:r>
        <w:t>: 10.1080/00220272.2011.637182</w:t>
      </w:r>
    </w:p>
    <w:p w14:paraId="5E25C15C" w14:textId="77777777" w:rsidR="001B072F" w:rsidRDefault="001B072F" w:rsidP="001B072F">
      <w:pPr>
        <w:pStyle w:val="Bibliography"/>
      </w:pPr>
      <w:r>
        <w:t xml:space="preserve">Nilsson, M., </w:t>
      </w:r>
      <w:proofErr w:type="spellStart"/>
      <w:r>
        <w:t>Ferholt</w:t>
      </w:r>
      <w:proofErr w:type="spellEnd"/>
      <w:r>
        <w:t xml:space="preserve">, B., &amp; </w:t>
      </w:r>
      <w:proofErr w:type="spellStart"/>
      <w:r>
        <w:t>Lecusay</w:t>
      </w:r>
      <w:proofErr w:type="spellEnd"/>
      <w:r>
        <w:t xml:space="preserve">, R. (2018). ‘The playing-exploring child’: Reconceptualizing the relationship between play and learning in early childhood education. </w:t>
      </w:r>
      <w:r>
        <w:rPr>
          <w:i/>
          <w:iCs/>
        </w:rPr>
        <w:t>Contemporary Issues in Early Childhood</w:t>
      </w:r>
      <w:r>
        <w:t xml:space="preserve">, </w:t>
      </w:r>
      <w:r>
        <w:rPr>
          <w:i/>
          <w:iCs/>
        </w:rPr>
        <w:t>19</w:t>
      </w:r>
      <w:r>
        <w:t xml:space="preserve">(3), 231–245. </w:t>
      </w:r>
      <w:proofErr w:type="spellStart"/>
      <w:r>
        <w:t>doi</w:t>
      </w:r>
      <w:proofErr w:type="spellEnd"/>
      <w:r>
        <w:t>: 10.1177/1463949117710800</w:t>
      </w:r>
    </w:p>
    <w:p w14:paraId="6977DE74" w14:textId="77777777" w:rsidR="001B072F" w:rsidRDefault="001B072F" w:rsidP="001B072F">
      <w:pPr>
        <w:pStyle w:val="Bibliography"/>
      </w:pPr>
      <w:proofErr w:type="spellStart"/>
      <w:r>
        <w:t>Oers</w:t>
      </w:r>
      <w:proofErr w:type="spellEnd"/>
      <w:r>
        <w:t xml:space="preserve">, B., &amp; </w:t>
      </w:r>
      <w:proofErr w:type="spellStart"/>
      <w:r>
        <w:t>Duijkers</w:t>
      </w:r>
      <w:proofErr w:type="spellEnd"/>
      <w:r>
        <w:t xml:space="preserve">, D. (2013). Teaching in a play-based curriculum: Theory, </w:t>
      </w:r>
      <w:proofErr w:type="gramStart"/>
      <w:r>
        <w:t>practice</w:t>
      </w:r>
      <w:proofErr w:type="gramEnd"/>
      <w:r>
        <w:t xml:space="preserve"> and evidence of developmental education for young children. </w:t>
      </w:r>
      <w:r>
        <w:rPr>
          <w:i/>
          <w:iCs/>
        </w:rPr>
        <w:t>Journal of Curriculum Studies</w:t>
      </w:r>
      <w:r>
        <w:t xml:space="preserve">, </w:t>
      </w:r>
      <w:r>
        <w:rPr>
          <w:i/>
          <w:iCs/>
        </w:rPr>
        <w:t>45</w:t>
      </w:r>
      <w:r>
        <w:t xml:space="preserve">(4), 511–534. </w:t>
      </w:r>
      <w:proofErr w:type="spellStart"/>
      <w:r>
        <w:t>doi</w:t>
      </w:r>
      <w:proofErr w:type="spellEnd"/>
      <w:r>
        <w:t>: 10.1080/00220272.2011.637182</w:t>
      </w:r>
    </w:p>
    <w:p w14:paraId="369E07E5" w14:textId="77777777" w:rsidR="001B072F" w:rsidRDefault="001B072F" w:rsidP="001B072F">
      <w:pPr>
        <w:pStyle w:val="Bibliography"/>
      </w:pPr>
      <w:r>
        <w:t>Paz-</w:t>
      </w:r>
      <w:proofErr w:type="spellStart"/>
      <w:r>
        <w:t>Albo</w:t>
      </w:r>
      <w:proofErr w:type="spellEnd"/>
      <w:r>
        <w:t xml:space="preserve"> Prieto, J., </w:t>
      </w:r>
      <w:proofErr w:type="spellStart"/>
      <w:r>
        <w:t>Cvencek</w:t>
      </w:r>
      <w:proofErr w:type="spellEnd"/>
      <w:r>
        <w:t xml:space="preserve">, D., </w:t>
      </w:r>
      <w:proofErr w:type="spellStart"/>
      <w:r>
        <w:t>Herranz</w:t>
      </w:r>
      <w:proofErr w:type="spellEnd"/>
      <w:r>
        <w:t xml:space="preserve"> </w:t>
      </w:r>
      <w:proofErr w:type="spellStart"/>
      <w:r>
        <w:t>Llácer</w:t>
      </w:r>
      <w:proofErr w:type="spellEnd"/>
      <w:r>
        <w:t xml:space="preserve">, C. V., </w:t>
      </w:r>
      <w:proofErr w:type="spellStart"/>
      <w:r>
        <w:t>Hervás</w:t>
      </w:r>
      <w:proofErr w:type="spellEnd"/>
      <w:r>
        <w:t xml:space="preserve"> Escobar, A., &amp; Meltzoff, A. N. (2017). Preschoolers’ mathematical play and </w:t>
      </w:r>
      <w:proofErr w:type="spellStart"/>
      <w:r>
        <w:t>colour</w:t>
      </w:r>
      <w:proofErr w:type="spellEnd"/>
      <w:r>
        <w:t xml:space="preserve"> preferences: A new window into the development of gendered beliefs about math. </w:t>
      </w:r>
      <w:r>
        <w:rPr>
          <w:i/>
          <w:iCs/>
        </w:rPr>
        <w:t>Early Child Development and Care</w:t>
      </w:r>
      <w:r>
        <w:t xml:space="preserve">, </w:t>
      </w:r>
      <w:r>
        <w:rPr>
          <w:i/>
          <w:iCs/>
        </w:rPr>
        <w:t>187</w:t>
      </w:r>
      <w:r>
        <w:t xml:space="preserve">(8), 1273–1283. </w:t>
      </w:r>
      <w:proofErr w:type="spellStart"/>
      <w:r>
        <w:t>doi</w:t>
      </w:r>
      <w:proofErr w:type="spellEnd"/>
      <w:r>
        <w:t>: 10.1080/03004430.2017.1295234</w:t>
      </w:r>
    </w:p>
    <w:p w14:paraId="67A1AA6A" w14:textId="77777777" w:rsidR="001B072F" w:rsidRDefault="001B072F" w:rsidP="001B072F">
      <w:pPr>
        <w:pStyle w:val="Bibliography"/>
      </w:pPr>
      <w:r>
        <w:t xml:space="preserve">Perry, B., Young-Loveridge, J., </w:t>
      </w:r>
      <w:proofErr w:type="spellStart"/>
      <w:r>
        <w:t>Dolckett</w:t>
      </w:r>
      <w:proofErr w:type="spellEnd"/>
      <w:r>
        <w:t xml:space="preserve">, S., &amp; Doig, B. (2008). The development of young children’s mathematical understanding. </w:t>
      </w:r>
      <w:r>
        <w:rPr>
          <w:i/>
          <w:iCs/>
        </w:rPr>
        <w:t>Research in Mathematics Education in Australasia, 2004 - 2007</w:t>
      </w:r>
      <w:r>
        <w:t>, 17–40. Retrieved from http://dro.deakin.edu.au/view/DU:30017019</w:t>
      </w:r>
    </w:p>
    <w:p w14:paraId="401396A0" w14:textId="77777777" w:rsidR="001B072F" w:rsidRDefault="001B072F" w:rsidP="001B072F">
      <w:pPr>
        <w:pStyle w:val="Bibliography"/>
      </w:pPr>
      <w:proofErr w:type="spellStart"/>
      <w:r>
        <w:lastRenderedPageBreak/>
        <w:t>Razza</w:t>
      </w:r>
      <w:proofErr w:type="spellEnd"/>
      <w:r>
        <w:t xml:space="preserve">, R. A., Martin, A., &amp; Brooks-Gunn, J. (2012). The implications of early attentional regulation for school success among low-income children. </w:t>
      </w:r>
      <w:r>
        <w:rPr>
          <w:i/>
          <w:iCs/>
        </w:rPr>
        <w:t>Journal of Applied Developmental Psychology</w:t>
      </w:r>
      <w:r>
        <w:t xml:space="preserve">, </w:t>
      </w:r>
      <w:r>
        <w:rPr>
          <w:i/>
          <w:iCs/>
        </w:rPr>
        <w:t>33</w:t>
      </w:r>
      <w:r>
        <w:t xml:space="preserve">(6), 311–319. </w:t>
      </w:r>
      <w:proofErr w:type="spellStart"/>
      <w:r>
        <w:t>doi</w:t>
      </w:r>
      <w:proofErr w:type="spellEnd"/>
      <w:r>
        <w:t>: 10.1016/j.appdev.2012.07.005</w:t>
      </w:r>
    </w:p>
    <w:p w14:paraId="4A86441A" w14:textId="77777777" w:rsidR="001B072F" w:rsidRDefault="001B072F" w:rsidP="001B072F">
      <w:pPr>
        <w:pStyle w:val="Bibliography"/>
      </w:pPr>
      <w:proofErr w:type="spellStart"/>
      <w:r>
        <w:t>Razza</w:t>
      </w:r>
      <w:proofErr w:type="spellEnd"/>
      <w:r>
        <w:t xml:space="preserve">, R. A., Martin, A., &amp; Brooks-Gunn, J. (2015). Are approaches to learning in kindergarten associated with academic and social competence similarly? </w:t>
      </w:r>
      <w:r>
        <w:rPr>
          <w:i/>
          <w:iCs/>
        </w:rPr>
        <w:t>Child &amp; Youth Care Forum</w:t>
      </w:r>
      <w:r>
        <w:t xml:space="preserve">, </w:t>
      </w:r>
      <w:r>
        <w:rPr>
          <w:i/>
          <w:iCs/>
        </w:rPr>
        <w:t>44</w:t>
      </w:r>
      <w:r>
        <w:t xml:space="preserve">(6), 757–776. </w:t>
      </w:r>
      <w:proofErr w:type="spellStart"/>
      <w:r>
        <w:t>doi</w:t>
      </w:r>
      <w:proofErr w:type="spellEnd"/>
      <w:r>
        <w:t>: 10.1007/s10566-015-9307-0</w:t>
      </w:r>
    </w:p>
    <w:p w14:paraId="1BEF7A55" w14:textId="77777777" w:rsidR="001B072F" w:rsidRDefault="001B072F" w:rsidP="001B072F">
      <w:pPr>
        <w:pStyle w:val="Bibliography"/>
      </w:pPr>
      <w:r>
        <w:t xml:space="preserve">Rogoff, B. (2003). </w:t>
      </w:r>
      <w:r>
        <w:rPr>
          <w:i/>
          <w:iCs/>
        </w:rPr>
        <w:t>The cultural nature of human development</w:t>
      </w:r>
      <w:r>
        <w:t>. Oxford, England: Oxford University Press.</w:t>
      </w:r>
    </w:p>
    <w:p w14:paraId="4D34BD09" w14:textId="77777777" w:rsidR="001B072F" w:rsidRDefault="001B072F" w:rsidP="001B072F">
      <w:pPr>
        <w:pStyle w:val="Bibliography"/>
      </w:pPr>
      <w:r>
        <w:t xml:space="preserve">Rudd, L. C., Lambert, M. C., Satterwhite, M., &amp; </w:t>
      </w:r>
      <w:proofErr w:type="spellStart"/>
      <w:r>
        <w:t>Zaier</w:t>
      </w:r>
      <w:proofErr w:type="spellEnd"/>
      <w:r>
        <w:t xml:space="preserve">, A. (2008). Mathematical language in early childhood settings: What really counts? </w:t>
      </w:r>
      <w:r>
        <w:rPr>
          <w:i/>
          <w:iCs/>
        </w:rPr>
        <w:t>Early Childhood Education Journal</w:t>
      </w:r>
      <w:r>
        <w:t xml:space="preserve">, </w:t>
      </w:r>
      <w:r>
        <w:rPr>
          <w:i/>
          <w:iCs/>
        </w:rPr>
        <w:t>36</w:t>
      </w:r>
      <w:r>
        <w:t xml:space="preserve">(1), 75–80. </w:t>
      </w:r>
      <w:proofErr w:type="spellStart"/>
      <w:r>
        <w:t>doi</w:t>
      </w:r>
      <w:proofErr w:type="spellEnd"/>
      <w:r>
        <w:t>: 10.1007/s10643-008-0246-3</w:t>
      </w:r>
    </w:p>
    <w:p w14:paraId="7B44D7E9" w14:textId="77777777" w:rsidR="001B072F" w:rsidRDefault="001B072F" w:rsidP="001B072F">
      <w:pPr>
        <w:pStyle w:val="Bibliography"/>
      </w:pPr>
      <w:proofErr w:type="spellStart"/>
      <w:r>
        <w:t>Sarama</w:t>
      </w:r>
      <w:proofErr w:type="spellEnd"/>
      <w:r>
        <w:t xml:space="preserve">, J., &amp; Clements, D. H. (2009). Building blocks and cognitive building blocks. </w:t>
      </w:r>
      <w:r>
        <w:rPr>
          <w:i/>
          <w:iCs/>
        </w:rPr>
        <w:t>American Journal of Play</w:t>
      </w:r>
      <w:r>
        <w:t xml:space="preserve">, </w:t>
      </w:r>
      <w:r>
        <w:rPr>
          <w:i/>
          <w:iCs/>
        </w:rPr>
        <w:t>1</w:t>
      </w:r>
      <w:r>
        <w:t>(3), 313–337. Retrieved from https://www.journalofplay.org/</w:t>
      </w:r>
    </w:p>
    <w:p w14:paraId="1B1BF717" w14:textId="77777777" w:rsidR="001B072F" w:rsidRDefault="001B072F" w:rsidP="001B072F">
      <w:pPr>
        <w:pStyle w:val="Bibliography"/>
      </w:pPr>
      <w:proofErr w:type="spellStart"/>
      <w:r>
        <w:t>Scharer</w:t>
      </w:r>
      <w:proofErr w:type="spellEnd"/>
      <w:r>
        <w:t xml:space="preserve">, J. H. (2017). Supporting young children’s learning in a dramatic play environment. </w:t>
      </w:r>
      <w:r>
        <w:rPr>
          <w:i/>
          <w:iCs/>
        </w:rPr>
        <w:t>Journal of Childhood Studies</w:t>
      </w:r>
      <w:r>
        <w:t xml:space="preserve">, </w:t>
      </w:r>
      <w:r>
        <w:rPr>
          <w:i/>
          <w:iCs/>
        </w:rPr>
        <w:t>42</w:t>
      </w:r>
      <w:r>
        <w:t xml:space="preserve">(3), 62. </w:t>
      </w:r>
      <w:proofErr w:type="spellStart"/>
      <w:r>
        <w:t>doi</w:t>
      </w:r>
      <w:proofErr w:type="spellEnd"/>
      <w:r>
        <w:t>: 10.18357/jcs.v42i3.17895</w:t>
      </w:r>
    </w:p>
    <w:p w14:paraId="4C50A92E" w14:textId="3248F759" w:rsidR="00FC1D08" w:rsidRDefault="00FC1D08" w:rsidP="001B072F">
      <w:pPr>
        <w:pStyle w:val="Bibliography"/>
      </w:pPr>
      <w:proofErr w:type="spellStart"/>
      <w:r w:rsidRPr="00FC1D08">
        <w:t>Seo</w:t>
      </w:r>
      <w:proofErr w:type="spellEnd"/>
      <w:r w:rsidRPr="00FC1D08">
        <w:t>, K. H., &amp; Ginsburg, H. P. (2004). What is developmentally appropriate in early childhood mathematics education? Lessons from new research. </w:t>
      </w:r>
      <w:r>
        <w:t xml:space="preserve">In D. Clements &amp; J. Samara (Eds.), </w:t>
      </w:r>
      <w:r w:rsidRPr="00FC1D08">
        <w:rPr>
          <w:i/>
          <w:iCs/>
        </w:rPr>
        <w:t>Engaging young children in mathematics: Standards for early childhood mathematics education</w:t>
      </w:r>
      <w:r>
        <w:rPr>
          <w:i/>
          <w:iCs/>
        </w:rPr>
        <w:t xml:space="preserve"> (</w:t>
      </w:r>
      <w:r w:rsidRPr="00FC1D08">
        <w:t>pp</w:t>
      </w:r>
      <w:r>
        <w:rPr>
          <w:i/>
          <w:iCs/>
        </w:rPr>
        <w:t xml:space="preserve">. </w:t>
      </w:r>
      <w:r w:rsidRPr="00FC1D08">
        <w:t>91-104</w:t>
      </w:r>
      <w:r>
        <w:t>). Mahwah, NJ: Lawrence Erlbaum Associates</w:t>
      </w:r>
    </w:p>
    <w:p w14:paraId="1AE2E122" w14:textId="053B3AEF" w:rsidR="001B072F" w:rsidRDefault="001B072F" w:rsidP="001B072F">
      <w:pPr>
        <w:pStyle w:val="Bibliography"/>
      </w:pPr>
      <w:r>
        <w:t xml:space="preserve">Smirnova, E. O., &amp; </w:t>
      </w:r>
      <w:proofErr w:type="spellStart"/>
      <w:r>
        <w:t>Gudareva</w:t>
      </w:r>
      <w:proofErr w:type="spellEnd"/>
      <w:r>
        <w:t xml:space="preserve">, O. V. (2015). Play and intentionality among today’s preschoolers. </w:t>
      </w:r>
      <w:r>
        <w:rPr>
          <w:i/>
          <w:iCs/>
        </w:rPr>
        <w:t>Journal of Russian &amp; East European Psychology</w:t>
      </w:r>
      <w:r>
        <w:t xml:space="preserve">, </w:t>
      </w:r>
      <w:r>
        <w:rPr>
          <w:i/>
          <w:iCs/>
        </w:rPr>
        <w:t>52</w:t>
      </w:r>
      <w:r>
        <w:t xml:space="preserve">(4), 1–20. </w:t>
      </w:r>
      <w:proofErr w:type="spellStart"/>
      <w:r>
        <w:t>doi</w:t>
      </w:r>
      <w:proofErr w:type="spellEnd"/>
      <w:r>
        <w:t>: 10.1080/10610405.2015.1184891</w:t>
      </w:r>
    </w:p>
    <w:p w14:paraId="0CE39C89" w14:textId="77777777" w:rsidR="001B072F" w:rsidRDefault="001B072F" w:rsidP="001B072F">
      <w:pPr>
        <w:pStyle w:val="Bibliography"/>
      </w:pPr>
      <w:r>
        <w:t>Solis, S. L., Curtis, K. N., &amp; Hayes-</w:t>
      </w:r>
      <w:proofErr w:type="spellStart"/>
      <w:r>
        <w:t>Messinger</w:t>
      </w:r>
      <w:proofErr w:type="spellEnd"/>
      <w:r>
        <w:t xml:space="preserve">, A. (2017). Children’s exploration of physical phenomena during object play. </w:t>
      </w:r>
      <w:r>
        <w:rPr>
          <w:i/>
          <w:iCs/>
        </w:rPr>
        <w:t>Journal of Research in Childhood Education</w:t>
      </w:r>
      <w:r>
        <w:t xml:space="preserve">, </w:t>
      </w:r>
      <w:r>
        <w:rPr>
          <w:i/>
          <w:iCs/>
        </w:rPr>
        <w:t>31</w:t>
      </w:r>
      <w:r>
        <w:t xml:space="preserve">(1), 122–140. </w:t>
      </w:r>
      <w:proofErr w:type="spellStart"/>
      <w:r>
        <w:t>doi</w:t>
      </w:r>
      <w:proofErr w:type="spellEnd"/>
      <w:r>
        <w:t>: 10.1080/02568543.2016.1244583</w:t>
      </w:r>
    </w:p>
    <w:p w14:paraId="12F8FCAE" w14:textId="77777777" w:rsidR="001B072F" w:rsidRDefault="001B072F" w:rsidP="001B072F">
      <w:pPr>
        <w:pStyle w:val="Bibliography"/>
      </w:pPr>
      <w:r>
        <w:t xml:space="preserve">Stipek, D. (2006). No child left behind comes to preschool. </w:t>
      </w:r>
      <w:r>
        <w:rPr>
          <w:i/>
          <w:iCs/>
        </w:rPr>
        <w:t>The Elementary School Journal</w:t>
      </w:r>
      <w:r>
        <w:t xml:space="preserve">, </w:t>
      </w:r>
      <w:r>
        <w:rPr>
          <w:i/>
          <w:iCs/>
        </w:rPr>
        <w:t>106</w:t>
      </w:r>
      <w:r>
        <w:t xml:space="preserve">(5), 455–466. </w:t>
      </w:r>
      <w:proofErr w:type="spellStart"/>
      <w:r>
        <w:t>doi</w:t>
      </w:r>
      <w:proofErr w:type="spellEnd"/>
      <w:r>
        <w:t>: 10.1086/505440</w:t>
      </w:r>
    </w:p>
    <w:p w14:paraId="75024892" w14:textId="77777777" w:rsidR="001B072F" w:rsidRDefault="001B072F" w:rsidP="001B072F">
      <w:pPr>
        <w:pStyle w:val="Bibliography"/>
      </w:pPr>
      <w:r>
        <w:t xml:space="preserve">Stipek, D., Newton, S., &amp; </w:t>
      </w:r>
      <w:proofErr w:type="spellStart"/>
      <w:r>
        <w:t>Chudgar</w:t>
      </w:r>
      <w:proofErr w:type="spellEnd"/>
      <w:r>
        <w:t xml:space="preserve">, A. (2010). Learning-related behaviors and literacy achievement in elementary school-aged children. </w:t>
      </w:r>
      <w:r>
        <w:rPr>
          <w:i/>
          <w:iCs/>
        </w:rPr>
        <w:t>Early Childhood Research Quarterly</w:t>
      </w:r>
      <w:r>
        <w:t xml:space="preserve">, </w:t>
      </w:r>
      <w:r>
        <w:rPr>
          <w:i/>
          <w:iCs/>
        </w:rPr>
        <w:t>25</w:t>
      </w:r>
      <w:r>
        <w:t xml:space="preserve">(3), 385–395. </w:t>
      </w:r>
      <w:proofErr w:type="spellStart"/>
      <w:r>
        <w:t>doi</w:t>
      </w:r>
      <w:proofErr w:type="spellEnd"/>
      <w:r>
        <w:t>: 10.1016/j.ecresq.2009.12.001</w:t>
      </w:r>
    </w:p>
    <w:p w14:paraId="73A6ED11" w14:textId="77777777" w:rsidR="001B072F" w:rsidRDefault="001B072F" w:rsidP="001B072F">
      <w:pPr>
        <w:pStyle w:val="Bibliography"/>
      </w:pPr>
      <w:r>
        <w:t xml:space="preserve">Stone, S. J. (2017). The essential role of play in school contexts for the well-being of children. </w:t>
      </w:r>
      <w:proofErr w:type="spellStart"/>
      <w:r>
        <w:rPr>
          <w:i/>
          <w:iCs/>
        </w:rPr>
        <w:t>LEARNing</w:t>
      </w:r>
      <w:proofErr w:type="spellEnd"/>
      <w:r>
        <w:rPr>
          <w:i/>
          <w:iCs/>
        </w:rPr>
        <w:t xml:space="preserve"> Landscapes</w:t>
      </w:r>
      <w:r>
        <w:t xml:space="preserve">, </w:t>
      </w:r>
      <w:r>
        <w:rPr>
          <w:i/>
          <w:iCs/>
        </w:rPr>
        <w:t>10</w:t>
      </w:r>
      <w:r>
        <w:t xml:space="preserve">(2), 305–318. </w:t>
      </w:r>
      <w:proofErr w:type="spellStart"/>
      <w:r>
        <w:t>doi</w:t>
      </w:r>
      <w:proofErr w:type="spellEnd"/>
      <w:r>
        <w:t>: 10.36510/learnland.v10i2.817</w:t>
      </w:r>
    </w:p>
    <w:p w14:paraId="65E191E5" w14:textId="13DE405E" w:rsidR="001B072F" w:rsidRDefault="001B072F" w:rsidP="001B072F">
      <w:pPr>
        <w:pStyle w:val="Bibliography"/>
      </w:pPr>
      <w:proofErr w:type="spellStart"/>
      <w:r>
        <w:t>Toub</w:t>
      </w:r>
      <w:proofErr w:type="spellEnd"/>
      <w:r>
        <w:t xml:space="preserve">, T. S., </w:t>
      </w:r>
      <w:proofErr w:type="spellStart"/>
      <w:r>
        <w:t>Rajan</w:t>
      </w:r>
      <w:proofErr w:type="spellEnd"/>
      <w:r>
        <w:t xml:space="preserve">, V., </w:t>
      </w:r>
      <w:proofErr w:type="spellStart"/>
      <w:r>
        <w:t>Golinkoff</w:t>
      </w:r>
      <w:proofErr w:type="spellEnd"/>
      <w:r>
        <w:t>, R. M., &amp; Hirsh-</w:t>
      </w:r>
      <w:proofErr w:type="spellStart"/>
      <w:r>
        <w:t>Pasek</w:t>
      </w:r>
      <w:proofErr w:type="spellEnd"/>
      <w:r>
        <w:t xml:space="preserve">, K. (2016). Guided play: A solution to the play versus learning dichotomy. In D. C. Geary &amp; D. B. </w:t>
      </w:r>
      <w:proofErr w:type="spellStart"/>
      <w:r>
        <w:t>Berch</w:t>
      </w:r>
      <w:proofErr w:type="spellEnd"/>
      <w:r>
        <w:t xml:space="preserve"> (Eds.), </w:t>
      </w:r>
      <w:r>
        <w:rPr>
          <w:i/>
          <w:iCs/>
        </w:rPr>
        <w:t>Evolutionary Perspectives on Child Development and Education</w:t>
      </w:r>
      <w:r>
        <w:t xml:space="preserve"> (pp. 117–141). </w:t>
      </w:r>
      <w:r w:rsidR="00EB665F">
        <w:t>New York, NY: Springer</w:t>
      </w:r>
    </w:p>
    <w:p w14:paraId="19A6ED9D" w14:textId="77777777" w:rsidR="001B072F" w:rsidRDefault="001B072F" w:rsidP="001B072F">
      <w:pPr>
        <w:pStyle w:val="Bibliography"/>
      </w:pPr>
      <w:r>
        <w:lastRenderedPageBreak/>
        <w:t xml:space="preserve">van </w:t>
      </w:r>
      <w:proofErr w:type="spellStart"/>
      <w:r>
        <w:t>Oers</w:t>
      </w:r>
      <w:proofErr w:type="spellEnd"/>
      <w:r>
        <w:t xml:space="preserve">, B. (1994). Semiotic activity of young children in play: The construction and use of schematic representations. </w:t>
      </w:r>
      <w:r>
        <w:rPr>
          <w:i/>
          <w:iCs/>
        </w:rPr>
        <w:t>European Early Childhood Education Research Journal</w:t>
      </w:r>
      <w:r>
        <w:t xml:space="preserve">, </w:t>
      </w:r>
      <w:r>
        <w:rPr>
          <w:i/>
          <w:iCs/>
        </w:rPr>
        <w:t>2</w:t>
      </w:r>
      <w:r>
        <w:t>(1), 19–33. Retrieved from https://www-tandfonline-com.ezproxy.lib.ou.edu/toc/recr20/current</w:t>
      </w:r>
    </w:p>
    <w:p w14:paraId="33F65755" w14:textId="77777777" w:rsidR="001B072F" w:rsidRDefault="001B072F" w:rsidP="001B072F">
      <w:pPr>
        <w:pStyle w:val="Bibliography"/>
      </w:pPr>
      <w:r>
        <w:t xml:space="preserve">van </w:t>
      </w:r>
      <w:proofErr w:type="spellStart"/>
      <w:r>
        <w:t>Oers</w:t>
      </w:r>
      <w:proofErr w:type="spellEnd"/>
      <w:r>
        <w:t xml:space="preserve">, B. (2010). Emergent mathematical thinking in the context of play. </w:t>
      </w:r>
      <w:r>
        <w:rPr>
          <w:i/>
          <w:iCs/>
        </w:rPr>
        <w:t>Educational Studies in Mathematics</w:t>
      </w:r>
      <w:r>
        <w:t xml:space="preserve">, </w:t>
      </w:r>
      <w:r>
        <w:rPr>
          <w:i/>
          <w:iCs/>
        </w:rPr>
        <w:t>74</w:t>
      </w:r>
      <w:r>
        <w:t xml:space="preserve">(1), 23–37. </w:t>
      </w:r>
      <w:proofErr w:type="spellStart"/>
      <w:r>
        <w:t>doi</w:t>
      </w:r>
      <w:proofErr w:type="spellEnd"/>
      <w:r>
        <w:t>: 10.1007/s10649-009-9225-x</w:t>
      </w:r>
    </w:p>
    <w:p w14:paraId="0C8133AB" w14:textId="77777777" w:rsidR="001B072F" w:rsidRDefault="001B072F" w:rsidP="001B072F">
      <w:pPr>
        <w:pStyle w:val="Bibliography"/>
      </w:pPr>
      <w:r>
        <w:t xml:space="preserve">Vygotsky, L. S. (1967). Play and its role in the mental development of the child. </w:t>
      </w:r>
      <w:r>
        <w:rPr>
          <w:i/>
          <w:iCs/>
        </w:rPr>
        <w:t>Soviet Psychology</w:t>
      </w:r>
      <w:r>
        <w:t xml:space="preserve">, </w:t>
      </w:r>
      <w:r>
        <w:rPr>
          <w:i/>
          <w:iCs/>
        </w:rPr>
        <w:t>5</w:t>
      </w:r>
      <w:r>
        <w:t xml:space="preserve">(3), 6–18. </w:t>
      </w:r>
      <w:proofErr w:type="spellStart"/>
      <w:r>
        <w:t>doi</w:t>
      </w:r>
      <w:proofErr w:type="spellEnd"/>
      <w:r>
        <w:t>: 10.2753/RPO1061-040505036</w:t>
      </w:r>
    </w:p>
    <w:p w14:paraId="53A7EE27" w14:textId="77777777" w:rsidR="001B072F" w:rsidRDefault="001B072F" w:rsidP="001B072F">
      <w:pPr>
        <w:pStyle w:val="Bibliography"/>
      </w:pPr>
      <w:r>
        <w:t xml:space="preserve">Vygotsky, L. S. (1978). </w:t>
      </w:r>
      <w:r>
        <w:rPr>
          <w:i/>
          <w:iCs/>
        </w:rPr>
        <w:t>Mind in society: The development of higher psychological processes</w:t>
      </w:r>
      <w:r>
        <w:t xml:space="preserve"> (Revised ed. edition; M. Cole, V. John-Steiner, S. Scribner, &amp; E. </w:t>
      </w:r>
      <w:proofErr w:type="spellStart"/>
      <w:r>
        <w:t>Souberman</w:t>
      </w:r>
      <w:proofErr w:type="spellEnd"/>
      <w:r>
        <w:t>, Eds.). Cambridge, MA: Harvard University Press.</w:t>
      </w:r>
    </w:p>
    <w:p w14:paraId="6C682F7F" w14:textId="77777777" w:rsidR="001B072F" w:rsidRDefault="001B072F" w:rsidP="001B072F">
      <w:pPr>
        <w:pStyle w:val="Bibliography"/>
      </w:pPr>
      <w:r>
        <w:t xml:space="preserve">Vygotsky, L. S. (1987). Thinking and speech. In R. W. </w:t>
      </w:r>
      <w:proofErr w:type="spellStart"/>
      <w:r>
        <w:t>Rieber</w:t>
      </w:r>
      <w:proofErr w:type="spellEnd"/>
      <w:r>
        <w:t xml:space="preserve"> &amp; A. S. Carton (Eds.), &amp; N. </w:t>
      </w:r>
      <w:proofErr w:type="spellStart"/>
      <w:r>
        <w:t>Minick</w:t>
      </w:r>
      <w:proofErr w:type="spellEnd"/>
      <w:r>
        <w:t xml:space="preserve"> (Trans.), </w:t>
      </w:r>
      <w:r>
        <w:rPr>
          <w:i/>
          <w:iCs/>
        </w:rPr>
        <w:t xml:space="preserve">The collected works of LS Vygotsky: The fundamentals of </w:t>
      </w:r>
      <w:proofErr w:type="spellStart"/>
      <w:r>
        <w:rPr>
          <w:i/>
          <w:iCs/>
        </w:rPr>
        <w:t>defectology</w:t>
      </w:r>
      <w:proofErr w:type="spellEnd"/>
      <w:r>
        <w:t xml:space="preserve">: </w:t>
      </w:r>
      <w:r>
        <w:rPr>
          <w:i/>
          <w:iCs/>
        </w:rPr>
        <w:t>Vol.</w:t>
      </w:r>
      <w:r>
        <w:t xml:space="preserve"> </w:t>
      </w:r>
      <w:r>
        <w:rPr>
          <w:i/>
          <w:iCs/>
        </w:rPr>
        <w:t>1 Problems of General Psychology</w:t>
      </w:r>
      <w:r>
        <w:t>. New York: Plenum Press.</w:t>
      </w:r>
    </w:p>
    <w:p w14:paraId="73F31977" w14:textId="77777777" w:rsidR="001B072F" w:rsidRDefault="001B072F" w:rsidP="001B072F">
      <w:pPr>
        <w:pStyle w:val="Bibliography"/>
      </w:pPr>
      <w:r>
        <w:t xml:space="preserve">Vygotsky, L. S. (2004). Imagination and creativity in childhood. </w:t>
      </w:r>
      <w:r>
        <w:rPr>
          <w:i/>
          <w:iCs/>
        </w:rPr>
        <w:t>Journal of Russian &amp; East European Psychology</w:t>
      </w:r>
      <w:r>
        <w:t xml:space="preserve">, </w:t>
      </w:r>
      <w:r>
        <w:rPr>
          <w:i/>
          <w:iCs/>
        </w:rPr>
        <w:t>42</w:t>
      </w:r>
      <w:r>
        <w:t xml:space="preserve">(1), 7–97. </w:t>
      </w:r>
      <w:proofErr w:type="spellStart"/>
      <w:r>
        <w:t>doi</w:t>
      </w:r>
      <w:proofErr w:type="spellEnd"/>
      <w:r>
        <w:t>: 10.1080/10610405.2004.11059210</w:t>
      </w:r>
    </w:p>
    <w:p w14:paraId="5024CDA9" w14:textId="77777777" w:rsidR="001B072F" w:rsidRDefault="001B072F" w:rsidP="001B072F">
      <w:pPr>
        <w:pStyle w:val="Bibliography"/>
      </w:pPr>
      <w:r>
        <w:t xml:space="preserve">Wager, A. A. (2013). Practices that support mathematics learning in a play-based classroom. In L. D. English &amp; J. T. Mulligan (Eds.), </w:t>
      </w:r>
      <w:r>
        <w:rPr>
          <w:i/>
          <w:iCs/>
        </w:rPr>
        <w:t>Reconceptualizing early mathematics learning</w:t>
      </w:r>
      <w:r>
        <w:t xml:space="preserve"> (pp. 163–181). </w:t>
      </w:r>
      <w:proofErr w:type="spellStart"/>
      <w:r>
        <w:t>doi</w:t>
      </w:r>
      <w:proofErr w:type="spellEnd"/>
      <w:r>
        <w:t>: 10.1007/978-94-007-6440-8_9</w:t>
      </w:r>
    </w:p>
    <w:p w14:paraId="2EF2A7BC" w14:textId="77777777" w:rsidR="001B072F" w:rsidRDefault="001B072F" w:rsidP="001B072F">
      <w:pPr>
        <w:pStyle w:val="Bibliography"/>
      </w:pPr>
      <w:r>
        <w:t>Weisberg, D. S., Hirsh-</w:t>
      </w:r>
      <w:proofErr w:type="spellStart"/>
      <w:r>
        <w:t>Pasek</w:t>
      </w:r>
      <w:proofErr w:type="spellEnd"/>
      <w:r>
        <w:t xml:space="preserve">, K., &amp; </w:t>
      </w:r>
      <w:proofErr w:type="spellStart"/>
      <w:r>
        <w:t>Golinkoff</w:t>
      </w:r>
      <w:proofErr w:type="spellEnd"/>
      <w:r>
        <w:t xml:space="preserve">, R. M. (2013). Guided Play: Where Curricular Goals Meet a Playful Pedagogy. </w:t>
      </w:r>
      <w:r>
        <w:rPr>
          <w:i/>
          <w:iCs/>
        </w:rPr>
        <w:t>Mind, Brain, and Education</w:t>
      </w:r>
      <w:r>
        <w:t xml:space="preserve">, </w:t>
      </w:r>
      <w:r>
        <w:rPr>
          <w:i/>
          <w:iCs/>
        </w:rPr>
        <w:t>7</w:t>
      </w:r>
      <w:r>
        <w:t xml:space="preserve">(2), 104–112. </w:t>
      </w:r>
      <w:proofErr w:type="spellStart"/>
      <w:r>
        <w:t>doi</w:t>
      </w:r>
      <w:proofErr w:type="spellEnd"/>
      <w:r>
        <w:t>: 10.1111/mbe.12015</w:t>
      </w:r>
    </w:p>
    <w:p w14:paraId="2E199AE2" w14:textId="77777777" w:rsidR="001B072F" w:rsidRDefault="001B072F" w:rsidP="001B072F">
      <w:pPr>
        <w:pStyle w:val="Bibliography"/>
      </w:pPr>
      <w:r>
        <w:t xml:space="preserve">Wolfe, C., Cummins, R., Myers, C., &amp; Cedillos, E. (2006). Scientific inquiry and exploratory representational play. In </w:t>
      </w:r>
      <w:proofErr w:type="spellStart"/>
      <w:r>
        <w:t>Pronin</w:t>
      </w:r>
      <w:proofErr w:type="spellEnd"/>
      <w:r>
        <w:t xml:space="preserve"> &amp; D. Bergen (Eds.), </w:t>
      </w:r>
      <w:r>
        <w:rPr>
          <w:i/>
          <w:iCs/>
        </w:rPr>
        <w:t>Play from birth to twelve: Contexts, perspectives, and meanings</w:t>
      </w:r>
      <w:r>
        <w:t xml:space="preserve"> (3rd ed., pp. 199–206). New York: Routledge.</w:t>
      </w:r>
    </w:p>
    <w:p w14:paraId="2757A3CC" w14:textId="77777777" w:rsidR="001B072F" w:rsidRDefault="001B072F" w:rsidP="001B072F">
      <w:pPr>
        <w:pStyle w:val="Bibliography"/>
      </w:pPr>
      <w:r>
        <w:t xml:space="preserve">Worth, K. (2010). Science in early childhood classrooms: Content and process. </w:t>
      </w:r>
      <w:r>
        <w:rPr>
          <w:i/>
          <w:iCs/>
        </w:rPr>
        <w:t>Early Childhood Research and Practice</w:t>
      </w:r>
      <w:r>
        <w:t xml:space="preserve">, </w:t>
      </w:r>
      <w:r>
        <w:rPr>
          <w:i/>
          <w:iCs/>
        </w:rPr>
        <w:t>12</w:t>
      </w:r>
      <w:r>
        <w:t>(2), 17. Retrieved from https://ecrp.illinois.edu/beyond/index.html</w:t>
      </w:r>
    </w:p>
    <w:p w14:paraId="68339ED3" w14:textId="77777777" w:rsidR="001B072F" w:rsidRDefault="001B072F" w:rsidP="001B072F">
      <w:pPr>
        <w:pStyle w:val="Bibliography"/>
      </w:pPr>
      <w:r>
        <w:t xml:space="preserve">Worthington, M., </w:t>
      </w:r>
      <w:proofErr w:type="spellStart"/>
      <w:r>
        <w:t>Dobber</w:t>
      </w:r>
      <w:proofErr w:type="spellEnd"/>
      <w:r>
        <w:t xml:space="preserve">, M., &amp; van </w:t>
      </w:r>
      <w:proofErr w:type="spellStart"/>
      <w:r>
        <w:t>Oers</w:t>
      </w:r>
      <w:proofErr w:type="spellEnd"/>
      <w:r>
        <w:t xml:space="preserve">, B. (2019). The development of mathematical abstraction in the nursery. </w:t>
      </w:r>
      <w:r>
        <w:rPr>
          <w:i/>
          <w:iCs/>
        </w:rPr>
        <w:t>Educational Studies in Mathematics</w:t>
      </w:r>
      <w:r>
        <w:t xml:space="preserve">, </w:t>
      </w:r>
      <w:r>
        <w:rPr>
          <w:i/>
          <w:iCs/>
        </w:rPr>
        <w:t>102</w:t>
      </w:r>
      <w:r>
        <w:t xml:space="preserve">(1), 91–110. </w:t>
      </w:r>
      <w:proofErr w:type="spellStart"/>
      <w:r>
        <w:t>doi</w:t>
      </w:r>
      <w:proofErr w:type="spellEnd"/>
      <w:r>
        <w:t>: 10.1007/s10649-019-09898-3</w:t>
      </w:r>
    </w:p>
    <w:p w14:paraId="1F60FD10" w14:textId="77777777" w:rsidR="001B072F" w:rsidRDefault="001B072F" w:rsidP="001B072F">
      <w:pPr>
        <w:pStyle w:val="Bibliography"/>
        <w:rPr>
          <w:rFonts w:eastAsia="Calibri"/>
        </w:rPr>
      </w:pPr>
      <w:r>
        <w:t xml:space="preserve">Worthington, M., &amp; van </w:t>
      </w:r>
      <w:proofErr w:type="spellStart"/>
      <w:r>
        <w:t>Oers</w:t>
      </w:r>
      <w:proofErr w:type="spellEnd"/>
      <w:r>
        <w:t xml:space="preserve">, B. (2016). Pretend play and the cultural foundations of mathematics. </w:t>
      </w:r>
      <w:r>
        <w:rPr>
          <w:i/>
          <w:iCs/>
        </w:rPr>
        <w:t>European Early Childhood Education Research Journal</w:t>
      </w:r>
      <w:r>
        <w:t xml:space="preserve">, </w:t>
      </w:r>
      <w:r>
        <w:rPr>
          <w:i/>
          <w:iCs/>
        </w:rPr>
        <w:t>24</w:t>
      </w:r>
      <w:r>
        <w:t xml:space="preserve">(1), 51–66. </w:t>
      </w:r>
      <w:proofErr w:type="spellStart"/>
      <w:r>
        <w:t>doi</w:t>
      </w:r>
      <w:proofErr w:type="spellEnd"/>
      <w:r>
        <w:t>: 10.1080/1350293X.2015.1120520</w:t>
      </w:r>
    </w:p>
    <w:p w14:paraId="66D924AE" w14:textId="77777777" w:rsidR="001B072F" w:rsidRDefault="001B072F" w:rsidP="001B072F">
      <w:pPr>
        <w:jc w:val="center"/>
        <w:rPr>
          <w:rFonts w:eastAsia="Calibri"/>
          <w:color w:val="auto"/>
        </w:rPr>
      </w:pPr>
    </w:p>
    <w:p w14:paraId="33610732" w14:textId="77777777" w:rsidR="001B072F" w:rsidRDefault="001B072F" w:rsidP="001B072F">
      <w:pPr>
        <w:jc w:val="center"/>
        <w:rPr>
          <w:rFonts w:eastAsia="Calibri"/>
          <w:color w:val="auto"/>
        </w:rPr>
      </w:pPr>
    </w:p>
    <w:p w14:paraId="19976192" w14:textId="77777777" w:rsidR="001B072F" w:rsidRDefault="001B072F" w:rsidP="006D668A">
      <w:pPr>
        <w:pStyle w:val="Heading1"/>
        <w:ind w:firstLine="0"/>
        <w:rPr>
          <w:b w:val="0"/>
          <w:bCs/>
        </w:rPr>
      </w:pPr>
    </w:p>
    <w:p w14:paraId="558D3F2E" w14:textId="77777777" w:rsidR="001B072F" w:rsidRDefault="001B072F" w:rsidP="006D668A">
      <w:pPr>
        <w:pStyle w:val="Heading1"/>
        <w:ind w:firstLine="0"/>
        <w:rPr>
          <w:b w:val="0"/>
          <w:bCs/>
        </w:rPr>
      </w:pPr>
    </w:p>
    <w:p w14:paraId="55360105" w14:textId="77777777" w:rsidR="001B072F" w:rsidRDefault="001B072F" w:rsidP="006D668A">
      <w:pPr>
        <w:pStyle w:val="Heading1"/>
        <w:ind w:firstLine="0"/>
        <w:rPr>
          <w:b w:val="0"/>
          <w:bCs/>
        </w:rPr>
      </w:pPr>
    </w:p>
    <w:p w14:paraId="00BDF07B" w14:textId="3785AD3F" w:rsidR="00376362" w:rsidRPr="00224D0B" w:rsidRDefault="00376362" w:rsidP="006D668A">
      <w:pPr>
        <w:pStyle w:val="Heading1"/>
        <w:ind w:firstLine="0"/>
        <w:rPr>
          <w:b w:val="0"/>
          <w:bCs/>
        </w:rPr>
      </w:pPr>
      <w:bookmarkStart w:id="54" w:name="_Toc46265486"/>
      <w:r w:rsidRPr="00224D0B">
        <w:rPr>
          <w:b w:val="0"/>
          <w:bCs/>
        </w:rPr>
        <w:t>MANUSCRIPT II</w:t>
      </w:r>
      <w:r w:rsidR="001B072F">
        <w:rPr>
          <w:b w:val="0"/>
          <w:bCs/>
        </w:rPr>
        <w:t>I</w:t>
      </w:r>
      <w:bookmarkEnd w:id="54"/>
    </w:p>
    <w:p w14:paraId="11BF3FCE" w14:textId="77777777" w:rsidR="00376362" w:rsidRDefault="00376362" w:rsidP="00376362"/>
    <w:p w14:paraId="70FF8040" w14:textId="77777777" w:rsidR="00376362" w:rsidRDefault="00376362" w:rsidP="00376362"/>
    <w:p w14:paraId="14E8085B" w14:textId="77777777" w:rsidR="00376362" w:rsidRDefault="00376362" w:rsidP="00380B44">
      <w:pPr>
        <w:jc w:val="center"/>
      </w:pPr>
    </w:p>
    <w:p w14:paraId="6C43AC84" w14:textId="37587B97" w:rsidR="003C4D2C" w:rsidRDefault="003C4D2C" w:rsidP="006D668A">
      <w:pPr>
        <w:jc w:val="center"/>
      </w:pPr>
      <w:r w:rsidRPr="000D1DA9">
        <w:t>Profiles of</w:t>
      </w:r>
      <w:r w:rsidR="00E57231">
        <w:t xml:space="preserve"> Adaptive Magic:</w:t>
      </w:r>
    </w:p>
    <w:p w14:paraId="53307724" w14:textId="15B56DD8" w:rsidR="003C4D2C" w:rsidRPr="000D1DA9" w:rsidRDefault="003C4D2C" w:rsidP="006D668A">
      <w:pPr>
        <w:jc w:val="center"/>
      </w:pPr>
      <w:r w:rsidRPr="000D1DA9">
        <w:t>Children’s Approaches to Learning</w:t>
      </w:r>
    </w:p>
    <w:p w14:paraId="249558E9" w14:textId="77777777" w:rsidR="00376362" w:rsidRDefault="00376362" w:rsidP="006D668A">
      <w:pPr>
        <w:jc w:val="center"/>
      </w:pPr>
    </w:p>
    <w:p w14:paraId="1080B1EC" w14:textId="77777777" w:rsidR="00376362" w:rsidRDefault="00376362" w:rsidP="00376362"/>
    <w:p w14:paraId="343664F4" w14:textId="77777777" w:rsidR="00376362" w:rsidRDefault="00376362" w:rsidP="00376362"/>
    <w:p w14:paraId="2C2D74E8" w14:textId="77777777" w:rsidR="00376362" w:rsidRDefault="00376362" w:rsidP="00376362"/>
    <w:p w14:paraId="66EAA9FE" w14:textId="77777777" w:rsidR="00376362" w:rsidRDefault="00376362" w:rsidP="00376362"/>
    <w:p w14:paraId="53885A93" w14:textId="77777777" w:rsidR="00376362" w:rsidRDefault="00376362" w:rsidP="00376362"/>
    <w:p w14:paraId="3107A96C" w14:textId="77777777" w:rsidR="00376362" w:rsidRDefault="00376362" w:rsidP="00376362"/>
    <w:p w14:paraId="0DFB5CEB" w14:textId="77777777" w:rsidR="00376362" w:rsidRDefault="00376362" w:rsidP="00376362"/>
    <w:p w14:paraId="59E229B5" w14:textId="77777777" w:rsidR="00376362" w:rsidRDefault="00376362" w:rsidP="00376362"/>
    <w:p w14:paraId="43D21BBD" w14:textId="77777777" w:rsidR="00224D0B" w:rsidRDefault="00376362" w:rsidP="00965A41">
      <w:pPr>
        <w:jc w:val="center"/>
      </w:pPr>
      <w:r>
        <w:t>This manuscript is prepared for submission to the peer-reviewed journal</w:t>
      </w:r>
    </w:p>
    <w:p w14:paraId="19AB41DB" w14:textId="1C3DA0D5" w:rsidR="00224D0B" w:rsidRDefault="00E57231" w:rsidP="00965A41">
      <w:pPr>
        <w:jc w:val="center"/>
      </w:pPr>
      <w:r w:rsidRPr="00E57231">
        <w:rPr>
          <w:i/>
          <w:iCs/>
        </w:rPr>
        <w:t>Early Education and Development</w:t>
      </w:r>
      <w:r>
        <w:t xml:space="preserve"> </w:t>
      </w:r>
      <w:r w:rsidR="00376362">
        <w:t xml:space="preserve">and is the </w:t>
      </w:r>
      <w:r w:rsidR="00EB665F">
        <w:t xml:space="preserve">third </w:t>
      </w:r>
      <w:r w:rsidR="00376362">
        <w:t xml:space="preserve">of three manuscripts prepared for a </w:t>
      </w:r>
    </w:p>
    <w:p w14:paraId="0D1F54BC" w14:textId="28AFE499" w:rsidR="00965A41" w:rsidRDefault="00376362" w:rsidP="00965A41">
      <w:pPr>
        <w:jc w:val="center"/>
      </w:pPr>
      <w:r>
        <w:t>journal-ready doctoral dissertation.</w:t>
      </w:r>
    </w:p>
    <w:p w14:paraId="248C76AC" w14:textId="7EE1944D" w:rsidR="00965A41" w:rsidRPr="00A9141F" w:rsidRDefault="009C1B83" w:rsidP="00A9141F">
      <w:pPr>
        <w:pStyle w:val="Heading1"/>
        <w:rPr>
          <w:b w:val="0"/>
          <w:bCs/>
        </w:rPr>
      </w:pPr>
      <w:r>
        <w:rPr>
          <w:sz w:val="28"/>
          <w:szCs w:val="28"/>
        </w:rPr>
        <w:br w:type="page"/>
      </w:r>
      <w:bookmarkStart w:id="55" w:name="_Toc46265487"/>
      <w:r w:rsidR="00965A41" w:rsidRPr="00A9141F">
        <w:rPr>
          <w:b w:val="0"/>
          <w:bCs/>
        </w:rPr>
        <w:lastRenderedPageBreak/>
        <w:t>Abstract</w:t>
      </w:r>
      <w:bookmarkEnd w:id="55"/>
    </w:p>
    <w:p w14:paraId="001EF772" w14:textId="5815A62A" w:rsidR="00D0207D" w:rsidRDefault="00003CAB" w:rsidP="00965A41">
      <w:r>
        <w:t>Researchers are interested in the distinctive ways in which children successfully adapt to new school environments despite environmental influences, stress</w:t>
      </w:r>
      <w:r w:rsidR="00E869A3">
        <w:t>,</w:t>
      </w:r>
      <w:r>
        <w:t xml:space="preserve"> or adversity. Children’s Approaches to Learning (AtL) is a construct represent</w:t>
      </w:r>
      <w:r w:rsidR="00E869A3">
        <w:t>ing</w:t>
      </w:r>
      <w:r>
        <w:t xml:space="preserve"> the normative, adaptive responses to classroom interactions and includes children’s initiative, attention, task orientation</w:t>
      </w:r>
      <w:r w:rsidR="00E869A3">
        <w:t>,</w:t>
      </w:r>
      <w:r>
        <w:t xml:space="preserve"> and persistence. While it has typically been studied using a composite of a teacher-rated scale,</w:t>
      </w:r>
      <w:r w:rsidR="007C1CBE">
        <w:t xml:space="preserve"> </w:t>
      </w:r>
      <w:r>
        <w:t xml:space="preserve">person-centered approaches may be able to account for heterogeneity in children’s adaptive responses in a way that accounts for the myriad of ways children approach learning. This study used Latent Profile Analysis in a study of Head Start children (n=355) ranging in age from 28 to 59 months. Five different profiles of children emerged, including those who had low, medium, and high AtL as well as two unique profiles. While there were no significant differences among the profiles in terms of ethnicity, children in the two lowest profiles were more likely to be boys. Multilevel regression models were conducted to examine whether </w:t>
      </w:r>
      <w:r w:rsidR="00FB51DA">
        <w:t xml:space="preserve">profile membership was associated with children’s academic outcomes. Children in the profile with the highest AtL had significantly higher achievement across all academic measures. Implications for teachers are discussed and include ways in which teachers can promote children’s AtL. </w:t>
      </w:r>
    </w:p>
    <w:p w14:paraId="43BC68F6" w14:textId="77777777" w:rsidR="004553EE" w:rsidRDefault="004553EE" w:rsidP="008C758B"/>
    <w:p w14:paraId="5F9E692C" w14:textId="1304FDC2" w:rsidR="009C1B83" w:rsidRPr="008C758B" w:rsidRDefault="00965A41" w:rsidP="008C758B">
      <w:pPr>
        <w:rPr>
          <w:i/>
          <w:iCs/>
        </w:rPr>
      </w:pPr>
      <w:r w:rsidRPr="008C758B">
        <w:rPr>
          <w:i/>
          <w:iCs/>
        </w:rPr>
        <w:t xml:space="preserve">Keywords: </w:t>
      </w:r>
      <w:r w:rsidR="004553EE">
        <w:rPr>
          <w:i/>
          <w:iCs/>
        </w:rPr>
        <w:t xml:space="preserve">Latent Profile Analysis, resilience, PreK, academic achievement </w:t>
      </w:r>
    </w:p>
    <w:p w14:paraId="515B49DB" w14:textId="4187B984" w:rsidR="00224D0B" w:rsidRDefault="00224D0B"/>
    <w:p w14:paraId="0EE4E615" w14:textId="77777777" w:rsidR="00A9141F" w:rsidRDefault="00A9141F"/>
    <w:p w14:paraId="7F0E0611" w14:textId="77777777" w:rsidR="00224D0B" w:rsidRDefault="00224D0B"/>
    <w:p w14:paraId="55AC24F7" w14:textId="77777777" w:rsidR="00224D0B" w:rsidRDefault="00224D0B"/>
    <w:p w14:paraId="1CB87DF6" w14:textId="77777777" w:rsidR="00224D0B" w:rsidRDefault="00224D0B"/>
    <w:p w14:paraId="7E6A66FF" w14:textId="1319810D" w:rsidR="00E57231" w:rsidRPr="000D1DA9" w:rsidRDefault="00E57231" w:rsidP="00E57231">
      <w:pPr>
        <w:jc w:val="center"/>
      </w:pPr>
      <w:bookmarkStart w:id="56" w:name="_Hlk43759639"/>
      <w:r w:rsidRPr="000D1DA9">
        <w:lastRenderedPageBreak/>
        <w:t>Profiles of</w:t>
      </w:r>
      <w:r>
        <w:t xml:space="preserve"> Adaptive Magic: </w:t>
      </w:r>
      <w:r w:rsidRPr="000D1DA9">
        <w:t>Children’s Approaches to Learning</w:t>
      </w:r>
    </w:p>
    <w:p w14:paraId="3602CA1F" w14:textId="6BAECC56" w:rsidR="00A079A9" w:rsidRDefault="003C4D2C" w:rsidP="003C4D2C">
      <w:pPr>
        <w:ind w:firstLine="720"/>
      </w:pPr>
      <w:bookmarkStart w:id="57" w:name="TOT2"/>
      <w:r>
        <w:t xml:space="preserve">During their </w:t>
      </w:r>
      <w:proofErr w:type="spellStart"/>
      <w:r>
        <w:t>preK</w:t>
      </w:r>
      <w:proofErr w:type="spellEnd"/>
      <w:r>
        <w:t xml:space="preserve"> year, many children develop cognitive, social, and emotional skills that place them on a path towards positive teacher and peer relationships, </w:t>
      </w:r>
      <w:r w:rsidR="003F06CE">
        <w:t xml:space="preserve">affirmative </w:t>
      </w:r>
      <w:r>
        <w:t>motivation, and achievement</w:t>
      </w:r>
      <w:r w:rsidR="003F06CE">
        <w:t xml:space="preserve"> in academics</w:t>
      </w:r>
      <w:r>
        <w:t xml:space="preserve"> </w:t>
      </w:r>
      <w:r w:rsidR="009A6864" w:rsidRPr="009A6864">
        <w:t xml:space="preserve">(Pratt, Swanson, van </w:t>
      </w:r>
      <w:proofErr w:type="spellStart"/>
      <w:r w:rsidR="009A6864" w:rsidRPr="009A6864">
        <w:t>Huisstede</w:t>
      </w:r>
      <w:proofErr w:type="spellEnd"/>
      <w:r w:rsidR="009A6864" w:rsidRPr="009A6864">
        <w:t xml:space="preserve">, &amp; </w:t>
      </w:r>
      <w:proofErr w:type="spellStart"/>
      <w:r w:rsidR="009A6864" w:rsidRPr="009A6864">
        <w:t>Gaias</w:t>
      </w:r>
      <w:proofErr w:type="spellEnd"/>
      <w:r w:rsidR="009A6864" w:rsidRPr="009A6864">
        <w:t>, 2019)</w:t>
      </w:r>
      <w:r>
        <w:t xml:space="preserve">. </w:t>
      </w:r>
      <w:r w:rsidR="00B7065A">
        <w:t>Along the way, c</w:t>
      </w:r>
      <w:r w:rsidRPr="00094AF8">
        <w:t xml:space="preserve">hildren </w:t>
      </w:r>
      <w:r w:rsidR="00A9141F">
        <w:t xml:space="preserve">encounter new classroom expectations such as </w:t>
      </w:r>
      <w:r w:rsidR="00A9141F" w:rsidRPr="00094AF8">
        <w:t>si</w:t>
      </w:r>
      <w:r w:rsidR="00A9141F">
        <w:t xml:space="preserve">tting </w:t>
      </w:r>
      <w:r w:rsidR="00A9141F" w:rsidRPr="00094AF8">
        <w:t>still, listen</w:t>
      </w:r>
      <w:r w:rsidR="00A9141F">
        <w:t>ing</w:t>
      </w:r>
      <w:r w:rsidR="00A9141F" w:rsidRPr="00094AF8">
        <w:t xml:space="preserve"> to the teacher, </w:t>
      </w:r>
      <w:r w:rsidR="00A9141F">
        <w:t xml:space="preserve">getting along with others, </w:t>
      </w:r>
      <w:r w:rsidR="00A9141F" w:rsidRPr="00094AF8">
        <w:t xml:space="preserve">and </w:t>
      </w:r>
      <w:r w:rsidR="00A9141F">
        <w:t xml:space="preserve">entering </w:t>
      </w:r>
      <w:r w:rsidR="00A9141F" w:rsidRPr="00094AF8">
        <w:t>a group of children already at play</w:t>
      </w:r>
      <w:r w:rsidR="00A9141F" w:rsidRPr="009A6864">
        <w:t xml:space="preserve"> </w:t>
      </w:r>
      <w:r w:rsidR="009A6864" w:rsidRPr="009A6864">
        <w:t xml:space="preserve">(Campbell &amp; von </w:t>
      </w:r>
      <w:proofErr w:type="spellStart"/>
      <w:r w:rsidR="009A6864" w:rsidRPr="009A6864">
        <w:t>Stauffenberg</w:t>
      </w:r>
      <w:proofErr w:type="spellEnd"/>
      <w:r w:rsidR="009A6864" w:rsidRPr="009A6864">
        <w:t>, 2008)</w:t>
      </w:r>
      <w:r>
        <w:t>.</w:t>
      </w:r>
      <w:r w:rsidRPr="00094AF8">
        <w:t xml:space="preserve"> </w:t>
      </w:r>
      <w:r w:rsidR="00A9141F">
        <w:t>These expectations</w:t>
      </w:r>
      <w:r w:rsidR="003F06CE">
        <w:t xml:space="preserve"> </w:t>
      </w:r>
      <w:r w:rsidRPr="00094AF8">
        <w:t>may</w:t>
      </w:r>
      <w:r w:rsidR="003F06CE">
        <w:t xml:space="preserve"> </w:t>
      </w:r>
      <w:r w:rsidRPr="00094AF8">
        <w:t xml:space="preserve">be </w:t>
      </w:r>
      <w:r w:rsidR="00B7065A">
        <w:t xml:space="preserve">initially </w:t>
      </w:r>
      <w:r w:rsidRPr="00094AF8">
        <w:t xml:space="preserve">difficult for children </w:t>
      </w:r>
      <w:r>
        <w:t xml:space="preserve">unfamiliar with a school environment </w:t>
      </w:r>
      <w:r w:rsidR="009A6864" w:rsidRPr="009A6864">
        <w:t>(Denham</w:t>
      </w:r>
      <w:r w:rsidR="005350E8">
        <w:t xml:space="preserve">, Bassett, </w:t>
      </w:r>
      <w:proofErr w:type="spellStart"/>
      <w:r w:rsidR="005350E8">
        <w:t>Mincic</w:t>
      </w:r>
      <w:proofErr w:type="spellEnd"/>
      <w:r w:rsidR="00E869A3">
        <w:t>,</w:t>
      </w:r>
      <w:r w:rsidR="005350E8">
        <w:t xml:space="preserve"> et al.</w:t>
      </w:r>
      <w:r w:rsidR="009A6864" w:rsidRPr="009A6864">
        <w:t>, 2012)</w:t>
      </w:r>
      <w:r>
        <w:t xml:space="preserve">. </w:t>
      </w:r>
      <w:r w:rsidR="003F06CE">
        <w:t>In fact, c</w:t>
      </w:r>
      <w:r>
        <w:t xml:space="preserve">hildren exhibit a range of behaviors in response to </w:t>
      </w:r>
      <w:r w:rsidR="00E869A3">
        <w:t xml:space="preserve">the </w:t>
      </w:r>
      <w:r>
        <w:t xml:space="preserve">demands of </w:t>
      </w:r>
      <w:r w:rsidR="00A079A9">
        <w:t>a</w:t>
      </w:r>
      <w:r>
        <w:t xml:space="preserve"> new environment </w:t>
      </w:r>
      <w:r w:rsidR="009A6864" w:rsidRPr="009A6864">
        <w:t xml:space="preserve">(McWayne, Cheung, Wright, &amp; </w:t>
      </w:r>
      <w:proofErr w:type="spellStart"/>
      <w:r w:rsidR="009A6864" w:rsidRPr="009A6864">
        <w:t>Hahs</w:t>
      </w:r>
      <w:proofErr w:type="spellEnd"/>
      <w:r w:rsidR="009A6864" w:rsidRPr="009A6864">
        <w:t>-Vaughn, 2012)</w:t>
      </w:r>
      <w:r>
        <w:t xml:space="preserve">. </w:t>
      </w:r>
      <w:r w:rsidR="00B7065A">
        <w:t>While m</w:t>
      </w:r>
      <w:r>
        <w:t xml:space="preserve">any </w:t>
      </w:r>
      <w:r w:rsidR="00A079A9">
        <w:t xml:space="preserve">of these </w:t>
      </w:r>
      <w:r>
        <w:t xml:space="preserve">behaviors are adaptive, some are not and may ultimately interfere with a child’s ability to engage in classroom learning activities </w:t>
      </w:r>
      <w:r w:rsidR="009A6864" w:rsidRPr="009A6864">
        <w:t>(McWayne &amp; Cheung, 2009)</w:t>
      </w:r>
      <w:r w:rsidRPr="00094AF8">
        <w:t>.</w:t>
      </w:r>
      <w:r>
        <w:t xml:space="preserve"> </w:t>
      </w:r>
      <w:r w:rsidR="00A079A9">
        <w:t xml:space="preserve">Thus, it is critical to understand the characteristics of adaptive children to support children’s success </w:t>
      </w:r>
      <w:r w:rsidR="00A079A9" w:rsidRPr="009A6864">
        <w:t>(</w:t>
      </w:r>
      <w:proofErr w:type="spellStart"/>
      <w:r w:rsidR="00A079A9" w:rsidRPr="009A6864">
        <w:t>Fantuzzo</w:t>
      </w:r>
      <w:proofErr w:type="spellEnd"/>
      <w:r w:rsidR="00A079A9" w:rsidRPr="009A6864">
        <w:t>, Perry, &amp; McDermott, 2004; George &amp; Greenfield, 2005)</w:t>
      </w:r>
      <w:r w:rsidR="00A079A9">
        <w:t>.</w:t>
      </w:r>
    </w:p>
    <w:p w14:paraId="0AAB5E6E" w14:textId="7DBDC777" w:rsidR="003C4D2C" w:rsidRPr="003C4D2C" w:rsidRDefault="00DD663B" w:rsidP="003C4D2C">
      <w:pPr>
        <w:ind w:firstLine="720"/>
      </w:pPr>
      <w:r>
        <w:t>R</w:t>
      </w:r>
      <w:r w:rsidR="003C4D2C" w:rsidRPr="003C4D2C">
        <w:t xml:space="preserve">esearchers are interested in the distinctive ways children successfully adapt, despite environmental influences, stress, or adversity </w:t>
      </w:r>
      <w:r w:rsidR="009A6864" w:rsidRPr="009A6864">
        <w:t xml:space="preserve">(Cantor, </w:t>
      </w:r>
      <w:proofErr w:type="spellStart"/>
      <w:r w:rsidR="009A6864" w:rsidRPr="009A6864">
        <w:t>Osher</w:t>
      </w:r>
      <w:proofErr w:type="spellEnd"/>
      <w:r w:rsidR="009A6864" w:rsidRPr="009A6864">
        <w:t>, Berg, Steyer, &amp; Rose, 2019)</w:t>
      </w:r>
      <w:r w:rsidR="003C4D2C" w:rsidRPr="003C4D2C">
        <w:t xml:space="preserve">. This positive adaption, resilience, is defined as the “capacity of an individual to adapt successfully </w:t>
      </w:r>
      <w:r w:rsidR="00B7065A" w:rsidRPr="003C4D2C">
        <w:t xml:space="preserve">to challenges </w:t>
      </w:r>
      <w:r w:rsidR="003C4D2C" w:rsidRPr="003C4D2C">
        <w:t xml:space="preserve">through multiple processes” </w:t>
      </w:r>
      <w:r w:rsidR="009A6864" w:rsidRPr="009A6864">
        <w:t>(</w:t>
      </w:r>
      <w:proofErr w:type="spellStart"/>
      <w:r w:rsidR="009A6864" w:rsidRPr="009A6864">
        <w:t>Masten</w:t>
      </w:r>
      <w:proofErr w:type="spellEnd"/>
      <w:r w:rsidR="009A6864" w:rsidRPr="009A6864">
        <w:t xml:space="preserve"> &amp; Cicchetti, 2016, p. 275)</w:t>
      </w:r>
      <w:r w:rsidR="003C4D2C" w:rsidRPr="003C4D2C">
        <w:t xml:space="preserve">. Resilience is especially important during times of transition when internal and external factors present new opportunities for adaptation </w:t>
      </w:r>
      <w:r w:rsidR="009A6864" w:rsidRPr="009A6864">
        <w:t xml:space="preserve">(Ungar, </w:t>
      </w:r>
      <w:proofErr w:type="spellStart"/>
      <w:r w:rsidR="009A6864" w:rsidRPr="009A6864">
        <w:t>Ghazinour</w:t>
      </w:r>
      <w:proofErr w:type="spellEnd"/>
      <w:r w:rsidR="009A6864" w:rsidRPr="009A6864">
        <w:t>, &amp; Richter, 2013)</w:t>
      </w:r>
      <w:r w:rsidR="003C4D2C" w:rsidRPr="003C4D2C">
        <w:t xml:space="preserve">. </w:t>
      </w:r>
      <w:proofErr w:type="spellStart"/>
      <w:r w:rsidR="003C4D2C" w:rsidRPr="003C4D2C">
        <w:t>Masten</w:t>
      </w:r>
      <w:proofErr w:type="spellEnd"/>
      <w:r w:rsidR="003C4D2C" w:rsidRPr="003C4D2C">
        <w:t xml:space="preserve"> </w:t>
      </w:r>
      <w:r w:rsidR="009A6864" w:rsidRPr="009A6864">
        <w:t>(2001)</w:t>
      </w:r>
      <w:r w:rsidR="003C4D2C" w:rsidRPr="003C4D2C">
        <w:t xml:space="preserve"> argues that positive adaptions are not rare</w:t>
      </w:r>
      <w:r w:rsidR="003534AC">
        <w:t>,</w:t>
      </w:r>
      <w:r w:rsidR="003C4D2C" w:rsidRPr="003C4D2C">
        <w:t xml:space="preserve"> but ordinary, resulting from the normative processes of basic human systems responding to variations in the environment.</w:t>
      </w:r>
      <w:r w:rsidR="007C1CBE">
        <w:t xml:space="preserve"> </w:t>
      </w:r>
      <w:r w:rsidR="003C4D2C" w:rsidRPr="003C4D2C">
        <w:t>As children’s responses to adversities represent many diverse pathways of resilience, more research is needed</w:t>
      </w:r>
      <w:r w:rsidR="003534AC">
        <w:t xml:space="preserve"> to</w:t>
      </w:r>
      <w:r w:rsidR="003C4D2C" w:rsidRPr="003C4D2C">
        <w:t xml:space="preserve"> </w:t>
      </w:r>
      <w:r w:rsidR="00A9141F">
        <w:t>better understand</w:t>
      </w:r>
      <w:r w:rsidR="003C4D2C" w:rsidRPr="003C4D2C">
        <w:t xml:space="preserve"> </w:t>
      </w:r>
      <w:r>
        <w:t>children’s individual responses to the environment</w:t>
      </w:r>
      <w:r w:rsidR="00A9141F">
        <w:t xml:space="preserve">. </w:t>
      </w:r>
    </w:p>
    <w:p w14:paraId="6B5269AA" w14:textId="55C3CB8F" w:rsidR="003C4D2C" w:rsidRPr="003C4D2C" w:rsidRDefault="003C4D2C" w:rsidP="00003CAB">
      <w:pPr>
        <w:ind w:firstLine="720"/>
      </w:pPr>
      <w:r w:rsidRPr="003C4D2C">
        <w:lastRenderedPageBreak/>
        <w:t xml:space="preserve">Approaches to Learning (AtL) is a construct that represents a child’s normative, adaptive response </w:t>
      </w:r>
      <w:r w:rsidR="009A6864" w:rsidRPr="009A6864">
        <w:t>(</w:t>
      </w:r>
      <w:proofErr w:type="spellStart"/>
      <w:r w:rsidR="009A6864" w:rsidRPr="009A6864">
        <w:t>DiPerna</w:t>
      </w:r>
      <w:proofErr w:type="spellEnd"/>
      <w:r w:rsidR="009A6864" w:rsidRPr="009A6864">
        <w:t>, Volpe, &amp; Elliott, 2002)</w:t>
      </w:r>
      <w:r w:rsidRPr="003C4D2C">
        <w:t xml:space="preserve">. </w:t>
      </w:r>
      <w:r w:rsidR="003534AC">
        <w:t xml:space="preserve">It </w:t>
      </w:r>
      <w:r w:rsidRPr="003C4D2C">
        <w:t xml:space="preserve">is a constellation of learning-related skills and behaviors that connect children to learning opportunities in the classroom </w:t>
      </w:r>
      <w:r w:rsidR="009A6864" w:rsidRPr="009A6864">
        <w:t>(Reid et al., 2014)</w:t>
      </w:r>
      <w:r w:rsidRPr="003C4D2C">
        <w:t xml:space="preserve">. </w:t>
      </w:r>
      <w:r w:rsidR="003534AC">
        <w:t>F</w:t>
      </w:r>
      <w:r w:rsidRPr="003C4D2C">
        <w:t>ollow</w:t>
      </w:r>
      <w:r w:rsidR="003534AC">
        <w:t>ing</w:t>
      </w:r>
      <w:r w:rsidRPr="003C4D2C">
        <w:t xml:space="preserve"> directions, persever</w:t>
      </w:r>
      <w:r w:rsidR="003534AC">
        <w:t>ing</w:t>
      </w:r>
      <w:r w:rsidRPr="003C4D2C">
        <w:t xml:space="preserve"> with challenging tasks, adapt</w:t>
      </w:r>
      <w:r w:rsidR="003534AC">
        <w:t>ing</w:t>
      </w:r>
      <w:r w:rsidRPr="003C4D2C">
        <w:t xml:space="preserve"> problem-solving strategies, work</w:t>
      </w:r>
      <w:r w:rsidR="003534AC">
        <w:t>ing</w:t>
      </w:r>
      <w:r w:rsidRPr="003C4D2C">
        <w:t xml:space="preserve"> independently, and cooperat</w:t>
      </w:r>
      <w:r w:rsidR="003534AC">
        <w:t>ing</w:t>
      </w:r>
      <w:r w:rsidRPr="003C4D2C">
        <w:t xml:space="preserve"> with classmates</w:t>
      </w:r>
      <w:r w:rsidR="003534AC">
        <w:t xml:space="preserve"> are ways in which AtL facilitates learning</w:t>
      </w:r>
      <w:r w:rsidRPr="003C4D2C">
        <w:t xml:space="preserve"> </w:t>
      </w:r>
      <w:r w:rsidR="009A6864" w:rsidRPr="009A6864">
        <w:t xml:space="preserve">(Blair, 2002; </w:t>
      </w:r>
      <w:proofErr w:type="spellStart"/>
      <w:r w:rsidR="009A6864" w:rsidRPr="009A6864">
        <w:t>Razza</w:t>
      </w:r>
      <w:proofErr w:type="spellEnd"/>
      <w:r w:rsidR="009A6864" w:rsidRPr="009A6864">
        <w:t xml:space="preserve"> et al., 2015)</w:t>
      </w:r>
      <w:r w:rsidRPr="003C4D2C">
        <w:t xml:space="preserve">. </w:t>
      </w:r>
      <w:r w:rsidR="003534AC">
        <w:t>It</w:t>
      </w:r>
      <w:r w:rsidRPr="003C4D2C">
        <w:t xml:space="preserve"> also represent</w:t>
      </w:r>
      <w:r w:rsidR="00DD663B">
        <w:t>s</w:t>
      </w:r>
      <w:r w:rsidRPr="003C4D2C">
        <w:t xml:space="preserve"> flexible</w:t>
      </w:r>
      <w:r w:rsidR="007C1CBE">
        <w:t xml:space="preserve"> </w:t>
      </w:r>
      <w:r w:rsidRPr="003C4D2C">
        <w:t xml:space="preserve">strategies that potentially mitigate the effects of </w:t>
      </w:r>
      <w:r w:rsidR="00DD663B">
        <w:t>maladaptive b</w:t>
      </w:r>
      <w:r w:rsidRPr="003C4D2C">
        <w:t xml:space="preserve">ehavior on academic readiness </w:t>
      </w:r>
      <w:r w:rsidR="009A6864" w:rsidRPr="009A6864">
        <w:t xml:space="preserve">(Domínguez, </w:t>
      </w:r>
      <w:proofErr w:type="spellStart"/>
      <w:r w:rsidR="009A6864" w:rsidRPr="009A6864">
        <w:t>Vitiello</w:t>
      </w:r>
      <w:proofErr w:type="spellEnd"/>
      <w:r w:rsidR="009A6864" w:rsidRPr="009A6864">
        <w:t>, Maier, &amp; Greenfield, 2010; McWayne &amp; Cheung, 2009)</w:t>
      </w:r>
      <w:r w:rsidRPr="003C4D2C">
        <w:t>.</w:t>
      </w:r>
      <w:r w:rsidR="007C1CBE">
        <w:t xml:space="preserve"> </w:t>
      </w:r>
    </w:p>
    <w:p w14:paraId="53AC9871" w14:textId="5D603E7F" w:rsidR="003C4D2C" w:rsidRPr="003C4D2C" w:rsidRDefault="00DD663B" w:rsidP="003C4D2C">
      <w:pPr>
        <w:ind w:firstLine="720"/>
      </w:pPr>
      <w:r>
        <w:t xml:space="preserve">Links between children’s patterns of positive and negative adjustment and academic outcomes exist as early as preschool, giving rise to a need to understand </w:t>
      </w:r>
      <w:r w:rsidR="003C4D2C" w:rsidRPr="003C4D2C">
        <w:t>patterns of ad</w:t>
      </w:r>
      <w:r>
        <w:t xml:space="preserve">aptations </w:t>
      </w:r>
      <w:r w:rsidR="003C4D2C" w:rsidRPr="003C4D2C">
        <w:t>within the classroom context (</w:t>
      </w:r>
      <w:proofErr w:type="spellStart"/>
      <w:r w:rsidR="003C4D2C" w:rsidRPr="003C4D2C">
        <w:t>Bulotsky</w:t>
      </w:r>
      <w:proofErr w:type="spellEnd"/>
      <w:r w:rsidR="003C4D2C" w:rsidRPr="003C4D2C">
        <w:t>-Shearer, Dominguez, &amp; Bell, 2012</w:t>
      </w:r>
      <w:r>
        <w:t xml:space="preserve">; </w:t>
      </w:r>
      <w:proofErr w:type="spellStart"/>
      <w:r>
        <w:t>Fantuzzo</w:t>
      </w:r>
      <w:proofErr w:type="spellEnd"/>
      <w:r>
        <w:t>, Perry &amp; McDermott, 2004</w:t>
      </w:r>
      <w:r w:rsidR="003C4D2C" w:rsidRPr="003C4D2C">
        <w:t xml:space="preserve">). </w:t>
      </w:r>
      <w:r w:rsidR="00174312">
        <w:t>While previous research using variable centered approaches has established the link between AtL and academic achievement, it has not been able to account for the multiple contexts or varied ways in which children approach learning tasks. Rather than examining variation in the levels of children’s AtL, as variable centered approaches do, p</w:t>
      </w:r>
      <w:r w:rsidR="003C4D2C" w:rsidRPr="003C4D2C">
        <w:t xml:space="preserve">erson-centered approaches may be able to account for the heterogeneity in children’s adaptive responses and reveal profiles of resilience </w:t>
      </w:r>
      <w:r w:rsidR="009A6864" w:rsidRPr="009A6864">
        <w:t>(</w:t>
      </w:r>
      <w:proofErr w:type="spellStart"/>
      <w:r w:rsidR="009A6864" w:rsidRPr="009A6864">
        <w:t>Abenavoli</w:t>
      </w:r>
      <w:proofErr w:type="spellEnd"/>
      <w:r w:rsidR="009A6864" w:rsidRPr="009A6864">
        <w:t xml:space="preserve"> et al., 2017)</w:t>
      </w:r>
      <w:r w:rsidR="003C4D2C" w:rsidRPr="003C4D2C">
        <w:t xml:space="preserve">. To date, there have not been any studies examining children’s AtL using person-centered approaches. The goal of this study is to use Latent Profile Analysis (LPA) to examine the patterns of AtL within a sample of preschool children and to </w:t>
      </w:r>
      <w:r w:rsidR="003F06CE">
        <w:t xml:space="preserve">investigate </w:t>
      </w:r>
      <w:r w:rsidR="003C4D2C" w:rsidRPr="003C4D2C">
        <w:t xml:space="preserve">how these profiles are associated with children’s academic outcomes. </w:t>
      </w:r>
    </w:p>
    <w:p w14:paraId="1F61004B" w14:textId="77777777" w:rsidR="003C4D2C" w:rsidRPr="003C4D2C" w:rsidRDefault="003C4D2C" w:rsidP="003C4D2C">
      <w:pPr>
        <w:pStyle w:val="Heading1"/>
      </w:pPr>
      <w:bookmarkStart w:id="58" w:name="_Toc46265488"/>
      <w:r w:rsidRPr="003C4D2C">
        <w:t>Review of Literature</w:t>
      </w:r>
      <w:bookmarkEnd w:id="58"/>
    </w:p>
    <w:p w14:paraId="6754FD88" w14:textId="77777777" w:rsidR="003C4D2C" w:rsidRPr="003C4D2C" w:rsidRDefault="003C4D2C" w:rsidP="003C4D2C">
      <w:pPr>
        <w:pStyle w:val="Heading2"/>
      </w:pPr>
      <w:bookmarkStart w:id="59" w:name="_Toc46265489"/>
      <w:r w:rsidRPr="003C4D2C">
        <w:t>Approaches to Learning</w:t>
      </w:r>
      <w:bookmarkEnd w:id="59"/>
      <w:r w:rsidRPr="003C4D2C">
        <w:t xml:space="preserve"> </w:t>
      </w:r>
    </w:p>
    <w:p w14:paraId="428F44C4" w14:textId="3A7DEF27" w:rsidR="003C4D2C" w:rsidRPr="003C4D2C" w:rsidRDefault="003C4D2C" w:rsidP="003C4D2C">
      <w:pPr>
        <w:ind w:firstLine="720"/>
      </w:pPr>
      <w:r w:rsidRPr="003C4D2C">
        <w:lastRenderedPageBreak/>
        <w:t>AtL is a multidimensional construct developing rapidly between pre-k and kindergarten and then stabilizing by the end of elementary school (</w:t>
      </w:r>
      <w:proofErr w:type="spellStart"/>
      <w:r w:rsidRPr="003C4D2C">
        <w:t>Bulotsky</w:t>
      </w:r>
      <w:proofErr w:type="spellEnd"/>
      <w:r w:rsidRPr="003C4D2C">
        <w:t xml:space="preserve">-Shearer, Fernandez, Dominguez, &amp; Rouse, 2011; McDermott, </w:t>
      </w:r>
      <w:proofErr w:type="spellStart"/>
      <w:r w:rsidRPr="003C4D2C">
        <w:t>Rikoon</w:t>
      </w:r>
      <w:proofErr w:type="spellEnd"/>
      <w:r w:rsidRPr="003C4D2C">
        <w:t xml:space="preserve">, &amp; </w:t>
      </w:r>
      <w:proofErr w:type="spellStart"/>
      <w:r w:rsidRPr="003C4D2C">
        <w:t>Fantuzzo</w:t>
      </w:r>
      <w:proofErr w:type="spellEnd"/>
      <w:r w:rsidRPr="003C4D2C">
        <w:t xml:space="preserve">, 2014). </w:t>
      </w:r>
      <w:r w:rsidR="00C94647">
        <w:t>It</w:t>
      </w:r>
      <w:r w:rsidRPr="003C4D2C">
        <w:t xml:space="preserve"> is generally described as a broad set of skills that reflect children’s engagement in classroom interactions and activities </w:t>
      </w:r>
      <w:r w:rsidR="009A6864" w:rsidRPr="009A6864">
        <w:t>(Hyson, 2008; McDermott, Leigh, &amp; Perry, 2002; Stipek et al., 2010)</w:t>
      </w:r>
      <w:r w:rsidRPr="003C4D2C">
        <w:t xml:space="preserve">. Current research on ATL includes a wide assortment of characteristics that vary from study to study </w:t>
      </w:r>
      <w:r w:rsidR="009A6864" w:rsidRPr="009A6864">
        <w:t>(</w:t>
      </w:r>
      <w:proofErr w:type="spellStart"/>
      <w:r w:rsidR="009A6864" w:rsidRPr="009A6864">
        <w:t>Fantuzzo</w:t>
      </w:r>
      <w:proofErr w:type="spellEnd"/>
      <w:r w:rsidR="009A6864" w:rsidRPr="009A6864">
        <w:t xml:space="preserve"> et al., 2004; McDermott et al., 2014)</w:t>
      </w:r>
      <w:r w:rsidRPr="003C4D2C">
        <w:t>. For example, Kagan</w:t>
      </w:r>
      <w:r w:rsidR="009A6864">
        <w:t xml:space="preserve">, Moore, and Bredekamp </w:t>
      </w:r>
      <w:r w:rsidR="009A6864" w:rsidRPr="009A6864">
        <w:t>(1995)</w:t>
      </w:r>
      <w:r w:rsidRPr="003C4D2C">
        <w:t xml:space="preserve"> described A</w:t>
      </w:r>
      <w:r w:rsidR="009A6864">
        <w:t>t</w:t>
      </w:r>
      <w:r w:rsidRPr="003C4D2C">
        <w:t>L as a set of learning dispositions that “include variances that affect how children attitudinally address the learning process” (p</w:t>
      </w:r>
      <w:r w:rsidR="00C94647">
        <w:t>.</w:t>
      </w:r>
      <w:r w:rsidRPr="003C4D2C">
        <w:t xml:space="preserve"> 23). However, </w:t>
      </w:r>
      <w:proofErr w:type="spellStart"/>
      <w:r w:rsidRPr="003C4D2C">
        <w:t>Barbu</w:t>
      </w:r>
      <w:proofErr w:type="spellEnd"/>
      <w:r w:rsidRPr="003C4D2C">
        <w:t xml:space="preserve">, </w:t>
      </w:r>
      <w:proofErr w:type="spellStart"/>
      <w:r w:rsidRPr="003C4D2C">
        <w:t>Yaden</w:t>
      </w:r>
      <w:proofErr w:type="spellEnd"/>
      <w:r w:rsidRPr="003C4D2C">
        <w:t>, Levine-</w:t>
      </w:r>
      <w:proofErr w:type="spellStart"/>
      <w:r w:rsidRPr="003C4D2C">
        <w:t>Donnerstein</w:t>
      </w:r>
      <w:proofErr w:type="spellEnd"/>
      <w:r w:rsidRPr="003C4D2C">
        <w:t>, and Marx</w:t>
      </w:r>
      <w:r w:rsidR="007C1CBE">
        <w:t xml:space="preserve"> </w:t>
      </w:r>
      <w:r w:rsidR="009A6864" w:rsidRPr="009A6864">
        <w:t>(2015)</w:t>
      </w:r>
      <w:r w:rsidRPr="003C4D2C">
        <w:t xml:space="preserve"> include attention, cooperation, ha</w:t>
      </w:r>
      <w:r w:rsidR="003F06CE">
        <w:t xml:space="preserve">ving </w:t>
      </w:r>
      <w:r w:rsidRPr="003C4D2C">
        <w:t>friends, manag</w:t>
      </w:r>
      <w:r w:rsidR="003F06CE">
        <w:t>ing</w:t>
      </w:r>
      <w:r w:rsidRPr="003C4D2C">
        <w:t xml:space="preserve"> frustration, and follow</w:t>
      </w:r>
      <w:r w:rsidR="003F06CE">
        <w:t>ing</w:t>
      </w:r>
      <w:r w:rsidRPr="003C4D2C">
        <w:t xml:space="preserve"> the rules. A review of the different behaviors classified as AtL demonstrate</w:t>
      </w:r>
      <w:r w:rsidR="003F06CE">
        <w:t>s</w:t>
      </w:r>
      <w:r w:rsidRPr="003C4D2C">
        <w:t xml:space="preserve"> considerable variability </w:t>
      </w:r>
      <w:r w:rsidR="003F06CE">
        <w:t xml:space="preserve">across the </w:t>
      </w:r>
      <w:r w:rsidRPr="003C4D2C">
        <w:t>cognitive, social, emotional, and self-regulation domains (see Table 1)</w:t>
      </w:r>
      <w:r w:rsidR="003F06CE">
        <w:t xml:space="preserve"> with little consistency evident in past studies. </w:t>
      </w:r>
      <w:r w:rsidRPr="003C4D2C">
        <w:t>The most common elements of AtL include attention, cooperation, tr</w:t>
      </w:r>
      <w:r w:rsidR="003F06CE">
        <w:t>ying</w:t>
      </w:r>
      <w:r w:rsidRPr="003C4D2C">
        <w:t xml:space="preserve"> new things, persist</w:t>
      </w:r>
      <w:r w:rsidR="003F06CE">
        <w:t>ence</w:t>
      </w:r>
      <w:r w:rsidRPr="003C4D2C">
        <w:t>, and follow</w:t>
      </w:r>
      <w:r w:rsidR="003F06CE">
        <w:t>ing</w:t>
      </w:r>
      <w:r w:rsidRPr="003C4D2C">
        <w:t xml:space="preserve"> the rules. </w:t>
      </w:r>
    </w:p>
    <w:p w14:paraId="2023C6AB" w14:textId="4AC24D20" w:rsidR="00814C51" w:rsidRDefault="003C4D2C" w:rsidP="003C4D2C">
      <w:pPr>
        <w:ind w:firstLine="720"/>
        <w:sectPr w:rsidR="00814C51" w:rsidSect="00D86CCC">
          <w:headerReference w:type="default" r:id="rId23"/>
          <w:headerReference w:type="first" r:id="rId24"/>
          <w:type w:val="continuous"/>
          <w:pgSz w:w="12240" w:h="15840"/>
          <w:pgMar w:top="1440" w:right="1440" w:bottom="1440" w:left="1440" w:header="720" w:footer="720" w:gutter="0"/>
          <w:cols w:space="720"/>
          <w:docGrid w:linePitch="360"/>
        </w:sectPr>
      </w:pPr>
      <w:r w:rsidRPr="003C4D2C">
        <w:t xml:space="preserve">AtL </w:t>
      </w:r>
      <w:r w:rsidR="003F06CE">
        <w:t xml:space="preserve">supports </w:t>
      </w:r>
      <w:r w:rsidRPr="003C4D2C">
        <w:t>children actively participat</w:t>
      </w:r>
      <w:r w:rsidR="003F06CE">
        <w:t>ing</w:t>
      </w:r>
      <w:r w:rsidRPr="003C4D2C">
        <w:t xml:space="preserve"> in learning situations with teachers and peers and </w:t>
      </w:r>
      <w:r w:rsidR="003F06CE">
        <w:t xml:space="preserve">thus </w:t>
      </w:r>
      <w:r w:rsidRPr="003C4D2C">
        <w:t xml:space="preserve">helps maximize children’s exposure to classroom instruction </w:t>
      </w:r>
      <w:r w:rsidR="009A6864" w:rsidRPr="009A6864">
        <w:t>(Sasser et al., 2015)</w:t>
      </w:r>
      <w:r w:rsidRPr="003C4D2C">
        <w:t xml:space="preserve">. It has been associated with achievement in math, reading, science, </w:t>
      </w:r>
      <w:r w:rsidR="005350E8">
        <w:t xml:space="preserve">and </w:t>
      </w:r>
      <w:r w:rsidRPr="003C4D2C">
        <w:t xml:space="preserve">school readiness </w:t>
      </w:r>
      <w:r w:rsidR="009A6864" w:rsidRPr="009A6864">
        <w:t xml:space="preserve">(Bustamante et al., 2018; </w:t>
      </w:r>
      <w:proofErr w:type="spellStart"/>
      <w:r w:rsidR="009A6864" w:rsidRPr="009A6864">
        <w:t>Fantuzzo</w:t>
      </w:r>
      <w:proofErr w:type="spellEnd"/>
      <w:r w:rsidR="009A6864" w:rsidRPr="009A6864">
        <w:t xml:space="preserve"> et al., 2004; McClelland et al., 2006; Stipek et al., 2010)</w:t>
      </w:r>
      <w:r w:rsidRPr="003C4D2C">
        <w:t xml:space="preserve">. </w:t>
      </w:r>
      <w:r w:rsidR="00276F73">
        <w:t>G</w:t>
      </w:r>
      <w:r w:rsidRPr="003C4D2C">
        <w:t xml:space="preserve">rowth in AtL helps support growth in </w:t>
      </w:r>
      <w:r w:rsidR="00276F73">
        <w:t xml:space="preserve">academic achievement, </w:t>
      </w:r>
      <w:r w:rsidRPr="003C4D2C">
        <w:t xml:space="preserve">beyond the effects of children’s IQ, previous literacy or math achievement, maternal educational level, or executive function </w:t>
      </w:r>
      <w:r w:rsidR="009A6864" w:rsidRPr="009A6864">
        <w:t>(Cerda et al., 2014; Stipek et al., 2010</w:t>
      </w:r>
      <w:r w:rsidR="00276F73">
        <w:t xml:space="preserve">; </w:t>
      </w:r>
      <w:r w:rsidR="00276F73" w:rsidRPr="009A6864">
        <w:t xml:space="preserve">Sung &amp; </w:t>
      </w:r>
      <w:proofErr w:type="spellStart"/>
      <w:r w:rsidR="00276F73" w:rsidRPr="009A6864">
        <w:t>Wickrama</w:t>
      </w:r>
      <w:proofErr w:type="spellEnd"/>
      <w:r w:rsidR="00276F73" w:rsidRPr="009A6864">
        <w:t>, 2018</w:t>
      </w:r>
      <w:r w:rsidR="009A6864" w:rsidRPr="009A6864">
        <w:t>)</w:t>
      </w:r>
      <w:r w:rsidRPr="003C4D2C">
        <w:t xml:space="preserve">. </w:t>
      </w:r>
    </w:p>
    <w:p w14:paraId="7F5B09E2" w14:textId="070E4240" w:rsidR="003C4D2C" w:rsidRDefault="002F33E8" w:rsidP="002F33E8">
      <w:pPr>
        <w:pStyle w:val="Caption"/>
      </w:pPr>
      <w:bookmarkStart w:id="60" w:name="_Toc44366124"/>
      <w:r>
        <w:lastRenderedPageBreak/>
        <w:t xml:space="preserve">Table </w:t>
      </w:r>
      <w:r>
        <w:fldChar w:fldCharType="begin"/>
      </w:r>
      <w:r>
        <w:instrText xml:space="preserve"> SEQ Table \</w:instrText>
      </w:r>
      <w:r w:rsidR="002A6055">
        <w:instrText>r 1\</w:instrText>
      </w:r>
      <w:r>
        <w:instrText xml:space="preserve">* ARABIC </w:instrText>
      </w:r>
      <w:r>
        <w:fldChar w:fldCharType="separate"/>
      </w:r>
      <w:r w:rsidR="002039BE">
        <w:rPr>
          <w:noProof/>
        </w:rPr>
        <w:t>1</w:t>
      </w:r>
      <w:bookmarkEnd w:id="60"/>
      <w:r>
        <w:fldChar w:fldCharType="end"/>
      </w:r>
    </w:p>
    <w:tbl>
      <w:tblPr>
        <w:tblStyle w:val="TableGridLight"/>
        <w:tblpPr w:leftFromText="187" w:rightFromText="187" w:vertAnchor="page" w:horzAnchor="margin" w:tblpY="2408"/>
        <w:tblOverlap w:val="never"/>
        <w:tblW w:w="4828" w:type="pct"/>
        <w:tblLook w:val="04A0" w:firstRow="1" w:lastRow="0" w:firstColumn="1" w:lastColumn="0" w:noHBand="0" w:noVBand="1"/>
      </w:tblPr>
      <w:tblGrid>
        <w:gridCol w:w="1937"/>
        <w:gridCol w:w="854"/>
        <w:gridCol w:w="542"/>
        <w:gridCol w:w="543"/>
        <w:gridCol w:w="543"/>
        <w:gridCol w:w="543"/>
        <w:gridCol w:w="543"/>
        <w:gridCol w:w="550"/>
        <w:gridCol w:w="678"/>
        <w:gridCol w:w="506"/>
        <w:gridCol w:w="545"/>
        <w:gridCol w:w="548"/>
        <w:gridCol w:w="563"/>
        <w:gridCol w:w="618"/>
        <w:gridCol w:w="628"/>
        <w:gridCol w:w="616"/>
        <w:gridCol w:w="620"/>
        <w:gridCol w:w="620"/>
        <w:gridCol w:w="508"/>
      </w:tblGrid>
      <w:tr w:rsidR="005350E8" w:rsidRPr="00814C51" w14:paraId="32ABC77C" w14:textId="77777777" w:rsidTr="005350E8">
        <w:trPr>
          <w:trHeight w:val="140"/>
        </w:trPr>
        <w:tc>
          <w:tcPr>
            <w:tcW w:w="775" w:type="pct"/>
            <w:tcBorders>
              <w:top w:val="single" w:sz="4" w:space="0" w:color="auto"/>
              <w:bottom w:val="single" w:sz="4" w:space="0" w:color="auto"/>
            </w:tcBorders>
            <w:noWrap/>
          </w:tcPr>
          <w:p w14:paraId="741AB929"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Study</w:t>
            </w:r>
          </w:p>
        </w:tc>
        <w:tc>
          <w:tcPr>
            <w:tcW w:w="4225" w:type="pct"/>
            <w:gridSpan w:val="18"/>
            <w:tcBorders>
              <w:top w:val="single" w:sz="4" w:space="0" w:color="auto"/>
              <w:bottom w:val="single" w:sz="4" w:space="0" w:color="auto"/>
            </w:tcBorders>
            <w:noWrap/>
          </w:tcPr>
          <w:p w14:paraId="403E5766"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Domain Characteristics</w:t>
            </w:r>
          </w:p>
        </w:tc>
      </w:tr>
      <w:tr w:rsidR="005350E8" w:rsidRPr="00814C51" w14:paraId="15ACB3D1" w14:textId="77777777" w:rsidTr="005350E8">
        <w:trPr>
          <w:trHeight w:val="140"/>
        </w:trPr>
        <w:tc>
          <w:tcPr>
            <w:tcW w:w="775" w:type="pct"/>
            <w:tcBorders>
              <w:top w:val="single" w:sz="4" w:space="0" w:color="auto"/>
              <w:bottom w:val="nil"/>
            </w:tcBorders>
            <w:noWrap/>
            <w:hideMark/>
          </w:tcPr>
          <w:p w14:paraId="0310BB50"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w:t>
            </w:r>
          </w:p>
        </w:tc>
        <w:tc>
          <w:tcPr>
            <w:tcW w:w="1647" w:type="pct"/>
            <w:gridSpan w:val="7"/>
            <w:tcBorders>
              <w:top w:val="single" w:sz="4" w:space="0" w:color="auto"/>
              <w:bottom w:val="single" w:sz="4" w:space="0" w:color="auto"/>
            </w:tcBorders>
            <w:shd w:val="clear" w:color="auto" w:fill="BDD6EE" w:themeFill="accent5" w:themeFillTint="66"/>
            <w:noWrap/>
            <w:hideMark/>
          </w:tcPr>
          <w:p w14:paraId="33EEA8AE"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xml:space="preserve">Cognitive </w:t>
            </w:r>
          </w:p>
        </w:tc>
        <w:tc>
          <w:tcPr>
            <w:tcW w:w="1135" w:type="pct"/>
            <w:gridSpan w:val="5"/>
            <w:tcBorders>
              <w:top w:val="single" w:sz="4" w:space="0" w:color="auto"/>
              <w:bottom w:val="single" w:sz="4" w:space="0" w:color="auto"/>
            </w:tcBorders>
            <w:shd w:val="clear" w:color="auto" w:fill="C5E0B3" w:themeFill="accent6" w:themeFillTint="66"/>
            <w:noWrap/>
            <w:hideMark/>
          </w:tcPr>
          <w:p w14:paraId="65C9F307"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xml:space="preserve">Social </w:t>
            </w:r>
          </w:p>
        </w:tc>
        <w:tc>
          <w:tcPr>
            <w:tcW w:w="497" w:type="pct"/>
            <w:gridSpan w:val="2"/>
            <w:tcBorders>
              <w:top w:val="single" w:sz="4" w:space="0" w:color="auto"/>
              <w:bottom w:val="single" w:sz="4" w:space="0" w:color="auto"/>
            </w:tcBorders>
            <w:shd w:val="clear" w:color="auto" w:fill="FA9AE1"/>
            <w:noWrap/>
            <w:hideMark/>
          </w:tcPr>
          <w:p w14:paraId="0F7D3FE4"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xml:space="preserve">Emotional </w:t>
            </w:r>
          </w:p>
        </w:tc>
        <w:tc>
          <w:tcPr>
            <w:tcW w:w="945" w:type="pct"/>
            <w:gridSpan w:val="4"/>
            <w:tcBorders>
              <w:top w:val="single" w:sz="4" w:space="0" w:color="auto"/>
              <w:bottom w:val="single" w:sz="4" w:space="0" w:color="auto"/>
            </w:tcBorders>
            <w:shd w:val="clear" w:color="auto" w:fill="FFC000"/>
            <w:noWrap/>
            <w:hideMark/>
          </w:tcPr>
          <w:p w14:paraId="5308DA54"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xml:space="preserve">Self-Control/Behavior </w:t>
            </w:r>
          </w:p>
        </w:tc>
      </w:tr>
      <w:tr w:rsidR="005350E8" w:rsidRPr="00814C51" w14:paraId="7CE22B05" w14:textId="77777777" w:rsidTr="005350E8">
        <w:trPr>
          <w:trHeight w:val="2483"/>
        </w:trPr>
        <w:tc>
          <w:tcPr>
            <w:tcW w:w="775" w:type="pct"/>
            <w:tcBorders>
              <w:top w:val="nil"/>
            </w:tcBorders>
            <w:hideMark/>
          </w:tcPr>
          <w:p w14:paraId="1D7B109A"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w:t>
            </w:r>
          </w:p>
        </w:tc>
        <w:tc>
          <w:tcPr>
            <w:tcW w:w="342" w:type="pct"/>
            <w:tcBorders>
              <w:top w:val="single" w:sz="4" w:space="0" w:color="auto"/>
            </w:tcBorders>
            <w:shd w:val="clear" w:color="auto" w:fill="BDD6EE" w:themeFill="accent5" w:themeFillTint="66"/>
            <w:textDirection w:val="btLr"/>
            <w:hideMark/>
          </w:tcPr>
          <w:p w14:paraId="153895DA"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Focus Attention/</w:t>
            </w:r>
            <w:r w:rsidRPr="00814C51">
              <w:rPr>
                <w:rFonts w:ascii="Times New Roman" w:hAnsi="Times New Roman" w:cs="Times New Roman"/>
                <w:sz w:val="24"/>
                <w:szCs w:val="24"/>
              </w:rPr>
              <w:br/>
              <w:t>Concentrates</w:t>
            </w:r>
          </w:p>
        </w:tc>
        <w:tc>
          <w:tcPr>
            <w:tcW w:w="217" w:type="pct"/>
            <w:tcBorders>
              <w:top w:val="single" w:sz="4" w:space="0" w:color="auto"/>
            </w:tcBorders>
            <w:shd w:val="clear" w:color="auto" w:fill="BDD6EE" w:themeFill="accent5" w:themeFillTint="66"/>
            <w:textDirection w:val="btLr"/>
            <w:hideMark/>
          </w:tcPr>
          <w:p w14:paraId="36D97E9F"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Attention to Detail</w:t>
            </w:r>
          </w:p>
        </w:tc>
        <w:tc>
          <w:tcPr>
            <w:tcW w:w="217" w:type="pct"/>
            <w:tcBorders>
              <w:top w:val="single" w:sz="4" w:space="0" w:color="auto"/>
            </w:tcBorders>
            <w:shd w:val="clear" w:color="auto" w:fill="BDD6EE" w:themeFill="accent5" w:themeFillTint="66"/>
            <w:textDirection w:val="btLr"/>
            <w:hideMark/>
          </w:tcPr>
          <w:p w14:paraId="50DB7CF7"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Stays on Task</w:t>
            </w:r>
          </w:p>
        </w:tc>
        <w:tc>
          <w:tcPr>
            <w:tcW w:w="217" w:type="pct"/>
            <w:tcBorders>
              <w:top w:val="single" w:sz="4" w:space="0" w:color="auto"/>
            </w:tcBorders>
            <w:shd w:val="clear" w:color="auto" w:fill="BDD6EE" w:themeFill="accent5" w:themeFillTint="66"/>
            <w:textDirection w:val="btLr"/>
            <w:hideMark/>
          </w:tcPr>
          <w:p w14:paraId="0F55FC74"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Works Independently</w:t>
            </w:r>
          </w:p>
        </w:tc>
        <w:tc>
          <w:tcPr>
            <w:tcW w:w="217" w:type="pct"/>
            <w:tcBorders>
              <w:top w:val="single" w:sz="4" w:space="0" w:color="auto"/>
            </w:tcBorders>
            <w:shd w:val="clear" w:color="auto" w:fill="BDD6EE" w:themeFill="accent5" w:themeFillTint="66"/>
            <w:textDirection w:val="btLr"/>
            <w:hideMark/>
          </w:tcPr>
          <w:p w14:paraId="70C2B71E"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Thinks and Plans</w:t>
            </w:r>
          </w:p>
        </w:tc>
        <w:tc>
          <w:tcPr>
            <w:tcW w:w="217" w:type="pct"/>
            <w:tcBorders>
              <w:top w:val="single" w:sz="4" w:space="0" w:color="auto"/>
            </w:tcBorders>
            <w:shd w:val="clear" w:color="auto" w:fill="BDD6EE" w:themeFill="accent5" w:themeFillTint="66"/>
            <w:textDirection w:val="btLr"/>
            <w:hideMark/>
          </w:tcPr>
          <w:p w14:paraId="78F7F6F3"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tries new things</w:t>
            </w:r>
          </w:p>
        </w:tc>
        <w:tc>
          <w:tcPr>
            <w:tcW w:w="220" w:type="pct"/>
            <w:tcBorders>
              <w:top w:val="single" w:sz="4" w:space="0" w:color="auto"/>
            </w:tcBorders>
            <w:shd w:val="clear" w:color="auto" w:fill="BDD6EE" w:themeFill="accent5" w:themeFillTint="66"/>
            <w:textDirection w:val="btLr"/>
            <w:hideMark/>
          </w:tcPr>
          <w:p w14:paraId="5BC9CE9F"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Persists</w:t>
            </w:r>
          </w:p>
        </w:tc>
        <w:tc>
          <w:tcPr>
            <w:tcW w:w="271" w:type="pct"/>
            <w:tcBorders>
              <w:top w:val="single" w:sz="4" w:space="0" w:color="auto"/>
            </w:tcBorders>
            <w:shd w:val="clear" w:color="auto" w:fill="C5E0B3" w:themeFill="accent6" w:themeFillTint="66"/>
            <w:textDirection w:val="btLr"/>
            <w:hideMark/>
          </w:tcPr>
          <w:p w14:paraId="68089DD3" w14:textId="77777777" w:rsidR="005350E8" w:rsidRPr="00814C51" w:rsidRDefault="005350E8" w:rsidP="005350E8">
            <w:pPr>
              <w:jc w:val="both"/>
              <w:rPr>
                <w:rFonts w:ascii="Times New Roman" w:hAnsi="Times New Roman" w:cs="Times New Roman"/>
                <w:sz w:val="24"/>
                <w:szCs w:val="24"/>
              </w:rPr>
            </w:pPr>
            <w:r w:rsidRPr="00814C51">
              <w:rPr>
                <w:rFonts w:ascii="Times New Roman" w:hAnsi="Times New Roman" w:cs="Times New Roman"/>
                <w:sz w:val="24"/>
                <w:szCs w:val="24"/>
              </w:rPr>
              <w:t>Considers</w:t>
            </w:r>
            <w:r>
              <w:rPr>
                <w:rFonts w:ascii="Times New Roman" w:hAnsi="Times New Roman" w:cs="Times New Roman"/>
                <w:sz w:val="24"/>
                <w:szCs w:val="24"/>
              </w:rPr>
              <w:t xml:space="preserve"> </w:t>
            </w:r>
            <w:proofErr w:type="spellStart"/>
            <w:r w:rsidRPr="00814C51">
              <w:rPr>
                <w:rFonts w:ascii="Times New Roman" w:hAnsi="Times New Roman" w:cs="Times New Roman"/>
                <w:sz w:val="24"/>
                <w:szCs w:val="24"/>
              </w:rPr>
              <w:t>others’</w:t>
            </w:r>
            <w:r>
              <w:rPr>
                <w:rFonts w:ascii="Times New Roman" w:hAnsi="Times New Roman" w:cs="Times New Roman"/>
                <w:sz w:val="24"/>
                <w:szCs w:val="24"/>
              </w:rPr>
              <w:t>feelings</w:t>
            </w:r>
            <w:proofErr w:type="spellEnd"/>
          </w:p>
        </w:tc>
        <w:tc>
          <w:tcPr>
            <w:tcW w:w="202" w:type="pct"/>
            <w:tcBorders>
              <w:top w:val="single" w:sz="4" w:space="0" w:color="auto"/>
            </w:tcBorders>
            <w:shd w:val="clear" w:color="auto" w:fill="C5E0B3" w:themeFill="accent6" w:themeFillTint="66"/>
            <w:textDirection w:val="btLr"/>
            <w:hideMark/>
          </w:tcPr>
          <w:p w14:paraId="2D9B8F5B"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Has Friends</w:t>
            </w:r>
          </w:p>
        </w:tc>
        <w:tc>
          <w:tcPr>
            <w:tcW w:w="218" w:type="pct"/>
            <w:tcBorders>
              <w:top w:val="single" w:sz="4" w:space="0" w:color="auto"/>
            </w:tcBorders>
            <w:shd w:val="clear" w:color="auto" w:fill="C5E0B3" w:themeFill="accent6" w:themeFillTint="66"/>
            <w:textDirection w:val="btLr"/>
            <w:hideMark/>
          </w:tcPr>
          <w:p w14:paraId="43D75885"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Cooperates</w:t>
            </w:r>
          </w:p>
        </w:tc>
        <w:tc>
          <w:tcPr>
            <w:tcW w:w="219" w:type="pct"/>
            <w:tcBorders>
              <w:top w:val="single" w:sz="4" w:space="0" w:color="auto"/>
            </w:tcBorders>
            <w:shd w:val="clear" w:color="auto" w:fill="C5E0B3" w:themeFill="accent6" w:themeFillTint="66"/>
            <w:textDirection w:val="btLr"/>
            <w:hideMark/>
          </w:tcPr>
          <w:p w14:paraId="376BC494"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Plays with Others</w:t>
            </w:r>
          </w:p>
        </w:tc>
        <w:tc>
          <w:tcPr>
            <w:tcW w:w="225" w:type="pct"/>
            <w:tcBorders>
              <w:top w:val="single" w:sz="4" w:space="0" w:color="auto"/>
            </w:tcBorders>
            <w:shd w:val="clear" w:color="auto" w:fill="C5E0B3" w:themeFill="accent6" w:themeFillTint="66"/>
            <w:textDirection w:val="btLr"/>
            <w:hideMark/>
          </w:tcPr>
          <w:p w14:paraId="3C612893"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Asks for Help</w:t>
            </w:r>
          </w:p>
        </w:tc>
        <w:tc>
          <w:tcPr>
            <w:tcW w:w="247" w:type="pct"/>
            <w:tcBorders>
              <w:top w:val="single" w:sz="4" w:space="0" w:color="auto"/>
            </w:tcBorders>
            <w:shd w:val="clear" w:color="auto" w:fill="FA9AE1"/>
            <w:textDirection w:val="btLr"/>
            <w:hideMark/>
          </w:tcPr>
          <w:p w14:paraId="765E5BD4"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Manages Frustration</w:t>
            </w:r>
          </w:p>
        </w:tc>
        <w:tc>
          <w:tcPr>
            <w:tcW w:w="251" w:type="pct"/>
            <w:tcBorders>
              <w:top w:val="single" w:sz="4" w:space="0" w:color="auto"/>
            </w:tcBorders>
            <w:shd w:val="clear" w:color="auto" w:fill="FA9AE1"/>
            <w:textDirection w:val="btLr"/>
            <w:hideMark/>
          </w:tcPr>
          <w:p w14:paraId="1CF5B859"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Refrains from blurting out</w:t>
            </w:r>
          </w:p>
        </w:tc>
        <w:tc>
          <w:tcPr>
            <w:tcW w:w="246" w:type="pct"/>
            <w:tcBorders>
              <w:top w:val="single" w:sz="4" w:space="0" w:color="auto"/>
            </w:tcBorders>
            <w:shd w:val="clear" w:color="auto" w:fill="FFC000"/>
            <w:textDirection w:val="btLr"/>
            <w:hideMark/>
          </w:tcPr>
          <w:p w14:paraId="19ADEA34"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Follows Rules</w:t>
            </w:r>
          </w:p>
        </w:tc>
        <w:tc>
          <w:tcPr>
            <w:tcW w:w="248" w:type="pct"/>
            <w:tcBorders>
              <w:top w:val="single" w:sz="4" w:space="0" w:color="auto"/>
            </w:tcBorders>
            <w:shd w:val="clear" w:color="auto" w:fill="FFC000"/>
            <w:textDirection w:val="btLr"/>
            <w:vAlign w:val="center"/>
            <w:hideMark/>
          </w:tcPr>
          <w:p w14:paraId="3FFE8563"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Pays Attention</w:t>
            </w:r>
          </w:p>
        </w:tc>
        <w:tc>
          <w:tcPr>
            <w:tcW w:w="248" w:type="pct"/>
            <w:tcBorders>
              <w:top w:val="single" w:sz="4" w:space="0" w:color="auto"/>
            </w:tcBorders>
            <w:shd w:val="clear" w:color="auto" w:fill="FFC000"/>
            <w:textDirection w:val="btLr"/>
            <w:vAlign w:val="center"/>
            <w:hideMark/>
          </w:tcPr>
          <w:p w14:paraId="224FFF28"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Manages Transitions</w:t>
            </w:r>
          </w:p>
        </w:tc>
        <w:tc>
          <w:tcPr>
            <w:tcW w:w="202" w:type="pct"/>
            <w:tcBorders>
              <w:top w:val="single" w:sz="4" w:space="0" w:color="auto"/>
            </w:tcBorders>
            <w:shd w:val="clear" w:color="auto" w:fill="FFC000"/>
            <w:textDirection w:val="btLr"/>
            <w:vAlign w:val="center"/>
            <w:hideMark/>
          </w:tcPr>
          <w:p w14:paraId="71FC735A"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Takes care of materials</w:t>
            </w:r>
          </w:p>
        </w:tc>
      </w:tr>
      <w:tr w:rsidR="005350E8" w:rsidRPr="00814C51" w14:paraId="574AD15D" w14:textId="77777777" w:rsidTr="005350E8">
        <w:trPr>
          <w:trHeight w:val="199"/>
        </w:trPr>
        <w:tc>
          <w:tcPr>
            <w:tcW w:w="775" w:type="pct"/>
            <w:hideMark/>
          </w:tcPr>
          <w:p w14:paraId="0B994B3E" w14:textId="77777777" w:rsidR="005350E8" w:rsidRPr="00814C51" w:rsidRDefault="005350E8" w:rsidP="005350E8">
            <w:pPr>
              <w:rPr>
                <w:rFonts w:ascii="Times New Roman" w:hAnsi="Times New Roman" w:cs="Times New Roman"/>
                <w:sz w:val="24"/>
                <w:szCs w:val="24"/>
              </w:rPr>
            </w:pPr>
            <w:proofErr w:type="spellStart"/>
            <w:r w:rsidRPr="00814C51">
              <w:rPr>
                <w:rFonts w:ascii="Times New Roman" w:hAnsi="Times New Roman" w:cs="Times New Roman"/>
                <w:sz w:val="24"/>
                <w:szCs w:val="24"/>
              </w:rPr>
              <w:t>Barbu</w:t>
            </w:r>
            <w:proofErr w:type="spellEnd"/>
            <w:r w:rsidRPr="00814C51">
              <w:rPr>
                <w:rFonts w:ascii="Times New Roman" w:hAnsi="Times New Roman" w:cs="Times New Roman"/>
                <w:sz w:val="24"/>
                <w:szCs w:val="24"/>
              </w:rPr>
              <w:t xml:space="preserve"> et al. (2015) </w:t>
            </w:r>
          </w:p>
        </w:tc>
        <w:tc>
          <w:tcPr>
            <w:tcW w:w="342" w:type="pct"/>
            <w:shd w:val="clear" w:color="auto" w:fill="BDD6EE" w:themeFill="accent5" w:themeFillTint="66"/>
            <w:vAlign w:val="center"/>
            <w:hideMark/>
          </w:tcPr>
          <w:p w14:paraId="12E836B5" w14:textId="6D49FE66" w:rsidR="005350E8" w:rsidRPr="00814C51" w:rsidRDefault="00C94647"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vAlign w:val="center"/>
            <w:hideMark/>
          </w:tcPr>
          <w:p w14:paraId="71878588"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vAlign w:val="center"/>
            <w:hideMark/>
          </w:tcPr>
          <w:p w14:paraId="771AB30E"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vAlign w:val="center"/>
            <w:hideMark/>
          </w:tcPr>
          <w:p w14:paraId="56541BA4"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vAlign w:val="center"/>
            <w:hideMark/>
          </w:tcPr>
          <w:p w14:paraId="73B550A5"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vAlign w:val="center"/>
            <w:hideMark/>
          </w:tcPr>
          <w:p w14:paraId="0DE3C3A1"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20" w:type="pct"/>
            <w:shd w:val="clear" w:color="auto" w:fill="BDD6EE" w:themeFill="accent5" w:themeFillTint="66"/>
            <w:vAlign w:val="center"/>
            <w:hideMark/>
          </w:tcPr>
          <w:p w14:paraId="75D4AA5D" w14:textId="77777777" w:rsidR="005350E8" w:rsidRPr="00814C51" w:rsidRDefault="005350E8" w:rsidP="005350E8">
            <w:pPr>
              <w:jc w:val="center"/>
              <w:rPr>
                <w:rFonts w:ascii="Times New Roman" w:hAnsi="Times New Roman" w:cs="Times New Roman"/>
                <w:sz w:val="24"/>
                <w:szCs w:val="24"/>
              </w:rPr>
            </w:pPr>
          </w:p>
        </w:tc>
        <w:tc>
          <w:tcPr>
            <w:tcW w:w="271" w:type="pct"/>
            <w:shd w:val="clear" w:color="auto" w:fill="C5E0B3" w:themeFill="accent6" w:themeFillTint="66"/>
            <w:vAlign w:val="center"/>
            <w:hideMark/>
          </w:tcPr>
          <w:p w14:paraId="7A98986F"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C5E0B3" w:themeFill="accent6" w:themeFillTint="66"/>
            <w:vAlign w:val="center"/>
            <w:hideMark/>
          </w:tcPr>
          <w:p w14:paraId="4B1CD4D5"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8" w:type="pct"/>
            <w:shd w:val="clear" w:color="auto" w:fill="C5E0B3" w:themeFill="accent6" w:themeFillTint="66"/>
            <w:vAlign w:val="center"/>
            <w:hideMark/>
          </w:tcPr>
          <w:p w14:paraId="2C1DC89F"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9" w:type="pct"/>
            <w:shd w:val="clear" w:color="auto" w:fill="C5E0B3" w:themeFill="accent6" w:themeFillTint="66"/>
            <w:vAlign w:val="center"/>
            <w:hideMark/>
          </w:tcPr>
          <w:p w14:paraId="0DA63C0E" w14:textId="77777777" w:rsidR="005350E8" w:rsidRPr="00814C51" w:rsidRDefault="005350E8" w:rsidP="005350E8">
            <w:pPr>
              <w:jc w:val="center"/>
              <w:rPr>
                <w:rFonts w:ascii="Times New Roman" w:hAnsi="Times New Roman" w:cs="Times New Roman"/>
                <w:sz w:val="24"/>
                <w:szCs w:val="24"/>
              </w:rPr>
            </w:pPr>
          </w:p>
        </w:tc>
        <w:tc>
          <w:tcPr>
            <w:tcW w:w="225" w:type="pct"/>
            <w:shd w:val="clear" w:color="auto" w:fill="C5E0B3" w:themeFill="accent6" w:themeFillTint="66"/>
            <w:vAlign w:val="center"/>
            <w:hideMark/>
          </w:tcPr>
          <w:p w14:paraId="3D5A92B8"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7" w:type="pct"/>
            <w:shd w:val="clear" w:color="auto" w:fill="FA9AE1"/>
            <w:vAlign w:val="center"/>
            <w:hideMark/>
          </w:tcPr>
          <w:p w14:paraId="56BB6812"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51" w:type="pct"/>
            <w:shd w:val="clear" w:color="auto" w:fill="FA9AE1"/>
            <w:vAlign w:val="center"/>
            <w:hideMark/>
          </w:tcPr>
          <w:p w14:paraId="6E946276" w14:textId="77777777" w:rsidR="005350E8" w:rsidRPr="00814C51" w:rsidRDefault="005350E8" w:rsidP="005350E8">
            <w:pPr>
              <w:jc w:val="center"/>
              <w:rPr>
                <w:rFonts w:ascii="Times New Roman" w:hAnsi="Times New Roman" w:cs="Times New Roman"/>
                <w:sz w:val="24"/>
                <w:szCs w:val="24"/>
              </w:rPr>
            </w:pPr>
          </w:p>
        </w:tc>
        <w:tc>
          <w:tcPr>
            <w:tcW w:w="246" w:type="pct"/>
            <w:shd w:val="clear" w:color="auto" w:fill="FFC000"/>
            <w:vAlign w:val="center"/>
            <w:hideMark/>
          </w:tcPr>
          <w:p w14:paraId="4D924699"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8" w:type="pct"/>
            <w:shd w:val="clear" w:color="auto" w:fill="FFC000"/>
            <w:vAlign w:val="center"/>
            <w:hideMark/>
          </w:tcPr>
          <w:p w14:paraId="7FAB2DA0" w14:textId="77777777" w:rsidR="005350E8" w:rsidRPr="00814C51" w:rsidRDefault="005350E8" w:rsidP="005350E8">
            <w:pPr>
              <w:jc w:val="center"/>
              <w:rPr>
                <w:rFonts w:ascii="Times New Roman" w:hAnsi="Times New Roman" w:cs="Times New Roman"/>
                <w:sz w:val="24"/>
                <w:szCs w:val="24"/>
              </w:rPr>
            </w:pPr>
          </w:p>
        </w:tc>
        <w:tc>
          <w:tcPr>
            <w:tcW w:w="248" w:type="pct"/>
            <w:shd w:val="clear" w:color="auto" w:fill="FFC000"/>
            <w:vAlign w:val="center"/>
            <w:hideMark/>
          </w:tcPr>
          <w:p w14:paraId="65024F5B"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FFC000"/>
            <w:vAlign w:val="center"/>
            <w:hideMark/>
          </w:tcPr>
          <w:p w14:paraId="24AB3632" w14:textId="77777777" w:rsidR="005350E8" w:rsidRPr="00814C51" w:rsidRDefault="005350E8" w:rsidP="005350E8">
            <w:pPr>
              <w:jc w:val="center"/>
              <w:rPr>
                <w:rFonts w:ascii="Times New Roman" w:hAnsi="Times New Roman" w:cs="Times New Roman"/>
                <w:sz w:val="24"/>
                <w:szCs w:val="24"/>
              </w:rPr>
            </w:pPr>
          </w:p>
        </w:tc>
      </w:tr>
      <w:tr w:rsidR="005350E8" w:rsidRPr="00814C51" w14:paraId="34745CCA" w14:textId="77777777" w:rsidTr="005350E8">
        <w:trPr>
          <w:trHeight w:val="221"/>
        </w:trPr>
        <w:tc>
          <w:tcPr>
            <w:tcW w:w="775" w:type="pct"/>
            <w:hideMark/>
          </w:tcPr>
          <w:p w14:paraId="6C4EB546"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Brock et al. (2009)</w:t>
            </w:r>
          </w:p>
        </w:tc>
        <w:tc>
          <w:tcPr>
            <w:tcW w:w="342" w:type="pct"/>
            <w:shd w:val="clear" w:color="auto" w:fill="BDD6EE" w:themeFill="accent5" w:themeFillTint="66"/>
            <w:vAlign w:val="center"/>
            <w:hideMark/>
          </w:tcPr>
          <w:p w14:paraId="228D2C20" w14:textId="15A70D32" w:rsidR="005350E8" w:rsidRPr="00814C51" w:rsidRDefault="00C94647"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1CE29E78"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3CE62913"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64C2A2AE"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19E7D2D1"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6D8F5B16" w14:textId="77777777" w:rsidR="005350E8" w:rsidRPr="00814C51" w:rsidRDefault="005350E8" w:rsidP="005350E8">
            <w:pPr>
              <w:jc w:val="center"/>
              <w:rPr>
                <w:rFonts w:ascii="Times New Roman" w:hAnsi="Times New Roman" w:cs="Times New Roman"/>
                <w:sz w:val="24"/>
                <w:szCs w:val="24"/>
              </w:rPr>
            </w:pPr>
          </w:p>
        </w:tc>
        <w:tc>
          <w:tcPr>
            <w:tcW w:w="220" w:type="pct"/>
            <w:shd w:val="clear" w:color="auto" w:fill="BDD6EE" w:themeFill="accent5" w:themeFillTint="66"/>
            <w:noWrap/>
            <w:vAlign w:val="center"/>
            <w:hideMark/>
          </w:tcPr>
          <w:p w14:paraId="2FA65FEB"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71" w:type="pct"/>
            <w:shd w:val="clear" w:color="auto" w:fill="C5E0B3" w:themeFill="accent6" w:themeFillTint="66"/>
            <w:noWrap/>
            <w:vAlign w:val="center"/>
            <w:hideMark/>
          </w:tcPr>
          <w:p w14:paraId="1CBA76D7"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C5E0B3" w:themeFill="accent6" w:themeFillTint="66"/>
            <w:noWrap/>
            <w:vAlign w:val="center"/>
            <w:hideMark/>
          </w:tcPr>
          <w:p w14:paraId="386DDFFC" w14:textId="77777777" w:rsidR="005350E8" w:rsidRPr="00814C51" w:rsidRDefault="005350E8" w:rsidP="005350E8">
            <w:pPr>
              <w:jc w:val="center"/>
              <w:rPr>
                <w:rFonts w:ascii="Times New Roman" w:hAnsi="Times New Roman" w:cs="Times New Roman"/>
                <w:sz w:val="24"/>
                <w:szCs w:val="24"/>
              </w:rPr>
            </w:pPr>
          </w:p>
        </w:tc>
        <w:tc>
          <w:tcPr>
            <w:tcW w:w="218" w:type="pct"/>
            <w:shd w:val="clear" w:color="auto" w:fill="C5E0B3" w:themeFill="accent6" w:themeFillTint="66"/>
            <w:noWrap/>
            <w:vAlign w:val="center"/>
            <w:hideMark/>
          </w:tcPr>
          <w:p w14:paraId="6A36A421" w14:textId="77777777" w:rsidR="005350E8" w:rsidRPr="00814C51" w:rsidRDefault="005350E8" w:rsidP="005350E8">
            <w:pPr>
              <w:jc w:val="center"/>
              <w:rPr>
                <w:rFonts w:ascii="Times New Roman" w:hAnsi="Times New Roman" w:cs="Times New Roman"/>
                <w:sz w:val="24"/>
                <w:szCs w:val="24"/>
              </w:rPr>
            </w:pPr>
          </w:p>
        </w:tc>
        <w:tc>
          <w:tcPr>
            <w:tcW w:w="219" w:type="pct"/>
            <w:shd w:val="clear" w:color="auto" w:fill="C5E0B3" w:themeFill="accent6" w:themeFillTint="66"/>
            <w:noWrap/>
            <w:vAlign w:val="center"/>
            <w:hideMark/>
          </w:tcPr>
          <w:p w14:paraId="4D43812B" w14:textId="77777777" w:rsidR="005350E8" w:rsidRPr="00814C51" w:rsidRDefault="005350E8" w:rsidP="005350E8">
            <w:pPr>
              <w:jc w:val="center"/>
              <w:rPr>
                <w:rFonts w:ascii="Times New Roman" w:hAnsi="Times New Roman" w:cs="Times New Roman"/>
                <w:sz w:val="24"/>
                <w:szCs w:val="24"/>
              </w:rPr>
            </w:pPr>
          </w:p>
        </w:tc>
        <w:tc>
          <w:tcPr>
            <w:tcW w:w="225" w:type="pct"/>
            <w:shd w:val="clear" w:color="auto" w:fill="C5E0B3" w:themeFill="accent6" w:themeFillTint="66"/>
            <w:noWrap/>
            <w:vAlign w:val="center"/>
            <w:hideMark/>
          </w:tcPr>
          <w:p w14:paraId="31BF4023" w14:textId="77777777" w:rsidR="005350E8" w:rsidRPr="00814C51" w:rsidRDefault="005350E8" w:rsidP="005350E8">
            <w:pPr>
              <w:jc w:val="center"/>
              <w:rPr>
                <w:rFonts w:ascii="Times New Roman" w:hAnsi="Times New Roman" w:cs="Times New Roman"/>
                <w:sz w:val="24"/>
                <w:szCs w:val="24"/>
              </w:rPr>
            </w:pPr>
          </w:p>
        </w:tc>
        <w:tc>
          <w:tcPr>
            <w:tcW w:w="247" w:type="pct"/>
            <w:shd w:val="clear" w:color="auto" w:fill="FA9AE1"/>
            <w:noWrap/>
            <w:vAlign w:val="center"/>
            <w:hideMark/>
          </w:tcPr>
          <w:p w14:paraId="110C5FAD" w14:textId="77777777" w:rsidR="005350E8" w:rsidRPr="00814C51" w:rsidRDefault="005350E8" w:rsidP="005350E8">
            <w:pPr>
              <w:jc w:val="center"/>
              <w:rPr>
                <w:rFonts w:ascii="Times New Roman" w:hAnsi="Times New Roman" w:cs="Times New Roman"/>
                <w:sz w:val="24"/>
                <w:szCs w:val="24"/>
              </w:rPr>
            </w:pPr>
          </w:p>
        </w:tc>
        <w:tc>
          <w:tcPr>
            <w:tcW w:w="251" w:type="pct"/>
            <w:shd w:val="clear" w:color="auto" w:fill="FA9AE1"/>
            <w:noWrap/>
            <w:vAlign w:val="center"/>
            <w:hideMark/>
          </w:tcPr>
          <w:p w14:paraId="22BF24F9"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6" w:type="pct"/>
            <w:shd w:val="clear" w:color="auto" w:fill="FFC000"/>
            <w:noWrap/>
            <w:vAlign w:val="center"/>
            <w:hideMark/>
          </w:tcPr>
          <w:p w14:paraId="19FA35FB"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8" w:type="pct"/>
            <w:shd w:val="clear" w:color="auto" w:fill="FFC000"/>
            <w:vAlign w:val="center"/>
            <w:hideMark/>
          </w:tcPr>
          <w:p w14:paraId="2EF5A9A3"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8" w:type="pct"/>
            <w:shd w:val="clear" w:color="auto" w:fill="FFC000"/>
            <w:noWrap/>
            <w:vAlign w:val="center"/>
            <w:hideMark/>
          </w:tcPr>
          <w:p w14:paraId="2179A8AF"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FFC000"/>
            <w:noWrap/>
            <w:vAlign w:val="center"/>
            <w:hideMark/>
          </w:tcPr>
          <w:p w14:paraId="53490C94" w14:textId="77777777" w:rsidR="005350E8" w:rsidRPr="00814C51" w:rsidRDefault="005350E8" w:rsidP="005350E8">
            <w:pPr>
              <w:jc w:val="center"/>
              <w:rPr>
                <w:rFonts w:ascii="Times New Roman" w:hAnsi="Times New Roman" w:cs="Times New Roman"/>
                <w:sz w:val="24"/>
                <w:szCs w:val="24"/>
              </w:rPr>
            </w:pPr>
          </w:p>
        </w:tc>
      </w:tr>
      <w:tr w:rsidR="005350E8" w:rsidRPr="00814C51" w14:paraId="06F01BE8" w14:textId="77777777" w:rsidTr="005350E8">
        <w:trPr>
          <w:trHeight w:val="246"/>
        </w:trPr>
        <w:tc>
          <w:tcPr>
            <w:tcW w:w="775" w:type="pct"/>
            <w:hideMark/>
          </w:tcPr>
          <w:p w14:paraId="6F186EBF"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Cerda</w:t>
            </w:r>
            <w:r>
              <w:rPr>
                <w:rFonts w:ascii="Times New Roman" w:hAnsi="Times New Roman" w:cs="Times New Roman"/>
                <w:sz w:val="24"/>
                <w:szCs w:val="24"/>
              </w:rPr>
              <w:t xml:space="preserve"> et al. (2014)</w:t>
            </w:r>
          </w:p>
        </w:tc>
        <w:tc>
          <w:tcPr>
            <w:tcW w:w="342" w:type="pct"/>
            <w:shd w:val="clear" w:color="auto" w:fill="BDD6EE" w:themeFill="accent5" w:themeFillTint="66"/>
            <w:vAlign w:val="center"/>
            <w:hideMark/>
          </w:tcPr>
          <w:p w14:paraId="175D8C87" w14:textId="7B2CA899" w:rsidR="005350E8" w:rsidRPr="00814C51" w:rsidRDefault="00C94647"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7AE4C353"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35262E68"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14CF0AF3"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65E3C479"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6DF538A3" w14:textId="77777777" w:rsidR="005350E8" w:rsidRPr="00814C51" w:rsidRDefault="005350E8" w:rsidP="005350E8">
            <w:pPr>
              <w:jc w:val="center"/>
              <w:rPr>
                <w:rFonts w:ascii="Times New Roman" w:hAnsi="Times New Roman" w:cs="Times New Roman"/>
                <w:sz w:val="24"/>
                <w:szCs w:val="24"/>
              </w:rPr>
            </w:pPr>
          </w:p>
        </w:tc>
        <w:tc>
          <w:tcPr>
            <w:tcW w:w="220" w:type="pct"/>
            <w:shd w:val="clear" w:color="auto" w:fill="BDD6EE" w:themeFill="accent5" w:themeFillTint="66"/>
            <w:noWrap/>
            <w:vAlign w:val="center"/>
            <w:hideMark/>
          </w:tcPr>
          <w:p w14:paraId="738AA785" w14:textId="77777777" w:rsidR="005350E8" w:rsidRPr="00814C51" w:rsidRDefault="005350E8" w:rsidP="005350E8">
            <w:pPr>
              <w:jc w:val="center"/>
              <w:rPr>
                <w:rFonts w:ascii="Times New Roman" w:hAnsi="Times New Roman" w:cs="Times New Roman"/>
                <w:sz w:val="24"/>
                <w:szCs w:val="24"/>
              </w:rPr>
            </w:pPr>
          </w:p>
        </w:tc>
        <w:tc>
          <w:tcPr>
            <w:tcW w:w="271" w:type="pct"/>
            <w:shd w:val="clear" w:color="auto" w:fill="C5E0B3" w:themeFill="accent6" w:themeFillTint="66"/>
            <w:noWrap/>
            <w:vAlign w:val="center"/>
            <w:hideMark/>
          </w:tcPr>
          <w:p w14:paraId="29497F25"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02" w:type="pct"/>
            <w:shd w:val="clear" w:color="auto" w:fill="C5E0B3" w:themeFill="accent6" w:themeFillTint="66"/>
            <w:noWrap/>
            <w:vAlign w:val="center"/>
            <w:hideMark/>
          </w:tcPr>
          <w:p w14:paraId="039F8297" w14:textId="77777777" w:rsidR="005350E8" w:rsidRPr="00814C51" w:rsidRDefault="005350E8" w:rsidP="005350E8">
            <w:pPr>
              <w:jc w:val="center"/>
              <w:rPr>
                <w:rFonts w:ascii="Times New Roman" w:hAnsi="Times New Roman" w:cs="Times New Roman"/>
                <w:sz w:val="24"/>
                <w:szCs w:val="24"/>
              </w:rPr>
            </w:pPr>
          </w:p>
        </w:tc>
        <w:tc>
          <w:tcPr>
            <w:tcW w:w="218" w:type="pct"/>
            <w:shd w:val="clear" w:color="auto" w:fill="C5E0B3" w:themeFill="accent6" w:themeFillTint="66"/>
            <w:noWrap/>
            <w:vAlign w:val="center"/>
            <w:hideMark/>
          </w:tcPr>
          <w:p w14:paraId="19618DA9"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9" w:type="pct"/>
            <w:shd w:val="clear" w:color="auto" w:fill="C5E0B3" w:themeFill="accent6" w:themeFillTint="66"/>
            <w:noWrap/>
            <w:vAlign w:val="center"/>
            <w:hideMark/>
          </w:tcPr>
          <w:p w14:paraId="4E8445B7" w14:textId="77777777" w:rsidR="005350E8" w:rsidRPr="00814C51" w:rsidRDefault="005350E8" w:rsidP="005350E8">
            <w:pPr>
              <w:jc w:val="center"/>
              <w:rPr>
                <w:rFonts w:ascii="Times New Roman" w:hAnsi="Times New Roman" w:cs="Times New Roman"/>
                <w:sz w:val="24"/>
                <w:szCs w:val="24"/>
              </w:rPr>
            </w:pPr>
          </w:p>
        </w:tc>
        <w:tc>
          <w:tcPr>
            <w:tcW w:w="225" w:type="pct"/>
            <w:shd w:val="clear" w:color="auto" w:fill="C5E0B3" w:themeFill="accent6" w:themeFillTint="66"/>
            <w:noWrap/>
            <w:vAlign w:val="center"/>
            <w:hideMark/>
          </w:tcPr>
          <w:p w14:paraId="43735599" w14:textId="77777777" w:rsidR="005350E8" w:rsidRPr="00814C51" w:rsidRDefault="005350E8" w:rsidP="005350E8">
            <w:pPr>
              <w:jc w:val="center"/>
              <w:rPr>
                <w:rFonts w:ascii="Times New Roman" w:hAnsi="Times New Roman" w:cs="Times New Roman"/>
                <w:sz w:val="24"/>
                <w:szCs w:val="24"/>
              </w:rPr>
            </w:pPr>
          </w:p>
        </w:tc>
        <w:tc>
          <w:tcPr>
            <w:tcW w:w="247" w:type="pct"/>
            <w:shd w:val="clear" w:color="auto" w:fill="FA9AE1"/>
            <w:noWrap/>
            <w:vAlign w:val="center"/>
            <w:hideMark/>
          </w:tcPr>
          <w:p w14:paraId="3AA79970" w14:textId="77777777" w:rsidR="005350E8" w:rsidRPr="00814C51" w:rsidRDefault="005350E8" w:rsidP="005350E8">
            <w:pPr>
              <w:jc w:val="center"/>
              <w:rPr>
                <w:rFonts w:ascii="Times New Roman" w:hAnsi="Times New Roman" w:cs="Times New Roman"/>
                <w:sz w:val="24"/>
                <w:szCs w:val="24"/>
              </w:rPr>
            </w:pPr>
          </w:p>
        </w:tc>
        <w:tc>
          <w:tcPr>
            <w:tcW w:w="251" w:type="pct"/>
            <w:shd w:val="clear" w:color="auto" w:fill="FA9AE1"/>
            <w:noWrap/>
            <w:vAlign w:val="center"/>
            <w:hideMark/>
          </w:tcPr>
          <w:p w14:paraId="4AB622C5"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6" w:type="pct"/>
            <w:shd w:val="clear" w:color="auto" w:fill="FFC000"/>
            <w:noWrap/>
            <w:vAlign w:val="center"/>
            <w:hideMark/>
          </w:tcPr>
          <w:p w14:paraId="4860CB8A" w14:textId="77777777" w:rsidR="005350E8" w:rsidRPr="00814C51" w:rsidRDefault="005350E8" w:rsidP="005350E8">
            <w:pPr>
              <w:jc w:val="center"/>
              <w:rPr>
                <w:rFonts w:ascii="Times New Roman" w:hAnsi="Times New Roman" w:cs="Times New Roman"/>
                <w:sz w:val="24"/>
                <w:szCs w:val="24"/>
              </w:rPr>
            </w:pPr>
          </w:p>
        </w:tc>
        <w:tc>
          <w:tcPr>
            <w:tcW w:w="248" w:type="pct"/>
            <w:shd w:val="clear" w:color="auto" w:fill="FFC000"/>
            <w:noWrap/>
            <w:vAlign w:val="center"/>
            <w:hideMark/>
          </w:tcPr>
          <w:p w14:paraId="446D3D28" w14:textId="77777777" w:rsidR="005350E8" w:rsidRPr="00814C51" w:rsidRDefault="005350E8" w:rsidP="005350E8">
            <w:pPr>
              <w:jc w:val="center"/>
              <w:rPr>
                <w:rFonts w:ascii="Times New Roman" w:hAnsi="Times New Roman" w:cs="Times New Roman"/>
                <w:sz w:val="24"/>
                <w:szCs w:val="24"/>
              </w:rPr>
            </w:pPr>
          </w:p>
        </w:tc>
        <w:tc>
          <w:tcPr>
            <w:tcW w:w="248" w:type="pct"/>
            <w:shd w:val="clear" w:color="auto" w:fill="FFC000"/>
            <w:noWrap/>
            <w:vAlign w:val="center"/>
            <w:hideMark/>
          </w:tcPr>
          <w:p w14:paraId="2DD00112"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FFC000"/>
            <w:noWrap/>
            <w:vAlign w:val="center"/>
            <w:hideMark/>
          </w:tcPr>
          <w:p w14:paraId="1FC5EBB4" w14:textId="77777777" w:rsidR="005350E8" w:rsidRPr="00814C51" w:rsidRDefault="005350E8" w:rsidP="005350E8">
            <w:pPr>
              <w:jc w:val="center"/>
              <w:rPr>
                <w:rFonts w:ascii="Times New Roman" w:hAnsi="Times New Roman" w:cs="Times New Roman"/>
                <w:sz w:val="24"/>
                <w:szCs w:val="24"/>
              </w:rPr>
            </w:pPr>
          </w:p>
        </w:tc>
      </w:tr>
      <w:tr w:rsidR="005350E8" w:rsidRPr="00814C51" w14:paraId="0C3FF4B8" w14:textId="77777777" w:rsidTr="005350E8">
        <w:trPr>
          <w:trHeight w:val="399"/>
        </w:trPr>
        <w:tc>
          <w:tcPr>
            <w:tcW w:w="775" w:type="pct"/>
            <w:hideMark/>
          </w:tcPr>
          <w:p w14:paraId="446B39A5"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xml:space="preserve">George &amp; Greenfield (2005) </w:t>
            </w:r>
          </w:p>
        </w:tc>
        <w:tc>
          <w:tcPr>
            <w:tcW w:w="342" w:type="pct"/>
            <w:shd w:val="clear" w:color="auto" w:fill="BDD6EE" w:themeFill="accent5" w:themeFillTint="66"/>
            <w:vAlign w:val="center"/>
            <w:hideMark/>
          </w:tcPr>
          <w:p w14:paraId="608F48C7" w14:textId="4FC93102" w:rsidR="005350E8" w:rsidRPr="00814C51" w:rsidRDefault="00C94647"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73E7F253"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244859E8"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06ADE796"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589A11D9"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29ABA00E" w14:textId="77777777" w:rsidR="005350E8" w:rsidRPr="00814C51" w:rsidRDefault="005350E8" w:rsidP="005350E8">
            <w:pPr>
              <w:jc w:val="center"/>
              <w:rPr>
                <w:rFonts w:ascii="Times New Roman" w:hAnsi="Times New Roman" w:cs="Times New Roman"/>
                <w:sz w:val="24"/>
                <w:szCs w:val="24"/>
              </w:rPr>
            </w:pPr>
          </w:p>
        </w:tc>
        <w:tc>
          <w:tcPr>
            <w:tcW w:w="220" w:type="pct"/>
            <w:shd w:val="clear" w:color="auto" w:fill="BDD6EE" w:themeFill="accent5" w:themeFillTint="66"/>
            <w:noWrap/>
            <w:vAlign w:val="center"/>
            <w:hideMark/>
          </w:tcPr>
          <w:p w14:paraId="3827F3FB" w14:textId="77777777" w:rsidR="005350E8" w:rsidRPr="00814C51" w:rsidRDefault="005350E8" w:rsidP="005350E8">
            <w:pPr>
              <w:jc w:val="center"/>
              <w:rPr>
                <w:rFonts w:ascii="Times New Roman" w:hAnsi="Times New Roman" w:cs="Times New Roman"/>
                <w:sz w:val="24"/>
                <w:szCs w:val="24"/>
              </w:rPr>
            </w:pPr>
          </w:p>
        </w:tc>
        <w:tc>
          <w:tcPr>
            <w:tcW w:w="271" w:type="pct"/>
            <w:shd w:val="clear" w:color="auto" w:fill="C5E0B3" w:themeFill="accent6" w:themeFillTint="66"/>
            <w:noWrap/>
            <w:vAlign w:val="center"/>
            <w:hideMark/>
          </w:tcPr>
          <w:p w14:paraId="6FC7B52E"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C5E0B3" w:themeFill="accent6" w:themeFillTint="66"/>
            <w:noWrap/>
            <w:vAlign w:val="center"/>
            <w:hideMark/>
          </w:tcPr>
          <w:p w14:paraId="5B7E8D1C" w14:textId="77777777" w:rsidR="005350E8" w:rsidRPr="00814C51" w:rsidRDefault="005350E8" w:rsidP="005350E8">
            <w:pPr>
              <w:jc w:val="center"/>
              <w:rPr>
                <w:rFonts w:ascii="Times New Roman" w:hAnsi="Times New Roman" w:cs="Times New Roman"/>
                <w:sz w:val="24"/>
                <w:szCs w:val="24"/>
              </w:rPr>
            </w:pPr>
          </w:p>
        </w:tc>
        <w:tc>
          <w:tcPr>
            <w:tcW w:w="218" w:type="pct"/>
            <w:shd w:val="clear" w:color="auto" w:fill="C5E0B3" w:themeFill="accent6" w:themeFillTint="66"/>
            <w:noWrap/>
            <w:vAlign w:val="center"/>
            <w:hideMark/>
          </w:tcPr>
          <w:p w14:paraId="20F85E7D"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9" w:type="pct"/>
            <w:shd w:val="clear" w:color="auto" w:fill="C5E0B3" w:themeFill="accent6" w:themeFillTint="66"/>
            <w:noWrap/>
            <w:vAlign w:val="center"/>
            <w:hideMark/>
          </w:tcPr>
          <w:p w14:paraId="734DA9CA"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25" w:type="pct"/>
            <w:shd w:val="clear" w:color="auto" w:fill="C5E0B3" w:themeFill="accent6" w:themeFillTint="66"/>
            <w:noWrap/>
            <w:vAlign w:val="center"/>
            <w:hideMark/>
          </w:tcPr>
          <w:p w14:paraId="0577960F"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7" w:type="pct"/>
            <w:shd w:val="clear" w:color="auto" w:fill="FA9AE1"/>
            <w:noWrap/>
            <w:vAlign w:val="center"/>
            <w:hideMark/>
          </w:tcPr>
          <w:p w14:paraId="57C471AC" w14:textId="77777777" w:rsidR="005350E8" w:rsidRPr="00814C51" w:rsidRDefault="005350E8" w:rsidP="005350E8">
            <w:pPr>
              <w:jc w:val="center"/>
              <w:rPr>
                <w:rFonts w:ascii="Times New Roman" w:hAnsi="Times New Roman" w:cs="Times New Roman"/>
                <w:sz w:val="24"/>
                <w:szCs w:val="24"/>
              </w:rPr>
            </w:pPr>
          </w:p>
        </w:tc>
        <w:tc>
          <w:tcPr>
            <w:tcW w:w="251" w:type="pct"/>
            <w:shd w:val="clear" w:color="auto" w:fill="FA9AE1"/>
            <w:noWrap/>
            <w:vAlign w:val="center"/>
            <w:hideMark/>
          </w:tcPr>
          <w:p w14:paraId="2649C47A" w14:textId="77777777" w:rsidR="005350E8" w:rsidRPr="00814C51" w:rsidRDefault="005350E8" w:rsidP="005350E8">
            <w:pPr>
              <w:jc w:val="center"/>
              <w:rPr>
                <w:rFonts w:ascii="Times New Roman" w:hAnsi="Times New Roman" w:cs="Times New Roman"/>
                <w:sz w:val="24"/>
                <w:szCs w:val="24"/>
              </w:rPr>
            </w:pPr>
          </w:p>
        </w:tc>
        <w:tc>
          <w:tcPr>
            <w:tcW w:w="246" w:type="pct"/>
            <w:shd w:val="clear" w:color="auto" w:fill="FFC000"/>
            <w:noWrap/>
            <w:vAlign w:val="center"/>
            <w:hideMark/>
          </w:tcPr>
          <w:p w14:paraId="770352DC" w14:textId="77777777" w:rsidR="005350E8" w:rsidRPr="00814C51" w:rsidRDefault="005350E8" w:rsidP="005350E8">
            <w:pPr>
              <w:jc w:val="center"/>
              <w:rPr>
                <w:rFonts w:ascii="Times New Roman" w:hAnsi="Times New Roman" w:cs="Times New Roman"/>
                <w:sz w:val="24"/>
                <w:szCs w:val="24"/>
              </w:rPr>
            </w:pPr>
          </w:p>
        </w:tc>
        <w:tc>
          <w:tcPr>
            <w:tcW w:w="248" w:type="pct"/>
            <w:shd w:val="clear" w:color="auto" w:fill="FFC000"/>
            <w:noWrap/>
            <w:vAlign w:val="center"/>
            <w:hideMark/>
          </w:tcPr>
          <w:p w14:paraId="558EBA41" w14:textId="77777777" w:rsidR="005350E8" w:rsidRPr="00814C51" w:rsidRDefault="005350E8" w:rsidP="005350E8">
            <w:pPr>
              <w:jc w:val="center"/>
              <w:rPr>
                <w:rFonts w:ascii="Times New Roman" w:hAnsi="Times New Roman" w:cs="Times New Roman"/>
                <w:sz w:val="24"/>
                <w:szCs w:val="24"/>
              </w:rPr>
            </w:pPr>
          </w:p>
        </w:tc>
        <w:tc>
          <w:tcPr>
            <w:tcW w:w="248" w:type="pct"/>
            <w:shd w:val="clear" w:color="auto" w:fill="FFC000"/>
            <w:noWrap/>
            <w:vAlign w:val="center"/>
            <w:hideMark/>
          </w:tcPr>
          <w:p w14:paraId="5F8C4506"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02" w:type="pct"/>
            <w:shd w:val="clear" w:color="auto" w:fill="FFC000"/>
            <w:noWrap/>
            <w:vAlign w:val="center"/>
            <w:hideMark/>
          </w:tcPr>
          <w:p w14:paraId="2340E939" w14:textId="77777777" w:rsidR="005350E8" w:rsidRPr="00814C51" w:rsidRDefault="005350E8" w:rsidP="005350E8">
            <w:pPr>
              <w:jc w:val="center"/>
              <w:rPr>
                <w:rFonts w:ascii="Times New Roman" w:hAnsi="Times New Roman" w:cs="Times New Roman"/>
                <w:sz w:val="24"/>
                <w:szCs w:val="24"/>
              </w:rPr>
            </w:pPr>
          </w:p>
        </w:tc>
      </w:tr>
      <w:tr w:rsidR="005350E8" w:rsidRPr="00814C51" w14:paraId="35E0EC94" w14:textId="77777777" w:rsidTr="005350E8">
        <w:trPr>
          <w:trHeight w:val="287"/>
        </w:trPr>
        <w:tc>
          <w:tcPr>
            <w:tcW w:w="775" w:type="pct"/>
            <w:hideMark/>
          </w:tcPr>
          <w:p w14:paraId="0C9BF57D"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xml:space="preserve">McDermott et al. (2014) </w:t>
            </w:r>
          </w:p>
        </w:tc>
        <w:tc>
          <w:tcPr>
            <w:tcW w:w="342" w:type="pct"/>
            <w:shd w:val="clear" w:color="auto" w:fill="BDD6EE" w:themeFill="accent5" w:themeFillTint="66"/>
            <w:vAlign w:val="center"/>
            <w:hideMark/>
          </w:tcPr>
          <w:p w14:paraId="56256A31" w14:textId="21164350" w:rsidR="005350E8" w:rsidRPr="00814C51" w:rsidRDefault="00C94647"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7467B2F6"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49498D6A"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25C2F3B3"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430BEBD9"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3B63CB29"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20" w:type="pct"/>
            <w:shd w:val="clear" w:color="auto" w:fill="BDD6EE" w:themeFill="accent5" w:themeFillTint="66"/>
            <w:noWrap/>
            <w:vAlign w:val="center"/>
            <w:hideMark/>
          </w:tcPr>
          <w:p w14:paraId="7E75A9E0"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71" w:type="pct"/>
            <w:shd w:val="clear" w:color="auto" w:fill="C5E0B3" w:themeFill="accent6" w:themeFillTint="66"/>
            <w:noWrap/>
            <w:vAlign w:val="center"/>
            <w:hideMark/>
          </w:tcPr>
          <w:p w14:paraId="0302E93E"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C5E0B3" w:themeFill="accent6" w:themeFillTint="66"/>
            <w:noWrap/>
            <w:vAlign w:val="center"/>
            <w:hideMark/>
          </w:tcPr>
          <w:p w14:paraId="21BAB489" w14:textId="77777777" w:rsidR="005350E8" w:rsidRPr="00814C51" w:rsidRDefault="005350E8" w:rsidP="005350E8">
            <w:pPr>
              <w:jc w:val="center"/>
              <w:rPr>
                <w:rFonts w:ascii="Times New Roman" w:hAnsi="Times New Roman" w:cs="Times New Roman"/>
                <w:sz w:val="24"/>
                <w:szCs w:val="24"/>
              </w:rPr>
            </w:pPr>
          </w:p>
        </w:tc>
        <w:tc>
          <w:tcPr>
            <w:tcW w:w="218" w:type="pct"/>
            <w:shd w:val="clear" w:color="auto" w:fill="C5E0B3" w:themeFill="accent6" w:themeFillTint="66"/>
            <w:noWrap/>
            <w:vAlign w:val="center"/>
            <w:hideMark/>
          </w:tcPr>
          <w:p w14:paraId="12ACAA6A"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9" w:type="pct"/>
            <w:shd w:val="clear" w:color="auto" w:fill="C5E0B3" w:themeFill="accent6" w:themeFillTint="66"/>
            <w:noWrap/>
            <w:vAlign w:val="center"/>
            <w:hideMark/>
          </w:tcPr>
          <w:p w14:paraId="0512694C" w14:textId="77777777" w:rsidR="005350E8" w:rsidRPr="00814C51" w:rsidRDefault="005350E8" w:rsidP="005350E8">
            <w:pPr>
              <w:jc w:val="center"/>
              <w:rPr>
                <w:rFonts w:ascii="Times New Roman" w:hAnsi="Times New Roman" w:cs="Times New Roman"/>
                <w:sz w:val="24"/>
                <w:szCs w:val="24"/>
              </w:rPr>
            </w:pPr>
          </w:p>
        </w:tc>
        <w:tc>
          <w:tcPr>
            <w:tcW w:w="225" w:type="pct"/>
            <w:shd w:val="clear" w:color="auto" w:fill="C5E0B3" w:themeFill="accent6" w:themeFillTint="66"/>
            <w:noWrap/>
            <w:vAlign w:val="center"/>
            <w:hideMark/>
          </w:tcPr>
          <w:p w14:paraId="2E5E3259"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7" w:type="pct"/>
            <w:shd w:val="clear" w:color="auto" w:fill="FA9AE1"/>
            <w:noWrap/>
            <w:vAlign w:val="center"/>
            <w:hideMark/>
          </w:tcPr>
          <w:p w14:paraId="6EBE3A79"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51" w:type="pct"/>
            <w:shd w:val="clear" w:color="auto" w:fill="FA9AE1"/>
            <w:noWrap/>
            <w:vAlign w:val="center"/>
            <w:hideMark/>
          </w:tcPr>
          <w:p w14:paraId="12D6325D" w14:textId="77777777" w:rsidR="005350E8" w:rsidRPr="00814C51" w:rsidRDefault="005350E8" w:rsidP="005350E8">
            <w:pPr>
              <w:jc w:val="center"/>
              <w:rPr>
                <w:rFonts w:ascii="Times New Roman" w:hAnsi="Times New Roman" w:cs="Times New Roman"/>
                <w:sz w:val="24"/>
                <w:szCs w:val="24"/>
              </w:rPr>
            </w:pPr>
          </w:p>
        </w:tc>
        <w:tc>
          <w:tcPr>
            <w:tcW w:w="246" w:type="pct"/>
            <w:shd w:val="clear" w:color="auto" w:fill="FFC000"/>
            <w:noWrap/>
            <w:vAlign w:val="center"/>
            <w:hideMark/>
          </w:tcPr>
          <w:p w14:paraId="3E56DDBF" w14:textId="77777777" w:rsidR="005350E8" w:rsidRPr="00814C51" w:rsidRDefault="005350E8" w:rsidP="005350E8">
            <w:pPr>
              <w:jc w:val="center"/>
              <w:rPr>
                <w:rFonts w:ascii="Times New Roman" w:hAnsi="Times New Roman" w:cs="Times New Roman"/>
                <w:sz w:val="24"/>
                <w:szCs w:val="24"/>
              </w:rPr>
            </w:pPr>
          </w:p>
        </w:tc>
        <w:tc>
          <w:tcPr>
            <w:tcW w:w="248" w:type="pct"/>
            <w:shd w:val="clear" w:color="auto" w:fill="FFC000"/>
            <w:noWrap/>
            <w:vAlign w:val="center"/>
            <w:hideMark/>
          </w:tcPr>
          <w:p w14:paraId="2585B890"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8" w:type="pct"/>
            <w:shd w:val="clear" w:color="auto" w:fill="FFC000"/>
            <w:noWrap/>
            <w:vAlign w:val="center"/>
            <w:hideMark/>
          </w:tcPr>
          <w:p w14:paraId="16062D6E"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FFC000"/>
            <w:noWrap/>
            <w:vAlign w:val="center"/>
            <w:hideMark/>
          </w:tcPr>
          <w:p w14:paraId="06098285" w14:textId="77777777" w:rsidR="005350E8" w:rsidRPr="00814C51" w:rsidRDefault="005350E8" w:rsidP="005350E8">
            <w:pPr>
              <w:jc w:val="center"/>
              <w:rPr>
                <w:rFonts w:ascii="Times New Roman" w:hAnsi="Times New Roman" w:cs="Times New Roman"/>
                <w:sz w:val="24"/>
                <w:szCs w:val="24"/>
              </w:rPr>
            </w:pPr>
          </w:p>
        </w:tc>
      </w:tr>
      <w:tr w:rsidR="005350E8" w:rsidRPr="00814C51" w14:paraId="3264D088" w14:textId="77777777" w:rsidTr="005350E8">
        <w:trPr>
          <w:trHeight w:val="287"/>
        </w:trPr>
        <w:tc>
          <w:tcPr>
            <w:tcW w:w="775" w:type="pct"/>
            <w:hideMark/>
          </w:tcPr>
          <w:p w14:paraId="10E0AF74"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xml:space="preserve">Nesbitt et al. (2015) </w:t>
            </w:r>
          </w:p>
        </w:tc>
        <w:tc>
          <w:tcPr>
            <w:tcW w:w="342" w:type="pct"/>
            <w:shd w:val="clear" w:color="auto" w:fill="BDD6EE" w:themeFill="accent5" w:themeFillTint="66"/>
            <w:vAlign w:val="center"/>
            <w:hideMark/>
          </w:tcPr>
          <w:p w14:paraId="16B7A5C6" w14:textId="0807DE52" w:rsidR="005350E8" w:rsidRPr="00814C51" w:rsidRDefault="00C94647"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1E5F4BFD"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48F2DF15"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28650EFC"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47FC91AB"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3F6D28D5" w14:textId="77777777" w:rsidR="005350E8" w:rsidRPr="00814C51" w:rsidRDefault="005350E8" w:rsidP="005350E8">
            <w:pPr>
              <w:jc w:val="center"/>
              <w:rPr>
                <w:rFonts w:ascii="Times New Roman" w:hAnsi="Times New Roman" w:cs="Times New Roman"/>
                <w:sz w:val="24"/>
                <w:szCs w:val="24"/>
              </w:rPr>
            </w:pPr>
          </w:p>
        </w:tc>
        <w:tc>
          <w:tcPr>
            <w:tcW w:w="220" w:type="pct"/>
            <w:shd w:val="clear" w:color="auto" w:fill="BDD6EE" w:themeFill="accent5" w:themeFillTint="66"/>
            <w:noWrap/>
            <w:vAlign w:val="center"/>
            <w:hideMark/>
          </w:tcPr>
          <w:p w14:paraId="59C459CE" w14:textId="77777777" w:rsidR="005350E8" w:rsidRPr="00814C51" w:rsidRDefault="005350E8" w:rsidP="005350E8">
            <w:pPr>
              <w:jc w:val="center"/>
              <w:rPr>
                <w:rFonts w:ascii="Times New Roman" w:hAnsi="Times New Roman" w:cs="Times New Roman"/>
                <w:sz w:val="24"/>
                <w:szCs w:val="24"/>
              </w:rPr>
            </w:pPr>
          </w:p>
        </w:tc>
        <w:tc>
          <w:tcPr>
            <w:tcW w:w="271" w:type="pct"/>
            <w:shd w:val="clear" w:color="auto" w:fill="C5E0B3" w:themeFill="accent6" w:themeFillTint="66"/>
            <w:noWrap/>
            <w:vAlign w:val="center"/>
            <w:hideMark/>
          </w:tcPr>
          <w:p w14:paraId="5CB6194A"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C5E0B3" w:themeFill="accent6" w:themeFillTint="66"/>
            <w:noWrap/>
            <w:vAlign w:val="center"/>
            <w:hideMark/>
          </w:tcPr>
          <w:p w14:paraId="50F50379" w14:textId="77777777" w:rsidR="005350E8" w:rsidRPr="00814C51" w:rsidRDefault="005350E8" w:rsidP="005350E8">
            <w:pPr>
              <w:jc w:val="center"/>
              <w:rPr>
                <w:rFonts w:ascii="Times New Roman" w:hAnsi="Times New Roman" w:cs="Times New Roman"/>
                <w:sz w:val="24"/>
                <w:szCs w:val="24"/>
              </w:rPr>
            </w:pPr>
          </w:p>
        </w:tc>
        <w:tc>
          <w:tcPr>
            <w:tcW w:w="218" w:type="pct"/>
            <w:shd w:val="clear" w:color="auto" w:fill="C5E0B3" w:themeFill="accent6" w:themeFillTint="66"/>
            <w:noWrap/>
            <w:vAlign w:val="center"/>
            <w:hideMark/>
          </w:tcPr>
          <w:p w14:paraId="62931FC2"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9" w:type="pct"/>
            <w:shd w:val="clear" w:color="auto" w:fill="C5E0B3" w:themeFill="accent6" w:themeFillTint="66"/>
            <w:noWrap/>
            <w:vAlign w:val="center"/>
            <w:hideMark/>
          </w:tcPr>
          <w:p w14:paraId="41363768"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25" w:type="pct"/>
            <w:shd w:val="clear" w:color="auto" w:fill="C5E0B3" w:themeFill="accent6" w:themeFillTint="66"/>
            <w:noWrap/>
            <w:vAlign w:val="center"/>
            <w:hideMark/>
          </w:tcPr>
          <w:p w14:paraId="57F87A21" w14:textId="77777777" w:rsidR="005350E8" w:rsidRPr="00814C51" w:rsidRDefault="005350E8" w:rsidP="005350E8">
            <w:pPr>
              <w:jc w:val="center"/>
              <w:rPr>
                <w:rFonts w:ascii="Times New Roman" w:hAnsi="Times New Roman" w:cs="Times New Roman"/>
                <w:sz w:val="24"/>
                <w:szCs w:val="24"/>
              </w:rPr>
            </w:pPr>
          </w:p>
        </w:tc>
        <w:tc>
          <w:tcPr>
            <w:tcW w:w="247" w:type="pct"/>
            <w:shd w:val="clear" w:color="auto" w:fill="FA9AE1"/>
            <w:noWrap/>
            <w:vAlign w:val="center"/>
            <w:hideMark/>
          </w:tcPr>
          <w:p w14:paraId="72722CA9" w14:textId="77777777" w:rsidR="005350E8" w:rsidRPr="00814C51" w:rsidRDefault="005350E8" w:rsidP="005350E8">
            <w:pPr>
              <w:jc w:val="center"/>
              <w:rPr>
                <w:rFonts w:ascii="Times New Roman" w:hAnsi="Times New Roman" w:cs="Times New Roman"/>
                <w:sz w:val="24"/>
                <w:szCs w:val="24"/>
              </w:rPr>
            </w:pPr>
          </w:p>
        </w:tc>
        <w:tc>
          <w:tcPr>
            <w:tcW w:w="251" w:type="pct"/>
            <w:shd w:val="clear" w:color="auto" w:fill="FA9AE1"/>
            <w:noWrap/>
            <w:vAlign w:val="center"/>
            <w:hideMark/>
          </w:tcPr>
          <w:p w14:paraId="21284615" w14:textId="77777777" w:rsidR="005350E8" w:rsidRPr="00814C51" w:rsidRDefault="005350E8" w:rsidP="005350E8">
            <w:pPr>
              <w:jc w:val="center"/>
              <w:rPr>
                <w:rFonts w:ascii="Times New Roman" w:hAnsi="Times New Roman" w:cs="Times New Roman"/>
                <w:sz w:val="24"/>
                <w:szCs w:val="24"/>
              </w:rPr>
            </w:pPr>
          </w:p>
        </w:tc>
        <w:tc>
          <w:tcPr>
            <w:tcW w:w="246" w:type="pct"/>
            <w:shd w:val="clear" w:color="auto" w:fill="FFC000"/>
            <w:noWrap/>
            <w:vAlign w:val="center"/>
            <w:hideMark/>
          </w:tcPr>
          <w:p w14:paraId="211562AE"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8" w:type="pct"/>
            <w:shd w:val="clear" w:color="auto" w:fill="FFC000"/>
            <w:noWrap/>
            <w:vAlign w:val="center"/>
            <w:hideMark/>
          </w:tcPr>
          <w:p w14:paraId="4C7778E3" w14:textId="77777777" w:rsidR="005350E8" w:rsidRPr="00814C51" w:rsidRDefault="005350E8" w:rsidP="005350E8">
            <w:pPr>
              <w:jc w:val="center"/>
              <w:rPr>
                <w:rFonts w:ascii="Times New Roman" w:hAnsi="Times New Roman" w:cs="Times New Roman"/>
                <w:sz w:val="24"/>
                <w:szCs w:val="24"/>
              </w:rPr>
            </w:pPr>
          </w:p>
        </w:tc>
        <w:tc>
          <w:tcPr>
            <w:tcW w:w="248" w:type="pct"/>
            <w:shd w:val="clear" w:color="auto" w:fill="FFC000"/>
            <w:noWrap/>
            <w:vAlign w:val="center"/>
            <w:hideMark/>
          </w:tcPr>
          <w:p w14:paraId="1E6587D7"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FFC000"/>
            <w:noWrap/>
            <w:vAlign w:val="center"/>
            <w:hideMark/>
          </w:tcPr>
          <w:p w14:paraId="381901BF"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r>
      <w:tr w:rsidR="005350E8" w:rsidRPr="00814C51" w14:paraId="762FC835" w14:textId="77777777" w:rsidTr="005350E8">
        <w:trPr>
          <w:trHeight w:val="287"/>
        </w:trPr>
        <w:tc>
          <w:tcPr>
            <w:tcW w:w="775" w:type="pct"/>
            <w:hideMark/>
          </w:tcPr>
          <w:p w14:paraId="60A0CA92"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xml:space="preserve">Li-Grinning et al. (2010) </w:t>
            </w:r>
          </w:p>
        </w:tc>
        <w:tc>
          <w:tcPr>
            <w:tcW w:w="342" w:type="pct"/>
            <w:shd w:val="clear" w:color="auto" w:fill="BDD6EE" w:themeFill="accent5" w:themeFillTint="66"/>
            <w:vAlign w:val="center"/>
            <w:hideMark/>
          </w:tcPr>
          <w:p w14:paraId="138822BA" w14:textId="6805B6C9" w:rsidR="005350E8" w:rsidRPr="00814C51" w:rsidRDefault="00C94647"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68A8EB52"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33589A02"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691903CF"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7FB4082B"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38AA5002"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20" w:type="pct"/>
            <w:shd w:val="clear" w:color="auto" w:fill="BDD6EE" w:themeFill="accent5" w:themeFillTint="66"/>
            <w:noWrap/>
            <w:vAlign w:val="center"/>
            <w:hideMark/>
          </w:tcPr>
          <w:p w14:paraId="78CC3643"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71" w:type="pct"/>
            <w:shd w:val="clear" w:color="auto" w:fill="C5E0B3" w:themeFill="accent6" w:themeFillTint="66"/>
            <w:noWrap/>
            <w:vAlign w:val="center"/>
            <w:hideMark/>
          </w:tcPr>
          <w:p w14:paraId="4D4AAADD"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C5E0B3" w:themeFill="accent6" w:themeFillTint="66"/>
            <w:noWrap/>
            <w:vAlign w:val="center"/>
            <w:hideMark/>
          </w:tcPr>
          <w:p w14:paraId="4489CA4F" w14:textId="77777777" w:rsidR="005350E8" w:rsidRPr="00814C51" w:rsidRDefault="005350E8" w:rsidP="005350E8">
            <w:pPr>
              <w:jc w:val="center"/>
              <w:rPr>
                <w:rFonts w:ascii="Times New Roman" w:hAnsi="Times New Roman" w:cs="Times New Roman"/>
                <w:sz w:val="24"/>
                <w:szCs w:val="24"/>
              </w:rPr>
            </w:pPr>
          </w:p>
        </w:tc>
        <w:tc>
          <w:tcPr>
            <w:tcW w:w="218" w:type="pct"/>
            <w:shd w:val="clear" w:color="auto" w:fill="C5E0B3" w:themeFill="accent6" w:themeFillTint="66"/>
            <w:noWrap/>
            <w:vAlign w:val="center"/>
            <w:hideMark/>
          </w:tcPr>
          <w:p w14:paraId="7523135C" w14:textId="77777777" w:rsidR="005350E8" w:rsidRPr="00814C51" w:rsidRDefault="005350E8" w:rsidP="005350E8">
            <w:pPr>
              <w:jc w:val="center"/>
              <w:rPr>
                <w:rFonts w:ascii="Times New Roman" w:hAnsi="Times New Roman" w:cs="Times New Roman"/>
                <w:sz w:val="24"/>
                <w:szCs w:val="24"/>
              </w:rPr>
            </w:pPr>
          </w:p>
        </w:tc>
        <w:tc>
          <w:tcPr>
            <w:tcW w:w="219" w:type="pct"/>
            <w:shd w:val="clear" w:color="auto" w:fill="C5E0B3" w:themeFill="accent6" w:themeFillTint="66"/>
            <w:noWrap/>
            <w:vAlign w:val="center"/>
            <w:hideMark/>
          </w:tcPr>
          <w:p w14:paraId="5DAAA861" w14:textId="77777777" w:rsidR="005350E8" w:rsidRPr="00814C51" w:rsidRDefault="005350E8" w:rsidP="005350E8">
            <w:pPr>
              <w:jc w:val="center"/>
              <w:rPr>
                <w:rFonts w:ascii="Times New Roman" w:hAnsi="Times New Roman" w:cs="Times New Roman"/>
                <w:sz w:val="24"/>
                <w:szCs w:val="24"/>
              </w:rPr>
            </w:pPr>
          </w:p>
        </w:tc>
        <w:tc>
          <w:tcPr>
            <w:tcW w:w="225" w:type="pct"/>
            <w:shd w:val="clear" w:color="auto" w:fill="C5E0B3" w:themeFill="accent6" w:themeFillTint="66"/>
            <w:noWrap/>
            <w:vAlign w:val="center"/>
            <w:hideMark/>
          </w:tcPr>
          <w:p w14:paraId="770A8A18" w14:textId="77777777" w:rsidR="005350E8" w:rsidRPr="00814C51" w:rsidRDefault="005350E8" w:rsidP="005350E8">
            <w:pPr>
              <w:jc w:val="center"/>
              <w:rPr>
                <w:rFonts w:ascii="Times New Roman" w:hAnsi="Times New Roman" w:cs="Times New Roman"/>
                <w:sz w:val="24"/>
                <w:szCs w:val="24"/>
              </w:rPr>
            </w:pPr>
          </w:p>
        </w:tc>
        <w:tc>
          <w:tcPr>
            <w:tcW w:w="247" w:type="pct"/>
            <w:shd w:val="clear" w:color="auto" w:fill="FA9AE1"/>
            <w:noWrap/>
            <w:vAlign w:val="center"/>
            <w:hideMark/>
          </w:tcPr>
          <w:p w14:paraId="6A60BA65"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51" w:type="pct"/>
            <w:shd w:val="clear" w:color="auto" w:fill="FA9AE1"/>
            <w:noWrap/>
            <w:vAlign w:val="center"/>
            <w:hideMark/>
          </w:tcPr>
          <w:p w14:paraId="1BDBA250" w14:textId="77777777" w:rsidR="005350E8" w:rsidRPr="00814C51" w:rsidRDefault="005350E8" w:rsidP="005350E8">
            <w:pPr>
              <w:jc w:val="center"/>
              <w:rPr>
                <w:rFonts w:ascii="Times New Roman" w:hAnsi="Times New Roman" w:cs="Times New Roman"/>
                <w:sz w:val="24"/>
                <w:szCs w:val="24"/>
              </w:rPr>
            </w:pPr>
          </w:p>
        </w:tc>
        <w:tc>
          <w:tcPr>
            <w:tcW w:w="246" w:type="pct"/>
            <w:shd w:val="clear" w:color="auto" w:fill="FFC000"/>
            <w:noWrap/>
            <w:vAlign w:val="center"/>
            <w:hideMark/>
          </w:tcPr>
          <w:p w14:paraId="53EEA6EF"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8" w:type="pct"/>
            <w:shd w:val="clear" w:color="auto" w:fill="FFC000"/>
            <w:noWrap/>
            <w:vAlign w:val="center"/>
            <w:hideMark/>
          </w:tcPr>
          <w:p w14:paraId="058710CB" w14:textId="77777777" w:rsidR="005350E8" w:rsidRPr="00814C51" w:rsidRDefault="005350E8" w:rsidP="005350E8">
            <w:pPr>
              <w:jc w:val="center"/>
              <w:rPr>
                <w:rFonts w:ascii="Times New Roman" w:hAnsi="Times New Roman" w:cs="Times New Roman"/>
                <w:sz w:val="24"/>
                <w:szCs w:val="24"/>
              </w:rPr>
            </w:pPr>
          </w:p>
        </w:tc>
        <w:tc>
          <w:tcPr>
            <w:tcW w:w="248" w:type="pct"/>
            <w:shd w:val="clear" w:color="auto" w:fill="FFC000"/>
            <w:noWrap/>
            <w:vAlign w:val="center"/>
            <w:hideMark/>
          </w:tcPr>
          <w:p w14:paraId="299BF9CA"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FFC000"/>
            <w:noWrap/>
            <w:vAlign w:val="center"/>
            <w:hideMark/>
          </w:tcPr>
          <w:p w14:paraId="5FCA7D24" w14:textId="77777777" w:rsidR="005350E8" w:rsidRPr="00814C51" w:rsidRDefault="005350E8" w:rsidP="005350E8">
            <w:pPr>
              <w:jc w:val="center"/>
              <w:rPr>
                <w:rFonts w:ascii="Times New Roman" w:hAnsi="Times New Roman" w:cs="Times New Roman"/>
                <w:sz w:val="24"/>
                <w:szCs w:val="24"/>
              </w:rPr>
            </w:pPr>
          </w:p>
        </w:tc>
      </w:tr>
      <w:tr w:rsidR="005350E8" w:rsidRPr="00814C51" w14:paraId="68BE2AB3" w14:textId="77777777" w:rsidTr="005350E8">
        <w:trPr>
          <w:trHeight w:val="287"/>
        </w:trPr>
        <w:tc>
          <w:tcPr>
            <w:tcW w:w="775" w:type="pct"/>
            <w:hideMark/>
          </w:tcPr>
          <w:p w14:paraId="22209C4E" w14:textId="77777777" w:rsidR="005350E8" w:rsidRPr="00814C51" w:rsidRDefault="005350E8" w:rsidP="005350E8">
            <w:pPr>
              <w:rPr>
                <w:rFonts w:ascii="Times New Roman" w:hAnsi="Times New Roman" w:cs="Times New Roman"/>
                <w:sz w:val="24"/>
                <w:szCs w:val="24"/>
              </w:rPr>
            </w:pPr>
            <w:r w:rsidRPr="00814C51">
              <w:rPr>
                <w:rFonts w:ascii="Times New Roman" w:hAnsi="Times New Roman" w:cs="Times New Roman"/>
                <w:sz w:val="24"/>
                <w:szCs w:val="24"/>
              </w:rPr>
              <w:t xml:space="preserve">Sasser et al. (2015) </w:t>
            </w:r>
          </w:p>
        </w:tc>
        <w:tc>
          <w:tcPr>
            <w:tcW w:w="342" w:type="pct"/>
            <w:shd w:val="clear" w:color="auto" w:fill="BDD6EE" w:themeFill="accent5" w:themeFillTint="66"/>
            <w:vAlign w:val="center"/>
            <w:hideMark/>
          </w:tcPr>
          <w:p w14:paraId="58192A56" w14:textId="0D47CFFD" w:rsidR="005350E8" w:rsidRPr="00814C51" w:rsidRDefault="00C94647"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587A0274"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7" w:type="pct"/>
            <w:shd w:val="clear" w:color="auto" w:fill="BDD6EE" w:themeFill="accent5" w:themeFillTint="66"/>
            <w:noWrap/>
            <w:vAlign w:val="center"/>
            <w:hideMark/>
          </w:tcPr>
          <w:p w14:paraId="5BBCF47B"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7AFBF270"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2E90B823" w14:textId="77777777" w:rsidR="005350E8" w:rsidRPr="00814C51" w:rsidRDefault="005350E8" w:rsidP="005350E8">
            <w:pPr>
              <w:jc w:val="center"/>
              <w:rPr>
                <w:rFonts w:ascii="Times New Roman" w:hAnsi="Times New Roman" w:cs="Times New Roman"/>
                <w:sz w:val="24"/>
                <w:szCs w:val="24"/>
              </w:rPr>
            </w:pPr>
          </w:p>
        </w:tc>
        <w:tc>
          <w:tcPr>
            <w:tcW w:w="217" w:type="pct"/>
            <w:shd w:val="clear" w:color="auto" w:fill="BDD6EE" w:themeFill="accent5" w:themeFillTint="66"/>
            <w:noWrap/>
            <w:vAlign w:val="center"/>
            <w:hideMark/>
          </w:tcPr>
          <w:p w14:paraId="00F4DD87"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20" w:type="pct"/>
            <w:shd w:val="clear" w:color="auto" w:fill="BDD6EE" w:themeFill="accent5" w:themeFillTint="66"/>
            <w:noWrap/>
            <w:vAlign w:val="center"/>
            <w:hideMark/>
          </w:tcPr>
          <w:p w14:paraId="4CE32A1B"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71" w:type="pct"/>
            <w:shd w:val="clear" w:color="auto" w:fill="C5E0B3" w:themeFill="accent6" w:themeFillTint="66"/>
            <w:noWrap/>
            <w:vAlign w:val="center"/>
            <w:hideMark/>
          </w:tcPr>
          <w:p w14:paraId="41D33224"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C5E0B3" w:themeFill="accent6" w:themeFillTint="66"/>
            <w:noWrap/>
            <w:vAlign w:val="center"/>
            <w:hideMark/>
          </w:tcPr>
          <w:p w14:paraId="5E375655" w14:textId="77777777" w:rsidR="005350E8" w:rsidRPr="00814C51" w:rsidRDefault="005350E8" w:rsidP="005350E8">
            <w:pPr>
              <w:jc w:val="center"/>
              <w:rPr>
                <w:rFonts w:ascii="Times New Roman" w:hAnsi="Times New Roman" w:cs="Times New Roman"/>
                <w:sz w:val="24"/>
                <w:szCs w:val="24"/>
              </w:rPr>
            </w:pPr>
          </w:p>
        </w:tc>
        <w:tc>
          <w:tcPr>
            <w:tcW w:w="218" w:type="pct"/>
            <w:shd w:val="clear" w:color="auto" w:fill="C5E0B3" w:themeFill="accent6" w:themeFillTint="66"/>
            <w:noWrap/>
            <w:vAlign w:val="center"/>
            <w:hideMark/>
          </w:tcPr>
          <w:p w14:paraId="0BF7F11F"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19" w:type="pct"/>
            <w:shd w:val="clear" w:color="auto" w:fill="C5E0B3" w:themeFill="accent6" w:themeFillTint="66"/>
            <w:noWrap/>
            <w:vAlign w:val="center"/>
            <w:hideMark/>
          </w:tcPr>
          <w:p w14:paraId="41E9D780" w14:textId="77777777" w:rsidR="005350E8" w:rsidRPr="00814C51" w:rsidRDefault="005350E8" w:rsidP="005350E8">
            <w:pPr>
              <w:jc w:val="center"/>
              <w:rPr>
                <w:rFonts w:ascii="Times New Roman" w:hAnsi="Times New Roman" w:cs="Times New Roman"/>
                <w:sz w:val="24"/>
                <w:szCs w:val="24"/>
              </w:rPr>
            </w:pPr>
          </w:p>
        </w:tc>
        <w:tc>
          <w:tcPr>
            <w:tcW w:w="225" w:type="pct"/>
            <w:shd w:val="clear" w:color="auto" w:fill="C5E0B3" w:themeFill="accent6" w:themeFillTint="66"/>
            <w:noWrap/>
            <w:vAlign w:val="center"/>
            <w:hideMark/>
          </w:tcPr>
          <w:p w14:paraId="42FD2DE7" w14:textId="77777777" w:rsidR="005350E8" w:rsidRPr="00814C51" w:rsidRDefault="005350E8" w:rsidP="005350E8">
            <w:pPr>
              <w:jc w:val="center"/>
              <w:rPr>
                <w:rFonts w:ascii="Times New Roman" w:hAnsi="Times New Roman" w:cs="Times New Roman"/>
                <w:sz w:val="24"/>
                <w:szCs w:val="24"/>
              </w:rPr>
            </w:pPr>
          </w:p>
        </w:tc>
        <w:tc>
          <w:tcPr>
            <w:tcW w:w="247" w:type="pct"/>
            <w:shd w:val="clear" w:color="auto" w:fill="FA9AE1"/>
            <w:noWrap/>
            <w:vAlign w:val="center"/>
            <w:hideMark/>
          </w:tcPr>
          <w:p w14:paraId="05D6E00C" w14:textId="77777777" w:rsidR="005350E8" w:rsidRPr="00814C51" w:rsidRDefault="005350E8" w:rsidP="005350E8">
            <w:pPr>
              <w:jc w:val="center"/>
              <w:rPr>
                <w:rFonts w:ascii="Times New Roman" w:hAnsi="Times New Roman" w:cs="Times New Roman"/>
                <w:sz w:val="24"/>
                <w:szCs w:val="24"/>
              </w:rPr>
            </w:pPr>
          </w:p>
        </w:tc>
        <w:tc>
          <w:tcPr>
            <w:tcW w:w="251" w:type="pct"/>
            <w:shd w:val="clear" w:color="auto" w:fill="FA9AE1"/>
            <w:noWrap/>
            <w:vAlign w:val="center"/>
            <w:hideMark/>
          </w:tcPr>
          <w:p w14:paraId="1F5DD9C5" w14:textId="77777777" w:rsidR="005350E8" w:rsidRPr="00814C51" w:rsidRDefault="005350E8" w:rsidP="005350E8">
            <w:pPr>
              <w:jc w:val="center"/>
              <w:rPr>
                <w:rFonts w:ascii="Times New Roman" w:hAnsi="Times New Roman" w:cs="Times New Roman"/>
                <w:sz w:val="24"/>
                <w:szCs w:val="24"/>
              </w:rPr>
            </w:pPr>
          </w:p>
        </w:tc>
        <w:tc>
          <w:tcPr>
            <w:tcW w:w="246" w:type="pct"/>
            <w:shd w:val="clear" w:color="auto" w:fill="FFC000"/>
            <w:noWrap/>
            <w:vAlign w:val="center"/>
            <w:hideMark/>
          </w:tcPr>
          <w:p w14:paraId="6E7810E3"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8" w:type="pct"/>
            <w:shd w:val="clear" w:color="auto" w:fill="FFC000"/>
            <w:noWrap/>
            <w:vAlign w:val="center"/>
            <w:hideMark/>
          </w:tcPr>
          <w:p w14:paraId="0F2CC8C2" w14:textId="77777777" w:rsidR="005350E8" w:rsidRPr="00814C51" w:rsidRDefault="005350E8" w:rsidP="005350E8">
            <w:pPr>
              <w:jc w:val="center"/>
              <w:rPr>
                <w:rFonts w:ascii="Times New Roman" w:hAnsi="Times New Roman" w:cs="Times New Roman"/>
                <w:sz w:val="24"/>
                <w:szCs w:val="24"/>
              </w:rPr>
            </w:pPr>
            <w:r w:rsidRPr="00814C51">
              <w:rPr>
                <w:rFonts w:ascii="Times New Roman" w:hAnsi="Times New Roman" w:cs="Times New Roman"/>
                <w:sz w:val="24"/>
                <w:szCs w:val="24"/>
              </w:rPr>
              <w:t>x</w:t>
            </w:r>
          </w:p>
        </w:tc>
        <w:tc>
          <w:tcPr>
            <w:tcW w:w="248" w:type="pct"/>
            <w:shd w:val="clear" w:color="auto" w:fill="FFC000"/>
            <w:noWrap/>
            <w:vAlign w:val="center"/>
            <w:hideMark/>
          </w:tcPr>
          <w:p w14:paraId="441E6A5B" w14:textId="77777777" w:rsidR="005350E8" w:rsidRPr="00814C51" w:rsidRDefault="005350E8" w:rsidP="005350E8">
            <w:pPr>
              <w:jc w:val="center"/>
              <w:rPr>
                <w:rFonts w:ascii="Times New Roman" w:hAnsi="Times New Roman" w:cs="Times New Roman"/>
                <w:sz w:val="24"/>
                <w:szCs w:val="24"/>
              </w:rPr>
            </w:pPr>
          </w:p>
        </w:tc>
        <w:tc>
          <w:tcPr>
            <w:tcW w:w="202" w:type="pct"/>
            <w:shd w:val="clear" w:color="auto" w:fill="FFC000"/>
            <w:noWrap/>
            <w:vAlign w:val="center"/>
            <w:hideMark/>
          </w:tcPr>
          <w:p w14:paraId="5DE30185" w14:textId="77777777" w:rsidR="005350E8" w:rsidRPr="00814C51" w:rsidRDefault="005350E8" w:rsidP="005350E8">
            <w:pPr>
              <w:jc w:val="center"/>
              <w:rPr>
                <w:rFonts w:ascii="Times New Roman" w:hAnsi="Times New Roman" w:cs="Times New Roman"/>
                <w:sz w:val="24"/>
                <w:szCs w:val="24"/>
              </w:rPr>
            </w:pPr>
          </w:p>
        </w:tc>
      </w:tr>
    </w:tbl>
    <w:p w14:paraId="485B3282" w14:textId="335958EE" w:rsidR="00814C51" w:rsidRDefault="003C4D2C" w:rsidP="003C4D2C">
      <w:pPr>
        <w:rPr>
          <w:i/>
          <w:iCs/>
        </w:rPr>
      </w:pPr>
      <w:r w:rsidRPr="003C4D2C">
        <w:rPr>
          <w:i/>
          <w:iCs/>
        </w:rPr>
        <w:t>Approaches to Learning Constructs Across Studies</w:t>
      </w:r>
    </w:p>
    <w:p w14:paraId="629720D4" w14:textId="50FB00D1" w:rsidR="003C4D2C" w:rsidRDefault="003C4D2C" w:rsidP="003C4D2C">
      <w:pPr>
        <w:rPr>
          <w:i/>
          <w:iCs/>
        </w:rPr>
      </w:pPr>
      <w:r w:rsidRPr="003C4D2C">
        <w:rPr>
          <w:i/>
          <w:iCs/>
        </w:rPr>
        <w:t xml:space="preserve"> </w:t>
      </w:r>
    </w:p>
    <w:p w14:paraId="597E8F8A" w14:textId="77777777" w:rsidR="00814C51" w:rsidRDefault="00814C51" w:rsidP="003C4D2C">
      <w:pPr>
        <w:rPr>
          <w:i/>
          <w:iCs/>
        </w:rPr>
        <w:sectPr w:rsidR="00814C51" w:rsidSect="00D86CCC">
          <w:type w:val="continuous"/>
          <w:pgSz w:w="15840" w:h="12240" w:orient="landscape"/>
          <w:pgMar w:top="1440" w:right="1440" w:bottom="1440" w:left="1440" w:header="720" w:footer="720" w:gutter="0"/>
          <w:cols w:space="720"/>
          <w:docGrid w:linePitch="360"/>
        </w:sectPr>
      </w:pPr>
    </w:p>
    <w:p w14:paraId="16AD9092" w14:textId="77777777" w:rsidR="002720AE" w:rsidRDefault="003C4D2C" w:rsidP="003C4D2C">
      <w:pPr>
        <w:ind w:firstLine="720"/>
      </w:pPr>
      <w:r w:rsidRPr="003C4D2C">
        <w:lastRenderedPageBreak/>
        <w:t xml:space="preserve">Much of the research on the relationship between AtL and academic outcomes suggests it may be particularly beneficial when children are younger </w:t>
      </w:r>
      <w:r w:rsidR="009A6864" w:rsidRPr="009A6864">
        <w:t>(Li-</w:t>
      </w:r>
      <w:proofErr w:type="spellStart"/>
      <w:r w:rsidR="009A6864" w:rsidRPr="009A6864">
        <w:t>Grining</w:t>
      </w:r>
      <w:proofErr w:type="spellEnd"/>
      <w:r w:rsidR="009A6864" w:rsidRPr="009A6864">
        <w:t xml:space="preserve"> et al., 2010; McClelland et al., 2006)</w:t>
      </w:r>
      <w:r w:rsidRPr="003C4D2C">
        <w:t>. PreK or kindergarten AtL is often predictive of academic achievement years later</w:t>
      </w:r>
      <w:r w:rsidR="00DE788A">
        <w:t xml:space="preserve"> and may support children’s positive adaptation to the new learning environment </w:t>
      </w:r>
      <w:r w:rsidR="009A6864" w:rsidRPr="009A6864">
        <w:t>(Fitzpatrick &amp; Pagani, 2013)</w:t>
      </w:r>
      <w:r w:rsidRPr="003C4D2C">
        <w:t xml:space="preserve">. </w:t>
      </w:r>
      <w:r w:rsidR="00DE788A">
        <w:t>Alternatively, c</w:t>
      </w:r>
      <w:r w:rsidR="003F06CE" w:rsidRPr="003C4D2C">
        <w:t xml:space="preserve">hildren with poor AtL at kindergarten </w:t>
      </w:r>
      <w:r w:rsidR="002720AE">
        <w:t xml:space="preserve">demonstrate </w:t>
      </w:r>
      <w:r w:rsidR="003F06CE" w:rsidRPr="003C4D2C">
        <w:t>significantly lower reading and math</w:t>
      </w:r>
      <w:r w:rsidR="002720AE">
        <w:t xml:space="preserve"> achievement </w:t>
      </w:r>
      <w:r w:rsidR="003F06CE" w:rsidRPr="003C4D2C">
        <w:t xml:space="preserve">by 6th grade, although differences </w:t>
      </w:r>
      <w:r w:rsidR="002720AE">
        <w:t xml:space="preserve">can be </w:t>
      </w:r>
      <w:r w:rsidR="003F06CE" w:rsidRPr="003C4D2C">
        <w:t>detected by 2nd grade</w:t>
      </w:r>
      <w:r w:rsidR="00DE788A">
        <w:t xml:space="preserve"> (McClelland et al., 2006)</w:t>
      </w:r>
      <w:r w:rsidR="003F06CE" w:rsidRPr="003C4D2C">
        <w:t xml:space="preserve">. </w:t>
      </w:r>
      <w:r w:rsidR="002720AE">
        <w:t>As a protective factor, AtL may be most beneficial when children have lower academic skills at school entry (</w:t>
      </w:r>
      <w:r w:rsidRPr="003C4D2C">
        <w:t>Li-Grinning et al.</w:t>
      </w:r>
      <w:r w:rsidR="002720AE">
        <w:t xml:space="preserve">, </w:t>
      </w:r>
      <w:r w:rsidRPr="003C4D2C">
        <w:t>2010)</w:t>
      </w:r>
      <w:r w:rsidR="002720AE">
        <w:t>.</w:t>
      </w:r>
      <w:r w:rsidRPr="003C4D2C">
        <w:t xml:space="preserve"> </w:t>
      </w:r>
      <w:r w:rsidR="002720AE">
        <w:t>C</w:t>
      </w:r>
      <w:r w:rsidRPr="003C4D2C">
        <w:t xml:space="preserve">hildren with better AtL experience greater rates of academic growth, and the differences increase as children progress through elementary school. </w:t>
      </w:r>
      <w:r w:rsidR="002720AE">
        <w:t xml:space="preserve">Similarly, </w:t>
      </w:r>
      <w:proofErr w:type="spellStart"/>
      <w:r w:rsidRPr="003C4D2C">
        <w:t>Razza</w:t>
      </w:r>
      <w:proofErr w:type="spellEnd"/>
      <w:r w:rsidRPr="003C4D2C">
        <w:t xml:space="preserve"> et al. </w:t>
      </w:r>
      <w:r w:rsidR="009A6864" w:rsidRPr="009A6864">
        <w:t>(2015)</w:t>
      </w:r>
      <w:r w:rsidRPr="003C4D2C">
        <w:t xml:space="preserve"> found that </w:t>
      </w:r>
      <w:r w:rsidR="002720AE" w:rsidRPr="003C4D2C">
        <w:t>AtL was most beneficial when children had lower math and reading skills</w:t>
      </w:r>
      <w:r w:rsidR="002720AE">
        <w:t xml:space="preserve">; children with lower academic achievement but higher AtL at age 5 saw gains in academic achievement by age 9. </w:t>
      </w:r>
    </w:p>
    <w:p w14:paraId="2F7EC2F0" w14:textId="5050FFB6" w:rsidR="003C4D2C" w:rsidRPr="003C4D2C" w:rsidRDefault="003C4D2C" w:rsidP="005350E8">
      <w:pPr>
        <w:ind w:firstLine="720"/>
      </w:pPr>
      <w:r w:rsidRPr="003C4D2C">
        <w:t xml:space="preserve">While research has been able to connect AtL with children’s academic outcomes, many of these studies view AtL as a latent or global construct, without identifying any specific skills from the social, cognitive, and emotional domains </w:t>
      </w:r>
      <w:r w:rsidR="009A6864" w:rsidRPr="009A6864">
        <w:t>(Cerda et al., 2014)</w:t>
      </w:r>
      <w:r w:rsidRPr="003C4D2C">
        <w:t xml:space="preserve">. </w:t>
      </w:r>
      <w:r w:rsidR="005350E8">
        <w:t xml:space="preserve">While </w:t>
      </w:r>
      <w:r w:rsidR="005350E8" w:rsidRPr="005350E8">
        <w:t xml:space="preserve">researchers agree AtL </w:t>
      </w:r>
      <w:r w:rsidR="00CE62E3">
        <w:t>is</w:t>
      </w:r>
      <w:r w:rsidR="005350E8" w:rsidRPr="005350E8">
        <w:t xml:space="preserve"> essential</w:t>
      </w:r>
      <w:r w:rsidR="005350E8">
        <w:t>,</w:t>
      </w:r>
      <w:r w:rsidR="005350E8" w:rsidRPr="005350E8">
        <w:t xml:space="preserve"> it is unclear exactly what skills constitute this umbrella construct (Domínguez, </w:t>
      </w:r>
      <w:proofErr w:type="spellStart"/>
      <w:r w:rsidR="005350E8" w:rsidRPr="005350E8">
        <w:t>Vitiello</w:t>
      </w:r>
      <w:proofErr w:type="spellEnd"/>
      <w:r w:rsidR="005350E8" w:rsidRPr="005350E8">
        <w:t xml:space="preserve">, </w:t>
      </w:r>
      <w:proofErr w:type="spellStart"/>
      <w:r w:rsidR="005350E8" w:rsidRPr="005350E8">
        <w:t>Fuccillo</w:t>
      </w:r>
      <w:proofErr w:type="spellEnd"/>
      <w:r w:rsidR="005350E8" w:rsidRPr="005350E8">
        <w:t xml:space="preserve">, Greenfield, &amp; </w:t>
      </w:r>
      <w:proofErr w:type="spellStart"/>
      <w:r w:rsidR="005350E8" w:rsidRPr="005350E8">
        <w:t>Bulotsky</w:t>
      </w:r>
      <w:proofErr w:type="spellEnd"/>
      <w:r w:rsidR="005350E8" w:rsidRPr="005350E8">
        <w:t>-Shearer, 2011).</w:t>
      </w:r>
      <w:r w:rsidR="005350E8">
        <w:t xml:space="preserve"> </w:t>
      </w:r>
      <w:r w:rsidRPr="003C4D2C">
        <w:t xml:space="preserve">More research is needed that can capture children’s AtL in different contexts or across different informants </w:t>
      </w:r>
      <w:r w:rsidR="009A6864" w:rsidRPr="009A6864">
        <w:t>(</w:t>
      </w:r>
      <w:proofErr w:type="spellStart"/>
      <w:r w:rsidR="009A6864" w:rsidRPr="009A6864">
        <w:t>Booren</w:t>
      </w:r>
      <w:proofErr w:type="spellEnd"/>
      <w:r w:rsidR="009A6864" w:rsidRPr="009A6864">
        <w:t xml:space="preserve">, Downer, &amp; </w:t>
      </w:r>
      <w:proofErr w:type="spellStart"/>
      <w:r w:rsidR="009A6864" w:rsidRPr="009A6864">
        <w:t>Vitiello</w:t>
      </w:r>
      <w:proofErr w:type="spellEnd"/>
      <w:r w:rsidR="009A6864" w:rsidRPr="009A6864">
        <w:t>, 2012; Chen, Masur, &amp; McNamee, 2011)</w:t>
      </w:r>
      <w:r w:rsidRPr="003C4D2C">
        <w:t xml:space="preserve">. </w:t>
      </w:r>
      <w:r w:rsidR="005350E8">
        <w:t>H</w:t>
      </w:r>
      <w:r w:rsidRPr="003C4D2C">
        <w:t xml:space="preserve">eterogeneity and variability exist in how children navigate their learning environment </w:t>
      </w:r>
      <w:r w:rsidR="009A6864" w:rsidRPr="009A6864">
        <w:t>(Bierman et al., 2009)</w:t>
      </w:r>
      <w:r w:rsidRPr="003C4D2C">
        <w:t xml:space="preserve">. Thus, research is needed, which examines the range of children’s adaptive responses </w:t>
      </w:r>
      <w:r w:rsidR="009A6864" w:rsidRPr="009A6864">
        <w:t>(</w:t>
      </w:r>
      <w:proofErr w:type="spellStart"/>
      <w:r w:rsidR="009A6864" w:rsidRPr="009A6864">
        <w:t>Abenavoli</w:t>
      </w:r>
      <w:proofErr w:type="spellEnd"/>
      <w:r w:rsidR="009A6864" w:rsidRPr="009A6864">
        <w:t xml:space="preserve"> et al., 2017)</w:t>
      </w:r>
      <w:r w:rsidRPr="003C4D2C">
        <w:t xml:space="preserve">. </w:t>
      </w:r>
    </w:p>
    <w:p w14:paraId="2D0944E2" w14:textId="3CDA6E80" w:rsidR="003C4D2C" w:rsidRPr="003C4D2C" w:rsidRDefault="003C4D2C" w:rsidP="003C4D2C">
      <w:pPr>
        <w:pStyle w:val="Heading2"/>
      </w:pPr>
      <w:bookmarkStart w:id="61" w:name="_Toc46265490"/>
      <w:r w:rsidRPr="003C4D2C">
        <w:t>Associations with Other Constructs</w:t>
      </w:r>
      <w:bookmarkEnd w:id="61"/>
      <w:r w:rsidR="007C1CBE">
        <w:t xml:space="preserve"> </w:t>
      </w:r>
      <w:bookmarkStart w:id="62" w:name="_Toc19885611"/>
    </w:p>
    <w:p w14:paraId="34D93DE7" w14:textId="2625BFF8" w:rsidR="008526B2" w:rsidRDefault="003C4D2C" w:rsidP="008526B2">
      <w:r w:rsidRPr="003C4D2C">
        <w:lastRenderedPageBreak/>
        <w:tab/>
        <w:t xml:space="preserve">Despite its centrality as an educational construct, AtL has been plagued by definitional issues that often blur the distinctions between similar constructs like self-regulation, executive function, and social development </w:t>
      </w:r>
      <w:r w:rsidRPr="00F65E83">
        <w:t>(Beisly, 2020).</w:t>
      </w:r>
      <w:r w:rsidRPr="003C4D2C">
        <w:t xml:space="preserve"> </w:t>
      </w:r>
      <w:r w:rsidR="00FB27F6">
        <w:t xml:space="preserve">While </w:t>
      </w:r>
      <w:r w:rsidR="007C1CBE">
        <w:t xml:space="preserve">McDermott et al. (2018) point out AtL </w:t>
      </w:r>
      <w:r w:rsidR="00FB27F6">
        <w:t xml:space="preserve">is conceptually rooted in </w:t>
      </w:r>
      <w:r w:rsidR="007C1CBE">
        <w:t xml:space="preserve">social, cognitive, and emotional development, it </w:t>
      </w:r>
      <w:r w:rsidR="00FB27F6">
        <w:t xml:space="preserve">remains distinct in that it </w:t>
      </w:r>
      <w:r w:rsidR="007C1CBE">
        <w:t xml:space="preserve">represents the </w:t>
      </w:r>
      <w:r w:rsidR="00FB27F6">
        <w:t>mechanisms by which children go about learning. Nevertheless, past research has confounded the concept of AtL, as AtL m</w:t>
      </w:r>
      <w:r w:rsidRPr="003C4D2C">
        <w:t xml:space="preserve">easures have been </w:t>
      </w:r>
      <w:r w:rsidR="00FB27F6">
        <w:t xml:space="preserve">used to measure </w:t>
      </w:r>
      <w:r w:rsidRPr="003C4D2C">
        <w:t xml:space="preserve">executive function </w:t>
      </w:r>
      <w:r w:rsidR="009A6864" w:rsidRPr="009A6864">
        <w:t>(Hooper et al., 2010)</w:t>
      </w:r>
      <w:r w:rsidR="00CE62E3">
        <w:t>,</w:t>
      </w:r>
      <w:r w:rsidRPr="003C4D2C">
        <w:t xml:space="preserve"> and measures of social development have </w:t>
      </w:r>
      <w:r w:rsidR="00FB27F6">
        <w:t xml:space="preserve">been used to measure </w:t>
      </w:r>
      <w:r w:rsidRPr="003C4D2C">
        <w:t xml:space="preserve">AtL </w:t>
      </w:r>
      <w:r w:rsidR="009A6864" w:rsidRPr="009A6864">
        <w:t>(George &amp; Greenfield, 2005)</w:t>
      </w:r>
      <w:r w:rsidRPr="003C4D2C">
        <w:t xml:space="preserve">. </w:t>
      </w:r>
      <w:r w:rsidR="00FB27F6">
        <w:t>Thus, more research is needed demonstrat</w:t>
      </w:r>
      <w:r w:rsidR="00CE62E3">
        <w:t>ing</w:t>
      </w:r>
      <w:r w:rsidR="00FB27F6">
        <w:t xml:space="preserve"> </w:t>
      </w:r>
      <w:r w:rsidR="00CE62E3">
        <w:t>how</w:t>
      </w:r>
      <w:r w:rsidR="00FB27F6">
        <w:t xml:space="preserve"> AtL is distinct from constructs like executive function and social development. </w:t>
      </w:r>
      <w:r w:rsidRPr="003C4D2C">
        <w:t xml:space="preserve">Finally, some researchers have explored the construct of negative AtL as a maladaptive response to the learning environment </w:t>
      </w:r>
      <w:r w:rsidR="009A6864" w:rsidRPr="009A6864">
        <w:t>(</w:t>
      </w:r>
      <w:proofErr w:type="spellStart"/>
      <w:r w:rsidR="009A6864" w:rsidRPr="009A6864">
        <w:t>Fantuzzo</w:t>
      </w:r>
      <w:proofErr w:type="spellEnd"/>
      <w:r w:rsidR="009A6864" w:rsidRPr="009A6864">
        <w:t xml:space="preserve"> et al., 2007)</w:t>
      </w:r>
      <w:r w:rsidRPr="003C4D2C">
        <w:t xml:space="preserve">. As such, it may be essential to consider children’s behavior along a continuum, rather than as separate components of adjustment </w:t>
      </w:r>
      <w:r w:rsidR="009A6864" w:rsidRPr="009A6864">
        <w:t>(Elliott, 2019)</w:t>
      </w:r>
      <w:r w:rsidRPr="003C4D2C">
        <w:t>.</w:t>
      </w:r>
      <w:r w:rsidR="008526B2">
        <w:t xml:space="preserve"> </w:t>
      </w:r>
    </w:p>
    <w:p w14:paraId="7BF6995E" w14:textId="74E3EE35" w:rsidR="00AE4598" w:rsidRPr="003F06CE" w:rsidRDefault="003C4D2C" w:rsidP="003F06CE">
      <w:pPr>
        <w:ind w:firstLine="720"/>
        <w:rPr>
          <w:rStyle w:val="APAChar"/>
          <w:noProof w:val="0"/>
          <w:color w:val="000000" w:themeColor="text1"/>
        </w:rPr>
      </w:pPr>
      <w:bookmarkStart w:id="63" w:name="_Toc46265491"/>
      <w:r w:rsidRPr="000970CE">
        <w:rPr>
          <w:rStyle w:val="Heading3Char"/>
        </w:rPr>
        <w:t>Executive function</w:t>
      </w:r>
      <w:bookmarkEnd w:id="62"/>
      <w:r w:rsidR="00B3544A" w:rsidRPr="008526B2">
        <w:rPr>
          <w:rStyle w:val="Heading3Char"/>
        </w:rPr>
        <w:t>.</w:t>
      </w:r>
      <w:bookmarkEnd w:id="63"/>
      <w:r w:rsidR="00B3544A">
        <w:t xml:space="preserve"> </w:t>
      </w:r>
      <w:r w:rsidRPr="000970CE">
        <w:rPr>
          <w:rStyle w:val="APAChar"/>
        </w:rPr>
        <w:t>Executive function</w:t>
      </w:r>
      <w:r w:rsidR="00C63996">
        <w:rPr>
          <w:rStyle w:val="APAChar"/>
        </w:rPr>
        <w:t xml:space="preserve"> (EF)</w:t>
      </w:r>
      <w:r w:rsidRPr="000970CE">
        <w:rPr>
          <w:rStyle w:val="APAChar"/>
        </w:rPr>
        <w:t xml:space="preserve"> is primarily a cognitive skill that includes the subdomains of working memory, cognitive flexibility or attention shifting, and inhibitory control </w:t>
      </w:r>
      <w:r w:rsidR="009A6864" w:rsidRPr="009A6864">
        <w:t>(Blair, 2002)</w:t>
      </w:r>
      <w:r w:rsidRPr="000970CE">
        <w:rPr>
          <w:rStyle w:val="APAChar"/>
        </w:rPr>
        <w:t xml:space="preserve">. AtL shares common terminology with </w:t>
      </w:r>
      <w:r w:rsidR="00C63996">
        <w:rPr>
          <w:rStyle w:val="APAChar"/>
        </w:rPr>
        <w:t>EF</w:t>
      </w:r>
      <w:r w:rsidRPr="000970CE">
        <w:rPr>
          <w:rStyle w:val="APAChar"/>
        </w:rPr>
        <w:t xml:space="preserve">, and the two are sometimes used interchangeably, especially when the construct is measured via attention or attention control </w:t>
      </w:r>
      <w:r w:rsidR="009A6864" w:rsidRPr="009A6864">
        <w:t>(</w:t>
      </w:r>
      <w:proofErr w:type="spellStart"/>
      <w:r w:rsidR="009A6864" w:rsidRPr="009A6864">
        <w:t>Barbu</w:t>
      </w:r>
      <w:proofErr w:type="spellEnd"/>
      <w:r w:rsidR="009A6864" w:rsidRPr="009A6864">
        <w:t xml:space="preserve"> et al., 2015; Hooper et al., 2010)</w:t>
      </w:r>
      <w:r w:rsidRPr="000970CE">
        <w:rPr>
          <w:rStyle w:val="APAChar"/>
        </w:rPr>
        <w:t xml:space="preserve">. As part of executive function, attention shifting includes the ability to shift between two or more tasks or to move from one activity to the next, while in ATL, attention refers to a child’s ability to focus on tasks, resist distractions, and persist (McWayne, Fantuzzo, &amp; McDermott, 2004). Attention, as part of ATL, refers to more proximal processes of observable classroom-based behavior. In contrast, attention as part of </w:t>
      </w:r>
      <w:r w:rsidR="00C63996">
        <w:rPr>
          <w:rStyle w:val="APAChar"/>
        </w:rPr>
        <w:t xml:space="preserve">EF </w:t>
      </w:r>
      <w:r w:rsidRPr="000970CE">
        <w:rPr>
          <w:rStyle w:val="APAChar"/>
        </w:rPr>
        <w:t xml:space="preserve">or effortful control represents more distal or behind-the-scenes cognitive competencies (Barbu et al., 2015). EF typically refers to cognitively oriented tasks assessed in emotionally neutral contexts, while </w:t>
      </w:r>
      <w:r w:rsidRPr="000970CE">
        <w:rPr>
          <w:rStyle w:val="APAChar"/>
        </w:rPr>
        <w:lastRenderedPageBreak/>
        <w:t xml:space="preserve">children may utilize AtL in social situations (Jones, Bailey, Barnes, &amp; Partee, 2016). Conceptually, EF represents neurological brain structures housed in the prefrontal cortex, while ATL represents more behaviorally based (and thus malleable) manifestations of behaviors related to EF (Blair, 2002). Finally, EF is often measured through direct assessment, while ATL is measured via teacher report. </w:t>
      </w:r>
    </w:p>
    <w:p w14:paraId="093F4FEC" w14:textId="0B8493CF" w:rsidR="00A949EC" w:rsidRPr="00E729E6" w:rsidRDefault="004C28D5" w:rsidP="00A949EC">
      <w:pPr>
        <w:pStyle w:val="Heading3"/>
        <w:rPr>
          <w:vanish/>
          <w:specVanish/>
        </w:rPr>
      </w:pPr>
      <w:bookmarkStart w:id="64" w:name="_Toc46265492"/>
      <w:r w:rsidRPr="00E729E6">
        <w:t xml:space="preserve">Social </w:t>
      </w:r>
      <w:r w:rsidR="00C94647">
        <w:t>d</w:t>
      </w:r>
      <w:r w:rsidRPr="00E729E6">
        <w:t>evelopment.</w:t>
      </w:r>
      <w:bookmarkEnd w:id="64"/>
    </w:p>
    <w:p w14:paraId="1682BC03" w14:textId="6FF37A30" w:rsidR="00E729E6" w:rsidRPr="00A949EC" w:rsidRDefault="007C1CBE" w:rsidP="00A949EC">
      <w:pPr>
        <w:rPr>
          <w:vanish/>
          <w:specVanish/>
        </w:rPr>
      </w:pPr>
      <w:r>
        <w:t xml:space="preserve"> </w:t>
      </w:r>
      <w:r w:rsidR="00FD6EDA" w:rsidRPr="00E729E6">
        <w:t xml:space="preserve">Social development includes prosocial behaviors such as sharing, helping others, and expressing empathy </w:t>
      </w:r>
      <w:r w:rsidR="00FD6EDA" w:rsidRPr="009A6864">
        <w:t>(Graziano &amp; Hart, 2016)</w:t>
      </w:r>
      <w:r w:rsidR="00FD6EDA" w:rsidRPr="00E729E6">
        <w:t xml:space="preserve">. </w:t>
      </w:r>
      <w:r w:rsidR="003C4D2C" w:rsidRPr="00E729E6">
        <w:t xml:space="preserve">Social development and AtL both rely on positive, cooperative relationships with others </w:t>
      </w:r>
      <w:r w:rsidR="009A6864" w:rsidRPr="009A6864">
        <w:t>(</w:t>
      </w:r>
      <w:proofErr w:type="spellStart"/>
      <w:r w:rsidR="009A6864" w:rsidRPr="009A6864">
        <w:t>Razza</w:t>
      </w:r>
      <w:proofErr w:type="spellEnd"/>
      <w:r w:rsidR="009A6864" w:rsidRPr="009A6864">
        <w:t xml:space="preserve"> et al., 2015)</w:t>
      </w:r>
      <w:r w:rsidR="003C4D2C" w:rsidRPr="00E729E6">
        <w:t xml:space="preserve">. </w:t>
      </w:r>
      <w:r w:rsidR="00FD6EDA">
        <w:t xml:space="preserve">However, </w:t>
      </w:r>
      <w:r w:rsidR="003C4D2C" w:rsidRPr="00E729E6">
        <w:t xml:space="preserve">AtL helps children </w:t>
      </w:r>
      <w:r w:rsidR="00FD6EDA">
        <w:t xml:space="preserve">participate </w:t>
      </w:r>
      <w:r w:rsidR="003C4D2C" w:rsidRPr="00E729E6">
        <w:t xml:space="preserve">in learning tasks, </w:t>
      </w:r>
      <w:r w:rsidR="00FD6EDA">
        <w:t xml:space="preserve">while social development supports children’s overall relationships with peers that extend beyond the classroom </w:t>
      </w:r>
      <w:r w:rsidR="009A6864" w:rsidRPr="009A6864">
        <w:t>(Cerda et al., 2014)</w:t>
      </w:r>
      <w:r w:rsidR="003C4D2C" w:rsidRPr="00E729E6">
        <w:t xml:space="preserve">. </w:t>
      </w:r>
    </w:p>
    <w:p w14:paraId="41D1E455" w14:textId="77777777" w:rsidR="00A949EC" w:rsidRDefault="00A949EC" w:rsidP="00444DAF">
      <w:pPr>
        <w:ind w:firstLine="720"/>
      </w:pPr>
      <w:r>
        <w:t xml:space="preserve"> </w:t>
      </w:r>
    </w:p>
    <w:p w14:paraId="0EF56429" w14:textId="79FBEB8B" w:rsidR="003C4D2C" w:rsidRPr="00AE4598" w:rsidRDefault="003C4D2C" w:rsidP="00444DAF">
      <w:pPr>
        <w:ind w:firstLine="720"/>
      </w:pPr>
      <w:r w:rsidRPr="003C4D2C">
        <w:t>Social competence and AtL are often represented</w:t>
      </w:r>
      <w:r w:rsidR="00FD6EDA">
        <w:t xml:space="preserve"> in the research </w:t>
      </w:r>
      <w:r w:rsidRPr="003C4D2C">
        <w:t xml:space="preserve">as separate but interrelated constructs. For example, Bierman et al. </w:t>
      </w:r>
      <w:r w:rsidR="009A6864" w:rsidRPr="009A6864">
        <w:t>(2009)</w:t>
      </w:r>
      <w:r w:rsidRPr="003C4D2C">
        <w:t xml:space="preserve"> found that children who had a combined profile of aggressive behavior (poor AtL) and prosocial deficits (social skills) showed higher achievement than did children who showed prosocial deficits alone. Those with prosocial deficits were learning less because of their disengagement with peers and passivity in the classroom. A study by Arnold</w:t>
      </w:r>
      <w:r w:rsidR="009A6864">
        <w:t>,</w:t>
      </w:r>
      <w:r w:rsidRPr="003C4D2C">
        <w:t xml:space="preserve"> </w:t>
      </w:r>
      <w:proofErr w:type="spellStart"/>
      <w:r w:rsidRPr="003C4D2C">
        <w:t>Kupersmidt</w:t>
      </w:r>
      <w:proofErr w:type="spellEnd"/>
      <w:r w:rsidRPr="003C4D2C">
        <w:t xml:space="preserve">, </w:t>
      </w:r>
      <w:proofErr w:type="spellStart"/>
      <w:r w:rsidRPr="003C4D2C">
        <w:t>Voegler</w:t>
      </w:r>
      <w:proofErr w:type="spellEnd"/>
      <w:r w:rsidRPr="003C4D2C">
        <w:t xml:space="preserve">-Lee, and Marshall </w:t>
      </w:r>
      <w:r w:rsidR="009A6864" w:rsidRPr="009A6864">
        <w:t>(2012)</w:t>
      </w:r>
      <w:r w:rsidRPr="003C4D2C">
        <w:t xml:space="preserve"> explored the mediational relationship of both social skills and AtL, finding prosocial behavior demonstrated a small negative relationship with math growth when AtL was also included in the model. Arnold et al. posit that AtL and social skills may share a significant amount of common variance that may be masked in previous studies that do not simultaneously include ATL and measures of social competence. </w:t>
      </w:r>
    </w:p>
    <w:p w14:paraId="62847F83" w14:textId="77777777" w:rsidR="00A949EC" w:rsidRPr="00A949EC" w:rsidRDefault="003C4D2C" w:rsidP="00A949EC">
      <w:pPr>
        <w:pStyle w:val="Heading3"/>
        <w:rPr>
          <w:vanish/>
          <w:specVanish/>
        </w:rPr>
      </w:pPr>
      <w:bookmarkStart w:id="65" w:name="_Toc46265493"/>
      <w:r w:rsidRPr="00B3544A">
        <w:lastRenderedPageBreak/>
        <w:t>Problem Behaviors</w:t>
      </w:r>
      <w:bookmarkEnd w:id="65"/>
    </w:p>
    <w:p w14:paraId="1156CC5A" w14:textId="782711A9" w:rsidR="00A949EC" w:rsidRPr="00A949EC" w:rsidRDefault="00B3544A" w:rsidP="00A949EC">
      <w:pPr>
        <w:ind w:firstLine="720"/>
        <w:rPr>
          <w:vanish/>
          <w:specVanish/>
        </w:rPr>
      </w:pPr>
      <w:r w:rsidRPr="00B3544A">
        <w:t>.</w:t>
      </w:r>
      <w:r>
        <w:t xml:space="preserve"> </w:t>
      </w:r>
      <w:r w:rsidR="003C4D2C" w:rsidRPr="000B1E47">
        <w:t xml:space="preserve">As an adaptive response, AtL highlights how a child navigates a learning environment </w:t>
      </w:r>
      <w:r w:rsidR="009A6864" w:rsidRPr="009A6864">
        <w:t>(</w:t>
      </w:r>
      <w:proofErr w:type="spellStart"/>
      <w:r w:rsidR="009A6864" w:rsidRPr="009A6864">
        <w:t>Ponitz</w:t>
      </w:r>
      <w:proofErr w:type="spellEnd"/>
      <w:r w:rsidR="009A6864" w:rsidRPr="009A6864">
        <w:t>, McClelland, Matthews, &amp; Morrison, 2009)</w:t>
      </w:r>
      <w:r w:rsidR="003C4D2C" w:rsidRPr="000B1E47">
        <w:t xml:space="preserve">. However, some children’s strategies include behaviors that escalate conflict and disrupt learning in the classroom </w:t>
      </w:r>
      <w:r w:rsidR="009A6864" w:rsidRPr="009A6864">
        <w:t>(Denham, Bassett, Way, et al., 2012; McClelland et al., 2006)</w:t>
      </w:r>
      <w:r w:rsidR="003C4D2C" w:rsidRPr="000B1E47">
        <w:t xml:space="preserve">. Referred to in the literature as negative approaches to learning, these mal-adaptive behaviors limit children’s interactions with teachers or peers and do not promote learning </w:t>
      </w:r>
      <w:r w:rsidR="009A6864" w:rsidRPr="009A6864">
        <w:t xml:space="preserve">(Chen &amp; McNamee, 2011; Hyson, 2008; </w:t>
      </w:r>
      <w:proofErr w:type="spellStart"/>
      <w:r w:rsidR="009A6864" w:rsidRPr="009A6864">
        <w:t>Montroy</w:t>
      </w:r>
      <w:proofErr w:type="spellEnd"/>
      <w:r w:rsidR="009A6864" w:rsidRPr="009A6864">
        <w:t xml:space="preserve">, Bowles, </w:t>
      </w:r>
      <w:proofErr w:type="spellStart"/>
      <w:r w:rsidR="009A6864" w:rsidRPr="009A6864">
        <w:t>Skibbe</w:t>
      </w:r>
      <w:proofErr w:type="spellEnd"/>
      <w:r w:rsidR="009A6864" w:rsidRPr="009A6864">
        <w:t>, &amp; Foster, 2014)</w:t>
      </w:r>
      <w:r w:rsidR="003C4D2C" w:rsidRPr="000B1E47">
        <w:t>. Negative AtL includes a range of behaviors, from physical aggression</w:t>
      </w:r>
      <w:r w:rsidR="00C63996">
        <w:t xml:space="preserve"> and </w:t>
      </w:r>
      <w:r w:rsidR="003C4D2C" w:rsidRPr="000B1E47">
        <w:t>inattention</w:t>
      </w:r>
      <w:r w:rsidR="00C94647">
        <w:t>,</w:t>
      </w:r>
      <w:r w:rsidR="003C4D2C" w:rsidRPr="000B1E47">
        <w:t xml:space="preserve"> to behavior that is misaligned with the expectations of the setting, e.g., the child blurts out when the expectation is to raise hands </w:t>
      </w:r>
      <w:r w:rsidR="009A6864" w:rsidRPr="009A6864">
        <w:t>(</w:t>
      </w:r>
      <w:proofErr w:type="spellStart"/>
      <w:r w:rsidR="009A6864" w:rsidRPr="009A6864">
        <w:t>Bulotsky</w:t>
      </w:r>
      <w:proofErr w:type="spellEnd"/>
      <w:r w:rsidR="009A6864" w:rsidRPr="009A6864">
        <w:t xml:space="preserve">-Shearer &amp; </w:t>
      </w:r>
      <w:proofErr w:type="spellStart"/>
      <w:r w:rsidR="009A6864" w:rsidRPr="009A6864">
        <w:t>Fantuzzo</w:t>
      </w:r>
      <w:proofErr w:type="spellEnd"/>
      <w:r w:rsidR="009A6864" w:rsidRPr="009A6864">
        <w:t>, 2011)</w:t>
      </w:r>
      <w:r w:rsidR="003C4D2C" w:rsidRPr="000B1E47">
        <w:t xml:space="preserve">. Problem behaviors appear to interfere not only with classroom learning processes but with the child’s own ability to engage in learning </w:t>
      </w:r>
      <w:r w:rsidR="009A6864" w:rsidRPr="009A6864">
        <w:t>(</w:t>
      </w:r>
      <w:proofErr w:type="spellStart"/>
      <w:r w:rsidR="009A6864" w:rsidRPr="009A6864">
        <w:t>Montroy</w:t>
      </w:r>
      <w:proofErr w:type="spellEnd"/>
      <w:r w:rsidR="009A6864" w:rsidRPr="009A6864">
        <w:t xml:space="preserve"> et al., 2014)</w:t>
      </w:r>
      <w:r w:rsidR="003C4D2C" w:rsidRPr="000B1E47">
        <w:t>. Children with negative AtL may be easily distracted, give up easily, or be more likely to engage in interactions that disturb the learning environment.</w:t>
      </w:r>
    </w:p>
    <w:p w14:paraId="78022434" w14:textId="77777777" w:rsidR="00A949EC" w:rsidRDefault="00A949EC" w:rsidP="00A949EC">
      <w:pPr>
        <w:ind w:firstLine="720"/>
      </w:pPr>
    </w:p>
    <w:p w14:paraId="2F703C47" w14:textId="76FF2B11" w:rsidR="00C162CF" w:rsidRDefault="003C4D2C" w:rsidP="00A949EC">
      <w:pPr>
        <w:ind w:firstLine="720"/>
      </w:pPr>
      <w:r w:rsidRPr="003C4D2C">
        <w:t xml:space="preserve">A modest number of studies have examined the relationship between children’s problem behavior and approaches to learning as two distinct constructs. Children’s behavior problems or aggressive behavior has been associated with lower AtL </w:t>
      </w:r>
      <w:r w:rsidR="009A6864" w:rsidRPr="009A6864">
        <w:t xml:space="preserve">(Domínguez et al., 2010; </w:t>
      </w:r>
      <w:proofErr w:type="spellStart"/>
      <w:r w:rsidR="009A6864" w:rsidRPr="009A6864">
        <w:t>Fantuzzo</w:t>
      </w:r>
      <w:proofErr w:type="spellEnd"/>
      <w:r w:rsidR="009A6864" w:rsidRPr="009A6864">
        <w:t xml:space="preserve">, </w:t>
      </w:r>
      <w:proofErr w:type="spellStart"/>
      <w:r w:rsidR="009A6864" w:rsidRPr="009A6864">
        <w:t>Bulotsky</w:t>
      </w:r>
      <w:proofErr w:type="spellEnd"/>
      <w:r w:rsidR="009A6864" w:rsidRPr="009A6864">
        <w:t>-Shearer, Fusco, &amp; McWayne, 2005)</w:t>
      </w:r>
      <w:r w:rsidRPr="003C4D2C">
        <w:t>, especially when children are in structured learning environments, like whole group learning</w:t>
      </w:r>
      <w:r w:rsidR="00C162CF">
        <w:t xml:space="preserve"> </w:t>
      </w:r>
      <w:r w:rsidR="009A6864" w:rsidRPr="009A6864">
        <w:t>(</w:t>
      </w:r>
      <w:proofErr w:type="spellStart"/>
      <w:r w:rsidR="009A6864" w:rsidRPr="009A6864">
        <w:t>Bulotsky</w:t>
      </w:r>
      <w:proofErr w:type="spellEnd"/>
      <w:r w:rsidR="009A6864" w:rsidRPr="009A6864">
        <w:t xml:space="preserve">-Shearer &amp; </w:t>
      </w:r>
      <w:proofErr w:type="spellStart"/>
      <w:r w:rsidR="009A6864" w:rsidRPr="009A6864">
        <w:t>Fantuzzo</w:t>
      </w:r>
      <w:proofErr w:type="spellEnd"/>
      <w:r w:rsidR="009A6864" w:rsidRPr="009A6864">
        <w:t>, 2011)</w:t>
      </w:r>
      <w:r w:rsidRPr="003C4D2C">
        <w:t xml:space="preserve">. AtL </w:t>
      </w:r>
      <w:r w:rsidR="00FD6EDA">
        <w:t xml:space="preserve">may represent a positive adaptation, </w:t>
      </w:r>
      <w:r w:rsidRPr="003C4D2C">
        <w:t>buffer</w:t>
      </w:r>
      <w:r w:rsidR="00FD6EDA">
        <w:t>ing</w:t>
      </w:r>
      <w:r w:rsidRPr="003C4D2C">
        <w:t xml:space="preserve"> against problem behaviors</w:t>
      </w:r>
      <w:r w:rsidR="00FD6EDA">
        <w:t xml:space="preserve"> and </w:t>
      </w:r>
      <w:r w:rsidRPr="003C4D2C">
        <w:t xml:space="preserve">mediating the association between academic achievement and problem behavior </w:t>
      </w:r>
      <w:r w:rsidR="009A6864" w:rsidRPr="009A6864">
        <w:t>(McWayne &amp; Cheung, 2009)</w:t>
      </w:r>
      <w:r w:rsidRPr="003C4D2C">
        <w:t xml:space="preserve">. AtL may help harness children’s interest in learning activities, despite frustration or inattentive behaviors </w:t>
      </w:r>
      <w:r w:rsidR="009A6864" w:rsidRPr="009A6864">
        <w:t>(Dobbs, Doctoroff, Fisher, &amp; Arnold, 2006)</w:t>
      </w:r>
      <w:r w:rsidRPr="003C4D2C">
        <w:t>.</w:t>
      </w:r>
      <w:r w:rsidR="00A949EC">
        <w:t xml:space="preserve"> </w:t>
      </w:r>
    </w:p>
    <w:p w14:paraId="01551A5D" w14:textId="633D894F" w:rsidR="003C4D2C" w:rsidRPr="00A949EC" w:rsidRDefault="00C162CF" w:rsidP="00A949EC">
      <w:pPr>
        <w:ind w:firstLine="720"/>
        <w:rPr>
          <w:vanish/>
          <w:specVanish/>
        </w:rPr>
      </w:pPr>
      <w:r>
        <w:lastRenderedPageBreak/>
        <w:t>As demonstrated above, p</w:t>
      </w:r>
      <w:r w:rsidR="003C4D2C" w:rsidRPr="003C4D2C">
        <w:t xml:space="preserve">revious research has been limited in the definitional clarity surrounding AtL. While AtL is conceptually distinct from executive function, social development, and problem behaviors, </w:t>
      </w:r>
      <w:r>
        <w:t xml:space="preserve">the </w:t>
      </w:r>
      <w:r w:rsidR="003C4D2C" w:rsidRPr="003C4D2C">
        <w:t xml:space="preserve">empirical research </w:t>
      </w:r>
      <w:r>
        <w:t xml:space="preserve">to date has </w:t>
      </w:r>
      <w:r w:rsidR="003C4D2C" w:rsidRPr="003C4D2C">
        <w:t>not clear</w:t>
      </w:r>
      <w:r>
        <w:t>ly differentiated these constructs</w:t>
      </w:r>
      <w:r w:rsidR="003C4D2C" w:rsidRPr="003C4D2C">
        <w:t xml:space="preserve">. Many previous studies examine AtL as a composite or global construct, without accounting for how individual children may possess different combinations of social, emotional, and cognitive competencies that help them adjust to classroom environments and engage in learning. Strengths in one domain may counteract limitations in another, as children with early behavior problems may be able to achieve positive academic outcomes with increased AtL </w:t>
      </w:r>
      <w:r w:rsidR="009A6864" w:rsidRPr="009A6864">
        <w:t xml:space="preserve">(Downer &amp; </w:t>
      </w:r>
      <w:proofErr w:type="spellStart"/>
      <w:r w:rsidR="009A6864" w:rsidRPr="009A6864">
        <w:t>Pianta</w:t>
      </w:r>
      <w:proofErr w:type="spellEnd"/>
      <w:r w:rsidR="009A6864" w:rsidRPr="009A6864">
        <w:t>, 2006)</w:t>
      </w:r>
      <w:r w:rsidR="003C4D2C" w:rsidRPr="003C4D2C">
        <w:t xml:space="preserve">. However, our understanding of this complex relationship is limited by current variable centered approaches. </w:t>
      </w:r>
    </w:p>
    <w:p w14:paraId="5C00F239" w14:textId="77777777" w:rsidR="00C162CF" w:rsidRDefault="00A949EC" w:rsidP="00A55582">
      <w:pPr>
        <w:pStyle w:val="Heading2"/>
        <w:rPr>
          <w:rStyle w:val="Heading3Char"/>
          <w:rFonts w:eastAsiaTheme="minorHAnsi" w:cs="Times New Roman"/>
          <w:b/>
        </w:rPr>
      </w:pPr>
      <w:bookmarkStart w:id="66" w:name="_Toc19885618"/>
      <w:r>
        <w:rPr>
          <w:rStyle w:val="Heading3Char"/>
          <w:rFonts w:eastAsiaTheme="minorHAnsi" w:cs="Times New Roman"/>
          <w:b/>
        </w:rPr>
        <w:t xml:space="preserve"> </w:t>
      </w:r>
    </w:p>
    <w:p w14:paraId="38E12047" w14:textId="14E0DAF8" w:rsidR="003C4D2C" w:rsidRPr="00A55582" w:rsidRDefault="003C4D2C" w:rsidP="00A55582">
      <w:pPr>
        <w:pStyle w:val="Heading2"/>
        <w:rPr>
          <w:rStyle w:val="Heading3Char"/>
          <w:rFonts w:eastAsiaTheme="minorHAnsi" w:cs="Times New Roman"/>
          <w:b/>
          <w:i/>
        </w:rPr>
      </w:pPr>
      <w:bookmarkStart w:id="67" w:name="_Toc46265494"/>
      <w:r w:rsidRPr="00A55582">
        <w:rPr>
          <w:rStyle w:val="Heading3Char"/>
          <w:rFonts w:eastAsiaTheme="minorHAnsi" w:cs="Times New Roman"/>
          <w:b/>
        </w:rPr>
        <w:t>Person-Centered Approaches</w:t>
      </w:r>
      <w:bookmarkEnd w:id="66"/>
      <w:bookmarkEnd w:id="67"/>
      <w:r w:rsidR="007C1CBE">
        <w:rPr>
          <w:rStyle w:val="Heading3Char"/>
          <w:rFonts w:eastAsiaTheme="minorHAnsi" w:cs="Times New Roman"/>
          <w:b/>
        </w:rPr>
        <w:t xml:space="preserve"> </w:t>
      </w:r>
    </w:p>
    <w:p w14:paraId="2FA00A01" w14:textId="4C37ED8D" w:rsidR="003C4D2C" w:rsidRPr="00094AF8" w:rsidRDefault="003C4D2C" w:rsidP="003C4D2C">
      <w:pPr>
        <w:ind w:firstLine="720"/>
        <w:contextualSpacing/>
        <w:rPr>
          <w:b/>
          <w:bCs/>
        </w:rPr>
      </w:pPr>
      <w:r w:rsidRPr="00094AF8">
        <w:t xml:space="preserve">Latent profile analysis (LPA) is a </w:t>
      </w:r>
      <w:r w:rsidR="00494370">
        <w:t xml:space="preserve">mixture modeling </w:t>
      </w:r>
      <w:r w:rsidRPr="00094AF8">
        <w:t xml:space="preserve">technique used </w:t>
      </w:r>
      <w:r w:rsidR="000F12C2">
        <w:t>when researchers seek to identify distinct patterns among multiple variables (</w:t>
      </w:r>
      <w:proofErr w:type="spellStart"/>
      <w:r w:rsidR="000F12C2">
        <w:t>Asparouhov</w:t>
      </w:r>
      <w:proofErr w:type="spellEnd"/>
      <w:r w:rsidR="000F12C2">
        <w:t xml:space="preserve"> &amp; </w:t>
      </w:r>
      <w:proofErr w:type="spellStart"/>
      <w:r w:rsidR="000F12C2">
        <w:t>Muthen</w:t>
      </w:r>
      <w:proofErr w:type="spellEnd"/>
      <w:r w:rsidR="000F12C2">
        <w:t xml:space="preserve">, 2014). </w:t>
      </w:r>
      <w:r w:rsidR="00494370">
        <w:t xml:space="preserve">As a person-centered approach, </w:t>
      </w:r>
      <w:r w:rsidR="00C94647">
        <w:t>it</w:t>
      </w:r>
      <w:r w:rsidR="00C63996">
        <w:t xml:space="preserve"> </w:t>
      </w:r>
      <w:r w:rsidR="00494370" w:rsidRPr="00094AF8">
        <w:t>has numerous advantages over more traditional variable-centered approaches</w:t>
      </w:r>
      <w:r w:rsidR="00494370">
        <w:t xml:space="preserve"> </w:t>
      </w:r>
      <w:r w:rsidR="00C94647">
        <w:t>in</w:t>
      </w:r>
      <w:r w:rsidR="00494370">
        <w:t xml:space="preserve"> </w:t>
      </w:r>
      <w:r w:rsidRPr="00094AF8">
        <w:t>identif</w:t>
      </w:r>
      <w:r w:rsidR="00C94647">
        <w:t>ying</w:t>
      </w:r>
      <w:r w:rsidRPr="00094AF8">
        <w:t xml:space="preserve"> the dynamics of emerging subgroups </w:t>
      </w:r>
      <w:r w:rsidR="00494370">
        <w:t xml:space="preserve">and </w:t>
      </w:r>
      <w:r w:rsidRPr="00094AF8">
        <w:t xml:space="preserve">capture heterogeneity in behavior </w:t>
      </w:r>
      <w:r w:rsidR="009A6864" w:rsidRPr="009A6864">
        <w:t>(</w:t>
      </w:r>
      <w:r w:rsidR="00494370" w:rsidRPr="009A6864">
        <w:t>Howard &amp; Hoffman, 2018</w:t>
      </w:r>
      <w:r w:rsidR="00494370">
        <w:t xml:space="preserve">; </w:t>
      </w:r>
      <w:proofErr w:type="spellStart"/>
      <w:r w:rsidR="009A6864" w:rsidRPr="009A6864">
        <w:t>Racz</w:t>
      </w:r>
      <w:proofErr w:type="spellEnd"/>
      <w:r w:rsidR="009A6864" w:rsidRPr="009A6864">
        <w:t xml:space="preserve">, </w:t>
      </w:r>
      <w:proofErr w:type="spellStart"/>
      <w:r w:rsidR="009A6864" w:rsidRPr="009A6864">
        <w:t>O’Brennan</w:t>
      </w:r>
      <w:proofErr w:type="spellEnd"/>
      <w:r w:rsidR="009A6864" w:rsidRPr="009A6864">
        <w:t>, Bradshaw, &amp; Leaf, 2016)</w:t>
      </w:r>
      <w:r w:rsidRPr="00094AF8">
        <w:t xml:space="preserve">. </w:t>
      </w:r>
      <w:r w:rsidR="00494370">
        <w:t xml:space="preserve">LPA allows for the classification of an underlying latent categorical variable </w:t>
      </w:r>
      <w:r w:rsidR="000551AE">
        <w:t xml:space="preserve">that represents distinct </w:t>
      </w:r>
      <w:r w:rsidR="00494370">
        <w:t xml:space="preserve">profiles of the construct under study </w:t>
      </w:r>
      <w:r w:rsidR="009A6864" w:rsidRPr="009A6864">
        <w:t xml:space="preserve">(Sabol &amp; </w:t>
      </w:r>
      <w:proofErr w:type="spellStart"/>
      <w:r w:rsidR="009A6864" w:rsidRPr="009A6864">
        <w:t>Pianta</w:t>
      </w:r>
      <w:proofErr w:type="spellEnd"/>
      <w:r w:rsidR="009A6864" w:rsidRPr="009A6864">
        <w:t>, 2017)</w:t>
      </w:r>
      <w:r w:rsidRPr="00094AF8">
        <w:t xml:space="preserve">. </w:t>
      </w:r>
    </w:p>
    <w:p w14:paraId="29AC8EDF" w14:textId="2C56F240" w:rsidR="003C4D2C" w:rsidRPr="00094AF8" w:rsidRDefault="003C4D2C" w:rsidP="003C4D2C">
      <w:pPr>
        <w:contextualSpacing/>
      </w:pPr>
      <w:r w:rsidRPr="00094AF8">
        <w:tab/>
      </w:r>
      <w:r w:rsidR="00C94647">
        <w:t>Person-centered approaches</w:t>
      </w:r>
      <w:r w:rsidRPr="00094AF8">
        <w:t xml:space="preserve"> can be especially </w:t>
      </w:r>
      <w:r w:rsidR="00C162CF">
        <w:t xml:space="preserve">helpful in teasing apart characteristics that may have been overlapping or conflated in previous studies. For example, </w:t>
      </w:r>
      <w:proofErr w:type="spellStart"/>
      <w:r w:rsidRPr="00094AF8">
        <w:t>Racz</w:t>
      </w:r>
      <w:proofErr w:type="spellEnd"/>
      <w:r w:rsidRPr="00094AF8">
        <w:t xml:space="preserve"> et al. </w:t>
      </w:r>
      <w:r w:rsidR="009A6864" w:rsidRPr="009A6864">
        <w:t>(2016)</w:t>
      </w:r>
      <w:r w:rsidR="00C162CF">
        <w:t xml:space="preserve"> </w:t>
      </w:r>
      <w:r>
        <w:t>f</w:t>
      </w:r>
      <w:r w:rsidR="00C162CF">
        <w:t xml:space="preserve">ound </w:t>
      </w:r>
      <w:r w:rsidRPr="00094AF8">
        <w:t>three distinct profiles</w:t>
      </w:r>
      <w:r w:rsidR="00CE62E3">
        <w:t xml:space="preserve">, </w:t>
      </w:r>
      <w:r w:rsidRPr="00094AF8">
        <w:t xml:space="preserve">well-adapted, concentration problems, and children at risk. The discovery of the concentration problems subgroup was unique in distinguishing children with attention problems from those with disruptive behavior problems. This profile could reflect </w:t>
      </w:r>
      <w:r w:rsidRPr="00094AF8">
        <w:lastRenderedPageBreak/>
        <w:t>children who will develop attention problems or children who have difficulty adjusting to the more academic demands of kindergarten</w:t>
      </w:r>
      <w:r w:rsidR="00494370">
        <w:t>.</w:t>
      </w:r>
    </w:p>
    <w:p w14:paraId="5BF1D7ED" w14:textId="6CD23D1B" w:rsidR="003C4D2C" w:rsidRPr="00094AF8" w:rsidRDefault="00494370" w:rsidP="003C4D2C">
      <w:pPr>
        <w:ind w:firstLine="720"/>
        <w:contextualSpacing/>
      </w:pPr>
      <w:r>
        <w:t xml:space="preserve">Another </w:t>
      </w:r>
      <w:r w:rsidR="003C4D2C" w:rsidRPr="00094AF8">
        <w:t>benefit of LPA is that it can detect small subgroups of children who have mixed pattern</w:t>
      </w:r>
      <w:r w:rsidR="005764E5">
        <w:t>s</w:t>
      </w:r>
      <w:r w:rsidR="003C4D2C" w:rsidRPr="00094AF8">
        <w:t xml:space="preserve"> of </w:t>
      </w:r>
      <w:r w:rsidR="005764E5">
        <w:t xml:space="preserve">behaviors </w:t>
      </w:r>
      <w:r w:rsidR="005764E5">
        <w:fldChar w:fldCharType="begin"/>
      </w:r>
      <w:r w:rsidR="005764E5">
        <w:instrText xml:space="preserve"> ADDIN ZOTERO_ITEM CSL_CITATION {"citationID":"7gblrHYR","properties":{"formattedCitation":"(Litkowski, Finders, Borriello, Purpura, &amp; Schmitt, 2020)","plainCitation":"(Litkowski, Finders, Borriello, Purpura, &amp; Schmitt, 2020)","noteIndex":0},"citationItems":[{"id":2262,"uris":["http://zotero.org/users/5334424/items/VVY96FCZ"],"uri":["http://zotero.org/users/5334424/items/VVY96FCZ"],"itemData":{"id":2262,"type":"article-journal","abstract":"In the current study, we utilized latent profile analysis to investigate patterns of heterogeneity within children's executive function (EF) skills – as measured through direct assessments and as rated by teachers – that emerged within a large, national sample of kindergarten children (N = 10,770; Mage = 66.48 months, SD = 4.15). We then investigated whether these profiles predicted children's reading and mathematics achievement in third grade. Five unique profiles emerged from the data – representing groups with high, average, and low EF performance – as well as two groups with discordant performance across the direct assessments and teacher ratings. When predicting third grade achievement from latent class membership, performance on reading and math for both discordant groups was below that of the average-EF group. Findings demonstrate the importance of improving methods for identifying children who may be in need of extra support and may be overlooked when using solely linear-based analytic techniques.","container-title":"Learning and Individual Differences","DOI":"10.1016/j.lindif.2020.101846","ISSN":"1041-6080","journalAbbreviation":"Learning and Individual Differences","language":"en","page":"101846","source":"ScienceDirect","title":"Patterns of heterogeneity in kindergarten children's executive function: Profile associations with third grade achievement","title-short":"Patterns of heterogeneity in kindergarten children's executive function","URL":"http://www.sciencedirect.com/science/article/pii/S1041608020300261","volume":"80","author":[{"family":"Litkowski","given":"Ellen C."},{"family":"Finders","given":"Jennifer K."},{"family":"Borriello","given":"Giulia A."},{"family":"Purpura","given":"David J."},{"family":"Schmitt","given":"Sara A."}],"accessed":{"date-parts":[["2020",6,28]]},"issued":{"date-parts":[["2020",5,1]]}}}],"schema":"https://github.com/citation-style-language/schema/raw/master/csl-citation.json"} </w:instrText>
      </w:r>
      <w:r w:rsidR="005764E5">
        <w:fldChar w:fldCharType="separate"/>
      </w:r>
      <w:r w:rsidR="005764E5" w:rsidRPr="00765B8B">
        <w:t>(</w:t>
      </w:r>
      <w:proofErr w:type="spellStart"/>
      <w:r w:rsidR="005764E5" w:rsidRPr="00765B8B">
        <w:t>Litkowski</w:t>
      </w:r>
      <w:proofErr w:type="spellEnd"/>
      <w:r w:rsidR="005764E5" w:rsidRPr="00765B8B">
        <w:t xml:space="preserve">, Finders, </w:t>
      </w:r>
      <w:proofErr w:type="spellStart"/>
      <w:r w:rsidR="005764E5" w:rsidRPr="00765B8B">
        <w:t>Borriello</w:t>
      </w:r>
      <w:proofErr w:type="spellEnd"/>
      <w:r w:rsidR="005764E5" w:rsidRPr="00765B8B">
        <w:t>, Purpura, &amp; Schmitt, 2020)</w:t>
      </w:r>
      <w:r w:rsidR="005764E5">
        <w:fldChar w:fldCharType="end"/>
      </w:r>
      <w:r w:rsidR="005764E5" w:rsidRPr="00094AF8">
        <w:t xml:space="preserve">. </w:t>
      </w:r>
      <w:r w:rsidR="003C4D2C" w:rsidRPr="00094AF8">
        <w:t xml:space="preserve">For example, </w:t>
      </w:r>
      <w:proofErr w:type="spellStart"/>
      <w:r w:rsidR="003C4D2C" w:rsidRPr="00094AF8">
        <w:t>Abenavoli</w:t>
      </w:r>
      <w:proofErr w:type="spellEnd"/>
      <w:r w:rsidR="003C4D2C" w:rsidRPr="00094AF8">
        <w:t xml:space="preserve"> et al. (2017) measured school readiness using </w:t>
      </w:r>
      <w:r w:rsidR="005764E5">
        <w:t>various academic and social-emotional skills</w:t>
      </w:r>
      <w:r w:rsidR="00CE62E3">
        <w:t>,</w:t>
      </w:r>
      <w:r w:rsidR="005764E5">
        <w:t xml:space="preserve"> </w:t>
      </w:r>
      <w:r w:rsidR="003C4D2C" w:rsidRPr="00094AF8">
        <w:t>f</w:t>
      </w:r>
      <w:r w:rsidR="005764E5">
        <w:t xml:space="preserve">inding </w:t>
      </w:r>
      <w:r w:rsidR="003C4D2C" w:rsidRPr="00094AF8">
        <w:t>two subgroups with mixed patterns of strengths and weaknesses</w:t>
      </w:r>
      <w:r w:rsidR="003C4D2C">
        <w:t>. One group, ‘c</w:t>
      </w:r>
      <w:r w:rsidR="003C4D2C" w:rsidRPr="00094AF8">
        <w:t>ompetent aggressive</w:t>
      </w:r>
      <w:r w:rsidR="003C4D2C">
        <w:t>,’</w:t>
      </w:r>
      <w:r w:rsidR="003C4D2C" w:rsidRPr="00094AF8">
        <w:t xml:space="preserve"> had higher levels of aggressive behavior, lower social skills, and strong academic abilities</w:t>
      </w:r>
      <w:r w:rsidR="003C4D2C">
        <w:t>. T</w:t>
      </w:r>
      <w:r w:rsidR="003C4D2C" w:rsidRPr="00094AF8">
        <w:t>hese children had strengths in other domains that served to compensate for their lack of social skills to lead to academic outcomes. ‘Academically disengaged’ children were not aggressive but exhibited low social and academic skill</w:t>
      </w:r>
      <w:r w:rsidR="00CE62E3">
        <w:t xml:space="preserve">s. The risk for disengaged children is that because they are not a behavior problem, they </w:t>
      </w:r>
      <w:r w:rsidR="00C54CCC">
        <w:t xml:space="preserve">may </w:t>
      </w:r>
      <w:r w:rsidR="003C4D2C" w:rsidRPr="00094AF8">
        <w:t xml:space="preserve">continue to </w:t>
      </w:r>
      <w:r w:rsidR="003C4D2C">
        <w:t>fall behind</w:t>
      </w:r>
      <w:r w:rsidR="00CE62E3">
        <w:t>.</w:t>
      </w:r>
      <w:r w:rsidR="005764E5">
        <w:t xml:space="preserve"> Other studies have found patterns of discordant performance among children’s academic achievement and externalizing behavior (Elliot, 2019; </w:t>
      </w:r>
      <w:r w:rsidR="005764E5" w:rsidRPr="00094AF8">
        <w:t>Hair, Halle, Terry-</w:t>
      </w:r>
      <w:proofErr w:type="spellStart"/>
      <w:r w:rsidR="005764E5" w:rsidRPr="00094AF8">
        <w:t>Humen</w:t>
      </w:r>
      <w:proofErr w:type="spellEnd"/>
      <w:r w:rsidR="005764E5" w:rsidRPr="00094AF8">
        <w:t>, Lavelle, &amp; Calkins, 2006</w:t>
      </w:r>
      <w:r w:rsidR="005764E5">
        <w:t xml:space="preserve">). </w:t>
      </w:r>
    </w:p>
    <w:p w14:paraId="06A520E4" w14:textId="1477E73C" w:rsidR="00494370" w:rsidRDefault="003E44C4" w:rsidP="003C4D2C">
      <w:pPr>
        <w:ind w:firstLine="720"/>
        <w:contextualSpacing/>
      </w:pPr>
      <w:r>
        <w:t xml:space="preserve">Multiple </w:t>
      </w:r>
      <w:r w:rsidR="000F12C2" w:rsidRPr="00094AF8">
        <w:t xml:space="preserve">studies have used </w:t>
      </w:r>
      <w:r w:rsidR="000F12C2">
        <w:t xml:space="preserve">LPA </w:t>
      </w:r>
      <w:r w:rsidR="000F12C2" w:rsidRPr="00094AF8">
        <w:t xml:space="preserve">to study </w:t>
      </w:r>
      <w:r w:rsidR="000F12C2">
        <w:t xml:space="preserve">umbrella </w:t>
      </w:r>
      <w:r w:rsidR="000F12C2" w:rsidRPr="00094AF8">
        <w:t xml:space="preserve">constructs </w:t>
      </w:r>
      <w:r w:rsidR="000F12C2">
        <w:t xml:space="preserve">like </w:t>
      </w:r>
      <w:r w:rsidR="000F12C2" w:rsidRPr="00094AF8">
        <w:t>school readiness, self-control, and emotion regulation (Denham et al., 2012; Hair</w:t>
      </w:r>
      <w:r w:rsidR="005764E5">
        <w:t xml:space="preserve"> et al., </w:t>
      </w:r>
      <w:r w:rsidR="000F12C2" w:rsidRPr="00094AF8">
        <w:t xml:space="preserve">2006; Vaughn et al., 2009). </w:t>
      </w:r>
      <w:r>
        <w:t>These studies have shown that children’s positive social/emotional behavior tends to co-occur with other school readiness variables (</w:t>
      </w:r>
      <w:r w:rsidR="00C94647">
        <w:t>Collie et al., 2019</w:t>
      </w:r>
      <w:r w:rsidR="00C94647">
        <w:t xml:space="preserve">; </w:t>
      </w:r>
      <w:proofErr w:type="spellStart"/>
      <w:r>
        <w:t>Konold</w:t>
      </w:r>
      <w:proofErr w:type="spellEnd"/>
      <w:r>
        <w:t xml:space="preserve"> &amp; </w:t>
      </w:r>
      <w:proofErr w:type="spellStart"/>
      <w:r>
        <w:t>Pianta</w:t>
      </w:r>
      <w:proofErr w:type="spellEnd"/>
      <w:r>
        <w:t>, 2005;).</w:t>
      </w:r>
      <w:r w:rsidR="006017B5">
        <w:t xml:space="preserve"> </w:t>
      </w:r>
      <w:r w:rsidR="006017B5" w:rsidRPr="00094AF8">
        <w:t xml:space="preserve">A more fine-grained analysis of children’s individual experiences may be able to capture </w:t>
      </w:r>
      <w:r w:rsidR="006017B5">
        <w:t>how</w:t>
      </w:r>
      <w:r w:rsidR="006017B5" w:rsidRPr="00094AF8">
        <w:t xml:space="preserve"> children’s specific social and emotional skills help them to navigate each type of preschool learning activity or social interaction </w:t>
      </w:r>
      <w:r w:rsidR="006017B5" w:rsidRPr="009A6864">
        <w:t>(</w:t>
      </w:r>
      <w:proofErr w:type="spellStart"/>
      <w:r w:rsidR="006017B5" w:rsidRPr="009A6864">
        <w:t>Kontos</w:t>
      </w:r>
      <w:proofErr w:type="spellEnd"/>
      <w:r w:rsidR="006017B5" w:rsidRPr="009A6864">
        <w:t xml:space="preserve"> &amp; Keyes, 1999)</w:t>
      </w:r>
      <w:r w:rsidR="006017B5" w:rsidRPr="00094AF8">
        <w:t xml:space="preserve">. </w:t>
      </w:r>
      <w:r w:rsidR="00CE62E3">
        <w:t xml:space="preserve">It may also reveal patterns of AtL that are reflected in different researchers’ operationalizations of AtL. </w:t>
      </w:r>
    </w:p>
    <w:p w14:paraId="67F593E9" w14:textId="48D0597B" w:rsidR="003C4D2C" w:rsidRPr="00094AF8" w:rsidRDefault="003C4D2C" w:rsidP="003C4D2C">
      <w:pPr>
        <w:ind w:firstLine="720"/>
        <w:contextualSpacing/>
      </w:pPr>
      <w:r>
        <w:t>The c</w:t>
      </w:r>
      <w:r w:rsidRPr="00094AF8">
        <w:t>urrent understanding of how AtL is configured within individual children is limited to variable-centered approaches (Elliott, 2019).</w:t>
      </w:r>
      <w:r>
        <w:t xml:space="preserve"> </w:t>
      </w:r>
      <w:r w:rsidR="003E44C4">
        <w:t xml:space="preserve">Previous research has provided evidence that </w:t>
      </w:r>
      <w:r w:rsidR="003E44C4">
        <w:lastRenderedPageBreak/>
        <w:t xml:space="preserve">distinct components of AtL are related, but it is not known how they co-occur among groups of children. </w:t>
      </w:r>
      <w:r>
        <w:t xml:space="preserve">Given the overlap in components of AtL across studies, LPA may be able to distinguish profiles of children with varying combinations of cognitive, social, and emotional subcomponents. While these variables tend to be highly interrelated and connected, profile analysis can account for the noise generated by this overlap in the creation of heterogeneous profiles of children. </w:t>
      </w:r>
      <w:r w:rsidR="006017B5" w:rsidRPr="00094AF8">
        <w:t xml:space="preserve">This analysis can </w:t>
      </w:r>
      <w:r w:rsidR="006017B5">
        <w:t xml:space="preserve">also </w:t>
      </w:r>
      <w:r w:rsidR="006017B5" w:rsidRPr="00094AF8">
        <w:t xml:space="preserve">potentially identify different subgroups of students along a continuum of </w:t>
      </w:r>
      <w:r w:rsidR="006017B5">
        <w:t xml:space="preserve">positive and negative </w:t>
      </w:r>
      <w:r w:rsidR="006017B5" w:rsidRPr="00094AF8">
        <w:t xml:space="preserve">learning approaches </w:t>
      </w:r>
      <w:r w:rsidR="006017B5" w:rsidRPr="009A6864">
        <w:t>(Collie, Martin, Nassar, &amp; Roberts, 2019)</w:t>
      </w:r>
      <w:r w:rsidR="006017B5" w:rsidRPr="00094AF8">
        <w:t>.</w:t>
      </w:r>
      <w:r w:rsidRPr="00094AF8">
        <w:t xml:space="preserve"> </w:t>
      </w:r>
    </w:p>
    <w:p w14:paraId="5338324D" w14:textId="0B49B014" w:rsidR="003C4D2C" w:rsidRPr="00094AF8" w:rsidRDefault="003C4D2C" w:rsidP="00A55582">
      <w:pPr>
        <w:pStyle w:val="Heading2"/>
      </w:pPr>
      <w:bookmarkStart w:id="68" w:name="_Toc46265495"/>
      <w:r w:rsidRPr="00094AF8">
        <w:t>The Current Study</w:t>
      </w:r>
      <w:bookmarkEnd w:id="68"/>
      <w:r w:rsidRPr="00094AF8">
        <w:t xml:space="preserve"> </w:t>
      </w:r>
    </w:p>
    <w:p w14:paraId="0271EDC3" w14:textId="58A19FD8" w:rsidR="000551AE" w:rsidRDefault="003C4D2C" w:rsidP="003C4D2C">
      <w:pPr>
        <w:ind w:firstLine="720"/>
        <w:contextualSpacing/>
      </w:pPr>
      <w:r w:rsidRPr="00094AF8">
        <w:t xml:space="preserve">AtL </w:t>
      </w:r>
      <w:r>
        <w:t>has been previously researched</w:t>
      </w:r>
      <w:r w:rsidR="000551AE">
        <w:t xml:space="preserve"> using variable centered approaches that explore how children </w:t>
      </w:r>
      <w:r>
        <w:t>adapt</w:t>
      </w:r>
      <w:r w:rsidR="000551AE">
        <w:t xml:space="preserve"> </w:t>
      </w:r>
      <w:r>
        <w:t>to their learning environment</w:t>
      </w:r>
      <w:r w:rsidR="000551AE">
        <w:t xml:space="preserve">. These approaches typically view AtL as a global construct that supports children’s positive interactions with teachers and peers </w:t>
      </w:r>
      <w:r w:rsidR="000551AE" w:rsidRPr="009A6864">
        <w:t>(Kagan et al., 1995; McClelland &amp; Morrison, 2003)</w:t>
      </w:r>
      <w:r w:rsidR="000551AE" w:rsidRPr="00094AF8">
        <w:t xml:space="preserve">. </w:t>
      </w:r>
      <w:r w:rsidR="000551AE">
        <w:t>H</w:t>
      </w:r>
      <w:r>
        <w:t>owever,</w:t>
      </w:r>
      <w:r w:rsidR="000551AE" w:rsidRPr="000551AE">
        <w:t xml:space="preserve"> </w:t>
      </w:r>
      <w:r w:rsidR="000551AE">
        <w:t xml:space="preserve"> i</w:t>
      </w:r>
      <w:r w:rsidR="000551AE" w:rsidRPr="00094AF8">
        <w:t xml:space="preserve">nsufficient research exists on exactly how to measure this construct in a way </w:t>
      </w:r>
      <w:r w:rsidR="000551AE">
        <w:t xml:space="preserve">that accurately distinguishes it from other similar constructs and captures children’s behavior across different contexts </w:t>
      </w:r>
      <w:r w:rsidR="000551AE" w:rsidRPr="009A6864">
        <w:t>(</w:t>
      </w:r>
      <w:proofErr w:type="spellStart"/>
      <w:r w:rsidR="000551AE" w:rsidRPr="009A6864">
        <w:t>Barbu</w:t>
      </w:r>
      <w:proofErr w:type="spellEnd"/>
      <w:r w:rsidR="000551AE" w:rsidRPr="009A6864">
        <w:t>, Levine-</w:t>
      </w:r>
      <w:proofErr w:type="spellStart"/>
      <w:r w:rsidR="000551AE" w:rsidRPr="009A6864">
        <w:t>Donnerstein</w:t>
      </w:r>
      <w:proofErr w:type="spellEnd"/>
      <w:r w:rsidR="000551AE" w:rsidRPr="009A6864">
        <w:t xml:space="preserve">, Marx, &amp; </w:t>
      </w:r>
      <w:proofErr w:type="spellStart"/>
      <w:r w:rsidR="000551AE" w:rsidRPr="009A6864">
        <w:t>Yaden</w:t>
      </w:r>
      <w:proofErr w:type="spellEnd"/>
      <w:r w:rsidR="000551AE" w:rsidRPr="009A6864">
        <w:t xml:space="preserve"> Jr, 2013; </w:t>
      </w:r>
      <w:proofErr w:type="spellStart"/>
      <w:r w:rsidR="000551AE" w:rsidRPr="009A6864">
        <w:t>Ponitz</w:t>
      </w:r>
      <w:proofErr w:type="spellEnd"/>
      <w:r w:rsidR="000551AE" w:rsidRPr="009A6864">
        <w:t>, McClelland, et al., 2009)</w:t>
      </w:r>
      <w:r w:rsidR="000551AE" w:rsidRPr="00094AF8">
        <w:t>.</w:t>
      </w:r>
      <w:r w:rsidR="00CE62E3">
        <w:t xml:space="preserve"> Moreover, past research has relied on teacher reports of children’s behavior, without accounting for the various contexts in which children’s behavior may manifest. </w:t>
      </w:r>
    </w:p>
    <w:p w14:paraId="2DEE99F4" w14:textId="45C0F1E4" w:rsidR="003C4D2C" w:rsidRPr="00094AF8" w:rsidRDefault="000551AE" w:rsidP="003C4D2C">
      <w:pPr>
        <w:ind w:firstLine="720"/>
        <w:contextualSpacing/>
      </w:pPr>
      <w:r>
        <w:t xml:space="preserve">LPA offers one way to overcome some of the limitations of previous research. </w:t>
      </w:r>
      <w:r w:rsidR="003D78CE">
        <w:t xml:space="preserve">Profile analysis </w:t>
      </w:r>
      <w:r>
        <w:t xml:space="preserve">examines </w:t>
      </w:r>
      <w:r w:rsidR="006F345C">
        <w:t xml:space="preserve">non-linear patterns of behavior and can provide insight into </w:t>
      </w:r>
      <w:r w:rsidR="003C4D2C">
        <w:t xml:space="preserve">how the variables of AtL </w:t>
      </w:r>
      <w:r w:rsidR="00C54CCC">
        <w:t>are inter-related</w:t>
      </w:r>
      <w:r w:rsidR="003C4D2C">
        <w:t xml:space="preserve">, </w:t>
      </w:r>
      <w:r w:rsidR="003C4D2C" w:rsidRPr="00094AF8">
        <w:t>especially for individual children</w:t>
      </w:r>
      <w:r w:rsidR="006F345C">
        <w:t>.</w:t>
      </w:r>
      <w:r w:rsidR="003C4D2C" w:rsidRPr="00094AF8">
        <w:t xml:space="preserve"> </w:t>
      </w:r>
      <w:r w:rsidR="006F345C">
        <w:t>In this way, we can understand qualitative differences in children’s adjustment to a school environment and how these distinct patterns are associated with children’s academic achievement.</w:t>
      </w:r>
      <w:r w:rsidR="00CE62E3">
        <w:t xml:space="preserve"> In addition, LPA using multiple </w:t>
      </w:r>
      <w:r w:rsidR="00CE62E3">
        <w:lastRenderedPageBreak/>
        <w:t xml:space="preserve">informants represents a critical contribution to previous research. </w:t>
      </w:r>
      <w:r w:rsidR="006F345C">
        <w:t xml:space="preserve">Importantly, </w:t>
      </w:r>
      <w:r w:rsidR="003D78CE">
        <w:t>it</w:t>
      </w:r>
      <w:r w:rsidR="006F345C">
        <w:t xml:space="preserve"> can shed light on discordant patterns of adjustment, indicating unique profiles of children’s strengths. </w:t>
      </w:r>
    </w:p>
    <w:p w14:paraId="25FBE65C" w14:textId="6395720B" w:rsidR="007C73E4" w:rsidRDefault="007C1CBE" w:rsidP="003C4D2C">
      <w:pPr>
        <w:ind w:firstLine="720"/>
        <w:contextualSpacing/>
      </w:pPr>
      <w:r>
        <w:t xml:space="preserve"> </w:t>
      </w:r>
      <w:r w:rsidR="00CE62E3">
        <w:t>R</w:t>
      </w:r>
      <w:r w:rsidR="007C73E4">
        <w:t>atings of AtL from multiple informants were utilized</w:t>
      </w:r>
      <w:r w:rsidR="00CE62E3">
        <w:t xml:space="preserve"> to examine profiles of AtL</w:t>
      </w:r>
      <w:r w:rsidR="007C73E4">
        <w:t xml:space="preserve">. </w:t>
      </w:r>
      <w:r w:rsidR="00675541">
        <w:t>Based on previous research and theory demonstrating variation in children’s AtL, I expected to find groups that represented high, low, and mixed patterns of AtL. Additionally, as existing studies have demonstrated patterns of discordance when examining children’s social/emotional behavior, behavior problems, and academic achievement, I hypothesized that I would uncover at least one profile of AtL that included problem behaviors. Given that AtL is positively associated with children’s academic achievement, this study explore</w:t>
      </w:r>
      <w:r w:rsidR="00CE62E3">
        <w:t>d</w:t>
      </w:r>
      <w:r w:rsidR="00675541">
        <w:t xml:space="preserve"> the relationship between children’s profile membership and various academic assessments, with the hypothesis that profile membership </w:t>
      </w:r>
      <w:r w:rsidR="00CE62E3">
        <w:t xml:space="preserve">would </w:t>
      </w:r>
      <w:r w:rsidR="00675541">
        <w:t xml:space="preserve">differentially be associated with academic achievement. </w:t>
      </w:r>
    </w:p>
    <w:p w14:paraId="3594E149" w14:textId="2D71BE62" w:rsidR="003C4D2C" w:rsidRPr="00094AF8" w:rsidRDefault="007C73E4" w:rsidP="00675541">
      <w:pPr>
        <w:ind w:firstLine="720"/>
        <w:contextualSpacing/>
      </w:pPr>
      <w:r>
        <w:t>T</w:t>
      </w:r>
      <w:r w:rsidR="003C4D2C" w:rsidRPr="00094AF8">
        <w:t>h</w:t>
      </w:r>
      <w:r w:rsidR="003C4D2C">
        <w:t>is study</w:t>
      </w:r>
      <w:r w:rsidR="003C4D2C" w:rsidRPr="00094AF8">
        <w:t xml:space="preserve"> explore</w:t>
      </w:r>
      <w:r w:rsidR="00CE62E3">
        <w:t>d</w:t>
      </w:r>
      <w:r w:rsidR="003C4D2C" w:rsidRPr="00094AF8">
        <w:t xml:space="preserve"> </w:t>
      </w:r>
      <w:r w:rsidR="00C54CCC">
        <w:t xml:space="preserve">how </w:t>
      </w:r>
      <w:r w:rsidR="003C4D2C" w:rsidRPr="00094AF8">
        <w:t xml:space="preserve">children’s </w:t>
      </w:r>
      <w:r w:rsidR="003C4D2C">
        <w:t xml:space="preserve">combinations of </w:t>
      </w:r>
      <w:r w:rsidR="003C4D2C" w:rsidRPr="00094AF8">
        <w:t xml:space="preserve">characteristics contribute to the expression of AtL in the classroom. Further understanding of how these subgroups differ in their academic competencies can help researchers understand the relationship between early AtL and children’s competence. The research questions for this study include </w:t>
      </w:r>
    </w:p>
    <w:p w14:paraId="2B93777A" w14:textId="070636AF" w:rsidR="003C4D2C" w:rsidRPr="00094AF8" w:rsidRDefault="003C4D2C" w:rsidP="003C4D2C">
      <w:pPr>
        <w:pStyle w:val="ListParagraph"/>
        <w:numPr>
          <w:ilvl w:val="0"/>
          <w:numId w:val="41"/>
        </w:numPr>
      </w:pPr>
      <w:r>
        <w:t>What a</w:t>
      </w:r>
      <w:r w:rsidRPr="00094AF8">
        <w:t>re the distinct profiles of AtL</w:t>
      </w:r>
      <w:proofErr w:type="gramStart"/>
      <w:r w:rsidR="00675541">
        <w:t xml:space="preserve">? </w:t>
      </w:r>
      <w:r w:rsidRPr="00094AF8">
        <w:t xml:space="preserve"> </w:t>
      </w:r>
      <w:proofErr w:type="gramEnd"/>
    </w:p>
    <w:p w14:paraId="535B4183" w14:textId="0F1392E2" w:rsidR="003C4D2C" w:rsidRPr="00094AF8" w:rsidRDefault="003C4D2C" w:rsidP="003C4D2C">
      <w:pPr>
        <w:pStyle w:val="ListParagraph"/>
        <w:numPr>
          <w:ilvl w:val="0"/>
          <w:numId w:val="41"/>
        </w:numPr>
      </w:pPr>
      <w:r>
        <w:t>What are the demographic characteristics of children associated with these profiles? How are these profiles related to children’s executive function and social development?</w:t>
      </w:r>
      <w:r w:rsidR="007C1CBE">
        <w:t xml:space="preserve"> </w:t>
      </w:r>
    </w:p>
    <w:p w14:paraId="6EED0F49" w14:textId="77777777" w:rsidR="003C4D2C" w:rsidRPr="00C144A8" w:rsidRDefault="003C4D2C" w:rsidP="003C4D2C">
      <w:pPr>
        <w:pStyle w:val="ListParagraph"/>
        <w:numPr>
          <w:ilvl w:val="0"/>
          <w:numId w:val="41"/>
        </w:numPr>
      </w:pPr>
      <w:r>
        <w:t xml:space="preserve">How are these profiles predictive of children’s academic outcomes, controlling for child characteristics? </w:t>
      </w:r>
    </w:p>
    <w:p w14:paraId="1770556A" w14:textId="77777777" w:rsidR="003C4D2C" w:rsidRPr="007E06E2" w:rsidRDefault="003C4D2C" w:rsidP="00A55582">
      <w:pPr>
        <w:pStyle w:val="Heading1"/>
      </w:pPr>
      <w:bookmarkStart w:id="69" w:name="_Toc46265496"/>
      <w:bookmarkStart w:id="70" w:name="_Toc19885622"/>
      <w:bookmarkStart w:id="71" w:name="_Hlk43757143"/>
      <w:r w:rsidRPr="007E06E2">
        <w:t>Methods</w:t>
      </w:r>
      <w:bookmarkEnd w:id="69"/>
      <w:r>
        <w:t xml:space="preserve"> </w:t>
      </w:r>
    </w:p>
    <w:p w14:paraId="4B897A94" w14:textId="268ECA22" w:rsidR="003C4D2C" w:rsidRPr="007E06E2" w:rsidRDefault="003C4D2C" w:rsidP="00A55582">
      <w:pPr>
        <w:pStyle w:val="Heading2"/>
      </w:pPr>
      <w:bookmarkStart w:id="72" w:name="_Toc46265497"/>
      <w:r w:rsidRPr="007E06E2">
        <w:t>Data Source</w:t>
      </w:r>
      <w:bookmarkEnd w:id="70"/>
      <w:bookmarkEnd w:id="72"/>
      <w:r w:rsidRPr="007E06E2">
        <w:t xml:space="preserve"> </w:t>
      </w:r>
    </w:p>
    <w:p w14:paraId="74306D02" w14:textId="2FE9D4B1" w:rsidR="003C4D2C" w:rsidRPr="00094AF8" w:rsidRDefault="003C4D2C" w:rsidP="003C4D2C">
      <w:pPr>
        <w:ind w:firstLine="720"/>
        <w:contextualSpacing/>
        <w:rPr>
          <w:bCs/>
        </w:rPr>
      </w:pPr>
      <w:r w:rsidRPr="00094AF8">
        <w:rPr>
          <w:rFonts w:eastAsiaTheme="minorEastAsia"/>
        </w:rPr>
        <w:lastRenderedPageBreak/>
        <w:t>This study utilize</w:t>
      </w:r>
      <w:r w:rsidR="00C94647">
        <w:rPr>
          <w:rFonts w:eastAsiaTheme="minorEastAsia"/>
        </w:rPr>
        <w:t>d</w:t>
      </w:r>
      <w:r w:rsidRPr="00094AF8">
        <w:rPr>
          <w:rFonts w:eastAsiaTheme="minorEastAsia"/>
        </w:rPr>
        <w:t xml:space="preserve"> data from a larger study exploring child, family, and classroom characteristics of a Head Start program, the Preschool Child Assessment Survey (PCAS)</w:t>
      </w:r>
      <w:r w:rsidR="00C94647">
        <w:rPr>
          <w:rFonts w:eastAsiaTheme="minorEastAsia"/>
        </w:rPr>
        <w:t xml:space="preserve"> that </w:t>
      </w:r>
      <w:r w:rsidRPr="00094AF8">
        <w:rPr>
          <w:bCs/>
        </w:rPr>
        <w:t>use</w:t>
      </w:r>
      <w:r w:rsidR="00C94647">
        <w:rPr>
          <w:bCs/>
        </w:rPr>
        <w:t>d</w:t>
      </w:r>
      <w:r w:rsidRPr="00094AF8">
        <w:rPr>
          <w:bCs/>
        </w:rPr>
        <w:t xml:space="preserve"> a multi-stage sampling approach</w:t>
      </w:r>
      <w:r w:rsidR="005D7190">
        <w:rPr>
          <w:bCs/>
        </w:rPr>
        <w:t>.</w:t>
      </w:r>
      <w:r w:rsidRPr="00094AF8">
        <w:rPr>
          <w:bCs/>
          <w:color w:val="FF0000"/>
        </w:rPr>
        <w:t xml:space="preserve"> </w:t>
      </w:r>
      <w:r w:rsidRPr="00094AF8">
        <w:rPr>
          <w:bCs/>
        </w:rPr>
        <w:t>First, classrooms were randomly chosen from the list of possible Head Start classrooms, with each classroom having an equal probability of selection. Then, six children were selected from each classroom, stratified by gender and home language</w:t>
      </w:r>
      <w:r>
        <w:rPr>
          <w:bCs/>
        </w:rPr>
        <w:t>,</w:t>
      </w:r>
      <w:r w:rsidRPr="00094AF8">
        <w:rPr>
          <w:bCs/>
        </w:rPr>
        <w:t xml:space="preserve"> to match program enrollment. </w:t>
      </w:r>
    </w:p>
    <w:p w14:paraId="00D2DF7D" w14:textId="35F45257" w:rsidR="003C4D2C" w:rsidRPr="00094AF8" w:rsidRDefault="003C4D2C" w:rsidP="003C4D2C">
      <w:pPr>
        <w:ind w:firstLine="720"/>
        <w:contextualSpacing/>
        <w:rPr>
          <w:rFonts w:eastAsiaTheme="minorEastAsia"/>
        </w:rPr>
      </w:pPr>
      <w:r w:rsidRPr="005764E5">
        <w:rPr>
          <w:bCs/>
        </w:rPr>
        <w:t>Table 2</w:t>
      </w:r>
      <w:r w:rsidRPr="00094AF8">
        <w:rPr>
          <w:bCs/>
        </w:rPr>
        <w:t xml:space="preserve"> provides </w:t>
      </w:r>
      <w:r w:rsidR="00C54CCC">
        <w:rPr>
          <w:bCs/>
        </w:rPr>
        <w:t xml:space="preserve">the PCAS </w:t>
      </w:r>
      <w:r w:rsidRPr="00094AF8">
        <w:rPr>
          <w:bCs/>
        </w:rPr>
        <w:t>timeline. Children in this sample were assessed at two time points, the fall and spring of their Head Start year. Classroom observations were conducted in the winter. Multiple methods were used to collect a</w:t>
      </w:r>
      <w:r>
        <w:rPr>
          <w:bCs/>
        </w:rPr>
        <w:t>n</w:t>
      </w:r>
      <w:r w:rsidRPr="00094AF8">
        <w:rPr>
          <w:bCs/>
        </w:rPr>
        <w:t xml:space="preserve"> array of information about children and families</w:t>
      </w:r>
      <w:r>
        <w:rPr>
          <w:bCs/>
        </w:rPr>
        <w:t>,</w:t>
      </w:r>
      <w:r w:rsidRPr="00094AF8">
        <w:rPr>
          <w:bCs/>
        </w:rPr>
        <w:t xml:space="preserve"> including direct child assessments, classroom observations, and teacher reports. Additional </w:t>
      </w:r>
      <w:r w:rsidRPr="00094AF8">
        <w:rPr>
          <w:rFonts w:eastAsiaTheme="minorEastAsia"/>
        </w:rPr>
        <w:t xml:space="preserve">demographic information for the children was </w:t>
      </w:r>
      <w:r>
        <w:rPr>
          <w:rFonts w:eastAsiaTheme="minorEastAsia"/>
        </w:rPr>
        <w:t>accessed through</w:t>
      </w:r>
      <w:r w:rsidRPr="00094AF8">
        <w:rPr>
          <w:rFonts w:eastAsiaTheme="minorEastAsia"/>
        </w:rPr>
        <w:t xml:space="preserve"> program administrative records. </w:t>
      </w:r>
    </w:p>
    <w:p w14:paraId="56C9B943" w14:textId="7CA5FD2F" w:rsidR="00EC2771" w:rsidRDefault="005A44C2" w:rsidP="00EC2771">
      <w:pPr>
        <w:pStyle w:val="Caption"/>
      </w:pPr>
      <w:bookmarkStart w:id="73" w:name="_Toc44366125"/>
      <w:r>
        <w:t>T</w:t>
      </w:r>
      <w:r w:rsidR="00A55582">
        <w:t xml:space="preserve">able </w:t>
      </w:r>
      <w:fldSimple w:instr=" SEQ Table \* ARABIC ">
        <w:r w:rsidR="002039BE">
          <w:rPr>
            <w:noProof/>
          </w:rPr>
          <w:t>2</w:t>
        </w:r>
        <w:bookmarkEnd w:id="73"/>
      </w:fldSimple>
    </w:p>
    <w:p w14:paraId="56191804" w14:textId="1EE8C9D7" w:rsidR="003C4D2C" w:rsidRPr="00094AF8" w:rsidRDefault="00C54CCC" w:rsidP="003C4D2C">
      <w:pPr>
        <w:contextualSpacing/>
        <w:jc w:val="both"/>
        <w:rPr>
          <w:rFonts w:eastAsia="Calibri"/>
          <w:i/>
          <w:iCs/>
        </w:rPr>
      </w:pPr>
      <w:r>
        <w:rPr>
          <w:rFonts w:eastAsia="Calibri"/>
          <w:i/>
          <w:iCs/>
        </w:rPr>
        <w:t xml:space="preserve">Assessments by </w:t>
      </w:r>
      <w:r w:rsidR="003C4D2C" w:rsidRPr="00094AF8">
        <w:rPr>
          <w:rFonts w:eastAsia="Calibri"/>
          <w:i/>
          <w:iCs/>
        </w:rPr>
        <w:t>Data Collection Time</w:t>
      </w:r>
      <w:r>
        <w:rPr>
          <w:rFonts w:eastAsia="Calibri"/>
          <w:i/>
          <w:iCs/>
        </w:rPr>
        <w:t>point</w:t>
      </w:r>
      <w:r w:rsidR="007C1CBE">
        <w:rPr>
          <w:rFonts w:eastAsia="Calibri"/>
          <w:i/>
          <w:iCs/>
        </w:rPr>
        <w:t xml:space="preserve"> </w:t>
      </w:r>
    </w:p>
    <w:tbl>
      <w:tblPr>
        <w:tblStyle w:val="PlainTable2"/>
        <w:tblW w:w="5000" w:type="pct"/>
        <w:tblLook w:val="04A0" w:firstRow="1" w:lastRow="0" w:firstColumn="1" w:lastColumn="0" w:noHBand="0" w:noVBand="1"/>
      </w:tblPr>
      <w:tblGrid>
        <w:gridCol w:w="3232"/>
        <w:gridCol w:w="3064"/>
        <w:gridCol w:w="3064"/>
      </w:tblGrid>
      <w:tr w:rsidR="00C54CCC" w:rsidRPr="00094AF8" w14:paraId="141C4FD0" w14:textId="77777777" w:rsidTr="00C54C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pct"/>
            <w:tcBorders>
              <w:top w:val="single" w:sz="4" w:space="0" w:color="auto"/>
              <w:bottom w:val="single" w:sz="4" w:space="0" w:color="auto"/>
            </w:tcBorders>
          </w:tcPr>
          <w:p w14:paraId="76C1FAA8" w14:textId="77777777" w:rsidR="00C54CCC" w:rsidRPr="00094AF8" w:rsidRDefault="00C54CCC" w:rsidP="003C4D2C">
            <w:pPr>
              <w:contextualSpacing/>
              <w:rPr>
                <w:rFonts w:ascii="Times New Roman" w:hAnsi="Times New Roman" w:cs="Times New Roman"/>
                <w:b w:val="0"/>
                <w:sz w:val="24"/>
                <w:szCs w:val="24"/>
              </w:rPr>
            </w:pPr>
            <w:r w:rsidRPr="00094AF8">
              <w:rPr>
                <w:rFonts w:ascii="Times New Roman" w:hAnsi="Times New Roman" w:cs="Times New Roman"/>
                <w:b w:val="0"/>
                <w:sz w:val="24"/>
                <w:szCs w:val="24"/>
              </w:rPr>
              <w:t xml:space="preserve">Fall </w:t>
            </w:r>
          </w:p>
        </w:tc>
        <w:tc>
          <w:tcPr>
            <w:tcW w:w="1637" w:type="pct"/>
            <w:tcBorders>
              <w:top w:val="single" w:sz="4" w:space="0" w:color="auto"/>
              <w:bottom w:val="single" w:sz="4" w:space="0" w:color="auto"/>
            </w:tcBorders>
          </w:tcPr>
          <w:p w14:paraId="0AB9E5E9" w14:textId="77777777" w:rsidR="00C54CCC" w:rsidRPr="00094AF8" w:rsidRDefault="00C54CCC" w:rsidP="003C4D2C">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94AF8">
              <w:rPr>
                <w:rFonts w:ascii="Times New Roman" w:hAnsi="Times New Roman" w:cs="Times New Roman"/>
                <w:b w:val="0"/>
                <w:sz w:val="24"/>
                <w:szCs w:val="24"/>
              </w:rPr>
              <w:t>Winter</w:t>
            </w:r>
          </w:p>
        </w:tc>
        <w:tc>
          <w:tcPr>
            <w:tcW w:w="1637" w:type="pct"/>
            <w:tcBorders>
              <w:top w:val="single" w:sz="4" w:space="0" w:color="auto"/>
              <w:bottom w:val="single" w:sz="4" w:space="0" w:color="auto"/>
            </w:tcBorders>
          </w:tcPr>
          <w:p w14:paraId="18B5DE42" w14:textId="77777777" w:rsidR="00C54CCC" w:rsidRPr="00094AF8" w:rsidRDefault="00C54CCC" w:rsidP="003C4D2C">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94AF8">
              <w:rPr>
                <w:rFonts w:ascii="Times New Roman" w:hAnsi="Times New Roman" w:cs="Times New Roman"/>
                <w:b w:val="0"/>
                <w:sz w:val="24"/>
                <w:szCs w:val="24"/>
              </w:rPr>
              <w:t xml:space="preserve">Spring </w:t>
            </w:r>
          </w:p>
        </w:tc>
      </w:tr>
      <w:tr w:rsidR="00C54CCC" w:rsidRPr="00094AF8" w14:paraId="3C812360" w14:textId="77777777" w:rsidTr="00C54C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pct"/>
            <w:tcBorders>
              <w:top w:val="single" w:sz="4" w:space="0" w:color="auto"/>
              <w:bottom w:val="single" w:sz="4" w:space="0" w:color="auto"/>
            </w:tcBorders>
          </w:tcPr>
          <w:p w14:paraId="204EC82B" w14:textId="77777777" w:rsidR="00C54CCC" w:rsidRPr="00C54CCC" w:rsidRDefault="00C54CCC" w:rsidP="003C4D2C">
            <w:pPr>
              <w:contextualSpacing/>
              <w:rPr>
                <w:rFonts w:ascii="Times New Roman" w:hAnsi="Times New Roman" w:cs="Times New Roman"/>
                <w:b w:val="0"/>
                <w:sz w:val="24"/>
                <w:szCs w:val="24"/>
              </w:rPr>
            </w:pPr>
            <w:r w:rsidRPr="00C54CCC">
              <w:rPr>
                <w:rFonts w:ascii="Times New Roman" w:hAnsi="Times New Roman" w:cs="Times New Roman"/>
                <w:b w:val="0"/>
                <w:sz w:val="24"/>
                <w:szCs w:val="24"/>
              </w:rPr>
              <w:t>DECA</w:t>
            </w:r>
          </w:p>
          <w:p w14:paraId="0961D08C" w14:textId="77777777" w:rsidR="00C54CCC" w:rsidRPr="00C54CCC" w:rsidRDefault="00C54CCC" w:rsidP="003C4D2C">
            <w:pPr>
              <w:contextualSpacing/>
              <w:rPr>
                <w:rFonts w:ascii="Times New Roman" w:hAnsi="Times New Roman" w:cs="Times New Roman"/>
                <w:b w:val="0"/>
                <w:sz w:val="24"/>
                <w:szCs w:val="24"/>
              </w:rPr>
            </w:pPr>
            <w:r w:rsidRPr="00C54CCC">
              <w:rPr>
                <w:rFonts w:ascii="Times New Roman" w:hAnsi="Times New Roman" w:cs="Times New Roman"/>
                <w:b w:val="0"/>
                <w:sz w:val="24"/>
                <w:szCs w:val="24"/>
              </w:rPr>
              <w:t>Leiter</w:t>
            </w:r>
          </w:p>
          <w:p w14:paraId="088A43CF" w14:textId="77777777" w:rsidR="00C54CCC" w:rsidRPr="00C54CCC" w:rsidRDefault="00C54CCC" w:rsidP="003C4D2C">
            <w:pPr>
              <w:contextualSpacing/>
              <w:rPr>
                <w:rFonts w:ascii="Times New Roman" w:hAnsi="Times New Roman" w:cs="Times New Roman"/>
                <w:b w:val="0"/>
                <w:sz w:val="24"/>
                <w:szCs w:val="24"/>
              </w:rPr>
            </w:pPr>
            <w:r w:rsidRPr="00C54CCC">
              <w:rPr>
                <w:rFonts w:ascii="Times New Roman" w:hAnsi="Times New Roman" w:cs="Times New Roman"/>
                <w:b w:val="0"/>
                <w:sz w:val="24"/>
                <w:szCs w:val="24"/>
              </w:rPr>
              <w:t>Woodcock-Johnson</w:t>
            </w:r>
          </w:p>
          <w:p w14:paraId="3B581179" w14:textId="77777777" w:rsidR="00C54CCC" w:rsidRPr="00C54CCC" w:rsidRDefault="00C54CCC" w:rsidP="003C4D2C">
            <w:pPr>
              <w:contextualSpacing/>
              <w:rPr>
                <w:rFonts w:ascii="Times New Roman" w:hAnsi="Times New Roman" w:cs="Times New Roman"/>
                <w:b w:val="0"/>
                <w:sz w:val="24"/>
                <w:szCs w:val="24"/>
              </w:rPr>
            </w:pPr>
            <w:r w:rsidRPr="00C54CCC">
              <w:rPr>
                <w:rFonts w:ascii="Times New Roman" w:hAnsi="Times New Roman" w:cs="Times New Roman"/>
                <w:b w:val="0"/>
                <w:sz w:val="24"/>
                <w:szCs w:val="24"/>
              </w:rPr>
              <w:t>BRACKEN</w:t>
            </w:r>
          </w:p>
          <w:p w14:paraId="3CA32E6B" w14:textId="77777777" w:rsidR="00C54CCC" w:rsidRPr="00094AF8" w:rsidRDefault="00C54CCC" w:rsidP="003C4D2C">
            <w:pPr>
              <w:contextualSpacing/>
              <w:rPr>
                <w:rFonts w:ascii="Times New Roman" w:hAnsi="Times New Roman" w:cs="Times New Roman"/>
                <w:bCs w:val="0"/>
                <w:sz w:val="24"/>
                <w:szCs w:val="24"/>
              </w:rPr>
            </w:pPr>
            <w:r w:rsidRPr="00C54CCC">
              <w:rPr>
                <w:rFonts w:ascii="Times New Roman" w:hAnsi="Times New Roman" w:cs="Times New Roman"/>
                <w:b w:val="0"/>
                <w:sz w:val="24"/>
                <w:szCs w:val="24"/>
              </w:rPr>
              <w:t>Task-Based EF measures</w:t>
            </w:r>
            <w:r w:rsidRPr="00094AF8">
              <w:rPr>
                <w:rFonts w:ascii="Times New Roman" w:hAnsi="Times New Roman" w:cs="Times New Roman"/>
                <w:bCs w:val="0"/>
                <w:sz w:val="24"/>
                <w:szCs w:val="24"/>
              </w:rPr>
              <w:t xml:space="preserve"> </w:t>
            </w:r>
          </w:p>
        </w:tc>
        <w:tc>
          <w:tcPr>
            <w:tcW w:w="1637" w:type="pct"/>
            <w:tcBorders>
              <w:top w:val="single" w:sz="4" w:space="0" w:color="auto"/>
              <w:bottom w:val="single" w:sz="4" w:space="0" w:color="auto"/>
            </w:tcBorders>
          </w:tcPr>
          <w:p w14:paraId="5B388215" w14:textId="77777777" w:rsidR="00C54CCC" w:rsidRPr="00094AF8" w:rsidRDefault="00C54CCC" w:rsidP="003C4D2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4AF8">
              <w:rPr>
                <w:rFonts w:ascii="Times New Roman" w:hAnsi="Times New Roman" w:cs="Times New Roman"/>
                <w:bCs/>
                <w:sz w:val="24"/>
                <w:szCs w:val="24"/>
              </w:rPr>
              <w:t>inCLASS</w:t>
            </w:r>
          </w:p>
        </w:tc>
        <w:tc>
          <w:tcPr>
            <w:tcW w:w="1637" w:type="pct"/>
            <w:tcBorders>
              <w:top w:val="single" w:sz="4" w:space="0" w:color="auto"/>
              <w:bottom w:val="single" w:sz="4" w:space="0" w:color="auto"/>
            </w:tcBorders>
          </w:tcPr>
          <w:p w14:paraId="21E336D9" w14:textId="77777777" w:rsidR="00C54CCC" w:rsidRPr="00094AF8" w:rsidRDefault="00C54CCC" w:rsidP="003C4D2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4AF8">
              <w:rPr>
                <w:rFonts w:ascii="Times New Roman" w:hAnsi="Times New Roman" w:cs="Times New Roman"/>
                <w:bCs/>
                <w:sz w:val="24"/>
                <w:szCs w:val="24"/>
              </w:rPr>
              <w:t>DECA</w:t>
            </w:r>
          </w:p>
          <w:p w14:paraId="24BBE6CB" w14:textId="77777777" w:rsidR="00C54CCC" w:rsidRPr="00094AF8" w:rsidRDefault="00C54CCC" w:rsidP="003C4D2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4AF8">
              <w:rPr>
                <w:rFonts w:ascii="Times New Roman" w:hAnsi="Times New Roman" w:cs="Times New Roman"/>
                <w:bCs/>
                <w:sz w:val="24"/>
                <w:szCs w:val="24"/>
              </w:rPr>
              <w:t>Leiter</w:t>
            </w:r>
          </w:p>
          <w:p w14:paraId="5791C9EB" w14:textId="77777777" w:rsidR="00C54CCC" w:rsidRPr="00094AF8" w:rsidRDefault="00C54CCC" w:rsidP="003C4D2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4AF8">
              <w:rPr>
                <w:rFonts w:ascii="Times New Roman" w:hAnsi="Times New Roman" w:cs="Times New Roman"/>
                <w:bCs/>
                <w:sz w:val="24"/>
                <w:szCs w:val="24"/>
              </w:rPr>
              <w:t>Woodcock-Johnson</w:t>
            </w:r>
          </w:p>
          <w:p w14:paraId="0EFC23DA" w14:textId="77777777" w:rsidR="00C54CCC" w:rsidRPr="00094AF8" w:rsidRDefault="00C54CCC" w:rsidP="003C4D2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4AF8">
              <w:rPr>
                <w:rFonts w:ascii="Times New Roman" w:hAnsi="Times New Roman" w:cs="Times New Roman"/>
                <w:bCs/>
                <w:sz w:val="24"/>
                <w:szCs w:val="24"/>
              </w:rPr>
              <w:t>BRACKEN</w:t>
            </w:r>
          </w:p>
          <w:p w14:paraId="79F80FC0" w14:textId="77777777" w:rsidR="00C54CCC" w:rsidRPr="00094AF8" w:rsidRDefault="00C54CCC" w:rsidP="003C4D2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94AF8">
              <w:rPr>
                <w:rFonts w:ascii="Times New Roman" w:hAnsi="Times New Roman" w:cs="Times New Roman"/>
                <w:bCs/>
                <w:sz w:val="24"/>
                <w:szCs w:val="24"/>
              </w:rPr>
              <w:t>Task-Based EF measures</w:t>
            </w:r>
          </w:p>
        </w:tc>
      </w:tr>
    </w:tbl>
    <w:p w14:paraId="4136DFA2" w14:textId="77777777" w:rsidR="003C4D2C" w:rsidRPr="00094AF8" w:rsidRDefault="003C4D2C" w:rsidP="003C4D2C">
      <w:pPr>
        <w:contextualSpacing/>
        <w:rPr>
          <w:b/>
        </w:rPr>
      </w:pPr>
    </w:p>
    <w:p w14:paraId="712E27CF" w14:textId="7744DEA1" w:rsidR="003C4D2C" w:rsidRPr="007E06E2" w:rsidRDefault="003C4D2C" w:rsidP="00A55582">
      <w:pPr>
        <w:pStyle w:val="Heading2"/>
      </w:pPr>
      <w:bookmarkStart w:id="74" w:name="_Toc19885623"/>
      <w:bookmarkStart w:id="75" w:name="_Toc46265498"/>
      <w:r w:rsidRPr="007E06E2">
        <w:t>Participants</w:t>
      </w:r>
      <w:bookmarkEnd w:id="74"/>
      <w:bookmarkEnd w:id="75"/>
      <w:r w:rsidRPr="007E06E2">
        <w:t xml:space="preserve"> </w:t>
      </w:r>
    </w:p>
    <w:p w14:paraId="12BA27DD" w14:textId="27CA3183" w:rsidR="003C4D2C" w:rsidRPr="00094AF8" w:rsidRDefault="003C4D2C" w:rsidP="003C4D2C">
      <w:pPr>
        <w:ind w:firstLine="720"/>
        <w:contextualSpacing/>
        <w:rPr>
          <w:bCs/>
        </w:rPr>
      </w:pPr>
      <w:r w:rsidRPr="00094AF8">
        <w:rPr>
          <w:bCs/>
        </w:rPr>
        <w:t xml:space="preserve">Participants included children (n = </w:t>
      </w:r>
      <w:r>
        <w:rPr>
          <w:bCs/>
        </w:rPr>
        <w:t>355</w:t>
      </w:r>
      <w:r w:rsidRPr="00094AF8">
        <w:rPr>
          <w:bCs/>
        </w:rPr>
        <w:t xml:space="preserve">) who were enrolled in 61 classrooms from </w:t>
      </w:r>
      <w:r>
        <w:rPr>
          <w:bCs/>
        </w:rPr>
        <w:t>one H</w:t>
      </w:r>
      <w:r w:rsidRPr="00094AF8">
        <w:rPr>
          <w:bCs/>
        </w:rPr>
        <w:t xml:space="preserve">ead Start program in a medium-sized </w:t>
      </w:r>
      <w:r>
        <w:rPr>
          <w:bCs/>
        </w:rPr>
        <w:t>U</w:t>
      </w:r>
      <w:r w:rsidR="003D78CE">
        <w:rPr>
          <w:bCs/>
        </w:rPr>
        <w:t>.</w:t>
      </w:r>
      <w:r>
        <w:rPr>
          <w:bCs/>
        </w:rPr>
        <w:t>S</w:t>
      </w:r>
      <w:r w:rsidR="003D78CE">
        <w:rPr>
          <w:bCs/>
        </w:rPr>
        <w:t>.</w:t>
      </w:r>
      <w:r>
        <w:rPr>
          <w:bCs/>
        </w:rPr>
        <w:t xml:space="preserve"> </w:t>
      </w:r>
      <w:r w:rsidRPr="00094AF8">
        <w:rPr>
          <w:bCs/>
        </w:rPr>
        <w:t xml:space="preserve">city. Given that the children qualify for Head Start, most of the sample </w:t>
      </w:r>
      <w:r w:rsidR="00C63996">
        <w:rPr>
          <w:bCs/>
        </w:rPr>
        <w:t xml:space="preserve">were </w:t>
      </w:r>
      <w:r w:rsidRPr="00094AF8">
        <w:rPr>
          <w:bCs/>
        </w:rPr>
        <w:t>low income. Recruitment of the identified children occurred when research assistants approached the child’s parent or guardian</w:t>
      </w:r>
      <w:r>
        <w:rPr>
          <w:bCs/>
        </w:rPr>
        <w:t xml:space="preserve"> during drop-off and pick-up </w:t>
      </w:r>
      <w:r w:rsidRPr="00094AF8">
        <w:rPr>
          <w:bCs/>
        </w:rPr>
        <w:t xml:space="preserve">to </w:t>
      </w:r>
      <w:r w:rsidRPr="00094AF8">
        <w:rPr>
          <w:bCs/>
        </w:rPr>
        <w:lastRenderedPageBreak/>
        <w:t>discuss the study and secure informed consent. Each child</w:t>
      </w:r>
      <w:r>
        <w:rPr>
          <w:bCs/>
        </w:rPr>
        <w:t>’s</w:t>
      </w:r>
      <w:r w:rsidRPr="00094AF8">
        <w:rPr>
          <w:bCs/>
        </w:rPr>
        <w:t xml:space="preserve"> assent to participate was monitored during the assessments by the trained assessors; children who became upset or refuse</w:t>
      </w:r>
      <w:r>
        <w:rPr>
          <w:bCs/>
        </w:rPr>
        <w:t>d</w:t>
      </w:r>
      <w:r w:rsidRPr="00094AF8">
        <w:rPr>
          <w:bCs/>
        </w:rPr>
        <w:t xml:space="preserve"> to answer questions were returned to their classrooms. Two additional attempts, on different days, were made to assess children who had previously refused to participate. </w:t>
      </w:r>
    </w:p>
    <w:p w14:paraId="0A97FFE9" w14:textId="18E4EEC5" w:rsidR="003C4D2C" w:rsidRPr="00315FCE" w:rsidRDefault="003C4D2C" w:rsidP="003C4D2C">
      <w:pPr>
        <w:ind w:firstLine="720"/>
        <w:contextualSpacing/>
        <w:rPr>
          <w:bCs/>
        </w:rPr>
      </w:pPr>
      <w:r w:rsidRPr="00315FCE">
        <w:rPr>
          <w:bCs/>
        </w:rPr>
        <w:t>Participants ranged in age from 28 to 59 months (</w:t>
      </w:r>
      <w:r w:rsidRPr="00315FCE">
        <w:rPr>
          <w:bCs/>
          <w:i/>
        </w:rPr>
        <w:t>M</w:t>
      </w:r>
      <w:r w:rsidRPr="00315FCE">
        <w:rPr>
          <w:bCs/>
          <w:iCs/>
        </w:rPr>
        <w:t xml:space="preserve">= 44.54, </w:t>
      </w:r>
      <w:r w:rsidRPr="00315FCE">
        <w:rPr>
          <w:bCs/>
          <w:i/>
        </w:rPr>
        <w:t xml:space="preserve">SD = 8.63). </w:t>
      </w:r>
      <w:r w:rsidRPr="00315FCE">
        <w:rPr>
          <w:bCs/>
        </w:rPr>
        <w:t xml:space="preserve">Most participants </w:t>
      </w:r>
      <w:r>
        <w:rPr>
          <w:bCs/>
        </w:rPr>
        <w:t xml:space="preserve">were </w:t>
      </w:r>
      <w:r w:rsidRPr="00315FCE">
        <w:rPr>
          <w:bCs/>
        </w:rPr>
        <w:t>Hispanic (31%)</w:t>
      </w:r>
      <w:r w:rsidR="003D78CE">
        <w:rPr>
          <w:bCs/>
        </w:rPr>
        <w:t>,</w:t>
      </w:r>
      <w:r w:rsidRPr="00315FCE">
        <w:rPr>
          <w:bCs/>
        </w:rPr>
        <w:t xml:space="preserve"> Black/African American (21%)</w:t>
      </w:r>
      <w:r w:rsidR="003D78CE">
        <w:rPr>
          <w:bCs/>
        </w:rPr>
        <w:t>,</w:t>
      </w:r>
      <w:r w:rsidRPr="00315FCE">
        <w:rPr>
          <w:bCs/>
        </w:rPr>
        <w:t xml:space="preserve"> white (19%)</w:t>
      </w:r>
      <w:r>
        <w:rPr>
          <w:bCs/>
        </w:rPr>
        <w:t xml:space="preserve">, </w:t>
      </w:r>
      <w:r w:rsidR="00D32D51">
        <w:rPr>
          <w:bCs/>
        </w:rPr>
        <w:t>or mixed/other (</w:t>
      </w:r>
      <w:r>
        <w:rPr>
          <w:bCs/>
        </w:rPr>
        <w:t>29%</w:t>
      </w:r>
      <w:r w:rsidR="00D32D51">
        <w:rPr>
          <w:bCs/>
        </w:rPr>
        <w:t>).</w:t>
      </w:r>
      <w:r>
        <w:rPr>
          <w:bCs/>
        </w:rPr>
        <w:t xml:space="preserve"> </w:t>
      </w:r>
      <w:r w:rsidRPr="00315FCE">
        <w:rPr>
          <w:bCs/>
        </w:rPr>
        <w:t>There were more boys than girls in the sample (female=38%). Most participants</w:t>
      </w:r>
      <w:r w:rsidR="005D7190">
        <w:rPr>
          <w:bCs/>
        </w:rPr>
        <w:t>’</w:t>
      </w:r>
      <w:r w:rsidRPr="00315FCE">
        <w:rPr>
          <w:bCs/>
        </w:rPr>
        <w:t xml:space="preserve"> (59%) home language was English, while 35% of participants’ home language was Spanish. </w:t>
      </w:r>
    </w:p>
    <w:p w14:paraId="04415115" w14:textId="54BD0F74" w:rsidR="003C4D2C" w:rsidRDefault="003C4D2C" w:rsidP="00A55582">
      <w:pPr>
        <w:pStyle w:val="Heading2"/>
      </w:pPr>
      <w:bookmarkStart w:id="76" w:name="_Toc19885624"/>
      <w:bookmarkStart w:id="77" w:name="_Toc46265499"/>
      <w:r w:rsidRPr="007E06E2">
        <w:t>Measures</w:t>
      </w:r>
      <w:bookmarkEnd w:id="76"/>
      <w:bookmarkEnd w:id="77"/>
      <w:r w:rsidRPr="00094AF8">
        <w:t xml:space="preserve"> </w:t>
      </w:r>
      <w:bookmarkStart w:id="78" w:name="_Toc19885625"/>
    </w:p>
    <w:p w14:paraId="58D05863" w14:textId="55655B09" w:rsidR="003C4D2C" w:rsidRPr="00A55582" w:rsidRDefault="003C4D2C" w:rsidP="00A55582">
      <w:pPr>
        <w:ind w:firstLine="720"/>
      </w:pPr>
      <w:r w:rsidRPr="00A55582">
        <w:t xml:space="preserve">Several measures representing different reporters were used. Children’s AtL was measured via teacher report, assessor report, and a classroom-based observation. Three different measures of children’s </w:t>
      </w:r>
      <w:r w:rsidR="00C63996">
        <w:t xml:space="preserve">EF </w:t>
      </w:r>
      <w:r w:rsidRPr="00A55582">
        <w:t>were conducted via direct assessment. Social development, including children’s positive interactions with peers, was measured by classroom observation, while children’s problem behavior</w:t>
      </w:r>
      <w:r w:rsidR="00C63996">
        <w:t>s</w:t>
      </w:r>
      <w:r w:rsidRPr="00A55582">
        <w:t xml:space="preserve"> w</w:t>
      </w:r>
      <w:r w:rsidR="00C63996">
        <w:t>ere</w:t>
      </w:r>
      <w:r w:rsidRPr="00A55582">
        <w:t xml:space="preserve"> measured by teacher report. Finally, this study also included direct assessments of children’s vocabulary, math, and overall school readiness. </w:t>
      </w:r>
      <w:bookmarkEnd w:id="78"/>
      <w:r w:rsidR="00851E65">
        <w:t xml:space="preserve">All measures discussed below are organized by the construct they purport to assess—AtL, EF, social development, and academic outcomes. </w:t>
      </w:r>
    </w:p>
    <w:p w14:paraId="130C9193" w14:textId="77777777" w:rsidR="00C54CCC" w:rsidRPr="00C54CCC" w:rsidRDefault="003C4D2C" w:rsidP="00C54CCC">
      <w:pPr>
        <w:pStyle w:val="Heading3"/>
        <w:rPr>
          <w:vanish/>
          <w:specVanish/>
        </w:rPr>
      </w:pPr>
      <w:bookmarkStart w:id="79" w:name="_Toc46265500"/>
      <w:r w:rsidRPr="00B3544A">
        <w:t>Approaches to Learning</w:t>
      </w:r>
      <w:r w:rsidR="00B3544A">
        <w:t>.</w:t>
      </w:r>
      <w:bookmarkEnd w:id="79"/>
    </w:p>
    <w:p w14:paraId="5DCD7726" w14:textId="4FB001AF" w:rsidR="00C54CCC" w:rsidRDefault="00B3544A" w:rsidP="00851E65">
      <w:r>
        <w:t xml:space="preserve"> </w:t>
      </w:r>
      <w:r w:rsidR="00C54CCC">
        <w:t xml:space="preserve">Approaches to learning was assessed using three measures, the Individual Classroom Assessment Scoring System, the Devereaux Early Child Assessment, and the Leiter-R. </w:t>
      </w:r>
    </w:p>
    <w:p w14:paraId="0F4D129B" w14:textId="734C9AE4" w:rsidR="00851E65" w:rsidRPr="00C54CCC" w:rsidRDefault="003C4D2C" w:rsidP="004C44BC">
      <w:pPr>
        <w:pStyle w:val="Heading4"/>
        <w:rPr>
          <w:vanish/>
          <w:specVanish/>
        </w:rPr>
      </w:pPr>
      <w:bookmarkStart w:id="80" w:name="_Toc46265501"/>
      <w:r w:rsidRPr="00851E65">
        <w:t>Individual Classroom Assessment Scoring System</w:t>
      </w:r>
      <w:bookmarkEnd w:id="80"/>
    </w:p>
    <w:p w14:paraId="1C314D9A" w14:textId="245EFB26" w:rsidR="00DE1E7F" w:rsidRDefault="003C4D2C" w:rsidP="00851E65">
      <w:r w:rsidRPr="00C54CCC">
        <w:t xml:space="preserve">. </w:t>
      </w:r>
      <w:r w:rsidRPr="00851E65">
        <w:t xml:space="preserve">The Individual Classroom Assessment Scoring System (inCLASS) is a child-focused observational assessment of children’s positive and active engagement with teachers, peers, and tasks in preschool </w:t>
      </w:r>
      <w:r w:rsidR="009A6864" w:rsidRPr="009A6864">
        <w:t xml:space="preserve">(Downer, </w:t>
      </w:r>
      <w:proofErr w:type="spellStart"/>
      <w:r w:rsidR="009A6864" w:rsidRPr="009A6864">
        <w:lastRenderedPageBreak/>
        <w:t>Booren</w:t>
      </w:r>
      <w:proofErr w:type="spellEnd"/>
      <w:r w:rsidR="009A6864" w:rsidRPr="009A6864">
        <w:t xml:space="preserve">, Lima, </w:t>
      </w:r>
      <w:proofErr w:type="spellStart"/>
      <w:r w:rsidR="009A6864" w:rsidRPr="009A6864">
        <w:t>Luckner</w:t>
      </w:r>
      <w:proofErr w:type="spellEnd"/>
      <w:r w:rsidR="009A6864" w:rsidRPr="009A6864">
        <w:t xml:space="preserve">, &amp; </w:t>
      </w:r>
      <w:proofErr w:type="spellStart"/>
      <w:r w:rsidR="009A6864" w:rsidRPr="009A6864">
        <w:t>Pianta</w:t>
      </w:r>
      <w:proofErr w:type="spellEnd"/>
      <w:r w:rsidR="009A6864" w:rsidRPr="009A6864">
        <w:t>, 2010)</w:t>
      </w:r>
      <w:r w:rsidRPr="00851E65">
        <w:t xml:space="preserve">. During an observation cycle, the target child </w:t>
      </w:r>
      <w:r w:rsidR="005D7190">
        <w:t>wa</w:t>
      </w:r>
      <w:r w:rsidRPr="00851E65">
        <w:t xml:space="preserve">s observed for ten minutes and then rated along ten dimensions on a seven-point scale from 1 (low) to 7 (high) </w:t>
      </w:r>
      <w:r w:rsidR="009A6864" w:rsidRPr="009A6864">
        <w:t xml:space="preserve">(Yoder, Williford, &amp; </w:t>
      </w:r>
      <w:proofErr w:type="spellStart"/>
      <w:r w:rsidR="009A6864" w:rsidRPr="009A6864">
        <w:t>Vitiello</w:t>
      </w:r>
      <w:proofErr w:type="spellEnd"/>
      <w:r w:rsidR="009A6864" w:rsidRPr="009A6864">
        <w:t>, 2019)</w:t>
      </w:r>
      <w:r w:rsidRPr="00851E65">
        <w:t xml:space="preserve">. </w:t>
      </w:r>
      <w:r w:rsidR="00DE1E7F" w:rsidRPr="00851E65">
        <w:t xml:space="preserve">Ratings incorporate both the quality and the frequency of </w:t>
      </w:r>
      <w:r w:rsidR="00DE1E7F">
        <w:t xml:space="preserve">specified </w:t>
      </w:r>
      <w:r w:rsidR="00DE1E7F" w:rsidRPr="00851E65">
        <w:t xml:space="preserve">behaviors. </w:t>
      </w:r>
      <w:r w:rsidR="00DE1E7F">
        <w:t xml:space="preserve">Each child </w:t>
      </w:r>
      <w:r w:rsidR="005D7190">
        <w:t>wa</w:t>
      </w:r>
      <w:r w:rsidR="00DE1E7F">
        <w:t xml:space="preserve">s observed multiple times (sweeps) throughout the day, and these sweeps </w:t>
      </w:r>
      <w:r w:rsidR="005D7190">
        <w:t>were</w:t>
      </w:r>
      <w:r w:rsidR="00DE1E7F">
        <w:t xml:space="preserve"> averaged to create a dimension score. </w:t>
      </w:r>
    </w:p>
    <w:p w14:paraId="6E4FE917" w14:textId="47E4255F" w:rsidR="00851E65" w:rsidRPr="00C54CCC" w:rsidRDefault="003C4D2C" w:rsidP="00DE1E7F">
      <w:pPr>
        <w:ind w:firstLine="720"/>
        <w:rPr>
          <w:vanish/>
          <w:specVanish/>
        </w:rPr>
      </w:pPr>
      <w:r w:rsidRPr="00851E65">
        <w:t>The inCLASS includes ten dimensions across three domains (teacher interactions, peer interactions, and task orientation). In this study, AtL was measured via two d</w:t>
      </w:r>
      <w:r w:rsidR="00DE1E7F">
        <w:t>imensions</w:t>
      </w:r>
      <w:r w:rsidR="00CC22B9">
        <w:t xml:space="preserve"> (engagement and self-reliance)</w:t>
      </w:r>
      <w:r w:rsidR="00DE1E7F">
        <w:t xml:space="preserve"> </w:t>
      </w:r>
      <w:r w:rsidRPr="00851E65">
        <w:t xml:space="preserve">of task orientation, </w:t>
      </w:r>
      <w:r w:rsidR="00162EEF">
        <w:t>a d</w:t>
      </w:r>
      <w:r w:rsidR="005D7190">
        <w:t xml:space="preserve">omain </w:t>
      </w:r>
      <w:r w:rsidR="00CC22B9">
        <w:t>describ</w:t>
      </w:r>
      <w:r w:rsidR="005D7190">
        <w:t>ing</w:t>
      </w:r>
      <w:r w:rsidR="00CC22B9">
        <w:t xml:space="preserve"> children’s use of on-task, self-directed behavior to manage the academic demands of the classroom</w:t>
      </w:r>
      <w:r w:rsidR="00162EEF">
        <w:t xml:space="preserve"> (Downer, </w:t>
      </w:r>
      <w:proofErr w:type="spellStart"/>
      <w:r w:rsidR="00162EEF">
        <w:t>Booren</w:t>
      </w:r>
      <w:proofErr w:type="spellEnd"/>
      <w:r w:rsidR="00162EEF">
        <w:t xml:space="preserve">, Hamre, </w:t>
      </w:r>
      <w:proofErr w:type="spellStart"/>
      <w:r w:rsidR="00162EEF">
        <w:t>Pianta</w:t>
      </w:r>
      <w:proofErr w:type="spellEnd"/>
      <w:r w:rsidR="00162EEF">
        <w:t xml:space="preserve"> &amp; Williford, 2012)</w:t>
      </w:r>
      <w:r w:rsidR="00CC22B9">
        <w:t>.</w:t>
      </w:r>
      <w:r w:rsidR="00162EEF">
        <w:t xml:space="preserve"> </w:t>
      </w:r>
      <w:r w:rsidRPr="00851E65">
        <w:t>Engagement with tasks is a measure of the degree to which a child is consistently and actively involved in classroom tasks</w:t>
      </w:r>
      <w:r w:rsidR="00CC22B9">
        <w:t>, including sustained attention, focus</w:t>
      </w:r>
      <w:r w:rsidR="00CE62E3">
        <w:t>,</w:t>
      </w:r>
      <w:r w:rsidR="00CC22B9">
        <w:t xml:space="preserve"> and interest. A child rated high in engagement is actively engaged and enthusiastic about activities. </w:t>
      </w:r>
      <w:r w:rsidRPr="00851E65">
        <w:t>Self-reliance measures the degree to which a child takes learning into their own hands</w:t>
      </w:r>
      <w:r w:rsidR="00CC22B9">
        <w:t xml:space="preserve"> by actively seeking out learning opportunities and making use of classroom resources. A child high in self-reliance demonstrates initiative, </w:t>
      </w:r>
      <w:r w:rsidR="00CE62E3">
        <w:t>can</w:t>
      </w:r>
      <w:r w:rsidR="00CC22B9">
        <w:t xml:space="preserve"> link new concepts to previous experiences, persists through struggles, and needs limited guidance. </w:t>
      </w:r>
    </w:p>
    <w:p w14:paraId="27DC063C" w14:textId="0AADF88B" w:rsidR="00C54CCC" w:rsidRPr="00851E65" w:rsidRDefault="00C54CCC" w:rsidP="00851E65">
      <w:pPr>
        <w:rPr>
          <w:specVanish/>
        </w:rPr>
      </w:pPr>
    </w:p>
    <w:p w14:paraId="6CBA9B5E" w14:textId="1F50FA00" w:rsidR="00A55582" w:rsidRDefault="00851E65" w:rsidP="00851E65">
      <w:pPr>
        <w:rPr>
          <w:bCs/>
        </w:rPr>
      </w:pPr>
      <w:r w:rsidRPr="00851E65">
        <w:t xml:space="preserve"> </w:t>
      </w:r>
      <w:r>
        <w:tab/>
      </w:r>
      <w:r w:rsidR="003C4D2C" w:rsidRPr="00094AF8">
        <w:rPr>
          <w:bCs/>
        </w:rPr>
        <w:t>Several studies have researched the psychometric properties of the inCLASS. For example, Downer et al. (2010) found support for concurrent validity when the positive engagement with teachers inCLASS dimension was positively related to ratings of teacher-child closeness and child assertiveness</w:t>
      </w:r>
      <w:r w:rsidR="003C4D2C" w:rsidRPr="00094AF8">
        <w:rPr>
          <w:bCs/>
          <w:color w:val="7030A0"/>
        </w:rPr>
        <w:t xml:space="preserve">. </w:t>
      </w:r>
      <w:r w:rsidR="00BE3CF8">
        <w:rPr>
          <w:bCs/>
        </w:rPr>
        <w:t>It</w:t>
      </w:r>
      <w:r w:rsidR="003C4D2C" w:rsidRPr="00094AF8">
        <w:rPr>
          <w:bCs/>
        </w:rPr>
        <w:t xml:space="preserve"> has also shown construct and criterion validity specific to both positive and negative peer engagement, with studies identifying mild or moderate associations between the inCLASS peer dimensions and teacher-rated social skills on measures such as the Teacher-Child Rating Scale (Downer et al., 2010). The inCLASS has demonstrated </w:t>
      </w:r>
      <w:r w:rsidR="003C4D2C" w:rsidRPr="00094AF8">
        <w:rPr>
          <w:bCs/>
        </w:rPr>
        <w:lastRenderedPageBreak/>
        <w:t xml:space="preserve">discriminant validity, as the teacher interaction domain was </w:t>
      </w:r>
      <w:r w:rsidR="004A433F">
        <w:rPr>
          <w:bCs/>
        </w:rPr>
        <w:t>primari</w:t>
      </w:r>
      <w:r w:rsidR="003C4D2C" w:rsidRPr="00094AF8">
        <w:rPr>
          <w:bCs/>
        </w:rPr>
        <w:t>ly unrelated to any task-peer and conflict focused rating scales</w:t>
      </w:r>
      <w:r w:rsidR="003C4D2C" w:rsidRPr="00094AF8">
        <w:rPr>
          <w:bCs/>
          <w:color w:val="7030A0"/>
        </w:rPr>
        <w:t xml:space="preserve"> </w:t>
      </w:r>
      <w:r w:rsidR="003C4D2C" w:rsidRPr="00094AF8">
        <w:t>(Williford et al., 2013)</w:t>
      </w:r>
      <w:r w:rsidR="00BE3CF8">
        <w:rPr>
          <w:bCs/>
          <w:color w:val="7030A0"/>
        </w:rPr>
        <w:t xml:space="preserve">. </w:t>
      </w:r>
      <w:r w:rsidR="00BE3CF8" w:rsidRPr="00BE3CF8">
        <w:rPr>
          <w:bCs/>
          <w:color w:val="auto"/>
        </w:rPr>
        <w:t xml:space="preserve">It has been </w:t>
      </w:r>
      <w:r w:rsidR="003C4D2C" w:rsidRPr="00094AF8">
        <w:rPr>
          <w:bCs/>
        </w:rPr>
        <w:t xml:space="preserve">able to maintain measurement properties across demographic groups including poverty status, ethnicity, and gender </w:t>
      </w:r>
      <w:r w:rsidR="003C4D2C" w:rsidRPr="00094AF8">
        <w:t>(</w:t>
      </w:r>
      <w:proofErr w:type="spellStart"/>
      <w:r w:rsidR="003C4D2C" w:rsidRPr="00094AF8">
        <w:t>Bohlmann</w:t>
      </w:r>
      <w:proofErr w:type="spellEnd"/>
      <w:r w:rsidR="003C4D2C" w:rsidRPr="00094AF8">
        <w:t xml:space="preserve"> et al., 2019)</w:t>
      </w:r>
      <w:r w:rsidR="003C4D2C" w:rsidRPr="00094AF8">
        <w:rPr>
          <w:bCs/>
        </w:rPr>
        <w:t xml:space="preserve">. It has also been associated with measures of school readiness and self-regulation, indicating that the inCLASS </w:t>
      </w:r>
      <w:r w:rsidR="004A433F">
        <w:rPr>
          <w:bCs/>
        </w:rPr>
        <w:t>can</w:t>
      </w:r>
      <w:r w:rsidR="003C4D2C" w:rsidRPr="00094AF8">
        <w:rPr>
          <w:bCs/>
        </w:rPr>
        <w:t xml:space="preserve"> capture behaviors relevant to the learning process </w:t>
      </w:r>
      <w:r w:rsidR="003C4D2C" w:rsidRPr="00094AF8">
        <w:t>(Sabol et al., 2018)</w:t>
      </w:r>
      <w:r w:rsidR="003C4D2C" w:rsidRPr="00094AF8">
        <w:rPr>
          <w:bCs/>
        </w:rPr>
        <w:t xml:space="preserve">. </w:t>
      </w:r>
    </w:p>
    <w:p w14:paraId="44F44807" w14:textId="593A40E3" w:rsidR="00851E65" w:rsidRPr="00C54CCC" w:rsidRDefault="003C4D2C" w:rsidP="004C44BC">
      <w:pPr>
        <w:pStyle w:val="Heading4"/>
        <w:rPr>
          <w:vanish/>
          <w:specVanish/>
        </w:rPr>
      </w:pPr>
      <w:bookmarkStart w:id="81" w:name="_Toc46265502"/>
      <w:r w:rsidRPr="00B3544A">
        <w:t>Devereux Early Childhood Assessment, Preschool 2nd edition</w:t>
      </w:r>
      <w:r w:rsidR="005D7190">
        <w:t>.</w:t>
      </w:r>
      <w:bookmarkEnd w:id="81"/>
    </w:p>
    <w:p w14:paraId="0C7A7540" w14:textId="2A09E8F1" w:rsidR="003C4D2C" w:rsidRPr="00851E65" w:rsidRDefault="003C4D2C" w:rsidP="00851E65">
      <w:pPr>
        <w:rPr>
          <w:specVanish/>
        </w:rPr>
      </w:pPr>
      <w:r w:rsidRPr="00A55582">
        <w:t xml:space="preserve"> </w:t>
      </w:r>
      <w:r w:rsidRPr="00851E65">
        <w:t xml:space="preserve">The </w:t>
      </w:r>
      <w:r w:rsidR="005D7190">
        <w:t>Devereux Early Childhood Assessment (</w:t>
      </w:r>
      <w:r w:rsidRPr="00851E65">
        <w:t>DECA</w:t>
      </w:r>
      <w:r w:rsidR="00DE1E7F">
        <w:t>-2P</w:t>
      </w:r>
      <w:r w:rsidR="005D7190">
        <w:t xml:space="preserve">) </w:t>
      </w:r>
      <w:r w:rsidRPr="00851E65">
        <w:t xml:space="preserve">is a standardized, norm-referenced rating scale used to assess the behavior and functioning of children aged 2 to 5 </w:t>
      </w:r>
      <w:r w:rsidR="009A6864" w:rsidRPr="009A6864">
        <w:t>(</w:t>
      </w:r>
      <w:proofErr w:type="spellStart"/>
      <w:r w:rsidR="009A6864" w:rsidRPr="009A6864">
        <w:t>LeBuffe</w:t>
      </w:r>
      <w:proofErr w:type="spellEnd"/>
      <w:r w:rsidR="009A6864" w:rsidRPr="009A6864">
        <w:t xml:space="preserve"> &amp; Shapiro, 2004)</w:t>
      </w:r>
      <w:r w:rsidRPr="00851E65">
        <w:t>. The DECA is designed to identify children’s strengths in social, emotional</w:t>
      </w:r>
      <w:r w:rsidR="005D7190">
        <w:t>,</w:t>
      </w:r>
      <w:r w:rsidRPr="00851E65">
        <w:t xml:space="preserve"> and behavioral functioning</w:t>
      </w:r>
      <w:r w:rsidR="00DE1E7F">
        <w:t xml:space="preserve"> and includes two subscales, total protective factors (27 items) and behavioral concerns (10 items)</w:t>
      </w:r>
      <w:r w:rsidR="007C1CBE">
        <w:t xml:space="preserve"> </w:t>
      </w:r>
      <w:r w:rsidR="009A6864" w:rsidRPr="009A6864">
        <w:t xml:space="preserve">(Crane, </w:t>
      </w:r>
      <w:proofErr w:type="spellStart"/>
      <w:r w:rsidR="009A6864" w:rsidRPr="009A6864">
        <w:t>Mincic</w:t>
      </w:r>
      <w:proofErr w:type="spellEnd"/>
      <w:r w:rsidR="009A6864" w:rsidRPr="009A6864">
        <w:t xml:space="preserve">, &amp; </w:t>
      </w:r>
      <w:proofErr w:type="spellStart"/>
      <w:r w:rsidR="009A6864" w:rsidRPr="009A6864">
        <w:t>Winsler</w:t>
      </w:r>
      <w:proofErr w:type="spellEnd"/>
      <w:r w:rsidR="009A6864" w:rsidRPr="009A6864">
        <w:t>, 2011)</w:t>
      </w:r>
      <w:r w:rsidR="00005276">
        <w:t>.</w:t>
      </w:r>
      <w:r w:rsidRPr="00851E65">
        <w:t xml:space="preserve"> Caregivers rate children on a 5-point scale according to how often (never, rarely, occasionally, frequently, very frequently) behavior has been observed within the last four months</w:t>
      </w:r>
      <w:r w:rsidR="00005276">
        <w:t>, such that higher scores indicate more protective factors.</w:t>
      </w:r>
      <w:r w:rsidR="007C1CBE">
        <w:t xml:space="preserve"> </w:t>
      </w:r>
      <w:r w:rsidR="00FE0E33">
        <w:t xml:space="preserve">Raw scores are typically converted to T-scores for analysis with a mean of 50 and a standard deviation of 10. </w:t>
      </w:r>
    </w:p>
    <w:p w14:paraId="425F7DC0" w14:textId="6FE73DDA" w:rsidR="003C4D2C" w:rsidRDefault="00851E65" w:rsidP="003C4D2C">
      <w:pPr>
        <w:ind w:firstLine="720"/>
        <w:contextualSpacing/>
        <w:rPr>
          <w:rFonts w:eastAsiaTheme="minorEastAsia"/>
        </w:rPr>
      </w:pPr>
      <w:r>
        <w:rPr>
          <w:bCs/>
        </w:rPr>
        <w:t xml:space="preserve"> </w:t>
      </w:r>
      <w:r w:rsidR="003C4D2C" w:rsidRPr="00094AF8">
        <w:rPr>
          <w:rFonts w:eastAsiaTheme="minorEastAsia"/>
        </w:rPr>
        <w:t xml:space="preserve">The DECA has demonstrated acceptable psychometric properties. Lien and Carlson </w:t>
      </w:r>
      <w:r w:rsidR="009A6864" w:rsidRPr="009A6864">
        <w:t>(2009)</w:t>
      </w:r>
      <w:r w:rsidR="003C4D2C" w:rsidRPr="00094AF8">
        <w:rPr>
          <w:rFonts w:eastAsiaTheme="minorEastAsia"/>
        </w:rPr>
        <w:t xml:space="preserve"> provided evidence that the internal consistency and standard error of measurement values on the DECA for a Head Start sample that closely mirrored those of the standardization sample, indicating that the measure was reliable with Head Start populations. Similarly, Crane et al. </w:t>
      </w:r>
      <w:r w:rsidR="003C4D2C" w:rsidRPr="00094AF8">
        <w:t>(2011)</w:t>
      </w:r>
      <w:r w:rsidR="003C4D2C" w:rsidRPr="00094AF8">
        <w:rPr>
          <w:rFonts w:eastAsiaTheme="minorEastAsia"/>
        </w:rPr>
        <w:t xml:space="preserve"> demonstrated that the measure had internal consistency within a low-income and ethnically diverse sample and that there were no differences in internal consistency between the Spanish and English versions of the DECA. </w:t>
      </w:r>
    </w:p>
    <w:p w14:paraId="6467FA47" w14:textId="66BCD5BD" w:rsidR="003C4D2C" w:rsidRPr="005D7190" w:rsidRDefault="005D7190" w:rsidP="005D7190">
      <w:pPr>
        <w:ind w:firstLine="720"/>
        <w:contextualSpacing/>
        <w:rPr>
          <w:bCs/>
        </w:rPr>
      </w:pPr>
      <w:r w:rsidRPr="00094AF8">
        <w:rPr>
          <w:bCs/>
        </w:rPr>
        <w:lastRenderedPageBreak/>
        <w:t>Factor analysis across multiple studies</w:t>
      </w:r>
      <w:r>
        <w:rPr>
          <w:bCs/>
        </w:rPr>
        <w:t xml:space="preserve"> </w:t>
      </w:r>
      <w:r w:rsidRPr="009A6864">
        <w:t xml:space="preserve">(Crane et al., 2011; </w:t>
      </w:r>
      <w:proofErr w:type="spellStart"/>
      <w:r w:rsidRPr="009A6864">
        <w:t>LeBuffe</w:t>
      </w:r>
      <w:proofErr w:type="spellEnd"/>
      <w:r w:rsidRPr="009A6864">
        <w:t xml:space="preserve"> &amp; Shapiro, 2004)</w:t>
      </w:r>
      <w:r w:rsidRPr="00094AF8">
        <w:rPr>
          <w:bCs/>
        </w:rPr>
        <w:t xml:space="preserve"> has shown the protective items load onto three factors. These include initiative, the child’s ability to use independent thought and action to meet his/her needs; self-</w:t>
      </w:r>
      <w:r>
        <w:rPr>
          <w:bCs/>
        </w:rPr>
        <w:t>regulation</w:t>
      </w:r>
      <w:r w:rsidRPr="00094AF8">
        <w:rPr>
          <w:bCs/>
        </w:rPr>
        <w:t xml:space="preserve">, the child’s ability to experience a range of feelings and express them; and attachment, a measure of the mutual, strong and long-lasting relationship between the child and a significant adult. </w:t>
      </w:r>
      <w:r w:rsidR="00005276">
        <w:t xml:space="preserve">For this study, only selected items were utilized because </w:t>
      </w:r>
      <w:r w:rsidR="003C4D2C">
        <w:t xml:space="preserve">the DECA </w:t>
      </w:r>
      <w:r w:rsidR="00005276">
        <w:t>i</w:t>
      </w:r>
      <w:r w:rsidR="003C4D2C">
        <w:t xml:space="preserve">s intended to be a measure of protective factors and not AtL </w:t>
      </w:r>
      <w:r w:rsidR="004A433F">
        <w:t>express</w:t>
      </w:r>
      <w:r w:rsidR="003C4D2C">
        <w:t>ly</w:t>
      </w:r>
      <w:r>
        <w:t>.</w:t>
      </w:r>
      <w:r w:rsidR="003C4D2C">
        <w:t xml:space="preserve"> Items were selected that correspond to previous researchers’ operationalizations of AtL that focus on observable classroom behaviors (see Table 1). For the attachment subscale, this included two questions</w:t>
      </w:r>
      <w:r w:rsidR="00AD30DE">
        <w:t>:</w:t>
      </w:r>
      <w:r w:rsidR="003C4D2C">
        <w:t xml:space="preserve"> asks </w:t>
      </w:r>
      <w:r w:rsidR="004A433F">
        <w:t xml:space="preserve">an </w:t>
      </w:r>
      <w:r w:rsidR="003C4D2C">
        <w:t>adult to read to him/her and looks forward to activities. For self-regulation, four items were kept: plays with others, handles frustration,</w:t>
      </w:r>
      <w:r>
        <w:t xml:space="preserve"> is</w:t>
      </w:r>
      <w:r w:rsidR="003C4D2C">
        <w:t xml:space="preserve"> patient, and accepts another choice if </w:t>
      </w:r>
      <w:r w:rsidR="004A433F">
        <w:t xml:space="preserve">the </w:t>
      </w:r>
      <w:r w:rsidR="003C4D2C">
        <w:t xml:space="preserve">first choice is not available. </w:t>
      </w:r>
      <w:r w:rsidR="004A433F">
        <w:t>The</w:t>
      </w:r>
      <w:r w:rsidR="003C4D2C">
        <w:t xml:space="preserve"> item-level responses within the subscale were summed and then divided by the total number of responses</w:t>
      </w:r>
      <w:r w:rsidR="004A433F">
        <w:t xml:space="preserve"> to create a subscale score</w:t>
      </w:r>
      <w:r w:rsidR="003C4D2C">
        <w:t xml:space="preserve"> (e.g.</w:t>
      </w:r>
      <w:r w:rsidR="004A433F">
        <w:t>,</w:t>
      </w:r>
      <w:r w:rsidR="003C4D2C">
        <w:t xml:space="preserve"> two for the attachment subscale). The two subscales were maintained as distinct components; however, the labels were changed to reflect classroom-based behavior. The attachment subscale was renamed adaptive behavior</w:t>
      </w:r>
      <w:r w:rsidR="004A433F">
        <w:t>,</w:t>
      </w:r>
      <w:r w:rsidR="003C4D2C">
        <w:t xml:space="preserve"> and the self-regulation subscale was renamed emotion management. </w:t>
      </w:r>
    </w:p>
    <w:p w14:paraId="2B0F4055" w14:textId="54EE8755" w:rsidR="00E37FCD" w:rsidRPr="00E37FCD" w:rsidRDefault="003C4D2C" w:rsidP="004C44BC">
      <w:pPr>
        <w:pStyle w:val="Heading4"/>
        <w:rPr>
          <w:vanish/>
          <w:specVanish/>
        </w:rPr>
      </w:pPr>
      <w:bookmarkStart w:id="82" w:name="_Toc46265503"/>
      <w:r w:rsidRPr="00B3544A">
        <w:t>Leiter-</w:t>
      </w:r>
      <w:r w:rsidR="0028004F">
        <w:t>R</w:t>
      </w:r>
      <w:r w:rsidRPr="00B3544A">
        <w:t xml:space="preserve"> Examiner Rating Scale</w:t>
      </w:r>
      <w:bookmarkEnd w:id="82"/>
    </w:p>
    <w:p w14:paraId="03F9533C" w14:textId="13A32EA7" w:rsidR="003C4D2C" w:rsidRPr="00E37FCD" w:rsidRDefault="00005276" w:rsidP="00E37FCD">
      <w:pPr>
        <w:rPr>
          <w:vanish/>
          <w:specVanish/>
        </w:rPr>
      </w:pPr>
      <w:r>
        <w:t>.</w:t>
      </w:r>
      <w:r w:rsidR="003C4D2C" w:rsidRPr="00A55582">
        <w:t xml:space="preserve"> </w:t>
      </w:r>
      <w:r w:rsidR="003C4D2C" w:rsidRPr="00E37FCD">
        <w:t xml:space="preserve">The Leiter-R </w:t>
      </w:r>
      <w:r w:rsidR="0028004F">
        <w:t xml:space="preserve">Examiner Rating Scale (Leiter-R) </w:t>
      </w:r>
      <w:r w:rsidR="003C4D2C" w:rsidRPr="00E37FCD">
        <w:t xml:space="preserve">is a behavior rating scale that is completed by </w:t>
      </w:r>
      <w:r>
        <w:t>an</w:t>
      </w:r>
      <w:r w:rsidR="003C4D2C" w:rsidRPr="00E37FCD">
        <w:t xml:space="preserve"> assessor after a testing session</w:t>
      </w:r>
      <w:r w:rsidR="0028004F">
        <w:t xml:space="preserve"> and is </w:t>
      </w:r>
      <w:r w:rsidR="00AD30DE">
        <w:t>designed</w:t>
      </w:r>
      <w:r w:rsidR="0028004F">
        <w:t xml:space="preserve"> to provide a snapshot of the child’s test-taking behavior or socio-emotional factors</w:t>
      </w:r>
      <w:r w:rsidR="003C4D2C" w:rsidRPr="00E37FCD">
        <w:t xml:space="preserve"> </w:t>
      </w:r>
      <w:r w:rsidR="009A6864" w:rsidRPr="009A6864">
        <w:t>(</w:t>
      </w:r>
      <w:proofErr w:type="spellStart"/>
      <w:r w:rsidR="009A6864" w:rsidRPr="009A6864">
        <w:t>Roid</w:t>
      </w:r>
      <w:proofErr w:type="spellEnd"/>
      <w:r w:rsidR="009A6864" w:rsidRPr="009A6864">
        <w:t xml:space="preserve"> &amp; Miller, 1997)</w:t>
      </w:r>
      <w:r w:rsidR="003C4D2C" w:rsidRPr="00E37FCD">
        <w:t>. The assessor rate</w:t>
      </w:r>
      <w:r>
        <w:t>s</w:t>
      </w:r>
      <w:r w:rsidR="003C4D2C" w:rsidRPr="00E37FCD">
        <w:t xml:space="preserve"> children’s behavior from 0 (rarely) to 3 (always)</w:t>
      </w:r>
      <w:r>
        <w:t>, with higher scores indicating better behavior.</w:t>
      </w:r>
      <w:r w:rsidR="007C1CBE">
        <w:t xml:space="preserve"> </w:t>
      </w:r>
      <w:r w:rsidR="003C4D2C" w:rsidRPr="00E37FCD">
        <w:t xml:space="preserve">Children are rated according </w:t>
      </w:r>
      <w:r w:rsidR="004A433F">
        <w:t>to</w:t>
      </w:r>
      <w:r w:rsidR="003C4D2C" w:rsidRPr="00E37FCD">
        <w:t xml:space="preserve"> eight subscales: attention, organization, activity level, sociability, energy/feelings, regulation and mood regulation, anxiety, and sensitivity reactivity. For this study, the </w:t>
      </w:r>
      <w:r w:rsidR="00FE0E33">
        <w:t xml:space="preserve">attention scale was used, which converts the </w:t>
      </w:r>
      <w:r w:rsidR="00FE0E33">
        <w:lastRenderedPageBreak/>
        <w:t>c</w:t>
      </w:r>
      <w:r w:rsidR="003C4D2C" w:rsidRPr="00E37FCD">
        <w:t xml:space="preserve">omposite of </w:t>
      </w:r>
      <w:r w:rsidR="00FE0E33">
        <w:t xml:space="preserve">the subscale scores to a scaled score with a possible range from 1-19. The 8 items in the attention subscale </w:t>
      </w:r>
      <w:r w:rsidR="003C4D2C" w:rsidRPr="00E37FCD">
        <w:t xml:space="preserve">include </w:t>
      </w:r>
      <w:r w:rsidR="00FE0E33">
        <w:t>whet</w:t>
      </w:r>
      <w:r w:rsidR="003C4D2C" w:rsidRPr="00E37FCD">
        <w:t>her the child pays attention, stays on tasks</w:t>
      </w:r>
      <w:r w:rsidR="004A433F">
        <w:t>,</w:t>
      </w:r>
      <w:r w:rsidR="003C4D2C" w:rsidRPr="00E37FCD">
        <w:t xml:space="preserve"> and sustains concentration. Attention was selected in particular because of its importance to the construct of AtL. </w:t>
      </w:r>
    </w:p>
    <w:p w14:paraId="6CC6B9EA" w14:textId="11AA2D5C" w:rsidR="00E37FCD" w:rsidRDefault="0028004F" w:rsidP="00E37FCD">
      <w:bookmarkStart w:id="83" w:name="_Toc19885626"/>
      <w:r>
        <w:t xml:space="preserve">The testing manual describes </w:t>
      </w:r>
      <w:r w:rsidR="004A433F">
        <w:t xml:space="preserve">the </w:t>
      </w:r>
      <w:r>
        <w:t>psychometric properties of the standardization sample, including reliability coefficients for the subscales</w:t>
      </w:r>
      <w:r w:rsidR="004A433F">
        <w:t xml:space="preserve">, which </w:t>
      </w:r>
      <w:r>
        <w:t>ranged from .71 to .96 across age groups, with only five coefficients falling below .80</w:t>
      </w:r>
      <w:r w:rsidR="004441C7">
        <w:t xml:space="preserve"> </w:t>
      </w:r>
      <w:r w:rsidR="004441C7" w:rsidRPr="004441C7">
        <w:t>(Farmer, 2013)</w:t>
      </w:r>
      <w:r>
        <w:t>.</w:t>
      </w:r>
    </w:p>
    <w:p w14:paraId="0EFAC552" w14:textId="0C95E033" w:rsidR="003C4D2C" w:rsidRPr="001578DB" w:rsidRDefault="00E37FCD" w:rsidP="00E37FCD">
      <w:pPr>
        <w:pStyle w:val="Heading3"/>
        <w:rPr>
          <w:vanish/>
          <w:specVanish/>
        </w:rPr>
      </w:pPr>
      <w:r>
        <w:t xml:space="preserve"> </w:t>
      </w:r>
      <w:bookmarkStart w:id="84" w:name="_Toc46265504"/>
      <w:r w:rsidR="003C4D2C" w:rsidRPr="00A55582">
        <w:t>Task-based executive function</w:t>
      </w:r>
      <w:bookmarkEnd w:id="83"/>
      <w:r w:rsidR="00B3544A">
        <w:t>.</w:t>
      </w:r>
      <w:bookmarkEnd w:id="84"/>
      <w:r w:rsidR="00B3544A">
        <w:t xml:space="preserve"> </w:t>
      </w:r>
    </w:p>
    <w:p w14:paraId="03AD86CD" w14:textId="68E1A90B" w:rsidR="001578DB" w:rsidRPr="001578DB" w:rsidRDefault="001578DB" w:rsidP="001578DB">
      <w:pPr>
        <w:rPr>
          <w:vanish/>
          <w:specVanish/>
        </w:rPr>
      </w:pPr>
      <w:r>
        <w:t xml:space="preserve"> Executive function was assessed via three tasks, Pencil Tal, Digit Span, and the Head Shoulders Knees and Toes task. </w:t>
      </w:r>
    </w:p>
    <w:p w14:paraId="2BB3D9C7" w14:textId="77777777" w:rsidR="001578DB" w:rsidRDefault="001578DB" w:rsidP="004C44BC">
      <w:pPr>
        <w:pStyle w:val="Heading4"/>
      </w:pPr>
    </w:p>
    <w:p w14:paraId="0326F437" w14:textId="18BEA406" w:rsidR="001578DB" w:rsidRPr="001578DB" w:rsidRDefault="003C4D2C" w:rsidP="004C44BC">
      <w:pPr>
        <w:pStyle w:val="Heading4"/>
        <w:rPr>
          <w:vanish/>
          <w:specVanish/>
        </w:rPr>
      </w:pPr>
      <w:bookmarkStart w:id="85" w:name="_Toc46265505"/>
      <w:r w:rsidRPr="001578DB">
        <w:t>Pencil Tap</w:t>
      </w:r>
      <w:bookmarkEnd w:id="85"/>
      <w:r w:rsidR="00BE3CF8">
        <w:t>.</w:t>
      </w:r>
    </w:p>
    <w:p w14:paraId="7DAEA4A3" w14:textId="6237FF22" w:rsidR="001578DB" w:rsidRPr="001578DB" w:rsidRDefault="007C1CBE" w:rsidP="001578DB">
      <w:pPr>
        <w:rPr>
          <w:vanish/>
          <w:specVanish/>
        </w:rPr>
      </w:pPr>
      <w:r>
        <w:t xml:space="preserve"> </w:t>
      </w:r>
      <w:r w:rsidR="003C4D2C" w:rsidRPr="001578DB">
        <w:t>As a measure of inhibitory control, the Pencil Tap is a simple</w:t>
      </w:r>
      <w:r w:rsidR="004441C7">
        <w:t>,</w:t>
      </w:r>
      <w:r w:rsidR="003C4D2C" w:rsidRPr="001578DB">
        <w:t xml:space="preserve"> yet objective assessment of the child’s ability to suppress the urge to copy the assessor </w:t>
      </w:r>
      <w:r w:rsidR="009A6864" w:rsidRPr="009A6864">
        <w:t xml:space="preserve">(Blair &amp; </w:t>
      </w:r>
      <w:proofErr w:type="spellStart"/>
      <w:r w:rsidR="009A6864" w:rsidRPr="009A6864">
        <w:t>Razza</w:t>
      </w:r>
      <w:proofErr w:type="spellEnd"/>
      <w:r w:rsidR="009A6864" w:rsidRPr="009A6864">
        <w:t>, 2007)</w:t>
      </w:r>
      <w:r w:rsidR="003C4D2C" w:rsidRPr="001578DB">
        <w:t>. Both the child and the assessor have a pencil; if the assessor taps twice, the child is instructed to tap once and vice versa. Children are given three practice trials, and, upon succeeding, are administered 16 additional tri</w:t>
      </w:r>
      <w:r w:rsidR="00B45A18">
        <w:t>a</w:t>
      </w:r>
      <w:r w:rsidR="003C4D2C" w:rsidRPr="001578DB">
        <w:t xml:space="preserve">ls. Each correct trial </w:t>
      </w:r>
      <w:r w:rsidR="004A433F">
        <w:t>was</w:t>
      </w:r>
      <w:r w:rsidR="003C4D2C" w:rsidRPr="001578DB">
        <w:t xml:space="preserve"> scored a one</w:t>
      </w:r>
      <w:r w:rsidR="004A433F">
        <w:t>;</w:t>
      </w:r>
      <w:r w:rsidR="003C4D2C" w:rsidRPr="001578DB">
        <w:t xml:space="preserve"> thus</w:t>
      </w:r>
      <w:r w:rsidR="004A433F">
        <w:t>,</w:t>
      </w:r>
      <w:r w:rsidR="003C4D2C" w:rsidRPr="001578DB">
        <w:t xml:space="preserve"> scores range from 0 to 16. This measure is a widely used measure of EF, particularly for younger children </w:t>
      </w:r>
      <w:r w:rsidR="009A6864" w:rsidRPr="009A6864">
        <w:t>(</w:t>
      </w:r>
      <w:proofErr w:type="spellStart"/>
      <w:r w:rsidR="009A6864" w:rsidRPr="009A6864">
        <w:t>Fuhs</w:t>
      </w:r>
      <w:proofErr w:type="spellEnd"/>
      <w:r w:rsidR="009A6864" w:rsidRPr="009A6864">
        <w:t xml:space="preserve">, </w:t>
      </w:r>
      <w:proofErr w:type="spellStart"/>
      <w:r w:rsidR="009A6864" w:rsidRPr="009A6864">
        <w:t>Farran</w:t>
      </w:r>
      <w:proofErr w:type="spellEnd"/>
      <w:r w:rsidR="009A6864" w:rsidRPr="009A6864">
        <w:t xml:space="preserve">, &amp; Nesbitt, 2015; Smith-Donald, Raver, Hayes, &amp; Richardson, 2007; Weiland, </w:t>
      </w:r>
      <w:proofErr w:type="spellStart"/>
      <w:r w:rsidR="009A6864" w:rsidRPr="009A6864">
        <w:t>Barata</w:t>
      </w:r>
      <w:proofErr w:type="spellEnd"/>
      <w:r w:rsidR="009A6864" w:rsidRPr="009A6864">
        <w:t>, &amp; Yoshikawa, 2014)</w:t>
      </w:r>
    </w:p>
    <w:p w14:paraId="67DFD9F7" w14:textId="72D24296" w:rsidR="001578DB" w:rsidRPr="000F3A57" w:rsidRDefault="000F3A57" w:rsidP="000F3A57">
      <w:r>
        <w:t xml:space="preserve">. Test-retest reliability for the pencil tap has been demonstrated with 4-year-olds at </w:t>
      </w:r>
      <w:r>
        <w:rPr>
          <w:i/>
          <w:iCs/>
        </w:rPr>
        <w:t>r</w:t>
      </w:r>
      <w:r>
        <w:t xml:space="preserve"> = .80 </w:t>
      </w:r>
      <w:r w:rsidRPr="000F3A57">
        <w:t>(Lipsey et al., 2017)</w:t>
      </w:r>
      <w:r>
        <w:t xml:space="preserve">. </w:t>
      </w:r>
    </w:p>
    <w:p w14:paraId="33F942AE" w14:textId="77777777" w:rsidR="001578DB" w:rsidRPr="001578DB" w:rsidRDefault="003C4D2C" w:rsidP="004C44BC">
      <w:pPr>
        <w:pStyle w:val="Heading4"/>
        <w:rPr>
          <w:vanish/>
          <w:specVanish/>
        </w:rPr>
      </w:pPr>
      <w:bookmarkStart w:id="86" w:name="_Toc46265506"/>
      <w:r w:rsidRPr="001578DB">
        <w:t>Digit Span.</w:t>
      </w:r>
      <w:bookmarkEnd w:id="86"/>
      <w:r w:rsidRPr="001578DB">
        <w:t xml:space="preserve"> </w:t>
      </w:r>
    </w:p>
    <w:p w14:paraId="4D1E18DF" w14:textId="7560AC4B" w:rsidR="001578DB" w:rsidRPr="001578DB" w:rsidRDefault="003C4D2C" w:rsidP="001578DB">
      <w:pPr>
        <w:rPr>
          <w:vanish/>
          <w:specVanish/>
        </w:rPr>
      </w:pPr>
      <w:r w:rsidRPr="001578DB">
        <w:t xml:space="preserve">The Digit Span task is an assessment of children’s working memory </w:t>
      </w:r>
      <w:r w:rsidR="009A6864" w:rsidRPr="009A6864">
        <w:t>(Gathercole &amp; Pickering, 2000)</w:t>
      </w:r>
      <w:r w:rsidRPr="001578DB">
        <w:t xml:space="preserve">. In this task, children are told a string of numbers and are asked to repeat the numbers back to the assessor in the correct order. Across trials, the number strings get increasingly longer. </w:t>
      </w:r>
      <w:proofErr w:type="gramStart"/>
      <w:r w:rsidRPr="001578DB">
        <w:t>Similar to</w:t>
      </w:r>
      <w:proofErr w:type="gramEnd"/>
      <w:r w:rsidRPr="001578DB">
        <w:t xml:space="preserve"> the Pencil Tap, children are given two practice items, and then trials begin with the first 2-digit number sequence. The trials stop when the child incorrectly repeats two different sequences of the same length. Children receive one point for each correct </w:t>
      </w:r>
      <w:r w:rsidRPr="001578DB">
        <w:lastRenderedPageBreak/>
        <w:t xml:space="preserve">answer, resulting in a range of possible scores from 0-11. The Digit Span has been utilized in several studies with young children and represents a valid measure of working memory </w:t>
      </w:r>
      <w:r w:rsidR="009A6864" w:rsidRPr="009A6864">
        <w:t xml:space="preserve">(Bull, Espy, &amp; </w:t>
      </w:r>
      <w:proofErr w:type="spellStart"/>
      <w:r w:rsidR="009A6864" w:rsidRPr="009A6864">
        <w:t>Senn</w:t>
      </w:r>
      <w:proofErr w:type="spellEnd"/>
      <w:r w:rsidR="009A6864" w:rsidRPr="009A6864">
        <w:t xml:space="preserve">, 2004; </w:t>
      </w:r>
      <w:proofErr w:type="spellStart"/>
      <w:r w:rsidR="009A6864" w:rsidRPr="009A6864">
        <w:t>Mahy</w:t>
      </w:r>
      <w:proofErr w:type="spellEnd"/>
      <w:r w:rsidR="009A6864" w:rsidRPr="009A6864">
        <w:t xml:space="preserve"> &amp; Moses, 2011)</w:t>
      </w:r>
      <w:r w:rsidRPr="001578DB">
        <w:t>.</w:t>
      </w:r>
      <w:r w:rsidR="001578DB" w:rsidRPr="001578DB">
        <w:t xml:space="preserve"> </w:t>
      </w:r>
    </w:p>
    <w:p w14:paraId="47BAD209" w14:textId="16AD06F8" w:rsidR="001578DB" w:rsidRPr="001578DB" w:rsidRDefault="001578DB" w:rsidP="001578DB">
      <w:pPr>
        <w:rPr>
          <w:specVanish/>
        </w:rPr>
      </w:pPr>
    </w:p>
    <w:p w14:paraId="23765F67" w14:textId="6E912E46" w:rsidR="001578DB" w:rsidRPr="001578DB" w:rsidRDefault="001578DB" w:rsidP="004C44BC">
      <w:pPr>
        <w:pStyle w:val="Heading4"/>
        <w:rPr>
          <w:vanish/>
          <w:specVanish/>
        </w:rPr>
      </w:pPr>
      <w:r w:rsidRPr="001578DB">
        <w:t xml:space="preserve"> </w:t>
      </w:r>
      <w:bookmarkStart w:id="87" w:name="_Toc46265507"/>
      <w:r w:rsidR="003C4D2C" w:rsidRPr="00B3544A">
        <w:t>Head Toes Knees Shoulders Task</w:t>
      </w:r>
      <w:bookmarkEnd w:id="87"/>
    </w:p>
    <w:p w14:paraId="0DA20135" w14:textId="64A72782" w:rsidR="001578DB" w:rsidRPr="001578DB" w:rsidRDefault="003C4D2C" w:rsidP="001578DB">
      <w:pPr>
        <w:rPr>
          <w:vanish/>
          <w:specVanish/>
        </w:rPr>
      </w:pPr>
      <w:r>
        <w:t>.</w:t>
      </w:r>
      <w:r w:rsidRPr="00B3544A">
        <w:rPr>
          <w:rStyle w:val="APAChar"/>
          <w:b/>
          <w:bCs/>
          <w:i/>
          <w:iCs/>
        </w:rPr>
        <w:t xml:space="preserve"> </w:t>
      </w:r>
      <w:r w:rsidRPr="001578DB">
        <w:t xml:space="preserve">Head Toes Knees Shoulders task (HTKS) is a measure of children’s overall behavioral control, including their cognitive flexibility and working memory </w:t>
      </w:r>
      <w:r w:rsidR="009A6864" w:rsidRPr="009A6864">
        <w:t>(McClelland et al., 2014)</w:t>
      </w:r>
      <w:r w:rsidRPr="001578DB">
        <w:t xml:space="preserve">. The task is appropriate for children from 4 to 8 years old and relies on verbal instructions from the assessor. During the initial phase of the task, children are directed to respond naturally to the directions, i.e., touch your toes would indicate touch your toes. During the next phase, children are instructed to do the opposite—if they are instructed to touch their heads, then they touch their toes. During the final phase, the pairings are switched again. This time, the head goes with the knees. Children only move to the next phase after correctly responding in the previous phase, until they have </w:t>
      </w:r>
      <w:r w:rsidRPr="000F3A57">
        <w:t>reached 30</w:t>
      </w:r>
      <w:r w:rsidRPr="001578DB">
        <w:t xml:space="preserve"> trials. Children receive a score of 2 per trial if they answer correctly and a 1 if they answer incorrectly at first but then self-correct</w:t>
      </w:r>
      <w:r w:rsidR="00207A54">
        <w:t xml:space="preserve">; thus, the range of possible scores is from 0-60. </w:t>
      </w:r>
      <w:r w:rsidRPr="001578DB">
        <w:t xml:space="preserve">The HTKS has been used as a measure of executive function in several studies of young children </w:t>
      </w:r>
      <w:r w:rsidR="009A6864" w:rsidRPr="009A6864">
        <w:t xml:space="preserve">(McClelland &amp; Cameron, 2012; </w:t>
      </w:r>
      <w:proofErr w:type="spellStart"/>
      <w:r w:rsidR="009A6864" w:rsidRPr="009A6864">
        <w:t>Ponitz</w:t>
      </w:r>
      <w:proofErr w:type="spellEnd"/>
      <w:r w:rsidR="009A6864" w:rsidRPr="009A6864">
        <w:t xml:space="preserve">, McClelland, et al., 2009; </w:t>
      </w:r>
      <w:proofErr w:type="spellStart"/>
      <w:r w:rsidR="009A6864" w:rsidRPr="009A6864">
        <w:t>Wanless</w:t>
      </w:r>
      <w:proofErr w:type="spellEnd"/>
      <w:r w:rsidR="009A6864" w:rsidRPr="009A6864">
        <w:t xml:space="preserve">, McClelland, </w:t>
      </w:r>
      <w:proofErr w:type="spellStart"/>
      <w:r w:rsidR="009A6864" w:rsidRPr="009A6864">
        <w:t>Tominey</w:t>
      </w:r>
      <w:proofErr w:type="spellEnd"/>
      <w:r w:rsidR="009A6864" w:rsidRPr="009A6864">
        <w:t xml:space="preserve">, &amp; </w:t>
      </w:r>
      <w:proofErr w:type="spellStart"/>
      <w:r w:rsidR="009A6864" w:rsidRPr="009A6864">
        <w:t>Acock</w:t>
      </w:r>
      <w:proofErr w:type="spellEnd"/>
      <w:r w:rsidR="009A6864" w:rsidRPr="009A6864">
        <w:t>, 2011)</w:t>
      </w:r>
      <w:r w:rsidRPr="001578DB">
        <w:t>. Additionally, the task demonstrates strong interrater reliability and construct and predictive validity (</w:t>
      </w:r>
      <w:proofErr w:type="spellStart"/>
      <w:r w:rsidRPr="001578DB">
        <w:t>Ponitz</w:t>
      </w:r>
      <w:proofErr w:type="spellEnd"/>
      <w:r w:rsidRPr="001578DB">
        <w:t xml:space="preserve"> et al., 2009). </w:t>
      </w:r>
      <w:bookmarkStart w:id="88" w:name="_Toc19885627"/>
    </w:p>
    <w:p w14:paraId="6DD6EAED" w14:textId="342AA204" w:rsidR="001578DB" w:rsidRDefault="001578DB" w:rsidP="001578DB">
      <w:r>
        <w:t xml:space="preserve"> </w:t>
      </w:r>
    </w:p>
    <w:p w14:paraId="380C6B5B" w14:textId="4F9682BF" w:rsidR="007D716B" w:rsidRPr="001578DB" w:rsidRDefault="007D716B" w:rsidP="007D716B">
      <w:pPr>
        <w:pStyle w:val="Heading3"/>
        <w:rPr>
          <w:vanish/>
          <w:specVanish/>
        </w:rPr>
      </w:pPr>
      <w:bookmarkStart w:id="89" w:name="_Toc46265508"/>
      <w:r w:rsidRPr="00444DAF">
        <w:lastRenderedPageBreak/>
        <w:t xml:space="preserve">Social </w:t>
      </w:r>
      <w:r w:rsidR="00BE3CF8">
        <w:t>d</w:t>
      </w:r>
      <w:r w:rsidRPr="00444DAF">
        <w:t>evelopment.</w:t>
      </w:r>
      <w:bookmarkEnd w:id="89"/>
    </w:p>
    <w:p w14:paraId="629638C3" w14:textId="1F1C2911" w:rsidR="007D716B" w:rsidRDefault="007D716B" w:rsidP="007D716B">
      <w:r>
        <w:t xml:space="preserve">  </w:t>
      </w:r>
      <w:r w:rsidRPr="00444DAF">
        <w:t>Two subscales from two previously described measures were used</w:t>
      </w:r>
      <w:r w:rsidR="004A433F">
        <w:t xml:space="preserve"> to capture children’s social development</w:t>
      </w:r>
      <w:r w:rsidRPr="00444DAF">
        <w:t xml:space="preserve">. To measure children’s problem behaviors, the behavior concerns subscale of the DECA was used. This includes 10 teacher-rated questions </w:t>
      </w:r>
      <w:r>
        <w:t xml:space="preserve">on the frequency of behavior </w:t>
      </w:r>
      <w:r w:rsidRPr="00444DAF">
        <w:t>such as hurt</w:t>
      </w:r>
      <w:r>
        <w:t>ing</w:t>
      </w:r>
      <w:r w:rsidRPr="00444DAF">
        <w:t xml:space="preserve"> others with actions or words, has a temper tantrum, seems uninterested in adults/children, and has difficulty concentrating.</w:t>
      </w:r>
      <w:r>
        <w:t xml:space="preserve"> The T-score was used for</w:t>
      </w:r>
    </w:p>
    <w:p w14:paraId="1B917D17" w14:textId="1BD4220A" w:rsidR="00207A54" w:rsidRDefault="00207A54" w:rsidP="001578DB">
      <w:r>
        <w:t xml:space="preserve">analysis, which converts the raw scores to a t-score with a mean of 50 and a standard deviation of 10. </w:t>
      </w:r>
    </w:p>
    <w:p w14:paraId="07193286" w14:textId="54AF4916" w:rsidR="00B90960" w:rsidRDefault="00774CB2" w:rsidP="00774CB2">
      <w:pPr>
        <w:ind w:firstLine="720"/>
      </w:pPr>
      <w:r>
        <w:t>T</w:t>
      </w:r>
      <w:r w:rsidR="003C4D2C" w:rsidRPr="00444DAF">
        <w:t xml:space="preserve">he </w:t>
      </w:r>
      <w:r w:rsidR="00803046">
        <w:t xml:space="preserve">peer </w:t>
      </w:r>
      <w:r w:rsidR="003C4D2C" w:rsidRPr="00444DAF">
        <w:t xml:space="preserve">sociability </w:t>
      </w:r>
      <w:r w:rsidR="00803046">
        <w:t xml:space="preserve">dimension of the peer interactions domain </w:t>
      </w:r>
      <w:r w:rsidR="003C4D2C" w:rsidRPr="00444DAF">
        <w:t>of the inCLASS was used</w:t>
      </w:r>
      <w:r w:rsidRPr="00444DAF">
        <w:t xml:space="preserve"> </w:t>
      </w:r>
      <w:r>
        <w:t>t</w:t>
      </w:r>
      <w:r w:rsidRPr="00444DAF">
        <w:t>o measure children’s social development</w:t>
      </w:r>
      <w:r w:rsidR="003C4D2C" w:rsidRPr="00444DAF">
        <w:t xml:space="preserve">. </w:t>
      </w:r>
      <w:r w:rsidR="00803046">
        <w:t xml:space="preserve">Peer interaction measures children’s social interactions with peers. For this study, the peer sociability dimension was used, which measures children’s positive emotions and behaviors with other children that receive positive reactions. </w:t>
      </w:r>
      <w:r w:rsidR="003C4D2C" w:rsidRPr="00444DAF">
        <w:t xml:space="preserve">This </w:t>
      </w:r>
      <w:r w:rsidR="00803046">
        <w:t xml:space="preserve">dimension </w:t>
      </w:r>
      <w:r w:rsidR="003C4D2C" w:rsidRPr="00444DAF">
        <w:t>captures children’s cooperation, shared positive affect, and proximity seeking.</w:t>
      </w:r>
      <w:r w:rsidR="00803046">
        <w:t xml:space="preserve"> A child rated high in peer sociability spends a lot of time with peers, matches the </w:t>
      </w:r>
      <w:proofErr w:type="spellStart"/>
      <w:r w:rsidR="00803046">
        <w:t>affect</w:t>
      </w:r>
      <w:proofErr w:type="spellEnd"/>
      <w:r w:rsidR="00803046">
        <w:t xml:space="preserve"> of other children, shares materials, and is warmly received and sought out for play by peers. Both behavior problems and peer sociability were selected for this study to validate the profiles because these components of children’s behavior seemed d</w:t>
      </w:r>
      <w:r w:rsidR="003C4D2C" w:rsidRPr="00444DAF">
        <w:t>istinct from AtL</w:t>
      </w:r>
      <w:r w:rsidR="000F3A57">
        <w:t>.</w:t>
      </w:r>
    </w:p>
    <w:p w14:paraId="0BA94C23" w14:textId="3F5D9519" w:rsidR="00B90960" w:rsidRPr="001578DB" w:rsidRDefault="003C4D2C" w:rsidP="00B90960">
      <w:pPr>
        <w:pStyle w:val="Heading3"/>
        <w:rPr>
          <w:vanish/>
          <w:specVanish/>
        </w:rPr>
      </w:pPr>
      <w:bookmarkStart w:id="90" w:name="_Toc46265509"/>
      <w:r w:rsidRPr="00A55582">
        <w:t xml:space="preserve">Academic </w:t>
      </w:r>
      <w:r w:rsidR="00BE3CF8">
        <w:t>o</w:t>
      </w:r>
      <w:r w:rsidRPr="00A55582">
        <w:t>utcomes</w:t>
      </w:r>
      <w:bookmarkEnd w:id="88"/>
      <w:bookmarkEnd w:id="90"/>
      <w:r w:rsidR="00BE3CF8">
        <w:t>.</w:t>
      </w:r>
      <w:r w:rsidR="00B90960" w:rsidRPr="00444DAF">
        <w:t xml:space="preserve"> </w:t>
      </w:r>
    </w:p>
    <w:p w14:paraId="66457479" w14:textId="042DC131" w:rsidR="004C44BC" w:rsidRDefault="00B90960" w:rsidP="004C44BC">
      <w:r w:rsidRPr="00B90960">
        <w:t>Four measures of children’s academic achievement were used in this study, the Woodcock Johnson Applied Problems, the Expressive One</w:t>
      </w:r>
      <w:r w:rsidR="00774CB2">
        <w:t>-</w:t>
      </w:r>
      <w:r w:rsidRPr="00B90960">
        <w:t>Word Vocabulary Test, the Woodcock Johnson Letter Identification, and the Bracken School Readiness assessment</w:t>
      </w:r>
    </w:p>
    <w:p w14:paraId="6AB6B8A8" w14:textId="77777777" w:rsidR="004C44BC" w:rsidRPr="00B90960" w:rsidRDefault="003C4D2C" w:rsidP="008B3B54">
      <w:pPr>
        <w:ind w:firstLine="720"/>
        <w:rPr>
          <w:vanish/>
          <w:specVanish/>
        </w:rPr>
      </w:pPr>
      <w:bookmarkStart w:id="91" w:name="_Toc46265510"/>
      <w:r w:rsidRPr="004C44BC">
        <w:rPr>
          <w:rStyle w:val="Heading4Char"/>
        </w:rPr>
        <w:t>Woodcock-Johnson Applied Problems III</w:t>
      </w:r>
      <w:bookmarkEnd w:id="91"/>
    </w:p>
    <w:p w14:paraId="6B5B3D7A" w14:textId="5B18C82C" w:rsidR="00C63996" w:rsidRPr="008B3B54" w:rsidRDefault="007D716B" w:rsidP="008D3913">
      <w:r>
        <w:t>.</w:t>
      </w:r>
      <w:r w:rsidR="003C4D2C" w:rsidRPr="000A3B9D">
        <w:t xml:space="preserve"> </w:t>
      </w:r>
      <w:r>
        <w:t>T</w:t>
      </w:r>
      <w:r w:rsidR="003C4D2C" w:rsidRPr="008D3913">
        <w:t>he Woodcock-Johnson</w:t>
      </w:r>
      <w:r>
        <w:t xml:space="preserve"> Applied Problems III</w:t>
      </w:r>
      <w:r w:rsidR="003C4D2C" w:rsidRPr="008D3913">
        <w:t xml:space="preserve"> is a nationally normed assessment of math (Woodcock, </w:t>
      </w:r>
      <w:proofErr w:type="spellStart"/>
      <w:r w:rsidR="003C4D2C" w:rsidRPr="008D3913">
        <w:t>Mcgrew</w:t>
      </w:r>
      <w:proofErr w:type="spellEnd"/>
      <w:r w:rsidR="003C4D2C" w:rsidRPr="008D3913">
        <w:t xml:space="preserve">, &amp; Mather, 2001). The applied problems portion of the assessment was used, which measures children’s ability to solve oral problems, including counting pictured objects and simple story problems (e.g., “Show me </w:t>
      </w:r>
      <w:r w:rsidR="003C4D2C" w:rsidRPr="008D3913">
        <w:lastRenderedPageBreak/>
        <w:t xml:space="preserve">two fingers,” “How many ducks are in the water?”). In this assessment, children answer questions by looking at pictures presented using a testing flipbook, proceeding through the items until they have reached the ceiling pre-established by the test authors. </w:t>
      </w:r>
      <w:r w:rsidR="000F3A57" w:rsidRPr="008D3913">
        <w:t xml:space="preserve">In the current study, the total standardized score, which accounts for the child’s age, </w:t>
      </w:r>
      <w:r w:rsidR="000F3A57">
        <w:t>was</w:t>
      </w:r>
      <w:r w:rsidR="000F3A57" w:rsidRPr="008D3913">
        <w:t xml:space="preserve"> used</w:t>
      </w:r>
      <w:r w:rsidR="000F3A57">
        <w:t>. Standard scores have a mean of 100 and a standard deviation of 1</w:t>
      </w:r>
      <w:r w:rsidR="00B45A18">
        <w:t>5</w:t>
      </w:r>
      <w:r w:rsidR="000F3A57">
        <w:t xml:space="preserve">. </w:t>
      </w:r>
      <w:r w:rsidR="003C4D2C" w:rsidRPr="008D3913">
        <w:t>This measure has been used in numerous studies to measure math achievement and has an average Cronbach’s α</w:t>
      </w:r>
      <w:r w:rsidR="003C4D2C" w:rsidRPr="008D3913" w:rsidDel="0019538E">
        <w:t xml:space="preserve"> </w:t>
      </w:r>
      <w:r w:rsidR="003C4D2C" w:rsidRPr="008D3913">
        <w:t>for preschool-age children of</w:t>
      </w:r>
      <w:r w:rsidR="00774CB2">
        <w:t xml:space="preserve"> </w:t>
      </w:r>
      <w:r w:rsidR="003C4D2C" w:rsidRPr="008D3913">
        <w:t xml:space="preserve">.91 </w:t>
      </w:r>
      <w:r w:rsidR="009A6864" w:rsidRPr="009A6864">
        <w:t xml:space="preserve">(Rhoades, Warren, </w:t>
      </w:r>
      <w:proofErr w:type="spellStart"/>
      <w:r w:rsidR="009A6864" w:rsidRPr="009A6864">
        <w:t>Domitrovich</w:t>
      </w:r>
      <w:proofErr w:type="spellEnd"/>
      <w:r w:rsidR="009A6864" w:rsidRPr="009A6864">
        <w:t>, &amp; Greenberg, 2011)</w:t>
      </w:r>
      <w:r w:rsidR="003C4D2C" w:rsidRPr="008D3913">
        <w:t>. The subtest’s internal reliability is 0.92 for 3-year-old children and 0.94 for 4-year-old children for the WJ III (Woodcock et al., 2001)</w:t>
      </w:r>
    </w:p>
    <w:p w14:paraId="599671C9" w14:textId="3C8F5B7F" w:rsidR="004C44BC" w:rsidRPr="008B3B54" w:rsidRDefault="004C44BC" w:rsidP="00C63996">
      <w:pPr>
        <w:pStyle w:val="Heading4"/>
        <w:rPr>
          <w:vanish/>
          <w:specVanish/>
        </w:rPr>
      </w:pPr>
      <w:bookmarkStart w:id="92" w:name="_Toc46265511"/>
      <w:r w:rsidRPr="00C63996">
        <w:t>Woodcock-Johnson Letter Word Identification</w:t>
      </w:r>
      <w:r w:rsidR="007D716B">
        <w:t>.</w:t>
      </w:r>
      <w:bookmarkEnd w:id="92"/>
      <w:r w:rsidRPr="00C63996">
        <w:t xml:space="preserve"> </w:t>
      </w:r>
    </w:p>
    <w:p w14:paraId="4BD0AA3A" w14:textId="4B9716B5" w:rsidR="004C44BC" w:rsidRPr="00C63996" w:rsidRDefault="004C44BC" w:rsidP="00C63996">
      <w:r w:rsidRPr="00C63996">
        <w:t xml:space="preserve">Part of the Woodcock-Johnson Psycho-Educational Battery Tests of Achievement, this </w:t>
      </w:r>
      <w:proofErr w:type="gramStart"/>
      <w:r w:rsidRPr="00C63996">
        <w:t>particular assessment</w:t>
      </w:r>
      <w:proofErr w:type="gramEnd"/>
      <w:r w:rsidRPr="00C63996">
        <w:t xml:space="preserve"> measures children’s ability to identify letters and words</w:t>
      </w:r>
      <w:r w:rsidR="008B3B54">
        <w:t xml:space="preserve"> (</w:t>
      </w:r>
      <w:r w:rsidR="008B3B54" w:rsidRPr="00C63996">
        <w:t>Woodcock, McGrew, &amp; Mather, 2001).</w:t>
      </w:r>
      <w:r w:rsidR="008B3B54">
        <w:t xml:space="preserve"> </w:t>
      </w:r>
      <w:r w:rsidRPr="00C63996">
        <w:t xml:space="preserve">Children were shown a flipbook containing various letters and </w:t>
      </w:r>
      <w:r w:rsidR="00BE3CF8">
        <w:t xml:space="preserve">were </w:t>
      </w:r>
      <w:r w:rsidRPr="00C63996">
        <w:t xml:space="preserve">asked to identify them until they </w:t>
      </w:r>
      <w:proofErr w:type="spellStart"/>
      <w:r w:rsidRPr="00C63996">
        <w:t>eached</w:t>
      </w:r>
      <w:proofErr w:type="spellEnd"/>
      <w:r w:rsidRPr="00C63996">
        <w:t xml:space="preserve"> a pre-determined ceiling. Previous research has demonstrated that the instrument has a </w:t>
      </w:r>
      <w:r w:rsidR="00774CB2">
        <w:t>t</w:t>
      </w:r>
      <w:r w:rsidRPr="00C63996">
        <w:t>est</w:t>
      </w:r>
      <w:r w:rsidR="00774CB2">
        <w:t>-</w:t>
      </w:r>
      <w:r w:rsidRPr="00C63996">
        <w:t>retest reliability of .96 for a less than 1-year interval and .91 for a 1- to 2-year interval, and a median split-half reliability of .98 for children four to seven years old or children ages two to seven</w:t>
      </w:r>
      <w:r w:rsidR="00A34EC9" w:rsidRPr="00C63996">
        <w:t xml:space="preserve"> (Woodcock</w:t>
      </w:r>
      <w:r w:rsidR="00BE3CF8">
        <w:t xml:space="preserve"> et al., </w:t>
      </w:r>
      <w:r w:rsidR="00A34EC9" w:rsidRPr="00C63996">
        <w:t>2001)</w:t>
      </w:r>
      <w:r w:rsidRPr="00C63996">
        <w:t>.</w:t>
      </w:r>
    </w:p>
    <w:p w14:paraId="3098930E" w14:textId="7664BE37" w:rsidR="004C44BC" w:rsidRDefault="007C1CBE" w:rsidP="00334006">
      <w:r>
        <w:t xml:space="preserve"> </w:t>
      </w:r>
      <w:r w:rsidR="008B3B54">
        <w:tab/>
      </w:r>
      <w:bookmarkStart w:id="93" w:name="_Toc46265512"/>
      <w:r w:rsidR="004C44BC" w:rsidRPr="004C44BC">
        <w:rPr>
          <w:rStyle w:val="Heading4Char"/>
        </w:rPr>
        <w:t>Expressive One</w:t>
      </w:r>
      <w:r w:rsidR="00774CB2">
        <w:rPr>
          <w:rStyle w:val="Heading4Char"/>
        </w:rPr>
        <w:t>-</w:t>
      </w:r>
      <w:r w:rsidR="004C44BC" w:rsidRPr="004C44BC">
        <w:rPr>
          <w:rStyle w:val="Heading4Char"/>
        </w:rPr>
        <w:t>Word Picture Vocabulary Test</w:t>
      </w:r>
      <w:bookmarkEnd w:id="93"/>
      <w:r w:rsidR="00BC26BA" w:rsidRPr="00BC26BA">
        <w:t>.</w:t>
      </w:r>
      <w:r w:rsidR="004C44BC" w:rsidRPr="004C44BC">
        <w:t xml:space="preserve"> The Expressive One-Word Vocabulary</w:t>
      </w:r>
      <w:r w:rsidR="007D716B">
        <w:t xml:space="preserve"> (EOWPVT)</w:t>
      </w:r>
      <w:r w:rsidR="004C44BC" w:rsidRPr="004C44BC">
        <w:t xml:space="preserve"> test is a nationally normed, individually administered assessment of children’s expressive vocabulary</w:t>
      </w:r>
      <w:r w:rsidR="00E35BE6">
        <w:t xml:space="preserve"> (Gardner, 1990</w:t>
      </w:r>
      <w:r w:rsidR="007D716B">
        <w:t>; Martin &amp; Brownell, 2001</w:t>
      </w:r>
      <w:r w:rsidR="00E35BE6">
        <w:t xml:space="preserve">). </w:t>
      </w:r>
      <w:r w:rsidR="00A34EC9">
        <w:t xml:space="preserve">This assessment measures the expressive vocabulary of children from both English-and Spanish-speaking households, as children can answer in either language. </w:t>
      </w:r>
      <w:r w:rsidR="004C44BC" w:rsidRPr="004C44BC">
        <w:t xml:space="preserve">In this assessment, children are shown a set of pictures </w:t>
      </w:r>
      <w:r w:rsidR="00B45A18">
        <w:t xml:space="preserve">and </w:t>
      </w:r>
      <w:r w:rsidR="004C44BC" w:rsidRPr="004C44BC">
        <w:t>are directed to say the word for each picture, e.g.</w:t>
      </w:r>
      <w:r w:rsidR="00774CB2">
        <w:t>,</w:t>
      </w:r>
      <w:r w:rsidR="004C44BC" w:rsidRPr="004C44BC">
        <w:t xml:space="preserve"> identifying a pillow, hair</w:t>
      </w:r>
      <w:r w:rsidR="00774CB2">
        <w:t>,</w:t>
      </w:r>
      <w:r w:rsidR="004C44BC" w:rsidRPr="004C44BC">
        <w:t xml:space="preserve"> or a cloud, proceeding through the items until they have reached the ceiling pre-established by the test </w:t>
      </w:r>
      <w:r w:rsidR="004C44BC" w:rsidRPr="004C44BC">
        <w:lastRenderedPageBreak/>
        <w:t>authors. The EOWPVT Spanish version</w:t>
      </w:r>
      <w:r w:rsidR="00A34EC9">
        <w:t xml:space="preserve"> </w:t>
      </w:r>
      <w:r w:rsidR="004C44BC" w:rsidRPr="004C44BC">
        <w:t xml:space="preserve">has been shown to produce similar results compared to the English version </w:t>
      </w:r>
      <w:r w:rsidR="009A6864" w:rsidRPr="009A6864">
        <w:t xml:space="preserve">(Hoff &amp; </w:t>
      </w:r>
      <w:proofErr w:type="spellStart"/>
      <w:r w:rsidR="009A6864" w:rsidRPr="009A6864">
        <w:t>Ribot</w:t>
      </w:r>
      <w:proofErr w:type="spellEnd"/>
      <w:r w:rsidR="009A6864" w:rsidRPr="009A6864">
        <w:t>, 2017)</w:t>
      </w:r>
      <w:r w:rsidR="004C44BC" w:rsidRPr="004C44BC">
        <w:t xml:space="preserve">. </w:t>
      </w:r>
      <w:r w:rsidR="00A34EC9">
        <w:t xml:space="preserve">In addition, the EOWPVT has demonstrated strong evidence of reliability and validity </w:t>
      </w:r>
      <w:r w:rsidR="00A34EC9" w:rsidRPr="00A34EC9">
        <w:t>(Jenkins, 2005</w:t>
      </w:r>
      <w:r w:rsidR="00BC26BA">
        <w:t>; Martin &amp; Brownell, 2011</w:t>
      </w:r>
      <w:r w:rsidR="00A34EC9" w:rsidRPr="00A34EC9">
        <w:t>)</w:t>
      </w:r>
      <w:r w:rsidR="00A34EC9">
        <w:t xml:space="preserve">. </w:t>
      </w:r>
      <w:r w:rsidR="004C44BC" w:rsidRPr="004C44BC">
        <w:t>In the current study, the total standardized score</w:t>
      </w:r>
      <w:r w:rsidR="00A34EC9">
        <w:t xml:space="preserve"> was used</w:t>
      </w:r>
      <w:r w:rsidR="00334006">
        <w:t>.</w:t>
      </w:r>
    </w:p>
    <w:p w14:paraId="76715892" w14:textId="64447064" w:rsidR="008D3913" w:rsidRPr="008D3913" w:rsidRDefault="001578DB" w:rsidP="004C44BC">
      <w:pPr>
        <w:pStyle w:val="Heading4"/>
        <w:rPr>
          <w:rStyle w:val="APAChar"/>
          <w:b w:val="0"/>
          <w:bCs w:val="0"/>
          <w:i w:val="0"/>
          <w:iCs w:val="0"/>
          <w:vanish/>
          <w:specVanish/>
        </w:rPr>
      </w:pPr>
      <w:r>
        <w:t xml:space="preserve"> </w:t>
      </w:r>
      <w:bookmarkStart w:id="94" w:name="_Toc46265513"/>
      <w:r w:rsidR="003C4D2C" w:rsidRPr="00B3544A">
        <w:t>Bracken School Readiness Assessment</w:t>
      </w:r>
      <w:bookmarkEnd w:id="94"/>
    </w:p>
    <w:p w14:paraId="5084620F" w14:textId="17F684D1" w:rsidR="008D3913" w:rsidRPr="008D3913" w:rsidRDefault="00334006" w:rsidP="008D3913">
      <w:pPr>
        <w:rPr>
          <w:rStyle w:val="APAChar"/>
          <w:noProof w:val="0"/>
          <w:color w:val="000000" w:themeColor="text1"/>
        </w:rPr>
      </w:pPr>
      <w:r>
        <w:t>.</w:t>
      </w:r>
      <w:r w:rsidR="003C4D2C" w:rsidRPr="00814C51">
        <w:t xml:space="preserve"> </w:t>
      </w:r>
      <w:r w:rsidR="003C4D2C" w:rsidRPr="008D3913">
        <w:t xml:space="preserve">The Bracken School Readiness Assessment consists of 88 items designed to measure children’s </w:t>
      </w:r>
      <w:r>
        <w:t xml:space="preserve">overall </w:t>
      </w:r>
      <w:r w:rsidR="003C4D2C" w:rsidRPr="008D3913">
        <w:t xml:space="preserve">school readiness </w:t>
      </w:r>
      <w:r w:rsidR="009A6864" w:rsidRPr="009A6864">
        <w:t>(</w:t>
      </w:r>
      <w:r w:rsidRPr="00814C51">
        <w:t>Bracken, 2007</w:t>
      </w:r>
      <w:r>
        <w:t xml:space="preserve">; </w:t>
      </w:r>
      <w:proofErr w:type="spellStart"/>
      <w:r w:rsidR="009A6864" w:rsidRPr="009A6864">
        <w:t>Panter</w:t>
      </w:r>
      <w:proofErr w:type="spellEnd"/>
      <w:r w:rsidR="009A6864" w:rsidRPr="009A6864">
        <w:t xml:space="preserve"> &amp; Bracken, 2009)</w:t>
      </w:r>
      <w:r w:rsidR="003C4D2C" w:rsidRPr="008D3913">
        <w:t xml:space="preserve">. </w:t>
      </w:r>
      <w:r w:rsidR="00774CB2">
        <w:t>Assessors use</w:t>
      </w:r>
      <w:r w:rsidR="003C4D2C" w:rsidRPr="008D3913">
        <w:t xml:space="preserve"> a flipbook with visual supports</w:t>
      </w:r>
      <w:r w:rsidR="00774CB2">
        <w:t>;</w:t>
      </w:r>
      <w:r w:rsidR="003C4D2C" w:rsidRPr="008D3913">
        <w:t xml:space="preserve"> items include colors, letters, numbers, sizes, comparisons, and shapes. The assessment takes approximately 15 minutes to administer. Items are scored as correct (score of 1) or incorrect (0) and summed within a subtest to provide a raw score, which then is converted to a scaled score based on the child’s age</w:t>
      </w:r>
      <w:r w:rsidR="00676207">
        <w:t xml:space="preserve"> with a mean of 100 and a standard deviation of 15. </w:t>
      </w:r>
      <w:r w:rsidR="003C4D2C" w:rsidRPr="008D3913">
        <w:t xml:space="preserve">The Bracken has been normed on a sample of children ranging from 2 to 8 years old </w:t>
      </w:r>
      <w:r w:rsidR="009A6864" w:rsidRPr="009A6864">
        <w:t>(Bracken, 2007)</w:t>
      </w:r>
      <w:r w:rsidR="003C4D2C" w:rsidRPr="008D3913">
        <w:t xml:space="preserve">. </w:t>
      </w:r>
      <w:r w:rsidR="005D7B14">
        <w:t>It</w:t>
      </w:r>
      <w:r w:rsidR="003C4D2C" w:rsidRPr="008D3913">
        <w:t xml:space="preserve"> has also been used as a measure of school readiness in several studies with young children </w:t>
      </w:r>
      <w:r w:rsidR="009A6864" w:rsidRPr="009A6864">
        <w:t>(</w:t>
      </w:r>
      <w:proofErr w:type="spellStart"/>
      <w:r w:rsidR="009A6864" w:rsidRPr="009A6864">
        <w:t>Caughy</w:t>
      </w:r>
      <w:proofErr w:type="spellEnd"/>
      <w:r w:rsidR="009A6864" w:rsidRPr="009A6864">
        <w:t xml:space="preserve"> &amp; Owen, 2015; Graziano, </w:t>
      </w:r>
      <w:proofErr w:type="spellStart"/>
      <w:r w:rsidR="009A6864" w:rsidRPr="009A6864">
        <w:t>Slavec</w:t>
      </w:r>
      <w:proofErr w:type="spellEnd"/>
      <w:r w:rsidR="009A6864" w:rsidRPr="009A6864">
        <w:t>, Hart, Garcia, &amp; Pelham, 2014)</w:t>
      </w:r>
      <w:r w:rsidR="003C4D2C" w:rsidRPr="008D3913">
        <w:t>.</w:t>
      </w:r>
      <w:r w:rsidR="008D3913" w:rsidRPr="00B3544A">
        <w:rPr>
          <w:rStyle w:val="APAChar"/>
          <w:i/>
          <w:iCs/>
        </w:rPr>
        <w:t xml:space="preserve"> </w:t>
      </w:r>
    </w:p>
    <w:p w14:paraId="1798BAC8" w14:textId="3EF05C18" w:rsidR="003C4D2C" w:rsidRPr="00F72FD9" w:rsidRDefault="003C4D2C" w:rsidP="00814C51">
      <w:pPr>
        <w:pStyle w:val="Heading2"/>
      </w:pPr>
      <w:bookmarkStart w:id="95" w:name="_Toc19885628"/>
      <w:bookmarkStart w:id="96" w:name="_Toc46265514"/>
      <w:r w:rsidRPr="00F72FD9">
        <w:t>Procedures</w:t>
      </w:r>
      <w:bookmarkEnd w:id="95"/>
      <w:bookmarkEnd w:id="96"/>
      <w:r w:rsidRPr="00F72FD9">
        <w:t xml:space="preserve"> </w:t>
      </w:r>
    </w:p>
    <w:p w14:paraId="5942525D" w14:textId="2ADA9624" w:rsidR="003C4D2C" w:rsidRPr="00094AF8" w:rsidRDefault="003C4D2C" w:rsidP="003C4D2C">
      <w:pPr>
        <w:ind w:firstLine="720"/>
        <w:contextualSpacing/>
        <w:rPr>
          <w:bCs/>
        </w:rPr>
      </w:pPr>
      <w:r w:rsidRPr="00094AF8">
        <w:rPr>
          <w:rFonts w:eastAsiaTheme="minorEastAsia"/>
        </w:rPr>
        <w:t>All assessments were administered by trained assessors.</w:t>
      </w:r>
      <w:r w:rsidRPr="00094AF8">
        <w:rPr>
          <w:bCs/>
        </w:rPr>
        <w:t xml:space="preserve"> Prior to data collection, assessors were provided with extensive training on each of the child assessment measures (Wood</w:t>
      </w:r>
      <w:r>
        <w:rPr>
          <w:bCs/>
        </w:rPr>
        <w:t>c</w:t>
      </w:r>
      <w:r w:rsidRPr="00094AF8">
        <w:rPr>
          <w:bCs/>
        </w:rPr>
        <w:t xml:space="preserve">ock-Johnson, Bracken, task-based EF measures). During </w:t>
      </w:r>
      <w:r w:rsidR="00E84F31">
        <w:rPr>
          <w:bCs/>
        </w:rPr>
        <w:t>t</w:t>
      </w:r>
      <w:r w:rsidRPr="00094AF8">
        <w:rPr>
          <w:bCs/>
        </w:rPr>
        <w:t>raining, assessors reviewed manuals and conducted practice assessments</w:t>
      </w:r>
      <w:r>
        <w:rPr>
          <w:bCs/>
        </w:rPr>
        <w:t>.</w:t>
      </w:r>
      <w:r w:rsidR="007C1CBE">
        <w:rPr>
          <w:bCs/>
        </w:rPr>
        <w:t xml:space="preserve"> </w:t>
      </w:r>
      <w:r w:rsidRPr="00094AF8">
        <w:rPr>
          <w:bCs/>
        </w:rPr>
        <w:t xml:space="preserve">Assessors met reliability criteria established by the research team or </w:t>
      </w:r>
      <w:r w:rsidR="00E84F31">
        <w:rPr>
          <w:bCs/>
        </w:rPr>
        <w:t xml:space="preserve">as recommended </w:t>
      </w:r>
      <w:r w:rsidRPr="00094AF8">
        <w:rPr>
          <w:bCs/>
        </w:rPr>
        <w:t>by the authors of various measures and were then certified by the PCAS training coordinator prior to administering assessment</w:t>
      </w:r>
      <w:r w:rsidR="00E84F31">
        <w:rPr>
          <w:bCs/>
        </w:rPr>
        <w:t>s</w:t>
      </w:r>
      <w:r w:rsidRPr="00094AF8">
        <w:rPr>
          <w:bCs/>
        </w:rPr>
        <w:t xml:space="preserve"> to study children. Similarly, for the classroom observations, assessors attended two days of training on the inCLASS, where they watched videos, practiced coding using the inCLASS manual, and discussed results. </w:t>
      </w:r>
      <w:r w:rsidRPr="00E84F31">
        <w:rPr>
          <w:bCs/>
        </w:rPr>
        <w:t xml:space="preserve">Assessors </w:t>
      </w:r>
      <w:r w:rsidRPr="00E84F31">
        <w:rPr>
          <w:bCs/>
        </w:rPr>
        <w:lastRenderedPageBreak/>
        <w:t>then independently coded video clips and had to score within 1 point of a master coder on 80% of items to be deemed reliable and ready for data collection.</w:t>
      </w:r>
      <w:r w:rsidRPr="00094AF8">
        <w:rPr>
          <w:bCs/>
        </w:rPr>
        <w:t xml:space="preserve"> </w:t>
      </w:r>
    </w:p>
    <w:p w14:paraId="605E8D1B" w14:textId="1932A32B" w:rsidR="003C4D2C" w:rsidRPr="00094AF8" w:rsidRDefault="003C4D2C" w:rsidP="003C4D2C">
      <w:pPr>
        <w:ind w:firstLine="720"/>
        <w:contextualSpacing/>
        <w:rPr>
          <w:rFonts w:eastAsiaTheme="minorEastAsia"/>
        </w:rPr>
      </w:pPr>
      <w:r w:rsidRPr="00094AF8">
        <w:rPr>
          <w:rFonts w:eastAsiaTheme="minorEastAsia"/>
        </w:rPr>
        <w:t xml:space="preserve">As noted in Table </w:t>
      </w:r>
      <w:r>
        <w:rPr>
          <w:rFonts w:eastAsiaTheme="minorEastAsia"/>
        </w:rPr>
        <w:t>2</w:t>
      </w:r>
      <w:r w:rsidRPr="00094AF8">
        <w:rPr>
          <w:rFonts w:eastAsiaTheme="minorEastAsia"/>
        </w:rPr>
        <w:t xml:space="preserve">, child assessments were conducted during the fall and spring. Children were assessed one-on-one with a trained assessor in an isolated area of the Head Start classroom or hallway. Child assessments were conducted over two mornings, with the task-based EF measures conducted on one day and the academic assessments conducted on the following day, with each assessment period lasting approximately 30 minutes. Immediately following the second day of assessment, the assessor completed the Leiter-R assessment. While assessors were on-site conducting </w:t>
      </w:r>
      <w:r>
        <w:rPr>
          <w:rFonts w:eastAsiaTheme="minorEastAsia"/>
        </w:rPr>
        <w:t xml:space="preserve">the child </w:t>
      </w:r>
      <w:r w:rsidRPr="00094AF8">
        <w:rPr>
          <w:rFonts w:eastAsiaTheme="minorEastAsia"/>
        </w:rPr>
        <w:t xml:space="preserve">assessments, they collected the teacher-reported measures. </w:t>
      </w:r>
    </w:p>
    <w:p w14:paraId="26581E0D" w14:textId="77777777" w:rsidR="003C4D2C" w:rsidRPr="00094AF8" w:rsidRDefault="003C4D2C" w:rsidP="003C4D2C">
      <w:pPr>
        <w:ind w:firstLine="720"/>
        <w:contextualSpacing/>
        <w:rPr>
          <w:bCs/>
        </w:rPr>
      </w:pPr>
      <w:r w:rsidRPr="00094AF8">
        <w:rPr>
          <w:rFonts w:eastAsiaTheme="minorEastAsia"/>
        </w:rPr>
        <w:t xml:space="preserve">For the classroom-based observations, a research team member was assigned to a participating classroom to conduct observations, which lasted </w:t>
      </w:r>
      <w:r w:rsidRPr="00094AF8">
        <w:rPr>
          <w:bCs/>
        </w:rPr>
        <w:t xml:space="preserve">approximately four hours. Each child in the study was observed for approximately ten minutes, following by five minutes of scoring. Observations continued throughout the day until naptime to obtain as many cycles per study child as possible (mean cycles = 3.67). </w:t>
      </w:r>
    </w:p>
    <w:p w14:paraId="2A4C9909" w14:textId="5797B454" w:rsidR="00012461" w:rsidRDefault="003C4D2C" w:rsidP="00012461">
      <w:pPr>
        <w:pStyle w:val="Heading2"/>
      </w:pPr>
      <w:bookmarkStart w:id="97" w:name="_Toc46265515"/>
      <w:r w:rsidRPr="009E5A94">
        <w:t>Data Analysis</w:t>
      </w:r>
      <w:bookmarkEnd w:id="97"/>
    </w:p>
    <w:p w14:paraId="382A3FB9" w14:textId="169D4429" w:rsidR="00012461" w:rsidRPr="00012461" w:rsidRDefault="003C4D2C" w:rsidP="00CC415B">
      <w:pPr>
        <w:pStyle w:val="Heading3"/>
        <w:rPr>
          <w:vanish/>
          <w:specVanish/>
        </w:rPr>
      </w:pPr>
      <w:bookmarkStart w:id="98" w:name="_Toc46265516"/>
      <w:r w:rsidRPr="000970CE">
        <w:lastRenderedPageBreak/>
        <w:t>Preliminary analyses</w:t>
      </w:r>
      <w:bookmarkEnd w:id="98"/>
    </w:p>
    <w:p w14:paraId="5A5FB2BA" w14:textId="47DB7658" w:rsidR="008B3B54" w:rsidRPr="00012461" w:rsidRDefault="006009F0" w:rsidP="0065493E">
      <w:pPr>
        <w:contextualSpacing/>
        <w:rPr>
          <w:vanish/>
          <w:specVanish/>
        </w:rPr>
      </w:pPr>
      <w:r w:rsidRPr="000970CE">
        <w:t>.</w:t>
      </w:r>
      <w:r>
        <w:t xml:space="preserve"> </w:t>
      </w:r>
      <w:r w:rsidR="003C4D2C" w:rsidRPr="000970CE">
        <w:t>Using SPSS 25, descriptive analyses were conducted to provide means and standard errors for study variables and to examine the distributions for normality. Although the items in the DECA were rated on a Likert-type scale (ranging from 0-4), many of item-level responses violated normality, with high skewness and kurtosis values. Items in these measures were converted to categorical variables. To do this, the five-point scales were recoded to 3-point scales to indicate low</w:t>
      </w:r>
      <w:r w:rsidR="00E84F31">
        <w:t xml:space="preserve"> (0-1)</w:t>
      </w:r>
      <w:r w:rsidR="003C4D2C" w:rsidRPr="000970CE">
        <w:t>, medium</w:t>
      </w:r>
      <w:r w:rsidR="00E84F31">
        <w:t xml:space="preserve"> (2)</w:t>
      </w:r>
      <w:r w:rsidR="003C4D2C" w:rsidRPr="000970CE">
        <w:t>, and high frequency</w:t>
      </w:r>
      <w:r w:rsidR="00E84F31">
        <w:t xml:space="preserve"> (3-4)</w:t>
      </w:r>
      <w:r w:rsidR="003C4D2C" w:rsidRPr="000970CE">
        <w:t>.</w:t>
      </w:r>
    </w:p>
    <w:p w14:paraId="78DB4EB0" w14:textId="77777777" w:rsidR="00012461" w:rsidRDefault="008B3B54" w:rsidP="0065493E">
      <w:pPr>
        <w:contextualSpacing/>
      </w:pPr>
      <w:r>
        <w:t xml:space="preserve"> </w:t>
      </w:r>
    </w:p>
    <w:p w14:paraId="12553CEA" w14:textId="52A26A82" w:rsidR="008B3B54" w:rsidRPr="008B3B54" w:rsidRDefault="00012461" w:rsidP="0065493E">
      <w:pPr>
        <w:pStyle w:val="Heading3"/>
        <w:contextualSpacing/>
        <w:rPr>
          <w:vanish/>
          <w:specVanish/>
        </w:rPr>
      </w:pPr>
      <w:r>
        <w:t xml:space="preserve"> </w:t>
      </w:r>
      <w:bookmarkStart w:id="99" w:name="_Toc46265517"/>
      <w:r w:rsidR="003C4D2C" w:rsidRPr="00B90960">
        <w:t xml:space="preserve">Primary </w:t>
      </w:r>
      <w:r w:rsidR="005D7B14">
        <w:t>a</w:t>
      </w:r>
      <w:r w:rsidR="003C4D2C" w:rsidRPr="00B90960">
        <w:t>nalyses</w:t>
      </w:r>
      <w:bookmarkEnd w:id="99"/>
    </w:p>
    <w:p w14:paraId="41309250" w14:textId="22B04EB0" w:rsidR="008B3B54" w:rsidRDefault="006009F0" w:rsidP="003C4D2C">
      <w:r>
        <w:t>.</w:t>
      </w:r>
      <w:r w:rsidR="008B3B54">
        <w:t xml:space="preserve"> </w:t>
      </w:r>
      <w:r w:rsidR="003C4D2C" w:rsidRPr="00444DAF">
        <w:t xml:space="preserve">For the first two research questions, a series of LPA models were estimated in </w:t>
      </w:r>
      <w:proofErr w:type="spellStart"/>
      <w:r w:rsidR="000551AE" w:rsidRPr="000551AE">
        <w:rPr>
          <w:i/>
          <w:iCs/>
        </w:rPr>
        <w:t>Mplus</w:t>
      </w:r>
      <w:proofErr w:type="spellEnd"/>
      <w:r w:rsidR="00B45A18">
        <w:rPr>
          <w:i/>
          <w:iCs/>
        </w:rPr>
        <w:t xml:space="preserve"> </w:t>
      </w:r>
      <w:r w:rsidR="003C4D2C" w:rsidRPr="00444DAF">
        <w:t xml:space="preserve">based on the items included in the AtL measures. Full information maximum likelihood was used to handle missing data </w:t>
      </w:r>
      <w:r w:rsidR="009A6864" w:rsidRPr="009A6864">
        <w:t>(</w:t>
      </w:r>
      <w:proofErr w:type="spellStart"/>
      <w:r w:rsidR="009A6864" w:rsidRPr="009A6864">
        <w:t>Muthén</w:t>
      </w:r>
      <w:proofErr w:type="spellEnd"/>
      <w:r w:rsidR="009A6864" w:rsidRPr="009A6864">
        <w:t xml:space="preserve"> &amp; </w:t>
      </w:r>
      <w:proofErr w:type="spellStart"/>
      <w:r w:rsidR="009A6864" w:rsidRPr="009A6864">
        <w:t>Muthén</w:t>
      </w:r>
      <w:proofErr w:type="spellEnd"/>
      <w:r w:rsidR="009A6864" w:rsidRPr="009A6864">
        <w:t>, 1998)</w:t>
      </w:r>
      <w:r w:rsidR="003C4D2C" w:rsidRPr="00444DAF">
        <w:t>. By utilizing maximum likelihood testing, LPA incorporates individuals with data from at least one indicator variable (i.e., initiative, attention). Therefore, data from the full sample was used to estimate the latent profiles. </w:t>
      </w:r>
      <w:r w:rsidR="00774CB2">
        <w:t>A</w:t>
      </w:r>
      <w:r w:rsidR="003C4D2C" w:rsidRPr="00444DAF">
        <w:t>ll continuous variables were standardized with z scores before conducting analyses</w:t>
      </w:r>
      <w:r w:rsidR="00774CB2" w:rsidRPr="00774CB2">
        <w:t xml:space="preserve"> </w:t>
      </w:r>
      <w:r w:rsidR="00774CB2">
        <w:t>t</w:t>
      </w:r>
      <w:r w:rsidR="00774CB2" w:rsidRPr="00444DAF">
        <w:t>o facilitate model interpretation</w:t>
      </w:r>
      <w:r w:rsidR="003C4D2C" w:rsidRPr="00444DAF">
        <w:t xml:space="preserve">. The series of LPA models was estimated, beginning with a 1-class </w:t>
      </w:r>
      <w:proofErr w:type="gramStart"/>
      <w:r w:rsidR="003C4D2C" w:rsidRPr="00444DAF">
        <w:t>solution</w:t>
      </w:r>
      <w:proofErr w:type="gramEnd"/>
      <w:r w:rsidR="003C4D2C" w:rsidRPr="00444DAF">
        <w:t xml:space="preserve"> and adding an additional class in each successive model </w:t>
      </w:r>
      <w:r w:rsidR="009A6864" w:rsidRPr="009A6864">
        <w:t>(</w:t>
      </w:r>
      <w:proofErr w:type="spellStart"/>
      <w:r w:rsidR="009A6864" w:rsidRPr="009A6864">
        <w:t>Masyn</w:t>
      </w:r>
      <w:proofErr w:type="spellEnd"/>
      <w:r w:rsidR="009A6864" w:rsidRPr="009A6864">
        <w:t>, 2013)</w:t>
      </w:r>
      <w:r w:rsidR="003C4D2C" w:rsidRPr="00444DAF">
        <w:t xml:space="preserve">. Variable means were free to vary across profiles, and variants were set to be equal across profiles for estimation purposes (see Appendix A for a complete description of the methods for primary analysis). </w:t>
      </w:r>
    </w:p>
    <w:p w14:paraId="5EECE538" w14:textId="6AF47BCB" w:rsidR="003C4D2C" w:rsidRPr="009E5A94" w:rsidRDefault="003C4D2C" w:rsidP="008B3B54">
      <w:pPr>
        <w:ind w:firstLine="720"/>
        <w:contextualSpacing/>
      </w:pPr>
      <w:r w:rsidRPr="009E5A94">
        <w:t>Multiple fit statistics were used to determine the number of profiles within the mode</w:t>
      </w:r>
      <w:r>
        <w:t>l.</w:t>
      </w:r>
      <w:r w:rsidR="007C1CBE">
        <w:t xml:space="preserve"> </w:t>
      </w:r>
      <w:r>
        <w:t xml:space="preserve">The </w:t>
      </w:r>
      <w:r w:rsidRPr="009E5A94">
        <w:t>Akaike Information Criterion (AIC)</w:t>
      </w:r>
      <w:r>
        <w:t xml:space="preserve">, </w:t>
      </w:r>
      <w:r w:rsidRPr="009E5A94">
        <w:t>Bayesian Information Criterion (BIC)</w:t>
      </w:r>
      <w:r>
        <w:t>,</w:t>
      </w:r>
      <w:r w:rsidRPr="009E5A94">
        <w:t xml:space="preserve"> </w:t>
      </w:r>
      <w:r>
        <w:t xml:space="preserve">and the SABIC </w:t>
      </w:r>
      <w:r w:rsidR="003468D4">
        <w:t xml:space="preserve">(Sample Adjusted BIC) </w:t>
      </w:r>
      <w:r>
        <w:t xml:space="preserve">were used as measures of relative fit </w:t>
      </w:r>
      <w:r w:rsidR="009A6864" w:rsidRPr="009A6864">
        <w:t>(West, Taylor, Wu, &amp; others, 2012)</w:t>
      </w:r>
      <w:r>
        <w:t xml:space="preserve">. </w:t>
      </w:r>
      <w:r w:rsidRPr="009E5A94">
        <w:t>Entropy</w:t>
      </w:r>
      <w:r>
        <w:t xml:space="preserve"> was also used, with v</w:t>
      </w:r>
      <w:r w:rsidRPr="009E5A94">
        <w:t>alues of .80</w:t>
      </w:r>
      <w:r>
        <w:t xml:space="preserve"> </w:t>
      </w:r>
      <w:r w:rsidRPr="009E5A94">
        <w:t xml:space="preserve">or </w:t>
      </w:r>
      <w:r>
        <w:t>high</w:t>
      </w:r>
      <w:r w:rsidRPr="009E5A94">
        <w:t>er</w:t>
      </w:r>
      <w:r>
        <w:t>,</w:t>
      </w:r>
      <w:r w:rsidRPr="009E5A94">
        <w:t xml:space="preserve"> provid</w:t>
      </w:r>
      <w:r>
        <w:t>ing</w:t>
      </w:r>
      <w:r w:rsidRPr="009E5A94">
        <w:t xml:space="preserve"> evidence that profile classification of individuals occurs with minimal uncertainty</w:t>
      </w:r>
      <w:r>
        <w:t xml:space="preserve"> </w:t>
      </w:r>
      <w:r w:rsidR="009A6864" w:rsidRPr="009A6864">
        <w:t>(</w:t>
      </w:r>
      <w:proofErr w:type="spellStart"/>
      <w:r w:rsidR="009A6864" w:rsidRPr="009A6864">
        <w:t>Celeux</w:t>
      </w:r>
      <w:proofErr w:type="spellEnd"/>
      <w:r w:rsidR="009A6864" w:rsidRPr="009A6864">
        <w:t xml:space="preserve"> &amp; </w:t>
      </w:r>
      <w:proofErr w:type="spellStart"/>
      <w:r w:rsidR="009A6864" w:rsidRPr="009A6864">
        <w:t>Soromenho</w:t>
      </w:r>
      <w:proofErr w:type="spellEnd"/>
      <w:r w:rsidR="009A6864" w:rsidRPr="009A6864">
        <w:t>, 1996)</w:t>
      </w:r>
      <w:r w:rsidRPr="009E5A94">
        <w:t xml:space="preserve">. Another measure of fit is the smallest group size, with groups numbering under 5% of the total pool of subjects considered a byproduct of the estimation produced </w:t>
      </w:r>
      <w:r w:rsidR="009A6864" w:rsidRPr="009A6864">
        <w:t>(</w:t>
      </w:r>
      <w:proofErr w:type="spellStart"/>
      <w:r w:rsidR="009A6864" w:rsidRPr="009A6864">
        <w:t>Roesch</w:t>
      </w:r>
      <w:proofErr w:type="spellEnd"/>
      <w:r w:rsidR="009A6864" w:rsidRPr="009A6864">
        <w:t xml:space="preserve">, </w:t>
      </w:r>
      <w:proofErr w:type="spellStart"/>
      <w:r w:rsidR="009A6864" w:rsidRPr="009A6864">
        <w:t>Villodas</w:t>
      </w:r>
      <w:proofErr w:type="spellEnd"/>
      <w:r w:rsidR="009A6864" w:rsidRPr="009A6864">
        <w:t xml:space="preserve">, &amp; </w:t>
      </w:r>
      <w:proofErr w:type="spellStart"/>
      <w:r w:rsidR="009A6864" w:rsidRPr="009A6864">
        <w:lastRenderedPageBreak/>
        <w:t>Villodas</w:t>
      </w:r>
      <w:proofErr w:type="spellEnd"/>
      <w:r w:rsidR="009A6864" w:rsidRPr="009A6864">
        <w:t>, 2010)</w:t>
      </w:r>
      <w:r w:rsidRPr="009E5A94">
        <w:t xml:space="preserve">. Two other measures of fit </w:t>
      </w:r>
      <w:r>
        <w:t>used were t</w:t>
      </w:r>
      <w:r w:rsidRPr="009E5A94">
        <w:t xml:space="preserve">he Lo, </w:t>
      </w:r>
      <w:proofErr w:type="spellStart"/>
      <w:r w:rsidRPr="009E5A94">
        <w:t>Mendell</w:t>
      </w:r>
      <w:proofErr w:type="spellEnd"/>
      <w:r>
        <w:t>,</w:t>
      </w:r>
      <w:r w:rsidRPr="009E5A94">
        <w:t xml:space="preserve"> and Rubin (LMR) test</w:t>
      </w:r>
      <w:r>
        <w:t>,</w:t>
      </w:r>
      <w:r w:rsidRPr="009E5A94">
        <w:t xml:space="preserve"> and the bootstrap likelihood ratio test</w:t>
      </w:r>
      <w:r>
        <w:t xml:space="preserve">, </w:t>
      </w:r>
      <w:r w:rsidRPr="009E5A94">
        <w:t>BLRT</w:t>
      </w:r>
      <w:r>
        <w:t xml:space="preserve"> </w:t>
      </w:r>
      <w:r w:rsidR="009A6864" w:rsidRPr="009A6864">
        <w:t xml:space="preserve">(Ferguson, </w:t>
      </w:r>
      <w:r w:rsidR="005D7B14">
        <w:t>M</w:t>
      </w:r>
      <w:r w:rsidR="009A6864" w:rsidRPr="009A6864">
        <w:t>oore, &amp; Hull, 2019)</w:t>
      </w:r>
      <w:r w:rsidRPr="009E5A94">
        <w:t xml:space="preserve">. </w:t>
      </w:r>
      <w:r>
        <w:t xml:space="preserve">Both measures provide information about model parsimony, with a significant result indicating that the additional profile improves model fit. </w:t>
      </w:r>
      <w:r w:rsidRPr="009E5A94">
        <w:rPr>
          <w:color w:val="000000"/>
          <w:shd w:val="clear" w:color="auto" w:fill="FFFFFF"/>
        </w:rPr>
        <w:t xml:space="preserve">The standard procedure is to accept the model with the largest </w:t>
      </w:r>
      <w:r w:rsidR="002C5CC7" w:rsidRPr="009E5A94">
        <w:rPr>
          <w:color w:val="000000"/>
          <w:shd w:val="clear" w:color="auto" w:fill="FFFFFF"/>
        </w:rPr>
        <w:t>number</w:t>
      </w:r>
      <w:r w:rsidRPr="009E5A94">
        <w:rPr>
          <w:color w:val="000000"/>
          <w:shd w:val="clear" w:color="auto" w:fill="FFFFFF"/>
        </w:rPr>
        <w:t xml:space="preserve"> of classes, smallest</w:t>
      </w:r>
      <w:r>
        <w:rPr>
          <w:color w:val="000000"/>
          <w:shd w:val="clear" w:color="auto" w:fill="FFFFFF"/>
        </w:rPr>
        <w:t xml:space="preserve"> relative fit </w:t>
      </w:r>
      <w:r w:rsidRPr="009E5A94">
        <w:rPr>
          <w:color w:val="000000"/>
          <w:shd w:val="clear" w:color="auto" w:fill="FFFFFF"/>
        </w:rPr>
        <w:t>value</w:t>
      </w:r>
      <w:r>
        <w:rPr>
          <w:color w:val="000000"/>
          <w:shd w:val="clear" w:color="auto" w:fill="FFFFFF"/>
        </w:rPr>
        <w:t>s</w:t>
      </w:r>
      <w:r w:rsidRPr="009E5A94">
        <w:rPr>
          <w:color w:val="000000"/>
          <w:shd w:val="clear" w:color="auto" w:fill="FFFFFF"/>
        </w:rPr>
        <w:t>, and a significant LMR</w:t>
      </w:r>
      <w:r>
        <w:rPr>
          <w:color w:val="000000"/>
          <w:shd w:val="clear" w:color="auto" w:fill="FFFFFF"/>
        </w:rPr>
        <w:t>/BLRT</w:t>
      </w:r>
      <w:r w:rsidRPr="009E5A94">
        <w:rPr>
          <w:color w:val="000000"/>
          <w:shd w:val="clear" w:color="auto" w:fill="FFFFFF"/>
        </w:rPr>
        <w:t xml:space="preserve"> in conjunction with the intelligibility of the profiles</w:t>
      </w:r>
      <w:r>
        <w:rPr>
          <w:color w:val="000000"/>
          <w:shd w:val="clear" w:color="auto" w:fill="FFFFFF"/>
        </w:rPr>
        <w:t xml:space="preserve"> </w:t>
      </w:r>
      <w:r w:rsidR="009A6864" w:rsidRPr="009A6864">
        <w:t>(</w:t>
      </w:r>
      <w:proofErr w:type="spellStart"/>
      <w:r w:rsidR="009A6864" w:rsidRPr="009A6864">
        <w:t>Nylund</w:t>
      </w:r>
      <w:proofErr w:type="spellEnd"/>
      <w:r w:rsidR="009A6864" w:rsidRPr="009A6864">
        <w:t xml:space="preserve">, </w:t>
      </w:r>
      <w:proofErr w:type="spellStart"/>
      <w:r w:rsidR="009A6864" w:rsidRPr="009A6864">
        <w:t>Asparouhov</w:t>
      </w:r>
      <w:proofErr w:type="spellEnd"/>
      <w:r w:rsidR="009A6864" w:rsidRPr="009A6864">
        <w:t xml:space="preserve">, &amp; </w:t>
      </w:r>
      <w:proofErr w:type="spellStart"/>
      <w:r w:rsidR="009A6864" w:rsidRPr="009A6864">
        <w:t>Muthén</w:t>
      </w:r>
      <w:proofErr w:type="spellEnd"/>
      <w:r w:rsidR="009A6864" w:rsidRPr="009A6864">
        <w:t>, 2007)</w:t>
      </w:r>
      <w:r w:rsidRPr="009E5A94">
        <w:rPr>
          <w:color w:val="000000"/>
          <w:shd w:val="clear" w:color="auto" w:fill="FFFFFF"/>
        </w:rPr>
        <w:t>.</w:t>
      </w:r>
    </w:p>
    <w:p w14:paraId="34B85B92" w14:textId="2CC78846" w:rsidR="00297DEF" w:rsidRDefault="003C4D2C" w:rsidP="003C4D2C">
      <w:pPr>
        <w:ind w:firstLine="720"/>
        <w:contextualSpacing/>
      </w:pPr>
      <w:r w:rsidRPr="009E5A94">
        <w:t xml:space="preserve">After a model has been selected, the second step in the LPA is to assign </w:t>
      </w:r>
      <w:r w:rsidR="00B45A18">
        <w:t xml:space="preserve">participants </w:t>
      </w:r>
      <w:r w:rsidRPr="009E5A94">
        <w:t>to classes based on posterior class membership probabilities</w:t>
      </w:r>
      <w:r>
        <w:t xml:space="preserve"> </w:t>
      </w:r>
      <w:r w:rsidR="009A6864" w:rsidRPr="009A6864">
        <w:t>(</w:t>
      </w:r>
      <w:proofErr w:type="spellStart"/>
      <w:r w:rsidR="009A6864" w:rsidRPr="009A6864">
        <w:t>Asparouhov</w:t>
      </w:r>
      <w:proofErr w:type="spellEnd"/>
      <w:r w:rsidR="009A6864" w:rsidRPr="009A6864">
        <w:t xml:space="preserve"> &amp; </w:t>
      </w:r>
      <w:proofErr w:type="spellStart"/>
      <w:r w:rsidR="009A6864" w:rsidRPr="009A6864">
        <w:t>Muthén</w:t>
      </w:r>
      <w:proofErr w:type="spellEnd"/>
      <w:r w:rsidR="009A6864" w:rsidRPr="009A6864">
        <w:t>, 2014)</w:t>
      </w:r>
      <w:r w:rsidRPr="009E5A94">
        <w:t xml:space="preserve">. </w:t>
      </w:r>
      <w:r>
        <w:t>Group assignment is then saved to the data file</w:t>
      </w:r>
      <w:r w:rsidR="00774CB2">
        <w:t xml:space="preserve">, which </w:t>
      </w:r>
      <w:r>
        <w:t xml:space="preserve">allows for an examination of the relationship between profile membership and </w:t>
      </w:r>
      <w:r w:rsidRPr="009E5A94">
        <w:t xml:space="preserve">auxiliary variables </w:t>
      </w:r>
      <w:r w:rsidR="007C73E4">
        <w:t>(</w:t>
      </w:r>
      <w:proofErr w:type="spellStart"/>
      <w:r w:rsidR="007C73E4">
        <w:t>Tupyrn</w:t>
      </w:r>
      <w:proofErr w:type="spellEnd"/>
      <w:r w:rsidR="007C73E4">
        <w:t xml:space="preserve">, Chaplin, Cook, &amp; </w:t>
      </w:r>
      <w:proofErr w:type="spellStart"/>
      <w:r w:rsidR="007C73E4">
        <w:t>Martelli</w:t>
      </w:r>
      <w:proofErr w:type="spellEnd"/>
      <w:r w:rsidR="007C73E4">
        <w:t>, 2015).</w:t>
      </w:r>
      <w:r w:rsidR="00297DEF">
        <w:t xml:space="preserve"> </w:t>
      </w:r>
      <w:r w:rsidR="00774CB2">
        <w:t>M</w:t>
      </w:r>
      <w:r>
        <w:t xml:space="preserve">ultinomial logistic regression </w:t>
      </w:r>
      <w:r w:rsidR="002C5CC7">
        <w:t xml:space="preserve">was used, </w:t>
      </w:r>
      <w:r>
        <w:t xml:space="preserve">where one latent profile </w:t>
      </w:r>
      <w:r w:rsidR="002C5CC7">
        <w:t xml:space="preserve">served as </w:t>
      </w:r>
      <w:r>
        <w:t>a reference group</w:t>
      </w:r>
      <w:r w:rsidR="00774CB2" w:rsidRPr="00774CB2">
        <w:t xml:space="preserve"> </w:t>
      </w:r>
      <w:r w:rsidR="00774CB2">
        <w:t>to identify the extent to which profile membership was associate with demographic characteristics</w:t>
      </w:r>
      <w:r w:rsidR="002C5CC7">
        <w:t>.</w:t>
      </w:r>
      <w:r>
        <w:t xml:space="preserve"> </w:t>
      </w:r>
      <w:r w:rsidR="00297DEF">
        <w:t xml:space="preserve">Demographic characteristics included age, race/ethnicity, gender, and home language </w:t>
      </w:r>
      <w:r>
        <w:t xml:space="preserve">Unstandardized beta coefficients and odds ratios (ORs) </w:t>
      </w:r>
      <w:r w:rsidR="005D7B14">
        <w:t>we</w:t>
      </w:r>
      <w:r>
        <w:t xml:space="preserve">re reported. ORs with a value greater than 1 indicate the increased likelihood of membership in a </w:t>
      </w:r>
      <w:proofErr w:type="gramStart"/>
      <w:r>
        <w:t>particular profile</w:t>
      </w:r>
      <w:proofErr w:type="gramEnd"/>
      <w:r>
        <w:t xml:space="preserve"> (compared with a reference profile) for every unit of increase in the predictor variable </w:t>
      </w:r>
      <w:r w:rsidR="009A6864" w:rsidRPr="009A6864">
        <w:t>(Collie et al., 2019)</w:t>
      </w:r>
      <w:r>
        <w:t xml:space="preserve">. </w:t>
      </w:r>
    </w:p>
    <w:p w14:paraId="412283A3" w14:textId="2AA9AD38" w:rsidR="003C4D2C" w:rsidRDefault="00297DEF" w:rsidP="003C4D2C">
      <w:pPr>
        <w:ind w:firstLine="720"/>
        <w:contextualSpacing/>
      </w:pPr>
      <w:r>
        <w:t>In addition, to better understand how profiles of AtL may be distinct from other similar constructs and to determine the theoretical validity of the classes, additional variables were examined to validate profile membership (</w:t>
      </w:r>
      <w:proofErr w:type="spellStart"/>
      <w:r>
        <w:t>Turpyn</w:t>
      </w:r>
      <w:proofErr w:type="spellEnd"/>
      <w:r>
        <w:t xml:space="preserve"> et al., 2015). In this case, executive function, peer sociability, and behavior concerns were used to </w:t>
      </w:r>
      <w:r w:rsidR="00774CB2">
        <w:t>understand the characteristics of the profiles better</w:t>
      </w:r>
      <w:r>
        <w:t>.</w:t>
      </w:r>
      <w:r w:rsidR="00DC7104">
        <w:t xml:space="preserve"> This approach enables one to validate differences of the profiles using information not included in the classification (King, Eastman, </w:t>
      </w:r>
      <w:proofErr w:type="spellStart"/>
      <w:r w:rsidR="00DC7104">
        <w:t>Grinell</w:t>
      </w:r>
      <w:proofErr w:type="spellEnd"/>
      <w:r w:rsidR="00DC7104">
        <w:t>-Davis &amp; Aparicio, 2019)</w:t>
      </w:r>
      <w:r>
        <w:t xml:space="preserve">. </w:t>
      </w:r>
      <w:r>
        <w:rPr>
          <w:color w:val="221E1F"/>
        </w:rPr>
        <w:t xml:space="preserve">One-way </w:t>
      </w:r>
      <w:r>
        <w:rPr>
          <w:color w:val="221E1F"/>
        </w:rPr>
        <w:lastRenderedPageBreak/>
        <w:t>ANOVAs were conducted with class membership as the independent variable</w:t>
      </w:r>
      <w:r w:rsidR="00DC7104">
        <w:rPr>
          <w:color w:val="221E1F"/>
        </w:rPr>
        <w:t xml:space="preserve">, with </w:t>
      </w:r>
      <w:r>
        <w:rPr>
          <w:color w:val="221E1F"/>
        </w:rPr>
        <w:t xml:space="preserve">Post hoc analysis </w:t>
      </w:r>
      <w:r w:rsidR="00DC7104">
        <w:rPr>
          <w:color w:val="221E1F"/>
        </w:rPr>
        <w:t>using T</w:t>
      </w:r>
      <w:r>
        <w:rPr>
          <w:color w:val="221E1F"/>
        </w:rPr>
        <w:t>ukey</w:t>
      </w:r>
      <w:r w:rsidR="00774CB2">
        <w:rPr>
          <w:color w:val="221E1F"/>
        </w:rPr>
        <w:t>'</w:t>
      </w:r>
      <w:r>
        <w:rPr>
          <w:color w:val="221E1F"/>
        </w:rPr>
        <w:t xml:space="preserve">s HSD (Kim, 2013). </w:t>
      </w:r>
    </w:p>
    <w:p w14:paraId="6420EC70" w14:textId="4A671755" w:rsidR="003C4D2C" w:rsidRPr="00FE2391" w:rsidRDefault="003C4D2C" w:rsidP="003C4D2C">
      <w:pPr>
        <w:ind w:firstLine="720"/>
        <w:contextualSpacing/>
      </w:pPr>
      <w:r w:rsidRPr="00FE2391">
        <w:t>Finally, to address RQ3, a seri</w:t>
      </w:r>
      <w:r>
        <w:t>e</w:t>
      </w:r>
      <w:r w:rsidRPr="00FE2391">
        <w:t>s of multilevel regression models were conducted to predict distal academic outcomes from profile membership, controlling for a set of child characteristics.</w:t>
      </w:r>
      <w:r w:rsidR="007C1CBE">
        <w:t xml:space="preserve"> </w:t>
      </w:r>
      <w:r>
        <w:t xml:space="preserve">This is to determine whether any gains in academic achievement over time are associated with profile membership. </w:t>
      </w:r>
      <w:r w:rsidRPr="00FE2391">
        <w:t>These models were specified separately for four dependent variables: Expressive One-Word vocabulary test, Woodcock</w:t>
      </w:r>
      <w:r>
        <w:t>-</w:t>
      </w:r>
      <w:r w:rsidRPr="00FE2391">
        <w:t>Johnson Applied Problems, Woodcock</w:t>
      </w:r>
      <w:r>
        <w:t>-</w:t>
      </w:r>
      <w:r w:rsidRPr="00FE2391">
        <w:t xml:space="preserve">Johnson </w:t>
      </w:r>
      <w:r w:rsidR="00202269">
        <w:t xml:space="preserve">Letter </w:t>
      </w:r>
      <w:r w:rsidRPr="00FE2391">
        <w:t xml:space="preserve">Word Identification, and the Bracken. Each of these models included the Type=Complex specification in </w:t>
      </w:r>
      <w:proofErr w:type="spellStart"/>
      <w:r w:rsidR="000551AE" w:rsidRPr="000551AE">
        <w:rPr>
          <w:i/>
          <w:iCs/>
        </w:rPr>
        <w:t>Mplus</w:t>
      </w:r>
      <w:proofErr w:type="spellEnd"/>
      <w:r w:rsidR="00202269">
        <w:rPr>
          <w:i/>
          <w:iCs/>
        </w:rPr>
        <w:t xml:space="preserve"> </w:t>
      </w:r>
      <w:r w:rsidRPr="00FE2391">
        <w:t>to account for the interdependence of data from children nested within classrooms</w:t>
      </w:r>
      <w:r w:rsidR="00A3111E">
        <w:t xml:space="preserve"> by correcting the standard errors of the child-level variables</w:t>
      </w:r>
      <w:r w:rsidRPr="00FE2391">
        <w:t xml:space="preserve">. </w:t>
      </w:r>
      <w:r w:rsidR="0024415A">
        <w:t>Based on the results of the logistic regression and to ensure parsimony in the model, c</w:t>
      </w:r>
      <w:r w:rsidRPr="00FE2391">
        <w:t>hild-level covariate</w:t>
      </w:r>
      <w:r>
        <w:t>s</w:t>
      </w:r>
      <w:r w:rsidRPr="00FE2391">
        <w:t xml:space="preserve"> included gender</w:t>
      </w:r>
      <w:r>
        <w:t xml:space="preserve">, </w:t>
      </w:r>
      <w:r w:rsidR="0024415A">
        <w:t xml:space="preserve">home language, </w:t>
      </w:r>
      <w:r>
        <w:t>and fall achievement scores.</w:t>
      </w:r>
      <w:r w:rsidR="007C1CBE">
        <w:t xml:space="preserve"> </w:t>
      </w:r>
    </w:p>
    <w:p w14:paraId="5E1B77ED" w14:textId="1754D14D" w:rsidR="003C4D2C" w:rsidRPr="00814C51" w:rsidRDefault="003C4D2C" w:rsidP="00814C51">
      <w:pPr>
        <w:pStyle w:val="Heading1"/>
      </w:pPr>
      <w:bookmarkStart w:id="100" w:name="_Toc46265518"/>
      <w:r w:rsidRPr="00814C51">
        <w:t>Results</w:t>
      </w:r>
      <w:bookmarkEnd w:id="100"/>
    </w:p>
    <w:p w14:paraId="5ED4A6DF" w14:textId="77777777" w:rsidR="003C4D2C" w:rsidRPr="00AB064B" w:rsidRDefault="003C4D2C" w:rsidP="00814C51">
      <w:pPr>
        <w:pStyle w:val="Heading2"/>
      </w:pPr>
      <w:bookmarkStart w:id="101" w:name="_Toc46265519"/>
      <w:r>
        <w:t>Descriptive Statistics</w:t>
      </w:r>
      <w:bookmarkEnd w:id="101"/>
      <w:r>
        <w:t xml:space="preserve"> </w:t>
      </w:r>
    </w:p>
    <w:p w14:paraId="7B11FE00" w14:textId="38ACB75A" w:rsidR="003C4D2C" w:rsidRDefault="003C4D2C" w:rsidP="006009F0">
      <w:pPr>
        <w:ind w:firstLine="720"/>
        <w:contextualSpacing/>
      </w:pPr>
      <w:r>
        <w:t xml:space="preserve">The means and correlations for the study variables are included in Table 3. Raw scores are presented, although z scores were used for analysis. Overall, the variables were strongly correlated. The DECA scale items demonstrated high levels of </w:t>
      </w:r>
      <w:r w:rsidR="00E84F31">
        <w:t>inter-</w:t>
      </w:r>
      <w:r>
        <w:t xml:space="preserve">correlation, around 0.60 </w:t>
      </w:r>
      <w:r>
        <w:rPr>
          <w:i/>
          <w:iCs/>
        </w:rPr>
        <w:t>p=.001</w:t>
      </w:r>
      <w:r>
        <w:t xml:space="preserve">. The other items were also significantly correlated, although not as high. Table 4 </w:t>
      </w:r>
    </w:p>
    <w:p w14:paraId="3CD13C10" w14:textId="33593304" w:rsidR="005A44C2" w:rsidRPr="000A4F53" w:rsidRDefault="003C4D2C" w:rsidP="005A44C2">
      <w:pPr>
        <w:contextualSpacing/>
        <w:rPr>
          <w:i/>
          <w:iCs/>
        </w:rPr>
      </w:pPr>
      <w:r w:rsidRPr="003E7133">
        <w:t xml:space="preserve">presents the correlations </w:t>
      </w:r>
      <w:r w:rsidR="00202269">
        <w:t>among</w:t>
      </w:r>
      <w:r w:rsidRPr="003E7133">
        <w:t xml:space="preserve"> the validation measures. The correlations were all in the expected directions. The EF measures were moderately correlated (ranging from </w:t>
      </w:r>
      <w:r w:rsidRPr="00B57ABD">
        <w:rPr>
          <w:i/>
          <w:iCs/>
        </w:rPr>
        <w:t>r</w:t>
      </w:r>
      <w:r w:rsidRPr="003E7133">
        <w:t xml:space="preserve"> = .2 to </w:t>
      </w:r>
      <w:r w:rsidRPr="00B57ABD">
        <w:rPr>
          <w:i/>
          <w:iCs/>
        </w:rPr>
        <w:t>r</w:t>
      </w:r>
      <w:r w:rsidRPr="003E7133">
        <w:t xml:space="preserve"> = .47, </w:t>
      </w:r>
      <w:r w:rsidRPr="00B57ABD">
        <w:rPr>
          <w:i/>
          <w:iCs/>
        </w:rPr>
        <w:t>p</w:t>
      </w:r>
      <w:r w:rsidRPr="003E7133">
        <w:t xml:space="preserve"> =.01).</w:t>
      </w:r>
      <w:r>
        <w:t xml:space="preserve"> </w:t>
      </w:r>
      <w:r w:rsidR="005A44C2">
        <w:t xml:space="preserve">The academic measures were also highly correlated (ranging from </w:t>
      </w:r>
      <w:r w:rsidR="005A44C2" w:rsidRPr="009E5A94">
        <w:rPr>
          <w:i/>
          <w:iCs/>
        </w:rPr>
        <w:t>r</w:t>
      </w:r>
      <w:r w:rsidR="005A44C2">
        <w:t xml:space="preserve"> = .43 to </w:t>
      </w:r>
      <w:r w:rsidR="005A44C2" w:rsidRPr="009E5A94">
        <w:rPr>
          <w:i/>
          <w:iCs/>
        </w:rPr>
        <w:t>r</w:t>
      </w:r>
      <w:r w:rsidR="005A44C2">
        <w:rPr>
          <w:i/>
          <w:iCs/>
        </w:rPr>
        <w:t xml:space="preserve"> </w:t>
      </w:r>
      <w:r w:rsidR="005A44C2">
        <w:t xml:space="preserve">= .60, </w:t>
      </w:r>
      <w:r w:rsidR="005A44C2">
        <w:rPr>
          <w:i/>
          <w:iCs/>
        </w:rPr>
        <w:t>p =.01</w:t>
      </w:r>
      <w:r w:rsidR="005A44C2">
        <w:t>).</w:t>
      </w:r>
    </w:p>
    <w:p w14:paraId="49AEED16" w14:textId="41F9F39A" w:rsidR="00E57231" w:rsidRDefault="00E57231" w:rsidP="00E57231">
      <w:pPr>
        <w:pStyle w:val="Caption"/>
      </w:pPr>
    </w:p>
    <w:p w14:paraId="515D22A3" w14:textId="7A9816B5" w:rsidR="00AD30DE" w:rsidRDefault="00AD30DE" w:rsidP="00AD30DE">
      <w:pPr>
        <w:pStyle w:val="Caption"/>
      </w:pPr>
      <w:bookmarkStart w:id="102" w:name="_Toc44366126"/>
      <w:r>
        <w:lastRenderedPageBreak/>
        <w:t xml:space="preserve">Table </w:t>
      </w:r>
      <w:fldSimple w:instr=" SEQ Table \* ARABIC ">
        <w:r w:rsidR="002039BE">
          <w:rPr>
            <w:noProof/>
          </w:rPr>
          <w:t>3</w:t>
        </w:r>
        <w:bookmarkEnd w:id="102"/>
      </w:fldSimple>
    </w:p>
    <w:p w14:paraId="6769E647" w14:textId="2D0650F6" w:rsidR="005A44C2" w:rsidRDefault="00AD30DE" w:rsidP="00AD30DE">
      <w:pPr>
        <w:pStyle w:val="Caption"/>
      </w:pPr>
      <w:r w:rsidRPr="000A4F53">
        <w:rPr>
          <w:i/>
          <w:iCs w:val="0"/>
        </w:rPr>
        <w:t>Descriptive Statistics and Correlations among Approaches to Learning Measures</w:t>
      </w:r>
    </w:p>
    <w:p w14:paraId="3A523D31" w14:textId="77777777" w:rsidR="00AD30DE" w:rsidRDefault="003C4D2C" w:rsidP="00AD30DE">
      <w:pPr>
        <w:spacing w:line="240" w:lineRule="auto"/>
        <w:contextualSpacing/>
      </w:pPr>
      <w:r>
        <w:t xml:space="preserve"> </w:t>
      </w:r>
    </w:p>
    <w:tbl>
      <w:tblPr>
        <w:tblStyle w:val="TableGridLight"/>
        <w:tblpPr w:leftFromText="187" w:rightFromText="187" w:vertAnchor="page" w:horzAnchor="margin" w:tblpY="2849"/>
        <w:tblW w:w="5000" w:type="pct"/>
        <w:tblLook w:val="04A0" w:firstRow="1" w:lastRow="0" w:firstColumn="1" w:lastColumn="0" w:noHBand="0" w:noVBand="1"/>
      </w:tblPr>
      <w:tblGrid>
        <w:gridCol w:w="3067"/>
        <w:gridCol w:w="756"/>
        <w:gridCol w:w="761"/>
        <w:gridCol w:w="1060"/>
        <w:gridCol w:w="756"/>
        <w:gridCol w:w="759"/>
        <w:gridCol w:w="756"/>
        <w:gridCol w:w="756"/>
        <w:gridCol w:w="679"/>
      </w:tblGrid>
      <w:tr w:rsidR="00B57ABD" w:rsidRPr="000A4F53" w14:paraId="1E9D65D3" w14:textId="77777777" w:rsidTr="00B57ABD">
        <w:tc>
          <w:tcPr>
            <w:tcW w:w="1640" w:type="pct"/>
            <w:tcBorders>
              <w:top w:val="single" w:sz="4" w:space="0" w:color="auto"/>
              <w:bottom w:val="single" w:sz="4" w:space="0" w:color="auto"/>
            </w:tcBorders>
            <w:vAlign w:val="center"/>
          </w:tcPr>
          <w:p w14:paraId="32A6D5FB" w14:textId="77777777" w:rsidR="00B57ABD" w:rsidRPr="000A4F53" w:rsidRDefault="00B57ABD" w:rsidP="00B57ABD">
            <w:pPr>
              <w:jc w:val="center"/>
              <w:rPr>
                <w:rFonts w:ascii="Times New Roman" w:hAnsi="Times New Roman" w:cs="Times New Roman"/>
                <w:sz w:val="24"/>
                <w:szCs w:val="24"/>
              </w:rPr>
            </w:pPr>
            <w:r>
              <w:rPr>
                <w:rFonts w:ascii="Times New Roman" w:hAnsi="Times New Roman" w:cs="Times New Roman"/>
                <w:sz w:val="24"/>
                <w:szCs w:val="24"/>
              </w:rPr>
              <w:t>Variables</w:t>
            </w:r>
          </w:p>
        </w:tc>
        <w:tc>
          <w:tcPr>
            <w:tcW w:w="404" w:type="pct"/>
            <w:tcBorders>
              <w:top w:val="single" w:sz="4" w:space="0" w:color="auto"/>
              <w:bottom w:val="single" w:sz="4" w:space="0" w:color="auto"/>
            </w:tcBorders>
          </w:tcPr>
          <w:p w14:paraId="456BDE18" w14:textId="77777777" w:rsidR="00B57ABD" w:rsidRPr="000A4F53" w:rsidRDefault="00B57ABD" w:rsidP="00B57ABD">
            <w:pPr>
              <w:jc w:val="center"/>
              <w:rPr>
                <w:rFonts w:ascii="Times New Roman" w:hAnsi="Times New Roman" w:cs="Times New Roman"/>
                <w:sz w:val="24"/>
                <w:szCs w:val="24"/>
              </w:rPr>
            </w:pPr>
            <w:r w:rsidRPr="000A4F53">
              <w:rPr>
                <w:rFonts w:ascii="Times New Roman" w:hAnsi="Times New Roman" w:cs="Times New Roman"/>
                <w:sz w:val="24"/>
                <w:szCs w:val="24"/>
              </w:rPr>
              <w:t>M</w:t>
            </w:r>
          </w:p>
        </w:tc>
        <w:tc>
          <w:tcPr>
            <w:tcW w:w="407" w:type="pct"/>
            <w:tcBorders>
              <w:top w:val="single" w:sz="4" w:space="0" w:color="auto"/>
              <w:bottom w:val="single" w:sz="4" w:space="0" w:color="auto"/>
            </w:tcBorders>
          </w:tcPr>
          <w:p w14:paraId="56340560" w14:textId="77777777" w:rsidR="00B57ABD" w:rsidRPr="000A4F53" w:rsidRDefault="00B57ABD" w:rsidP="00B57ABD">
            <w:pPr>
              <w:jc w:val="center"/>
              <w:rPr>
                <w:rFonts w:ascii="Times New Roman" w:hAnsi="Times New Roman" w:cs="Times New Roman"/>
                <w:sz w:val="24"/>
                <w:szCs w:val="24"/>
              </w:rPr>
            </w:pPr>
            <w:r w:rsidRPr="000A4F53">
              <w:rPr>
                <w:rFonts w:ascii="Times New Roman" w:hAnsi="Times New Roman" w:cs="Times New Roman"/>
                <w:sz w:val="24"/>
                <w:szCs w:val="24"/>
              </w:rPr>
              <w:t>SD</w:t>
            </w:r>
          </w:p>
        </w:tc>
        <w:tc>
          <w:tcPr>
            <w:tcW w:w="567" w:type="pct"/>
            <w:tcBorders>
              <w:top w:val="single" w:sz="4" w:space="0" w:color="auto"/>
              <w:bottom w:val="single" w:sz="4" w:space="0" w:color="auto"/>
            </w:tcBorders>
          </w:tcPr>
          <w:p w14:paraId="24BF18BB" w14:textId="77777777" w:rsidR="00B57ABD" w:rsidRPr="00676207" w:rsidRDefault="00B57ABD" w:rsidP="00B57ABD">
            <w:pPr>
              <w:jc w:val="center"/>
              <w:rPr>
                <w:rFonts w:ascii="Times New Roman" w:hAnsi="Times New Roman" w:cs="Times New Roman"/>
                <w:sz w:val="24"/>
                <w:szCs w:val="24"/>
              </w:rPr>
            </w:pPr>
            <w:r>
              <w:rPr>
                <w:rFonts w:ascii="Times New Roman" w:hAnsi="Times New Roman" w:cs="Times New Roman"/>
                <w:sz w:val="24"/>
                <w:szCs w:val="24"/>
              </w:rPr>
              <w:t>Range</w:t>
            </w:r>
          </w:p>
        </w:tc>
        <w:tc>
          <w:tcPr>
            <w:tcW w:w="404" w:type="pct"/>
            <w:tcBorders>
              <w:top w:val="single" w:sz="4" w:space="0" w:color="auto"/>
              <w:bottom w:val="single" w:sz="4" w:space="0" w:color="auto"/>
            </w:tcBorders>
          </w:tcPr>
          <w:p w14:paraId="52248424" w14:textId="77777777" w:rsidR="00B57ABD" w:rsidRPr="000A4F53" w:rsidRDefault="00B57ABD" w:rsidP="00B57ABD">
            <w:pPr>
              <w:jc w:val="center"/>
              <w:rPr>
                <w:rFonts w:ascii="Times New Roman" w:hAnsi="Times New Roman" w:cs="Times New Roman"/>
                <w:sz w:val="24"/>
                <w:szCs w:val="24"/>
              </w:rPr>
            </w:pPr>
            <w:r w:rsidRPr="000A4F53">
              <w:rPr>
                <w:rFonts w:ascii="Times New Roman" w:hAnsi="Times New Roman" w:cs="Times New Roman"/>
                <w:sz w:val="24"/>
                <w:szCs w:val="24"/>
              </w:rPr>
              <w:t>1.</w:t>
            </w:r>
          </w:p>
        </w:tc>
        <w:tc>
          <w:tcPr>
            <w:tcW w:w="406" w:type="pct"/>
            <w:tcBorders>
              <w:top w:val="single" w:sz="4" w:space="0" w:color="auto"/>
              <w:bottom w:val="single" w:sz="4" w:space="0" w:color="auto"/>
            </w:tcBorders>
          </w:tcPr>
          <w:p w14:paraId="5DEE3A7C" w14:textId="77777777" w:rsidR="00B57ABD" w:rsidRPr="000A4F53" w:rsidRDefault="00B57ABD" w:rsidP="00B57ABD">
            <w:pPr>
              <w:jc w:val="center"/>
              <w:rPr>
                <w:rFonts w:ascii="Times New Roman" w:hAnsi="Times New Roman" w:cs="Times New Roman"/>
                <w:sz w:val="24"/>
                <w:szCs w:val="24"/>
              </w:rPr>
            </w:pPr>
            <w:r w:rsidRPr="000A4F53">
              <w:rPr>
                <w:rFonts w:ascii="Times New Roman" w:hAnsi="Times New Roman" w:cs="Times New Roman"/>
                <w:sz w:val="24"/>
                <w:szCs w:val="24"/>
              </w:rPr>
              <w:t>2.</w:t>
            </w:r>
          </w:p>
        </w:tc>
        <w:tc>
          <w:tcPr>
            <w:tcW w:w="404" w:type="pct"/>
            <w:tcBorders>
              <w:top w:val="single" w:sz="4" w:space="0" w:color="auto"/>
              <w:bottom w:val="single" w:sz="4" w:space="0" w:color="auto"/>
            </w:tcBorders>
          </w:tcPr>
          <w:p w14:paraId="174685FC" w14:textId="77777777" w:rsidR="00B57ABD" w:rsidRPr="000A4F53" w:rsidRDefault="00B57ABD" w:rsidP="00B57ABD">
            <w:pPr>
              <w:jc w:val="center"/>
              <w:rPr>
                <w:rFonts w:ascii="Times New Roman" w:hAnsi="Times New Roman" w:cs="Times New Roman"/>
                <w:sz w:val="24"/>
                <w:szCs w:val="24"/>
              </w:rPr>
            </w:pPr>
            <w:r w:rsidRPr="000A4F53">
              <w:rPr>
                <w:rFonts w:ascii="Times New Roman" w:hAnsi="Times New Roman" w:cs="Times New Roman"/>
                <w:sz w:val="24"/>
                <w:szCs w:val="24"/>
              </w:rPr>
              <w:t>3.</w:t>
            </w:r>
          </w:p>
        </w:tc>
        <w:tc>
          <w:tcPr>
            <w:tcW w:w="404" w:type="pct"/>
            <w:tcBorders>
              <w:top w:val="single" w:sz="4" w:space="0" w:color="auto"/>
              <w:bottom w:val="single" w:sz="4" w:space="0" w:color="auto"/>
            </w:tcBorders>
          </w:tcPr>
          <w:p w14:paraId="078ECD59" w14:textId="77777777" w:rsidR="00B57ABD" w:rsidRPr="000A4F53" w:rsidRDefault="00B57ABD" w:rsidP="00B57ABD">
            <w:pPr>
              <w:jc w:val="center"/>
              <w:rPr>
                <w:rFonts w:ascii="Times New Roman" w:hAnsi="Times New Roman" w:cs="Times New Roman"/>
                <w:sz w:val="24"/>
                <w:szCs w:val="24"/>
              </w:rPr>
            </w:pPr>
            <w:r w:rsidRPr="000A4F53">
              <w:rPr>
                <w:rFonts w:ascii="Times New Roman" w:hAnsi="Times New Roman" w:cs="Times New Roman"/>
                <w:sz w:val="24"/>
                <w:szCs w:val="24"/>
              </w:rPr>
              <w:t>4.</w:t>
            </w:r>
          </w:p>
        </w:tc>
        <w:tc>
          <w:tcPr>
            <w:tcW w:w="363" w:type="pct"/>
            <w:tcBorders>
              <w:top w:val="single" w:sz="4" w:space="0" w:color="auto"/>
              <w:bottom w:val="single" w:sz="4" w:space="0" w:color="auto"/>
            </w:tcBorders>
          </w:tcPr>
          <w:p w14:paraId="0C6876AC" w14:textId="77777777" w:rsidR="00B57ABD" w:rsidRPr="000A4F53" w:rsidRDefault="00B57ABD" w:rsidP="00B57ABD">
            <w:pPr>
              <w:jc w:val="center"/>
              <w:rPr>
                <w:rFonts w:ascii="Times New Roman" w:hAnsi="Times New Roman" w:cs="Times New Roman"/>
                <w:sz w:val="24"/>
                <w:szCs w:val="24"/>
              </w:rPr>
            </w:pPr>
            <w:r w:rsidRPr="000A4F53">
              <w:rPr>
                <w:rFonts w:ascii="Times New Roman" w:hAnsi="Times New Roman" w:cs="Times New Roman"/>
                <w:sz w:val="24"/>
                <w:szCs w:val="24"/>
              </w:rPr>
              <w:t>5.</w:t>
            </w:r>
          </w:p>
        </w:tc>
      </w:tr>
      <w:tr w:rsidR="00B57ABD" w:rsidRPr="000A4F53" w14:paraId="2DD632F3" w14:textId="77777777" w:rsidTr="00B57ABD">
        <w:tc>
          <w:tcPr>
            <w:tcW w:w="1640" w:type="pct"/>
            <w:tcBorders>
              <w:top w:val="single" w:sz="4" w:space="0" w:color="auto"/>
            </w:tcBorders>
          </w:tcPr>
          <w:p w14:paraId="1758121E" w14:textId="77777777" w:rsidR="00B57ABD" w:rsidRPr="000A4F53" w:rsidRDefault="00B57ABD" w:rsidP="00B57ABD">
            <w:pPr>
              <w:pStyle w:val="ListParagraph"/>
              <w:numPr>
                <w:ilvl w:val="0"/>
                <w:numId w:val="45"/>
              </w:numPr>
              <w:rPr>
                <w:rFonts w:ascii="Times New Roman" w:hAnsi="Times New Roman" w:cs="Times New Roman"/>
                <w:sz w:val="24"/>
                <w:szCs w:val="24"/>
              </w:rPr>
            </w:pPr>
            <w:r w:rsidRPr="000A4F53">
              <w:rPr>
                <w:rFonts w:ascii="Times New Roman" w:hAnsi="Times New Roman" w:cs="Times New Roman"/>
                <w:sz w:val="24"/>
                <w:szCs w:val="24"/>
              </w:rPr>
              <w:t>DECA Initiative</w:t>
            </w:r>
          </w:p>
        </w:tc>
        <w:tc>
          <w:tcPr>
            <w:tcW w:w="404" w:type="pct"/>
            <w:tcBorders>
              <w:top w:val="single" w:sz="4" w:space="0" w:color="auto"/>
            </w:tcBorders>
          </w:tcPr>
          <w:p w14:paraId="28BBC0CC"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50.03</w:t>
            </w:r>
          </w:p>
        </w:tc>
        <w:tc>
          <w:tcPr>
            <w:tcW w:w="407" w:type="pct"/>
            <w:tcBorders>
              <w:top w:val="single" w:sz="4" w:space="0" w:color="auto"/>
            </w:tcBorders>
          </w:tcPr>
          <w:p w14:paraId="45E018EB"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10.18</w:t>
            </w:r>
          </w:p>
        </w:tc>
        <w:tc>
          <w:tcPr>
            <w:tcW w:w="567" w:type="pct"/>
            <w:tcBorders>
              <w:top w:val="single" w:sz="4" w:space="0" w:color="auto"/>
            </w:tcBorders>
          </w:tcPr>
          <w:p w14:paraId="4128BBCC" w14:textId="77777777" w:rsidR="00B57ABD" w:rsidRPr="00676207" w:rsidRDefault="00B57ABD" w:rsidP="00B57ABD">
            <w:pPr>
              <w:contextualSpacing/>
              <w:jc w:val="center"/>
              <w:rPr>
                <w:rFonts w:ascii="Times New Roman" w:hAnsi="Times New Roman" w:cs="Times New Roman"/>
                <w:sz w:val="24"/>
                <w:szCs w:val="24"/>
              </w:rPr>
            </w:pPr>
            <w:r>
              <w:rPr>
                <w:rFonts w:ascii="Times New Roman" w:hAnsi="Times New Roman" w:cs="Times New Roman"/>
                <w:sz w:val="24"/>
                <w:szCs w:val="24"/>
              </w:rPr>
              <w:t xml:space="preserve">28-72 </w:t>
            </w:r>
          </w:p>
        </w:tc>
        <w:tc>
          <w:tcPr>
            <w:tcW w:w="404" w:type="pct"/>
            <w:tcBorders>
              <w:top w:val="single" w:sz="4" w:space="0" w:color="auto"/>
            </w:tcBorders>
          </w:tcPr>
          <w:p w14:paraId="52B96570" w14:textId="77777777" w:rsidR="00B57ABD" w:rsidRPr="000A4F53" w:rsidRDefault="00B57ABD" w:rsidP="00B57ABD">
            <w:pPr>
              <w:contextualSpacing/>
              <w:rPr>
                <w:rFonts w:ascii="Times New Roman" w:hAnsi="Times New Roman" w:cs="Times New Roman"/>
                <w:sz w:val="24"/>
                <w:szCs w:val="24"/>
              </w:rPr>
            </w:pPr>
          </w:p>
        </w:tc>
        <w:tc>
          <w:tcPr>
            <w:tcW w:w="406" w:type="pct"/>
            <w:tcBorders>
              <w:top w:val="single" w:sz="4" w:space="0" w:color="auto"/>
            </w:tcBorders>
          </w:tcPr>
          <w:p w14:paraId="2D755BD8" w14:textId="77777777" w:rsidR="00B57ABD" w:rsidRPr="000A4F53" w:rsidRDefault="00B57ABD" w:rsidP="00B57ABD">
            <w:pPr>
              <w:contextualSpacing/>
              <w:rPr>
                <w:rFonts w:ascii="Times New Roman" w:hAnsi="Times New Roman" w:cs="Times New Roman"/>
                <w:sz w:val="24"/>
                <w:szCs w:val="24"/>
              </w:rPr>
            </w:pPr>
          </w:p>
        </w:tc>
        <w:tc>
          <w:tcPr>
            <w:tcW w:w="404" w:type="pct"/>
            <w:tcBorders>
              <w:top w:val="single" w:sz="4" w:space="0" w:color="auto"/>
            </w:tcBorders>
          </w:tcPr>
          <w:p w14:paraId="0A51455D" w14:textId="77777777" w:rsidR="00B57ABD" w:rsidRPr="000A4F53" w:rsidRDefault="00B57ABD" w:rsidP="00B57ABD">
            <w:pPr>
              <w:contextualSpacing/>
              <w:rPr>
                <w:rFonts w:ascii="Times New Roman" w:hAnsi="Times New Roman" w:cs="Times New Roman"/>
                <w:sz w:val="24"/>
                <w:szCs w:val="24"/>
              </w:rPr>
            </w:pPr>
          </w:p>
        </w:tc>
        <w:tc>
          <w:tcPr>
            <w:tcW w:w="404" w:type="pct"/>
            <w:tcBorders>
              <w:top w:val="single" w:sz="4" w:space="0" w:color="auto"/>
            </w:tcBorders>
          </w:tcPr>
          <w:p w14:paraId="6ADEB6BB" w14:textId="77777777" w:rsidR="00B57ABD" w:rsidRPr="000A4F53" w:rsidRDefault="00B57ABD" w:rsidP="00B57ABD">
            <w:pPr>
              <w:contextualSpacing/>
              <w:rPr>
                <w:rFonts w:ascii="Times New Roman" w:hAnsi="Times New Roman" w:cs="Times New Roman"/>
                <w:sz w:val="24"/>
                <w:szCs w:val="24"/>
              </w:rPr>
            </w:pPr>
          </w:p>
        </w:tc>
        <w:tc>
          <w:tcPr>
            <w:tcW w:w="363" w:type="pct"/>
            <w:tcBorders>
              <w:top w:val="single" w:sz="4" w:space="0" w:color="auto"/>
            </w:tcBorders>
          </w:tcPr>
          <w:p w14:paraId="7D151BBE" w14:textId="77777777" w:rsidR="00B57ABD" w:rsidRPr="000A4F53" w:rsidRDefault="00B57ABD" w:rsidP="00B57ABD">
            <w:pPr>
              <w:contextualSpacing/>
              <w:rPr>
                <w:rFonts w:ascii="Times New Roman" w:hAnsi="Times New Roman" w:cs="Times New Roman"/>
                <w:sz w:val="24"/>
                <w:szCs w:val="24"/>
              </w:rPr>
            </w:pPr>
          </w:p>
        </w:tc>
      </w:tr>
      <w:tr w:rsidR="00B57ABD" w:rsidRPr="000A4F53" w14:paraId="00D05382" w14:textId="77777777" w:rsidTr="00B57ABD">
        <w:tc>
          <w:tcPr>
            <w:tcW w:w="1640" w:type="pct"/>
          </w:tcPr>
          <w:p w14:paraId="0D6D4F8D" w14:textId="77777777" w:rsidR="00B57ABD" w:rsidRPr="000A4F53" w:rsidRDefault="00B57ABD" w:rsidP="00B57ABD">
            <w:pPr>
              <w:pStyle w:val="ListParagraph"/>
              <w:numPr>
                <w:ilvl w:val="0"/>
                <w:numId w:val="45"/>
              </w:numPr>
              <w:rPr>
                <w:rFonts w:ascii="Times New Roman" w:hAnsi="Times New Roman" w:cs="Times New Roman"/>
                <w:sz w:val="24"/>
                <w:szCs w:val="24"/>
              </w:rPr>
            </w:pPr>
            <w:r w:rsidRPr="000A4F53">
              <w:rPr>
                <w:rFonts w:ascii="Times New Roman" w:hAnsi="Times New Roman" w:cs="Times New Roman"/>
                <w:sz w:val="24"/>
                <w:szCs w:val="24"/>
              </w:rPr>
              <w:t>DECA Self-Regulation</w:t>
            </w:r>
          </w:p>
        </w:tc>
        <w:tc>
          <w:tcPr>
            <w:tcW w:w="404" w:type="pct"/>
          </w:tcPr>
          <w:p w14:paraId="35917B56"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49.77</w:t>
            </w:r>
          </w:p>
        </w:tc>
        <w:tc>
          <w:tcPr>
            <w:tcW w:w="407" w:type="pct"/>
          </w:tcPr>
          <w:p w14:paraId="2935650A"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9.99</w:t>
            </w:r>
          </w:p>
        </w:tc>
        <w:tc>
          <w:tcPr>
            <w:tcW w:w="567" w:type="pct"/>
          </w:tcPr>
          <w:p w14:paraId="0071FF76" w14:textId="77777777" w:rsidR="00B57ABD" w:rsidRPr="00676207" w:rsidRDefault="00B57ABD" w:rsidP="00B57ABD">
            <w:pPr>
              <w:contextualSpacing/>
              <w:jc w:val="center"/>
              <w:rPr>
                <w:rFonts w:ascii="Times New Roman" w:hAnsi="Times New Roman" w:cs="Times New Roman"/>
                <w:sz w:val="24"/>
                <w:szCs w:val="24"/>
              </w:rPr>
            </w:pPr>
            <w:r>
              <w:rPr>
                <w:rFonts w:ascii="Times New Roman" w:hAnsi="Times New Roman" w:cs="Times New Roman"/>
                <w:sz w:val="24"/>
                <w:szCs w:val="24"/>
              </w:rPr>
              <w:t>28-70</w:t>
            </w:r>
          </w:p>
        </w:tc>
        <w:tc>
          <w:tcPr>
            <w:tcW w:w="404" w:type="pct"/>
          </w:tcPr>
          <w:p w14:paraId="306208A4"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.62**</w:t>
            </w:r>
          </w:p>
        </w:tc>
        <w:tc>
          <w:tcPr>
            <w:tcW w:w="406" w:type="pct"/>
          </w:tcPr>
          <w:p w14:paraId="3BF24CF4" w14:textId="77777777" w:rsidR="00B57ABD" w:rsidRPr="000A4F53" w:rsidRDefault="00B57ABD" w:rsidP="00B57ABD">
            <w:pPr>
              <w:contextualSpacing/>
              <w:rPr>
                <w:rFonts w:ascii="Times New Roman" w:hAnsi="Times New Roman" w:cs="Times New Roman"/>
                <w:sz w:val="24"/>
                <w:szCs w:val="24"/>
              </w:rPr>
            </w:pPr>
          </w:p>
        </w:tc>
        <w:tc>
          <w:tcPr>
            <w:tcW w:w="404" w:type="pct"/>
          </w:tcPr>
          <w:p w14:paraId="597EF5A8" w14:textId="77777777" w:rsidR="00B57ABD" w:rsidRPr="000A4F53" w:rsidRDefault="00B57ABD" w:rsidP="00B57ABD">
            <w:pPr>
              <w:contextualSpacing/>
              <w:rPr>
                <w:rFonts w:ascii="Times New Roman" w:hAnsi="Times New Roman" w:cs="Times New Roman"/>
                <w:sz w:val="24"/>
                <w:szCs w:val="24"/>
              </w:rPr>
            </w:pPr>
          </w:p>
        </w:tc>
        <w:tc>
          <w:tcPr>
            <w:tcW w:w="404" w:type="pct"/>
          </w:tcPr>
          <w:p w14:paraId="76A31B6C" w14:textId="77777777" w:rsidR="00B57ABD" w:rsidRPr="000A4F53" w:rsidRDefault="00B57ABD" w:rsidP="00B57ABD">
            <w:pPr>
              <w:contextualSpacing/>
              <w:rPr>
                <w:rFonts w:ascii="Times New Roman" w:hAnsi="Times New Roman" w:cs="Times New Roman"/>
                <w:sz w:val="24"/>
                <w:szCs w:val="24"/>
              </w:rPr>
            </w:pPr>
          </w:p>
        </w:tc>
        <w:tc>
          <w:tcPr>
            <w:tcW w:w="363" w:type="pct"/>
          </w:tcPr>
          <w:p w14:paraId="6A6005ED" w14:textId="77777777" w:rsidR="00B57ABD" w:rsidRPr="000A4F53" w:rsidRDefault="00B57ABD" w:rsidP="00B57ABD">
            <w:pPr>
              <w:contextualSpacing/>
              <w:rPr>
                <w:rFonts w:ascii="Times New Roman" w:hAnsi="Times New Roman" w:cs="Times New Roman"/>
                <w:sz w:val="24"/>
                <w:szCs w:val="24"/>
              </w:rPr>
            </w:pPr>
          </w:p>
        </w:tc>
      </w:tr>
      <w:tr w:rsidR="00B57ABD" w:rsidRPr="000A4F53" w14:paraId="53545F81" w14:textId="77777777" w:rsidTr="00B57ABD">
        <w:trPr>
          <w:trHeight w:val="287"/>
        </w:trPr>
        <w:tc>
          <w:tcPr>
            <w:tcW w:w="1640" w:type="pct"/>
          </w:tcPr>
          <w:p w14:paraId="53203FBF" w14:textId="77777777" w:rsidR="00B57ABD" w:rsidRPr="000A4F53" w:rsidRDefault="00B57ABD" w:rsidP="00B57ABD">
            <w:pPr>
              <w:pStyle w:val="ListParagraph"/>
              <w:numPr>
                <w:ilvl w:val="0"/>
                <w:numId w:val="45"/>
              </w:numPr>
              <w:rPr>
                <w:rFonts w:ascii="Times New Roman" w:hAnsi="Times New Roman" w:cs="Times New Roman"/>
                <w:sz w:val="24"/>
                <w:szCs w:val="24"/>
              </w:rPr>
            </w:pPr>
            <w:r w:rsidRPr="000A4F53">
              <w:rPr>
                <w:rFonts w:ascii="Times New Roman" w:hAnsi="Times New Roman" w:cs="Times New Roman"/>
                <w:sz w:val="24"/>
                <w:szCs w:val="24"/>
              </w:rPr>
              <w:t>DECA Attachment</w:t>
            </w:r>
          </w:p>
        </w:tc>
        <w:tc>
          <w:tcPr>
            <w:tcW w:w="404" w:type="pct"/>
          </w:tcPr>
          <w:p w14:paraId="173A71F5"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51.02</w:t>
            </w:r>
          </w:p>
        </w:tc>
        <w:tc>
          <w:tcPr>
            <w:tcW w:w="407" w:type="pct"/>
          </w:tcPr>
          <w:p w14:paraId="383294B4"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10.22</w:t>
            </w:r>
          </w:p>
        </w:tc>
        <w:tc>
          <w:tcPr>
            <w:tcW w:w="567" w:type="pct"/>
          </w:tcPr>
          <w:p w14:paraId="077F88EC" w14:textId="77777777" w:rsidR="00B57ABD" w:rsidRPr="00676207" w:rsidRDefault="00B57ABD" w:rsidP="00B57ABD">
            <w:pPr>
              <w:contextualSpacing/>
              <w:jc w:val="center"/>
              <w:rPr>
                <w:rFonts w:ascii="Times New Roman" w:hAnsi="Times New Roman" w:cs="Times New Roman"/>
                <w:sz w:val="24"/>
                <w:szCs w:val="24"/>
              </w:rPr>
            </w:pPr>
            <w:r w:rsidRPr="00676207">
              <w:rPr>
                <w:rFonts w:ascii="Times New Roman" w:hAnsi="Times New Roman" w:cs="Times New Roman"/>
                <w:sz w:val="24"/>
                <w:szCs w:val="24"/>
              </w:rPr>
              <w:t>29-71</w:t>
            </w:r>
          </w:p>
        </w:tc>
        <w:tc>
          <w:tcPr>
            <w:tcW w:w="404" w:type="pct"/>
          </w:tcPr>
          <w:p w14:paraId="42B47CCF"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.65**</w:t>
            </w:r>
          </w:p>
        </w:tc>
        <w:tc>
          <w:tcPr>
            <w:tcW w:w="406" w:type="pct"/>
          </w:tcPr>
          <w:p w14:paraId="2124D815"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.59**</w:t>
            </w:r>
          </w:p>
        </w:tc>
        <w:tc>
          <w:tcPr>
            <w:tcW w:w="404" w:type="pct"/>
          </w:tcPr>
          <w:p w14:paraId="1D827107" w14:textId="77777777" w:rsidR="00B57ABD" w:rsidRPr="000A4F53" w:rsidRDefault="00B57ABD" w:rsidP="00B57ABD">
            <w:pPr>
              <w:contextualSpacing/>
              <w:rPr>
                <w:rFonts w:ascii="Times New Roman" w:hAnsi="Times New Roman" w:cs="Times New Roman"/>
                <w:sz w:val="24"/>
                <w:szCs w:val="24"/>
              </w:rPr>
            </w:pPr>
          </w:p>
        </w:tc>
        <w:tc>
          <w:tcPr>
            <w:tcW w:w="404" w:type="pct"/>
          </w:tcPr>
          <w:p w14:paraId="3036D364" w14:textId="77777777" w:rsidR="00B57ABD" w:rsidRPr="000A4F53" w:rsidRDefault="00B57ABD" w:rsidP="00B57ABD">
            <w:pPr>
              <w:contextualSpacing/>
              <w:rPr>
                <w:rFonts w:ascii="Times New Roman" w:hAnsi="Times New Roman" w:cs="Times New Roman"/>
                <w:sz w:val="24"/>
                <w:szCs w:val="24"/>
              </w:rPr>
            </w:pPr>
          </w:p>
        </w:tc>
        <w:tc>
          <w:tcPr>
            <w:tcW w:w="363" w:type="pct"/>
          </w:tcPr>
          <w:p w14:paraId="42585F7F" w14:textId="77777777" w:rsidR="00B57ABD" w:rsidRPr="000A4F53" w:rsidRDefault="00B57ABD" w:rsidP="00B57ABD">
            <w:pPr>
              <w:contextualSpacing/>
              <w:rPr>
                <w:rFonts w:ascii="Times New Roman" w:hAnsi="Times New Roman" w:cs="Times New Roman"/>
                <w:sz w:val="24"/>
                <w:szCs w:val="24"/>
              </w:rPr>
            </w:pPr>
          </w:p>
        </w:tc>
      </w:tr>
      <w:tr w:rsidR="00B57ABD" w:rsidRPr="000A4F53" w14:paraId="112C0BF9" w14:textId="77777777" w:rsidTr="00B57ABD">
        <w:tc>
          <w:tcPr>
            <w:tcW w:w="1640" w:type="pct"/>
          </w:tcPr>
          <w:p w14:paraId="66E0C5EE" w14:textId="77777777" w:rsidR="00B57ABD" w:rsidRPr="000A4F53" w:rsidRDefault="00B57ABD" w:rsidP="00B57ABD">
            <w:pPr>
              <w:pStyle w:val="ListParagraph"/>
              <w:numPr>
                <w:ilvl w:val="0"/>
                <w:numId w:val="45"/>
              </w:numPr>
              <w:rPr>
                <w:rFonts w:ascii="Times New Roman" w:hAnsi="Times New Roman" w:cs="Times New Roman"/>
                <w:sz w:val="24"/>
                <w:szCs w:val="24"/>
              </w:rPr>
            </w:pPr>
            <w:r w:rsidRPr="000A4F53">
              <w:rPr>
                <w:rFonts w:ascii="Times New Roman" w:hAnsi="Times New Roman" w:cs="Times New Roman"/>
                <w:sz w:val="24"/>
                <w:szCs w:val="24"/>
              </w:rPr>
              <w:t>inCLASS Task Orientation</w:t>
            </w:r>
          </w:p>
        </w:tc>
        <w:tc>
          <w:tcPr>
            <w:tcW w:w="404" w:type="pct"/>
          </w:tcPr>
          <w:p w14:paraId="58163525"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4.77</w:t>
            </w:r>
          </w:p>
        </w:tc>
        <w:tc>
          <w:tcPr>
            <w:tcW w:w="407" w:type="pct"/>
          </w:tcPr>
          <w:p w14:paraId="6701A5AE"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.98</w:t>
            </w:r>
          </w:p>
        </w:tc>
        <w:tc>
          <w:tcPr>
            <w:tcW w:w="567" w:type="pct"/>
          </w:tcPr>
          <w:p w14:paraId="453DEADD" w14:textId="77777777" w:rsidR="00B57ABD" w:rsidRPr="00676207" w:rsidRDefault="00B57ABD" w:rsidP="00B57ABD">
            <w:pPr>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404" w:type="pct"/>
          </w:tcPr>
          <w:p w14:paraId="7367F447"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.26**</w:t>
            </w:r>
          </w:p>
        </w:tc>
        <w:tc>
          <w:tcPr>
            <w:tcW w:w="406" w:type="pct"/>
          </w:tcPr>
          <w:p w14:paraId="76133962"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.22**</w:t>
            </w:r>
          </w:p>
        </w:tc>
        <w:tc>
          <w:tcPr>
            <w:tcW w:w="404" w:type="pct"/>
          </w:tcPr>
          <w:p w14:paraId="5A8D4C87"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.29**</w:t>
            </w:r>
          </w:p>
        </w:tc>
        <w:tc>
          <w:tcPr>
            <w:tcW w:w="404" w:type="pct"/>
          </w:tcPr>
          <w:p w14:paraId="79BDAE7B" w14:textId="77777777" w:rsidR="00B57ABD" w:rsidRPr="000A4F53" w:rsidRDefault="00B57ABD" w:rsidP="00B57ABD">
            <w:pPr>
              <w:contextualSpacing/>
              <w:rPr>
                <w:rFonts w:ascii="Times New Roman" w:hAnsi="Times New Roman" w:cs="Times New Roman"/>
                <w:sz w:val="24"/>
                <w:szCs w:val="24"/>
              </w:rPr>
            </w:pPr>
          </w:p>
        </w:tc>
        <w:tc>
          <w:tcPr>
            <w:tcW w:w="363" w:type="pct"/>
          </w:tcPr>
          <w:p w14:paraId="7CDBA3E9" w14:textId="77777777" w:rsidR="00B57ABD" w:rsidRPr="000A4F53" w:rsidRDefault="00B57ABD" w:rsidP="00B57ABD">
            <w:pPr>
              <w:contextualSpacing/>
              <w:rPr>
                <w:rFonts w:ascii="Times New Roman" w:hAnsi="Times New Roman" w:cs="Times New Roman"/>
                <w:sz w:val="24"/>
                <w:szCs w:val="24"/>
              </w:rPr>
            </w:pPr>
          </w:p>
        </w:tc>
      </w:tr>
      <w:tr w:rsidR="00B57ABD" w:rsidRPr="000A4F53" w14:paraId="71006E85" w14:textId="77777777" w:rsidTr="00B57ABD">
        <w:tc>
          <w:tcPr>
            <w:tcW w:w="1640" w:type="pct"/>
            <w:tcBorders>
              <w:bottom w:val="single" w:sz="4" w:space="0" w:color="BFBFBF" w:themeColor="background1" w:themeShade="BF"/>
            </w:tcBorders>
          </w:tcPr>
          <w:p w14:paraId="61D3F957" w14:textId="77777777" w:rsidR="00B57ABD" w:rsidRPr="000A4F53" w:rsidRDefault="00B57ABD" w:rsidP="00B57ABD">
            <w:pPr>
              <w:pStyle w:val="ListParagraph"/>
              <w:numPr>
                <w:ilvl w:val="0"/>
                <w:numId w:val="45"/>
              </w:numPr>
              <w:rPr>
                <w:rFonts w:ascii="Times New Roman" w:hAnsi="Times New Roman" w:cs="Times New Roman"/>
                <w:sz w:val="24"/>
                <w:szCs w:val="24"/>
              </w:rPr>
            </w:pPr>
            <w:r w:rsidRPr="000A4F53">
              <w:rPr>
                <w:rFonts w:ascii="Times New Roman" w:hAnsi="Times New Roman" w:cs="Times New Roman"/>
                <w:sz w:val="24"/>
                <w:szCs w:val="24"/>
              </w:rPr>
              <w:t>inCLASS Self-Reliance</w:t>
            </w:r>
          </w:p>
        </w:tc>
        <w:tc>
          <w:tcPr>
            <w:tcW w:w="404" w:type="pct"/>
            <w:tcBorders>
              <w:bottom w:val="single" w:sz="4" w:space="0" w:color="BFBFBF" w:themeColor="background1" w:themeShade="BF"/>
            </w:tcBorders>
          </w:tcPr>
          <w:p w14:paraId="1C116D0D"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2.95</w:t>
            </w:r>
          </w:p>
        </w:tc>
        <w:tc>
          <w:tcPr>
            <w:tcW w:w="407" w:type="pct"/>
            <w:tcBorders>
              <w:bottom w:val="single" w:sz="4" w:space="0" w:color="BFBFBF" w:themeColor="background1" w:themeShade="BF"/>
            </w:tcBorders>
          </w:tcPr>
          <w:p w14:paraId="63915B85"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1.11</w:t>
            </w:r>
          </w:p>
        </w:tc>
        <w:tc>
          <w:tcPr>
            <w:tcW w:w="567" w:type="pct"/>
            <w:tcBorders>
              <w:bottom w:val="single" w:sz="4" w:space="0" w:color="BFBFBF" w:themeColor="background1" w:themeShade="BF"/>
            </w:tcBorders>
          </w:tcPr>
          <w:p w14:paraId="5A70E850" w14:textId="77777777" w:rsidR="00B57ABD" w:rsidRPr="00676207" w:rsidRDefault="00B57ABD" w:rsidP="00B57ABD">
            <w:pPr>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404" w:type="pct"/>
            <w:tcBorders>
              <w:bottom w:val="single" w:sz="4" w:space="0" w:color="BFBFBF" w:themeColor="background1" w:themeShade="BF"/>
            </w:tcBorders>
          </w:tcPr>
          <w:p w14:paraId="388D2D97"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.19**</w:t>
            </w:r>
          </w:p>
        </w:tc>
        <w:tc>
          <w:tcPr>
            <w:tcW w:w="406" w:type="pct"/>
            <w:tcBorders>
              <w:bottom w:val="single" w:sz="4" w:space="0" w:color="BFBFBF" w:themeColor="background1" w:themeShade="BF"/>
            </w:tcBorders>
          </w:tcPr>
          <w:p w14:paraId="1B1ABC3F"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.16*</w:t>
            </w:r>
          </w:p>
        </w:tc>
        <w:tc>
          <w:tcPr>
            <w:tcW w:w="404" w:type="pct"/>
            <w:tcBorders>
              <w:bottom w:val="single" w:sz="4" w:space="0" w:color="BFBFBF" w:themeColor="background1" w:themeShade="BF"/>
            </w:tcBorders>
          </w:tcPr>
          <w:p w14:paraId="6BB46DD0"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.13*</w:t>
            </w:r>
          </w:p>
        </w:tc>
        <w:tc>
          <w:tcPr>
            <w:tcW w:w="404" w:type="pct"/>
            <w:tcBorders>
              <w:bottom w:val="single" w:sz="4" w:space="0" w:color="BFBFBF" w:themeColor="background1" w:themeShade="BF"/>
            </w:tcBorders>
          </w:tcPr>
          <w:p w14:paraId="03E5B5DC"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.41**</w:t>
            </w:r>
          </w:p>
        </w:tc>
        <w:tc>
          <w:tcPr>
            <w:tcW w:w="363" w:type="pct"/>
            <w:tcBorders>
              <w:bottom w:val="single" w:sz="4" w:space="0" w:color="BFBFBF" w:themeColor="background1" w:themeShade="BF"/>
            </w:tcBorders>
          </w:tcPr>
          <w:p w14:paraId="1E7E5E9D" w14:textId="77777777" w:rsidR="00B57ABD" w:rsidRPr="000A4F53" w:rsidRDefault="00B57ABD" w:rsidP="00B57ABD">
            <w:pPr>
              <w:contextualSpacing/>
              <w:rPr>
                <w:rFonts w:ascii="Times New Roman" w:hAnsi="Times New Roman" w:cs="Times New Roman"/>
                <w:sz w:val="24"/>
                <w:szCs w:val="24"/>
              </w:rPr>
            </w:pPr>
          </w:p>
        </w:tc>
      </w:tr>
      <w:tr w:rsidR="00B57ABD" w:rsidRPr="000A4F53" w14:paraId="75BAD04F" w14:textId="77777777" w:rsidTr="00B57ABD">
        <w:tc>
          <w:tcPr>
            <w:tcW w:w="1640" w:type="pct"/>
            <w:tcBorders>
              <w:bottom w:val="single" w:sz="4" w:space="0" w:color="auto"/>
            </w:tcBorders>
          </w:tcPr>
          <w:p w14:paraId="389CDB14" w14:textId="77777777" w:rsidR="00B57ABD" w:rsidRPr="000A4F53" w:rsidRDefault="00B57ABD" w:rsidP="00B57ABD">
            <w:pPr>
              <w:pStyle w:val="ListParagraph"/>
              <w:numPr>
                <w:ilvl w:val="0"/>
                <w:numId w:val="45"/>
              </w:numPr>
              <w:rPr>
                <w:rFonts w:ascii="Times New Roman" w:hAnsi="Times New Roman" w:cs="Times New Roman"/>
                <w:sz w:val="24"/>
                <w:szCs w:val="24"/>
              </w:rPr>
            </w:pPr>
            <w:r w:rsidRPr="000A4F53">
              <w:rPr>
                <w:rFonts w:ascii="Times New Roman" w:hAnsi="Times New Roman" w:cs="Times New Roman"/>
                <w:sz w:val="24"/>
                <w:szCs w:val="24"/>
              </w:rPr>
              <w:t>Leiter</w:t>
            </w:r>
            <w:r>
              <w:rPr>
                <w:rFonts w:ascii="Times New Roman" w:hAnsi="Times New Roman" w:cs="Times New Roman"/>
                <w:sz w:val="24"/>
                <w:szCs w:val="24"/>
              </w:rPr>
              <w:t>-R</w:t>
            </w:r>
            <w:r w:rsidRPr="000A4F53">
              <w:rPr>
                <w:rFonts w:ascii="Times New Roman" w:hAnsi="Times New Roman" w:cs="Times New Roman"/>
                <w:sz w:val="24"/>
                <w:szCs w:val="24"/>
              </w:rPr>
              <w:t xml:space="preserve"> Attention </w:t>
            </w:r>
          </w:p>
        </w:tc>
        <w:tc>
          <w:tcPr>
            <w:tcW w:w="404" w:type="pct"/>
            <w:tcBorders>
              <w:bottom w:val="single" w:sz="4" w:space="0" w:color="auto"/>
            </w:tcBorders>
          </w:tcPr>
          <w:p w14:paraId="748D645B"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11.14</w:t>
            </w:r>
          </w:p>
        </w:tc>
        <w:tc>
          <w:tcPr>
            <w:tcW w:w="407" w:type="pct"/>
            <w:tcBorders>
              <w:bottom w:val="single" w:sz="4" w:space="0" w:color="auto"/>
            </w:tcBorders>
          </w:tcPr>
          <w:p w14:paraId="6F4FEBF2"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2.83</w:t>
            </w:r>
          </w:p>
        </w:tc>
        <w:tc>
          <w:tcPr>
            <w:tcW w:w="567" w:type="pct"/>
            <w:tcBorders>
              <w:bottom w:val="single" w:sz="4" w:space="0" w:color="auto"/>
            </w:tcBorders>
          </w:tcPr>
          <w:p w14:paraId="681B8A8A" w14:textId="77777777" w:rsidR="00B57ABD" w:rsidRPr="00676207" w:rsidRDefault="00B57ABD" w:rsidP="00B57ABD">
            <w:pPr>
              <w:contextualSpacing/>
              <w:jc w:val="center"/>
              <w:rPr>
                <w:rFonts w:ascii="Times New Roman" w:hAnsi="Times New Roman" w:cs="Times New Roman"/>
                <w:sz w:val="24"/>
                <w:szCs w:val="24"/>
              </w:rPr>
            </w:pPr>
            <w:r>
              <w:rPr>
                <w:rFonts w:ascii="Times New Roman" w:hAnsi="Times New Roman" w:cs="Times New Roman"/>
                <w:sz w:val="24"/>
                <w:szCs w:val="24"/>
              </w:rPr>
              <w:t>2-14</w:t>
            </w:r>
          </w:p>
        </w:tc>
        <w:tc>
          <w:tcPr>
            <w:tcW w:w="404" w:type="pct"/>
            <w:tcBorders>
              <w:bottom w:val="single" w:sz="4" w:space="0" w:color="auto"/>
            </w:tcBorders>
          </w:tcPr>
          <w:p w14:paraId="039EB211"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.22**</w:t>
            </w:r>
          </w:p>
        </w:tc>
        <w:tc>
          <w:tcPr>
            <w:tcW w:w="406" w:type="pct"/>
            <w:tcBorders>
              <w:bottom w:val="single" w:sz="4" w:space="0" w:color="auto"/>
            </w:tcBorders>
          </w:tcPr>
          <w:p w14:paraId="7A21F929"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.26**</w:t>
            </w:r>
          </w:p>
        </w:tc>
        <w:tc>
          <w:tcPr>
            <w:tcW w:w="404" w:type="pct"/>
            <w:tcBorders>
              <w:bottom w:val="single" w:sz="4" w:space="0" w:color="auto"/>
            </w:tcBorders>
          </w:tcPr>
          <w:p w14:paraId="04608293"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.06</w:t>
            </w:r>
          </w:p>
        </w:tc>
        <w:tc>
          <w:tcPr>
            <w:tcW w:w="404" w:type="pct"/>
            <w:tcBorders>
              <w:bottom w:val="single" w:sz="4" w:space="0" w:color="auto"/>
            </w:tcBorders>
          </w:tcPr>
          <w:p w14:paraId="057DEB71"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.14</w:t>
            </w:r>
          </w:p>
        </w:tc>
        <w:tc>
          <w:tcPr>
            <w:tcW w:w="363" w:type="pct"/>
            <w:tcBorders>
              <w:bottom w:val="single" w:sz="4" w:space="0" w:color="auto"/>
            </w:tcBorders>
          </w:tcPr>
          <w:p w14:paraId="4ABDFDB4" w14:textId="77777777" w:rsidR="00B57ABD" w:rsidRPr="000A4F53" w:rsidRDefault="00B57ABD" w:rsidP="00B57ABD">
            <w:pPr>
              <w:contextualSpacing/>
              <w:rPr>
                <w:rFonts w:ascii="Times New Roman" w:hAnsi="Times New Roman" w:cs="Times New Roman"/>
                <w:sz w:val="24"/>
                <w:szCs w:val="24"/>
              </w:rPr>
            </w:pPr>
            <w:r w:rsidRPr="000A4F53">
              <w:rPr>
                <w:rFonts w:ascii="Times New Roman" w:hAnsi="Times New Roman" w:cs="Times New Roman"/>
                <w:sz w:val="24"/>
                <w:szCs w:val="24"/>
              </w:rPr>
              <w:t>.15</w:t>
            </w:r>
          </w:p>
        </w:tc>
      </w:tr>
    </w:tbl>
    <w:p w14:paraId="69074BFC" w14:textId="77777777" w:rsidR="00B57ABD" w:rsidRDefault="00B57ABD" w:rsidP="00B57ABD">
      <w:pPr>
        <w:spacing w:line="240" w:lineRule="auto"/>
        <w:contextualSpacing/>
      </w:pPr>
      <w:r w:rsidRPr="00C95BE5">
        <w:rPr>
          <w:sz w:val="20"/>
          <w:szCs w:val="20"/>
        </w:rPr>
        <w:t>Note:</w:t>
      </w:r>
      <w:r>
        <w:rPr>
          <w:sz w:val="20"/>
          <w:szCs w:val="20"/>
        </w:rPr>
        <w:t xml:space="preserve"> DECA = Devereaux Early Childhood Assessment. </w:t>
      </w:r>
      <w:r w:rsidRPr="00C95BE5">
        <w:rPr>
          <w:sz w:val="20"/>
          <w:szCs w:val="20"/>
        </w:rPr>
        <w:t>** p&lt;.01, * p &lt; .05</w:t>
      </w:r>
    </w:p>
    <w:p w14:paraId="3DA01E79" w14:textId="77777777" w:rsidR="00B57ABD" w:rsidRPr="00B57ABD" w:rsidRDefault="00B57ABD" w:rsidP="00B57ABD"/>
    <w:p w14:paraId="4EAE7E10" w14:textId="6CF63D72" w:rsidR="003C4D2C" w:rsidRPr="00AB064B" w:rsidRDefault="003C4D2C" w:rsidP="00814C51">
      <w:pPr>
        <w:pStyle w:val="Heading2"/>
      </w:pPr>
      <w:bookmarkStart w:id="103" w:name="_Toc46265520"/>
      <w:r>
        <w:t>Profiles of Approaches to Learning</w:t>
      </w:r>
      <w:bookmarkEnd w:id="103"/>
      <w:r>
        <w:t xml:space="preserve"> </w:t>
      </w:r>
    </w:p>
    <w:p w14:paraId="17270BB9" w14:textId="67275D71" w:rsidR="003C4D2C" w:rsidRDefault="003C4D2C" w:rsidP="00775284">
      <w:pPr>
        <w:ind w:firstLine="720"/>
        <w:contextualSpacing/>
        <w:sectPr w:rsidR="003C4D2C" w:rsidSect="00D86CCC">
          <w:type w:val="continuous"/>
          <w:pgSz w:w="12240" w:h="15840"/>
          <w:pgMar w:top="1440" w:right="1440" w:bottom="1440" w:left="1440" w:header="720" w:footer="720" w:gutter="0"/>
          <w:cols w:space="720"/>
          <w:docGrid w:linePitch="360"/>
        </w:sectPr>
      </w:pPr>
      <w:r>
        <w:t xml:space="preserve">Successive LPA models were estimated though a 5-class solution. Model fit for classes 1-5 is presented in Table 5. Overall, the 3, 4, and 5 class solutions presented the best model fit. The two-class solution, which included a high and low group, had the highest entropy values along with significant LMP and BLRT values. The 3-class solution had a reduction in AIC and BIC values, but a decrease in entropy. In this solution, the three classes represented a low, medium, and high group across measures. The four-class solution also saw a reduction in AIC and BIC, but an increase in entropy. This four-class solution separated two middle classes of children, ones who were about average and then one group who had average teacher ratings but low attention scores. While interesting, the four-profile solution does not provide any theoretical contributions. Finally, the five-class solution also saw a reduction in AIC and BIC with a slight increase in entropy. Although this model did have a nonsignificant LMP value, the five-class solution was retained because it represented the best combination of both theoretical and </w:t>
      </w:r>
    </w:p>
    <w:p w14:paraId="4FF97EDD" w14:textId="00671319" w:rsidR="003C4D2C" w:rsidRPr="00C95BE5" w:rsidRDefault="00814C51" w:rsidP="00814C51">
      <w:pPr>
        <w:pStyle w:val="Caption"/>
      </w:pPr>
      <w:bookmarkStart w:id="104" w:name="_Toc44366127"/>
      <w:r>
        <w:lastRenderedPageBreak/>
        <w:t xml:space="preserve">Table </w:t>
      </w:r>
      <w:fldSimple w:instr=" SEQ Table \* ARABIC ">
        <w:r w:rsidR="002039BE">
          <w:rPr>
            <w:noProof/>
          </w:rPr>
          <w:t>4</w:t>
        </w:r>
        <w:bookmarkEnd w:id="104"/>
      </w:fldSimple>
    </w:p>
    <w:p w14:paraId="3184C924" w14:textId="1BA57F4B" w:rsidR="003C4D2C" w:rsidRPr="00C95BE5" w:rsidRDefault="003C4D2C" w:rsidP="003C4D2C">
      <w:pPr>
        <w:tabs>
          <w:tab w:val="left" w:pos="972"/>
        </w:tabs>
        <w:rPr>
          <w:i/>
          <w:iCs/>
        </w:rPr>
      </w:pPr>
      <w:r w:rsidRPr="00C95BE5">
        <w:rPr>
          <w:i/>
          <w:iCs/>
        </w:rPr>
        <w:t>Descriptive Statistics and Correlations Among Validation Measures</w:t>
      </w:r>
      <w:r>
        <w:rPr>
          <w:i/>
          <w:iCs/>
        </w:rPr>
        <w:t xml:space="preserve"> and Distal Outcomes</w:t>
      </w:r>
      <w:r w:rsidR="007C1CBE">
        <w:rPr>
          <w:i/>
          <w:iCs/>
        </w:rPr>
        <w:t xml:space="preserve"> </w:t>
      </w:r>
    </w:p>
    <w:tbl>
      <w:tblPr>
        <w:tblStyle w:val="TableGridLight"/>
        <w:tblpPr w:leftFromText="180" w:rightFromText="180" w:vertAnchor="page" w:horzAnchor="margin" w:tblpXSpec="center" w:tblpY="2644"/>
        <w:tblW w:w="5000" w:type="pct"/>
        <w:tblLook w:val="04A0" w:firstRow="1" w:lastRow="0" w:firstColumn="1" w:lastColumn="0" w:noHBand="0" w:noVBand="1"/>
      </w:tblPr>
      <w:tblGrid>
        <w:gridCol w:w="3684"/>
        <w:gridCol w:w="804"/>
        <w:gridCol w:w="804"/>
        <w:gridCol w:w="899"/>
        <w:gridCol w:w="891"/>
        <w:gridCol w:w="756"/>
        <w:gridCol w:w="886"/>
        <w:gridCol w:w="901"/>
        <w:gridCol w:w="1036"/>
        <w:gridCol w:w="761"/>
        <w:gridCol w:w="756"/>
        <w:gridCol w:w="772"/>
      </w:tblGrid>
      <w:tr w:rsidR="00B57ABD" w:rsidRPr="00C95BE5" w14:paraId="0B4CAC45" w14:textId="77777777" w:rsidTr="00B57ABD">
        <w:trPr>
          <w:trHeight w:val="254"/>
        </w:trPr>
        <w:tc>
          <w:tcPr>
            <w:tcW w:w="1422" w:type="pct"/>
            <w:tcBorders>
              <w:top w:val="single" w:sz="4" w:space="0" w:color="auto"/>
              <w:bottom w:val="single" w:sz="4" w:space="0" w:color="auto"/>
            </w:tcBorders>
          </w:tcPr>
          <w:p w14:paraId="4E253049" w14:textId="77777777" w:rsidR="00D7265C" w:rsidRPr="00C95BE5" w:rsidRDefault="00D7265C" w:rsidP="003C4D2C">
            <w:pPr>
              <w:contextualSpacing/>
              <w:rPr>
                <w:rFonts w:ascii="Times New Roman" w:hAnsi="Times New Roman" w:cs="Times New Roman"/>
                <w:sz w:val="24"/>
                <w:szCs w:val="24"/>
              </w:rPr>
            </w:pPr>
          </w:p>
        </w:tc>
        <w:tc>
          <w:tcPr>
            <w:tcW w:w="310" w:type="pct"/>
            <w:tcBorders>
              <w:top w:val="single" w:sz="4" w:space="0" w:color="auto"/>
              <w:bottom w:val="single" w:sz="4" w:space="0" w:color="auto"/>
            </w:tcBorders>
          </w:tcPr>
          <w:p w14:paraId="03BA41EE"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M</w:t>
            </w:r>
          </w:p>
        </w:tc>
        <w:tc>
          <w:tcPr>
            <w:tcW w:w="310" w:type="pct"/>
            <w:tcBorders>
              <w:top w:val="single" w:sz="4" w:space="0" w:color="auto"/>
              <w:bottom w:val="single" w:sz="4" w:space="0" w:color="auto"/>
            </w:tcBorders>
          </w:tcPr>
          <w:p w14:paraId="1B800009"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SD</w:t>
            </w:r>
          </w:p>
        </w:tc>
        <w:tc>
          <w:tcPr>
            <w:tcW w:w="347" w:type="pct"/>
            <w:tcBorders>
              <w:top w:val="single" w:sz="4" w:space="0" w:color="auto"/>
              <w:bottom w:val="single" w:sz="4" w:space="0" w:color="auto"/>
            </w:tcBorders>
          </w:tcPr>
          <w:p w14:paraId="71B079DB" w14:textId="4BF15885" w:rsidR="00D7265C" w:rsidRPr="00D7265C" w:rsidRDefault="00D7265C" w:rsidP="003C4D2C">
            <w:pPr>
              <w:contextualSpacing/>
              <w:jc w:val="center"/>
              <w:rPr>
                <w:rFonts w:ascii="Times New Roman" w:hAnsi="Times New Roman" w:cs="Times New Roman"/>
                <w:sz w:val="24"/>
                <w:szCs w:val="24"/>
              </w:rPr>
            </w:pPr>
            <w:r w:rsidRPr="00D7265C">
              <w:rPr>
                <w:rFonts w:ascii="Times New Roman" w:hAnsi="Times New Roman" w:cs="Times New Roman"/>
                <w:sz w:val="24"/>
                <w:szCs w:val="24"/>
              </w:rPr>
              <w:t>Range</w:t>
            </w:r>
          </w:p>
        </w:tc>
        <w:tc>
          <w:tcPr>
            <w:tcW w:w="344" w:type="pct"/>
            <w:tcBorders>
              <w:top w:val="single" w:sz="4" w:space="0" w:color="auto"/>
              <w:bottom w:val="single" w:sz="4" w:space="0" w:color="auto"/>
            </w:tcBorders>
          </w:tcPr>
          <w:p w14:paraId="188E1211" w14:textId="2BC9A44A"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1.</w:t>
            </w:r>
          </w:p>
        </w:tc>
        <w:tc>
          <w:tcPr>
            <w:tcW w:w="292" w:type="pct"/>
            <w:tcBorders>
              <w:top w:val="single" w:sz="4" w:space="0" w:color="auto"/>
              <w:bottom w:val="single" w:sz="4" w:space="0" w:color="auto"/>
            </w:tcBorders>
          </w:tcPr>
          <w:p w14:paraId="1D57E3E1"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2.</w:t>
            </w:r>
          </w:p>
        </w:tc>
        <w:tc>
          <w:tcPr>
            <w:tcW w:w="342" w:type="pct"/>
            <w:tcBorders>
              <w:top w:val="single" w:sz="4" w:space="0" w:color="auto"/>
              <w:bottom w:val="single" w:sz="4" w:space="0" w:color="auto"/>
            </w:tcBorders>
          </w:tcPr>
          <w:p w14:paraId="4FCDF013"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3.</w:t>
            </w:r>
          </w:p>
        </w:tc>
        <w:tc>
          <w:tcPr>
            <w:tcW w:w="348" w:type="pct"/>
            <w:tcBorders>
              <w:top w:val="single" w:sz="4" w:space="0" w:color="auto"/>
              <w:bottom w:val="single" w:sz="4" w:space="0" w:color="auto"/>
            </w:tcBorders>
          </w:tcPr>
          <w:p w14:paraId="2A7FF1BB"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4.</w:t>
            </w:r>
          </w:p>
        </w:tc>
        <w:tc>
          <w:tcPr>
            <w:tcW w:w="400" w:type="pct"/>
            <w:tcBorders>
              <w:top w:val="single" w:sz="4" w:space="0" w:color="auto"/>
              <w:bottom w:val="single" w:sz="4" w:space="0" w:color="auto"/>
            </w:tcBorders>
          </w:tcPr>
          <w:p w14:paraId="09694AD5"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5.</w:t>
            </w:r>
          </w:p>
        </w:tc>
        <w:tc>
          <w:tcPr>
            <w:tcW w:w="294" w:type="pct"/>
            <w:tcBorders>
              <w:top w:val="single" w:sz="4" w:space="0" w:color="auto"/>
              <w:bottom w:val="single" w:sz="4" w:space="0" w:color="auto"/>
            </w:tcBorders>
          </w:tcPr>
          <w:p w14:paraId="27689430"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6.</w:t>
            </w:r>
          </w:p>
        </w:tc>
        <w:tc>
          <w:tcPr>
            <w:tcW w:w="292" w:type="pct"/>
            <w:tcBorders>
              <w:top w:val="single" w:sz="4" w:space="0" w:color="auto"/>
              <w:bottom w:val="single" w:sz="4" w:space="0" w:color="auto"/>
            </w:tcBorders>
          </w:tcPr>
          <w:p w14:paraId="7209C1DD"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7.</w:t>
            </w:r>
          </w:p>
        </w:tc>
        <w:tc>
          <w:tcPr>
            <w:tcW w:w="298" w:type="pct"/>
            <w:tcBorders>
              <w:top w:val="single" w:sz="4" w:space="0" w:color="auto"/>
              <w:bottom w:val="single" w:sz="4" w:space="0" w:color="auto"/>
            </w:tcBorders>
          </w:tcPr>
          <w:p w14:paraId="7B5F1F9C"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8.</w:t>
            </w:r>
          </w:p>
        </w:tc>
      </w:tr>
      <w:tr w:rsidR="00B57ABD" w:rsidRPr="00C95BE5" w14:paraId="6A1F8016" w14:textId="77777777" w:rsidTr="00B57ABD">
        <w:trPr>
          <w:trHeight w:val="245"/>
        </w:trPr>
        <w:tc>
          <w:tcPr>
            <w:tcW w:w="1422" w:type="pct"/>
            <w:tcBorders>
              <w:top w:val="single" w:sz="4" w:space="0" w:color="auto"/>
              <w:bottom w:val="single" w:sz="4" w:space="0" w:color="auto"/>
            </w:tcBorders>
          </w:tcPr>
          <w:p w14:paraId="17798BA4"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Academic Measures</w:t>
            </w:r>
          </w:p>
        </w:tc>
        <w:tc>
          <w:tcPr>
            <w:tcW w:w="310" w:type="pct"/>
            <w:tcBorders>
              <w:top w:val="single" w:sz="4" w:space="0" w:color="auto"/>
            </w:tcBorders>
          </w:tcPr>
          <w:p w14:paraId="2CEECB60" w14:textId="77777777" w:rsidR="00D7265C" w:rsidRPr="00C95BE5" w:rsidRDefault="00D7265C" w:rsidP="003C4D2C">
            <w:pPr>
              <w:contextualSpacing/>
              <w:rPr>
                <w:rFonts w:ascii="Times New Roman" w:hAnsi="Times New Roman" w:cs="Times New Roman"/>
                <w:sz w:val="24"/>
                <w:szCs w:val="24"/>
              </w:rPr>
            </w:pPr>
          </w:p>
        </w:tc>
        <w:tc>
          <w:tcPr>
            <w:tcW w:w="310" w:type="pct"/>
            <w:tcBorders>
              <w:top w:val="single" w:sz="4" w:space="0" w:color="auto"/>
            </w:tcBorders>
          </w:tcPr>
          <w:p w14:paraId="5FFCEF93" w14:textId="77777777" w:rsidR="00D7265C" w:rsidRPr="00C95BE5" w:rsidRDefault="00D7265C" w:rsidP="003C4D2C">
            <w:pPr>
              <w:contextualSpacing/>
              <w:rPr>
                <w:rFonts w:ascii="Times New Roman" w:hAnsi="Times New Roman" w:cs="Times New Roman"/>
                <w:sz w:val="24"/>
                <w:szCs w:val="24"/>
              </w:rPr>
            </w:pPr>
          </w:p>
        </w:tc>
        <w:tc>
          <w:tcPr>
            <w:tcW w:w="347" w:type="pct"/>
            <w:tcBorders>
              <w:top w:val="single" w:sz="4" w:space="0" w:color="auto"/>
            </w:tcBorders>
          </w:tcPr>
          <w:p w14:paraId="188E5D0F" w14:textId="77777777" w:rsidR="00D7265C" w:rsidRPr="00D7265C" w:rsidRDefault="00D7265C" w:rsidP="003C4D2C">
            <w:pPr>
              <w:contextualSpacing/>
              <w:rPr>
                <w:rFonts w:ascii="Times New Roman" w:hAnsi="Times New Roman" w:cs="Times New Roman"/>
                <w:sz w:val="24"/>
                <w:szCs w:val="24"/>
              </w:rPr>
            </w:pPr>
          </w:p>
        </w:tc>
        <w:tc>
          <w:tcPr>
            <w:tcW w:w="344" w:type="pct"/>
            <w:tcBorders>
              <w:top w:val="single" w:sz="4" w:space="0" w:color="auto"/>
            </w:tcBorders>
          </w:tcPr>
          <w:p w14:paraId="057FC21B" w14:textId="1A3FB1A2" w:rsidR="00D7265C" w:rsidRPr="00C95BE5" w:rsidRDefault="00D7265C" w:rsidP="003C4D2C">
            <w:pPr>
              <w:contextualSpacing/>
              <w:rPr>
                <w:rFonts w:ascii="Times New Roman" w:hAnsi="Times New Roman" w:cs="Times New Roman"/>
                <w:sz w:val="24"/>
                <w:szCs w:val="24"/>
              </w:rPr>
            </w:pPr>
          </w:p>
        </w:tc>
        <w:tc>
          <w:tcPr>
            <w:tcW w:w="292" w:type="pct"/>
            <w:tcBorders>
              <w:top w:val="single" w:sz="4" w:space="0" w:color="auto"/>
            </w:tcBorders>
          </w:tcPr>
          <w:p w14:paraId="11464846" w14:textId="77777777" w:rsidR="00D7265C" w:rsidRPr="00C95BE5" w:rsidRDefault="00D7265C" w:rsidP="003C4D2C">
            <w:pPr>
              <w:contextualSpacing/>
              <w:rPr>
                <w:rFonts w:ascii="Times New Roman" w:hAnsi="Times New Roman" w:cs="Times New Roman"/>
                <w:sz w:val="24"/>
                <w:szCs w:val="24"/>
              </w:rPr>
            </w:pPr>
          </w:p>
        </w:tc>
        <w:tc>
          <w:tcPr>
            <w:tcW w:w="342" w:type="pct"/>
            <w:tcBorders>
              <w:top w:val="single" w:sz="4" w:space="0" w:color="auto"/>
            </w:tcBorders>
          </w:tcPr>
          <w:p w14:paraId="504F5D53" w14:textId="77777777" w:rsidR="00D7265C" w:rsidRPr="00C95BE5" w:rsidRDefault="00D7265C" w:rsidP="003C4D2C">
            <w:pPr>
              <w:contextualSpacing/>
              <w:rPr>
                <w:rFonts w:ascii="Times New Roman" w:hAnsi="Times New Roman" w:cs="Times New Roman"/>
                <w:sz w:val="24"/>
                <w:szCs w:val="24"/>
              </w:rPr>
            </w:pPr>
          </w:p>
        </w:tc>
        <w:tc>
          <w:tcPr>
            <w:tcW w:w="348" w:type="pct"/>
            <w:tcBorders>
              <w:top w:val="single" w:sz="4" w:space="0" w:color="auto"/>
            </w:tcBorders>
          </w:tcPr>
          <w:p w14:paraId="0FBC2653" w14:textId="77777777" w:rsidR="00D7265C" w:rsidRPr="00C95BE5" w:rsidRDefault="00D7265C" w:rsidP="003C4D2C">
            <w:pPr>
              <w:contextualSpacing/>
              <w:rPr>
                <w:rFonts w:ascii="Times New Roman" w:hAnsi="Times New Roman" w:cs="Times New Roman"/>
                <w:sz w:val="24"/>
                <w:szCs w:val="24"/>
              </w:rPr>
            </w:pPr>
          </w:p>
        </w:tc>
        <w:tc>
          <w:tcPr>
            <w:tcW w:w="400" w:type="pct"/>
            <w:tcBorders>
              <w:top w:val="single" w:sz="4" w:space="0" w:color="auto"/>
            </w:tcBorders>
          </w:tcPr>
          <w:p w14:paraId="40170A94" w14:textId="77777777" w:rsidR="00D7265C" w:rsidRPr="00C95BE5" w:rsidRDefault="00D7265C" w:rsidP="003C4D2C">
            <w:pPr>
              <w:contextualSpacing/>
              <w:rPr>
                <w:rFonts w:ascii="Times New Roman" w:hAnsi="Times New Roman" w:cs="Times New Roman"/>
                <w:sz w:val="24"/>
                <w:szCs w:val="24"/>
              </w:rPr>
            </w:pPr>
          </w:p>
        </w:tc>
        <w:tc>
          <w:tcPr>
            <w:tcW w:w="294" w:type="pct"/>
            <w:tcBorders>
              <w:top w:val="single" w:sz="4" w:space="0" w:color="auto"/>
            </w:tcBorders>
          </w:tcPr>
          <w:p w14:paraId="4EFDB418" w14:textId="77777777" w:rsidR="00D7265C" w:rsidRPr="00C95BE5" w:rsidRDefault="00D7265C" w:rsidP="003C4D2C">
            <w:pPr>
              <w:contextualSpacing/>
              <w:rPr>
                <w:rFonts w:ascii="Times New Roman" w:hAnsi="Times New Roman" w:cs="Times New Roman"/>
                <w:sz w:val="24"/>
                <w:szCs w:val="24"/>
              </w:rPr>
            </w:pPr>
          </w:p>
        </w:tc>
        <w:tc>
          <w:tcPr>
            <w:tcW w:w="292" w:type="pct"/>
            <w:tcBorders>
              <w:top w:val="single" w:sz="4" w:space="0" w:color="auto"/>
            </w:tcBorders>
          </w:tcPr>
          <w:p w14:paraId="75F2DEDF" w14:textId="77777777" w:rsidR="00D7265C" w:rsidRPr="00C95BE5" w:rsidRDefault="00D7265C" w:rsidP="003C4D2C">
            <w:pPr>
              <w:contextualSpacing/>
              <w:rPr>
                <w:rFonts w:ascii="Times New Roman" w:hAnsi="Times New Roman" w:cs="Times New Roman"/>
                <w:sz w:val="24"/>
                <w:szCs w:val="24"/>
              </w:rPr>
            </w:pPr>
          </w:p>
        </w:tc>
        <w:tc>
          <w:tcPr>
            <w:tcW w:w="298" w:type="pct"/>
            <w:tcBorders>
              <w:top w:val="single" w:sz="4" w:space="0" w:color="auto"/>
            </w:tcBorders>
          </w:tcPr>
          <w:p w14:paraId="015D0F45" w14:textId="77777777" w:rsidR="00D7265C" w:rsidRPr="00C95BE5" w:rsidRDefault="00D7265C" w:rsidP="003C4D2C">
            <w:pPr>
              <w:contextualSpacing/>
              <w:rPr>
                <w:rFonts w:ascii="Times New Roman" w:hAnsi="Times New Roman" w:cs="Times New Roman"/>
                <w:sz w:val="24"/>
                <w:szCs w:val="24"/>
              </w:rPr>
            </w:pPr>
          </w:p>
        </w:tc>
      </w:tr>
      <w:tr w:rsidR="00B57ABD" w:rsidRPr="00C95BE5" w14:paraId="4B7BCE2B" w14:textId="77777777" w:rsidTr="00B57ABD">
        <w:trPr>
          <w:trHeight w:val="254"/>
        </w:trPr>
        <w:tc>
          <w:tcPr>
            <w:tcW w:w="1422" w:type="pct"/>
            <w:tcBorders>
              <w:top w:val="single" w:sz="4" w:space="0" w:color="auto"/>
            </w:tcBorders>
          </w:tcPr>
          <w:p w14:paraId="5581CAC5" w14:textId="5E4A142F" w:rsidR="00D7265C" w:rsidRPr="00C95BE5" w:rsidRDefault="00D7265C" w:rsidP="003C4D2C">
            <w:pPr>
              <w:pStyle w:val="ListParagraph"/>
              <w:numPr>
                <w:ilvl w:val="0"/>
                <w:numId w:val="46"/>
              </w:numPr>
              <w:rPr>
                <w:rFonts w:ascii="Times New Roman" w:hAnsi="Times New Roman" w:cs="Times New Roman"/>
                <w:sz w:val="24"/>
                <w:szCs w:val="24"/>
              </w:rPr>
            </w:pPr>
            <w:r w:rsidRPr="00C95BE5">
              <w:rPr>
                <w:rFonts w:ascii="Times New Roman" w:hAnsi="Times New Roman" w:cs="Times New Roman"/>
                <w:sz w:val="24"/>
                <w:szCs w:val="24"/>
              </w:rPr>
              <w:t xml:space="preserve">Bracken </w:t>
            </w:r>
          </w:p>
        </w:tc>
        <w:tc>
          <w:tcPr>
            <w:tcW w:w="310" w:type="pct"/>
          </w:tcPr>
          <w:p w14:paraId="6F4CD9C1"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69.03</w:t>
            </w:r>
          </w:p>
        </w:tc>
        <w:tc>
          <w:tcPr>
            <w:tcW w:w="310" w:type="pct"/>
          </w:tcPr>
          <w:p w14:paraId="724ABA6B" w14:textId="5FB50889" w:rsidR="00D7265C" w:rsidRPr="00C95BE5" w:rsidRDefault="00BC26BA" w:rsidP="003C4D2C">
            <w:pPr>
              <w:contextualSpacing/>
              <w:rPr>
                <w:rFonts w:ascii="Times New Roman" w:hAnsi="Times New Roman" w:cs="Times New Roman"/>
                <w:sz w:val="24"/>
                <w:szCs w:val="24"/>
              </w:rPr>
            </w:pPr>
            <w:r>
              <w:rPr>
                <w:rFonts w:ascii="Times New Roman" w:hAnsi="Times New Roman" w:cs="Times New Roman"/>
                <w:sz w:val="24"/>
                <w:szCs w:val="24"/>
              </w:rPr>
              <w:t>1</w:t>
            </w:r>
            <w:r w:rsidR="00162EEF">
              <w:rPr>
                <w:rFonts w:ascii="Times New Roman" w:hAnsi="Times New Roman" w:cs="Times New Roman"/>
                <w:sz w:val="24"/>
                <w:szCs w:val="24"/>
              </w:rPr>
              <w:t>3</w:t>
            </w:r>
            <w:r w:rsidR="00D7265C" w:rsidRPr="00C95BE5">
              <w:rPr>
                <w:rFonts w:ascii="Times New Roman" w:hAnsi="Times New Roman" w:cs="Times New Roman"/>
                <w:sz w:val="24"/>
                <w:szCs w:val="24"/>
              </w:rPr>
              <w:t>.</w:t>
            </w:r>
            <w:r w:rsidR="00162EEF">
              <w:rPr>
                <w:rFonts w:ascii="Times New Roman" w:hAnsi="Times New Roman" w:cs="Times New Roman"/>
                <w:sz w:val="24"/>
                <w:szCs w:val="24"/>
              </w:rPr>
              <w:t>65</w:t>
            </w:r>
          </w:p>
        </w:tc>
        <w:tc>
          <w:tcPr>
            <w:tcW w:w="347" w:type="pct"/>
          </w:tcPr>
          <w:p w14:paraId="6FA3861E" w14:textId="68486C5B" w:rsidR="00D7265C" w:rsidRPr="00D7265C" w:rsidRDefault="00D7265C" w:rsidP="003C4D2C">
            <w:pPr>
              <w:contextualSpacing/>
              <w:rPr>
                <w:rFonts w:ascii="Times New Roman" w:hAnsi="Times New Roman" w:cs="Times New Roman"/>
                <w:sz w:val="24"/>
                <w:szCs w:val="24"/>
              </w:rPr>
            </w:pPr>
            <w:r>
              <w:rPr>
                <w:rFonts w:ascii="Times New Roman" w:hAnsi="Times New Roman" w:cs="Times New Roman"/>
                <w:sz w:val="24"/>
                <w:szCs w:val="24"/>
              </w:rPr>
              <w:t>53-130</w:t>
            </w:r>
          </w:p>
        </w:tc>
        <w:tc>
          <w:tcPr>
            <w:tcW w:w="344" w:type="pct"/>
          </w:tcPr>
          <w:p w14:paraId="37DE9E12" w14:textId="2894CDAF" w:rsidR="00D7265C" w:rsidRPr="00C95BE5" w:rsidRDefault="00D7265C" w:rsidP="003C4D2C">
            <w:pPr>
              <w:contextualSpacing/>
              <w:rPr>
                <w:rFonts w:ascii="Times New Roman" w:hAnsi="Times New Roman" w:cs="Times New Roman"/>
                <w:sz w:val="24"/>
                <w:szCs w:val="24"/>
              </w:rPr>
            </w:pPr>
          </w:p>
        </w:tc>
        <w:tc>
          <w:tcPr>
            <w:tcW w:w="292" w:type="pct"/>
          </w:tcPr>
          <w:p w14:paraId="7262F479" w14:textId="77777777" w:rsidR="00D7265C" w:rsidRPr="00C95BE5" w:rsidRDefault="00D7265C" w:rsidP="003C4D2C">
            <w:pPr>
              <w:contextualSpacing/>
              <w:rPr>
                <w:rFonts w:ascii="Times New Roman" w:hAnsi="Times New Roman" w:cs="Times New Roman"/>
                <w:sz w:val="24"/>
                <w:szCs w:val="24"/>
              </w:rPr>
            </w:pPr>
          </w:p>
        </w:tc>
        <w:tc>
          <w:tcPr>
            <w:tcW w:w="342" w:type="pct"/>
          </w:tcPr>
          <w:p w14:paraId="5949C14A" w14:textId="77777777" w:rsidR="00D7265C" w:rsidRPr="00C95BE5" w:rsidRDefault="00D7265C" w:rsidP="003C4D2C">
            <w:pPr>
              <w:contextualSpacing/>
              <w:rPr>
                <w:rFonts w:ascii="Times New Roman" w:hAnsi="Times New Roman" w:cs="Times New Roman"/>
                <w:sz w:val="24"/>
                <w:szCs w:val="24"/>
              </w:rPr>
            </w:pPr>
          </w:p>
        </w:tc>
        <w:tc>
          <w:tcPr>
            <w:tcW w:w="348" w:type="pct"/>
          </w:tcPr>
          <w:p w14:paraId="7D890D1E" w14:textId="77777777" w:rsidR="00D7265C" w:rsidRPr="00C95BE5" w:rsidRDefault="00D7265C" w:rsidP="003C4D2C">
            <w:pPr>
              <w:contextualSpacing/>
              <w:rPr>
                <w:rFonts w:ascii="Times New Roman" w:hAnsi="Times New Roman" w:cs="Times New Roman"/>
                <w:sz w:val="24"/>
                <w:szCs w:val="24"/>
              </w:rPr>
            </w:pPr>
          </w:p>
        </w:tc>
        <w:tc>
          <w:tcPr>
            <w:tcW w:w="400" w:type="pct"/>
          </w:tcPr>
          <w:p w14:paraId="0DC944EB" w14:textId="77777777" w:rsidR="00D7265C" w:rsidRPr="00C95BE5" w:rsidRDefault="00D7265C" w:rsidP="003C4D2C">
            <w:pPr>
              <w:contextualSpacing/>
              <w:rPr>
                <w:rFonts w:ascii="Times New Roman" w:hAnsi="Times New Roman" w:cs="Times New Roman"/>
                <w:sz w:val="24"/>
                <w:szCs w:val="24"/>
              </w:rPr>
            </w:pPr>
          </w:p>
        </w:tc>
        <w:tc>
          <w:tcPr>
            <w:tcW w:w="294" w:type="pct"/>
          </w:tcPr>
          <w:p w14:paraId="7D659926" w14:textId="77777777" w:rsidR="00D7265C" w:rsidRPr="00C95BE5" w:rsidRDefault="00D7265C" w:rsidP="003C4D2C">
            <w:pPr>
              <w:contextualSpacing/>
              <w:rPr>
                <w:rFonts w:ascii="Times New Roman" w:hAnsi="Times New Roman" w:cs="Times New Roman"/>
                <w:sz w:val="24"/>
                <w:szCs w:val="24"/>
              </w:rPr>
            </w:pPr>
          </w:p>
        </w:tc>
        <w:tc>
          <w:tcPr>
            <w:tcW w:w="292" w:type="pct"/>
          </w:tcPr>
          <w:p w14:paraId="3DB14655" w14:textId="77777777" w:rsidR="00D7265C" w:rsidRPr="00C95BE5" w:rsidRDefault="00D7265C" w:rsidP="003C4D2C">
            <w:pPr>
              <w:contextualSpacing/>
              <w:rPr>
                <w:rFonts w:ascii="Times New Roman" w:hAnsi="Times New Roman" w:cs="Times New Roman"/>
                <w:sz w:val="24"/>
                <w:szCs w:val="24"/>
              </w:rPr>
            </w:pPr>
          </w:p>
        </w:tc>
        <w:tc>
          <w:tcPr>
            <w:tcW w:w="298" w:type="pct"/>
          </w:tcPr>
          <w:p w14:paraId="54E40AB6" w14:textId="77777777" w:rsidR="00D7265C" w:rsidRPr="00C95BE5" w:rsidRDefault="00D7265C" w:rsidP="003C4D2C">
            <w:pPr>
              <w:contextualSpacing/>
              <w:rPr>
                <w:rFonts w:ascii="Times New Roman" w:hAnsi="Times New Roman" w:cs="Times New Roman"/>
                <w:sz w:val="24"/>
                <w:szCs w:val="24"/>
              </w:rPr>
            </w:pPr>
          </w:p>
        </w:tc>
      </w:tr>
      <w:tr w:rsidR="00B57ABD" w:rsidRPr="00C95BE5" w14:paraId="0A7F7E3D" w14:textId="77777777" w:rsidTr="00B57ABD">
        <w:trPr>
          <w:trHeight w:val="245"/>
        </w:trPr>
        <w:tc>
          <w:tcPr>
            <w:tcW w:w="1422" w:type="pct"/>
          </w:tcPr>
          <w:p w14:paraId="67A13098" w14:textId="6764592E" w:rsidR="00D7265C" w:rsidRPr="00C95BE5" w:rsidRDefault="00D7265C" w:rsidP="003C4D2C">
            <w:pPr>
              <w:pStyle w:val="ListParagraph"/>
              <w:numPr>
                <w:ilvl w:val="0"/>
                <w:numId w:val="46"/>
              </w:numPr>
              <w:rPr>
                <w:rFonts w:ascii="Times New Roman" w:hAnsi="Times New Roman" w:cs="Times New Roman"/>
                <w:sz w:val="24"/>
                <w:szCs w:val="24"/>
              </w:rPr>
            </w:pPr>
            <w:r w:rsidRPr="00C95BE5">
              <w:rPr>
                <w:rFonts w:ascii="Times New Roman" w:hAnsi="Times New Roman" w:cs="Times New Roman"/>
                <w:sz w:val="24"/>
                <w:szCs w:val="24"/>
              </w:rPr>
              <w:t>W</w:t>
            </w:r>
            <w:r w:rsidR="00BC26BA">
              <w:rPr>
                <w:rFonts w:ascii="Times New Roman" w:hAnsi="Times New Roman" w:cs="Times New Roman"/>
                <w:sz w:val="24"/>
                <w:szCs w:val="24"/>
              </w:rPr>
              <w:t>J</w:t>
            </w:r>
            <w:r w:rsidRPr="00C95BE5">
              <w:rPr>
                <w:rFonts w:ascii="Times New Roman" w:hAnsi="Times New Roman" w:cs="Times New Roman"/>
                <w:sz w:val="24"/>
                <w:szCs w:val="24"/>
              </w:rPr>
              <w:t xml:space="preserve"> Johnson Applied Problems</w:t>
            </w:r>
          </w:p>
        </w:tc>
        <w:tc>
          <w:tcPr>
            <w:tcW w:w="310" w:type="pct"/>
          </w:tcPr>
          <w:p w14:paraId="2DD2236B"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color w:val="010205"/>
                <w:sz w:val="24"/>
                <w:szCs w:val="24"/>
              </w:rPr>
              <w:t>91.93</w:t>
            </w:r>
          </w:p>
        </w:tc>
        <w:tc>
          <w:tcPr>
            <w:tcW w:w="310" w:type="pct"/>
          </w:tcPr>
          <w:p w14:paraId="71A57E6F"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18.90</w:t>
            </w:r>
          </w:p>
        </w:tc>
        <w:tc>
          <w:tcPr>
            <w:tcW w:w="347" w:type="pct"/>
          </w:tcPr>
          <w:p w14:paraId="61E34F6F" w14:textId="3440579C" w:rsidR="00D7265C" w:rsidRPr="00D7265C" w:rsidRDefault="00B841A8" w:rsidP="003C4D2C">
            <w:pPr>
              <w:contextualSpacing/>
              <w:rPr>
                <w:rFonts w:ascii="Times New Roman" w:hAnsi="Times New Roman" w:cs="Times New Roman"/>
                <w:sz w:val="24"/>
                <w:szCs w:val="24"/>
              </w:rPr>
            </w:pPr>
            <w:r>
              <w:rPr>
                <w:rFonts w:ascii="Times New Roman" w:hAnsi="Times New Roman" w:cs="Times New Roman"/>
                <w:sz w:val="24"/>
                <w:szCs w:val="24"/>
              </w:rPr>
              <w:t>127</w:t>
            </w:r>
          </w:p>
        </w:tc>
        <w:tc>
          <w:tcPr>
            <w:tcW w:w="344" w:type="pct"/>
          </w:tcPr>
          <w:p w14:paraId="74F05BDC" w14:textId="6F5D1B0A"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.60**</w:t>
            </w:r>
          </w:p>
        </w:tc>
        <w:tc>
          <w:tcPr>
            <w:tcW w:w="292" w:type="pct"/>
          </w:tcPr>
          <w:p w14:paraId="44010AB9" w14:textId="77777777" w:rsidR="00D7265C" w:rsidRPr="00C95BE5" w:rsidRDefault="00D7265C" w:rsidP="003C4D2C">
            <w:pPr>
              <w:contextualSpacing/>
              <w:rPr>
                <w:rFonts w:ascii="Times New Roman" w:hAnsi="Times New Roman" w:cs="Times New Roman"/>
                <w:sz w:val="24"/>
                <w:szCs w:val="24"/>
              </w:rPr>
            </w:pPr>
          </w:p>
        </w:tc>
        <w:tc>
          <w:tcPr>
            <w:tcW w:w="342" w:type="pct"/>
          </w:tcPr>
          <w:p w14:paraId="77052229" w14:textId="77777777" w:rsidR="00D7265C" w:rsidRPr="00C95BE5" w:rsidRDefault="00D7265C" w:rsidP="003C4D2C">
            <w:pPr>
              <w:contextualSpacing/>
              <w:rPr>
                <w:rFonts w:ascii="Times New Roman" w:hAnsi="Times New Roman" w:cs="Times New Roman"/>
                <w:sz w:val="24"/>
                <w:szCs w:val="24"/>
              </w:rPr>
            </w:pPr>
          </w:p>
        </w:tc>
        <w:tc>
          <w:tcPr>
            <w:tcW w:w="348" w:type="pct"/>
          </w:tcPr>
          <w:p w14:paraId="1AFC7FA0" w14:textId="77777777" w:rsidR="00D7265C" w:rsidRPr="00C95BE5" w:rsidRDefault="00D7265C" w:rsidP="003C4D2C">
            <w:pPr>
              <w:contextualSpacing/>
              <w:rPr>
                <w:rFonts w:ascii="Times New Roman" w:hAnsi="Times New Roman" w:cs="Times New Roman"/>
                <w:sz w:val="24"/>
                <w:szCs w:val="24"/>
              </w:rPr>
            </w:pPr>
          </w:p>
        </w:tc>
        <w:tc>
          <w:tcPr>
            <w:tcW w:w="400" w:type="pct"/>
          </w:tcPr>
          <w:p w14:paraId="63B8D2FF" w14:textId="77777777" w:rsidR="00D7265C" w:rsidRPr="00C95BE5" w:rsidRDefault="00D7265C" w:rsidP="003C4D2C">
            <w:pPr>
              <w:contextualSpacing/>
              <w:rPr>
                <w:rFonts w:ascii="Times New Roman" w:hAnsi="Times New Roman" w:cs="Times New Roman"/>
                <w:sz w:val="24"/>
                <w:szCs w:val="24"/>
              </w:rPr>
            </w:pPr>
          </w:p>
        </w:tc>
        <w:tc>
          <w:tcPr>
            <w:tcW w:w="294" w:type="pct"/>
          </w:tcPr>
          <w:p w14:paraId="4483717B" w14:textId="77777777" w:rsidR="00D7265C" w:rsidRPr="00C95BE5" w:rsidRDefault="00D7265C" w:rsidP="003C4D2C">
            <w:pPr>
              <w:contextualSpacing/>
              <w:rPr>
                <w:rFonts w:ascii="Times New Roman" w:hAnsi="Times New Roman" w:cs="Times New Roman"/>
                <w:sz w:val="24"/>
                <w:szCs w:val="24"/>
              </w:rPr>
            </w:pPr>
          </w:p>
        </w:tc>
        <w:tc>
          <w:tcPr>
            <w:tcW w:w="292" w:type="pct"/>
          </w:tcPr>
          <w:p w14:paraId="01A5444B" w14:textId="77777777" w:rsidR="00D7265C" w:rsidRPr="00C95BE5" w:rsidRDefault="00D7265C" w:rsidP="003C4D2C">
            <w:pPr>
              <w:contextualSpacing/>
              <w:rPr>
                <w:rFonts w:ascii="Times New Roman" w:hAnsi="Times New Roman" w:cs="Times New Roman"/>
                <w:sz w:val="24"/>
                <w:szCs w:val="24"/>
              </w:rPr>
            </w:pPr>
          </w:p>
        </w:tc>
        <w:tc>
          <w:tcPr>
            <w:tcW w:w="298" w:type="pct"/>
          </w:tcPr>
          <w:p w14:paraId="3C39A519" w14:textId="77777777" w:rsidR="00D7265C" w:rsidRPr="00C95BE5" w:rsidRDefault="00D7265C" w:rsidP="003C4D2C">
            <w:pPr>
              <w:contextualSpacing/>
              <w:rPr>
                <w:rFonts w:ascii="Times New Roman" w:hAnsi="Times New Roman" w:cs="Times New Roman"/>
                <w:sz w:val="24"/>
                <w:szCs w:val="24"/>
              </w:rPr>
            </w:pPr>
          </w:p>
        </w:tc>
      </w:tr>
      <w:tr w:rsidR="00B57ABD" w:rsidRPr="00C95BE5" w14:paraId="29B9DC4D" w14:textId="77777777" w:rsidTr="00B57ABD">
        <w:trPr>
          <w:trHeight w:val="254"/>
        </w:trPr>
        <w:tc>
          <w:tcPr>
            <w:tcW w:w="1422" w:type="pct"/>
          </w:tcPr>
          <w:p w14:paraId="581A940B" w14:textId="6098D805" w:rsidR="00D7265C" w:rsidRPr="00C95BE5" w:rsidRDefault="00D7265C" w:rsidP="003C4D2C">
            <w:pPr>
              <w:pStyle w:val="ListParagraph"/>
              <w:numPr>
                <w:ilvl w:val="0"/>
                <w:numId w:val="46"/>
              </w:numPr>
              <w:rPr>
                <w:rFonts w:ascii="Times New Roman" w:hAnsi="Times New Roman" w:cs="Times New Roman"/>
                <w:sz w:val="24"/>
                <w:szCs w:val="24"/>
              </w:rPr>
            </w:pPr>
            <w:r w:rsidRPr="00C95BE5">
              <w:rPr>
                <w:rFonts w:ascii="Times New Roman" w:hAnsi="Times New Roman" w:cs="Times New Roman"/>
                <w:sz w:val="24"/>
                <w:szCs w:val="24"/>
              </w:rPr>
              <w:t>W</w:t>
            </w:r>
            <w:r w:rsidR="00BC26BA">
              <w:rPr>
                <w:rFonts w:ascii="Times New Roman" w:hAnsi="Times New Roman" w:cs="Times New Roman"/>
                <w:sz w:val="24"/>
                <w:szCs w:val="24"/>
              </w:rPr>
              <w:t xml:space="preserve">J Letter </w:t>
            </w:r>
            <w:r w:rsidRPr="00C95BE5">
              <w:rPr>
                <w:rFonts w:ascii="Times New Roman" w:hAnsi="Times New Roman" w:cs="Times New Roman"/>
                <w:sz w:val="24"/>
                <w:szCs w:val="24"/>
              </w:rPr>
              <w:t>Word I</w:t>
            </w:r>
            <w:r w:rsidR="00BC26BA">
              <w:rPr>
                <w:rFonts w:ascii="Times New Roman" w:hAnsi="Times New Roman" w:cs="Times New Roman"/>
                <w:sz w:val="24"/>
                <w:szCs w:val="24"/>
              </w:rPr>
              <w:t xml:space="preserve">D </w:t>
            </w:r>
          </w:p>
        </w:tc>
        <w:tc>
          <w:tcPr>
            <w:tcW w:w="310" w:type="pct"/>
          </w:tcPr>
          <w:p w14:paraId="0EAE5872"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color w:val="010205"/>
                <w:sz w:val="24"/>
                <w:szCs w:val="24"/>
              </w:rPr>
              <w:t>86.13</w:t>
            </w:r>
          </w:p>
        </w:tc>
        <w:tc>
          <w:tcPr>
            <w:tcW w:w="310" w:type="pct"/>
          </w:tcPr>
          <w:p w14:paraId="5183B6D9"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29.65</w:t>
            </w:r>
          </w:p>
        </w:tc>
        <w:tc>
          <w:tcPr>
            <w:tcW w:w="347" w:type="pct"/>
          </w:tcPr>
          <w:p w14:paraId="74619FE4" w14:textId="2B0A60BC" w:rsidR="00D7265C" w:rsidRPr="00D7265C" w:rsidRDefault="00B841A8" w:rsidP="003C4D2C">
            <w:pPr>
              <w:contextualSpacing/>
              <w:rPr>
                <w:rFonts w:ascii="Times New Roman" w:hAnsi="Times New Roman" w:cs="Times New Roman"/>
                <w:sz w:val="24"/>
                <w:szCs w:val="24"/>
              </w:rPr>
            </w:pPr>
            <w:r>
              <w:rPr>
                <w:rFonts w:ascii="Times New Roman" w:hAnsi="Times New Roman" w:cs="Times New Roman"/>
                <w:sz w:val="24"/>
                <w:szCs w:val="24"/>
              </w:rPr>
              <w:t>116</w:t>
            </w:r>
          </w:p>
        </w:tc>
        <w:tc>
          <w:tcPr>
            <w:tcW w:w="344" w:type="pct"/>
          </w:tcPr>
          <w:p w14:paraId="450A8DD4" w14:textId="686B3874"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.58**</w:t>
            </w:r>
          </w:p>
        </w:tc>
        <w:tc>
          <w:tcPr>
            <w:tcW w:w="292" w:type="pct"/>
          </w:tcPr>
          <w:p w14:paraId="40EFE68A"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.53**</w:t>
            </w:r>
          </w:p>
        </w:tc>
        <w:tc>
          <w:tcPr>
            <w:tcW w:w="342" w:type="pct"/>
          </w:tcPr>
          <w:p w14:paraId="4E6C24E2" w14:textId="77777777" w:rsidR="00D7265C" w:rsidRPr="00C95BE5" w:rsidRDefault="00D7265C" w:rsidP="003C4D2C">
            <w:pPr>
              <w:contextualSpacing/>
              <w:rPr>
                <w:rFonts w:ascii="Times New Roman" w:hAnsi="Times New Roman" w:cs="Times New Roman"/>
                <w:sz w:val="24"/>
                <w:szCs w:val="24"/>
              </w:rPr>
            </w:pPr>
          </w:p>
        </w:tc>
        <w:tc>
          <w:tcPr>
            <w:tcW w:w="348" w:type="pct"/>
          </w:tcPr>
          <w:p w14:paraId="25CFC965" w14:textId="77777777" w:rsidR="00D7265C" w:rsidRPr="00C95BE5" w:rsidRDefault="00D7265C" w:rsidP="003C4D2C">
            <w:pPr>
              <w:contextualSpacing/>
              <w:rPr>
                <w:rFonts w:ascii="Times New Roman" w:hAnsi="Times New Roman" w:cs="Times New Roman"/>
                <w:sz w:val="24"/>
                <w:szCs w:val="24"/>
              </w:rPr>
            </w:pPr>
          </w:p>
        </w:tc>
        <w:tc>
          <w:tcPr>
            <w:tcW w:w="400" w:type="pct"/>
          </w:tcPr>
          <w:p w14:paraId="2F6DF29F" w14:textId="77777777" w:rsidR="00D7265C" w:rsidRPr="00C95BE5" w:rsidRDefault="00D7265C" w:rsidP="003C4D2C">
            <w:pPr>
              <w:contextualSpacing/>
              <w:rPr>
                <w:rFonts w:ascii="Times New Roman" w:hAnsi="Times New Roman" w:cs="Times New Roman"/>
                <w:sz w:val="24"/>
                <w:szCs w:val="24"/>
              </w:rPr>
            </w:pPr>
          </w:p>
        </w:tc>
        <w:tc>
          <w:tcPr>
            <w:tcW w:w="294" w:type="pct"/>
          </w:tcPr>
          <w:p w14:paraId="280189D1" w14:textId="77777777" w:rsidR="00D7265C" w:rsidRPr="00C95BE5" w:rsidRDefault="00D7265C" w:rsidP="003C4D2C">
            <w:pPr>
              <w:contextualSpacing/>
              <w:rPr>
                <w:rFonts w:ascii="Times New Roman" w:hAnsi="Times New Roman" w:cs="Times New Roman"/>
                <w:sz w:val="24"/>
                <w:szCs w:val="24"/>
              </w:rPr>
            </w:pPr>
          </w:p>
        </w:tc>
        <w:tc>
          <w:tcPr>
            <w:tcW w:w="292" w:type="pct"/>
          </w:tcPr>
          <w:p w14:paraId="5E10D869" w14:textId="77777777" w:rsidR="00D7265C" w:rsidRPr="00C95BE5" w:rsidRDefault="00D7265C" w:rsidP="003C4D2C">
            <w:pPr>
              <w:contextualSpacing/>
              <w:rPr>
                <w:rFonts w:ascii="Times New Roman" w:hAnsi="Times New Roman" w:cs="Times New Roman"/>
                <w:sz w:val="24"/>
                <w:szCs w:val="24"/>
              </w:rPr>
            </w:pPr>
          </w:p>
        </w:tc>
        <w:tc>
          <w:tcPr>
            <w:tcW w:w="298" w:type="pct"/>
          </w:tcPr>
          <w:p w14:paraId="474B2AE8" w14:textId="77777777" w:rsidR="00D7265C" w:rsidRPr="00C95BE5" w:rsidRDefault="00D7265C" w:rsidP="003C4D2C">
            <w:pPr>
              <w:contextualSpacing/>
              <w:rPr>
                <w:rFonts w:ascii="Times New Roman" w:hAnsi="Times New Roman" w:cs="Times New Roman"/>
                <w:sz w:val="24"/>
                <w:szCs w:val="24"/>
              </w:rPr>
            </w:pPr>
          </w:p>
        </w:tc>
      </w:tr>
      <w:tr w:rsidR="00B57ABD" w:rsidRPr="00C95BE5" w14:paraId="36E04B00" w14:textId="77777777" w:rsidTr="00B57ABD">
        <w:trPr>
          <w:trHeight w:val="254"/>
        </w:trPr>
        <w:tc>
          <w:tcPr>
            <w:tcW w:w="1422" w:type="pct"/>
            <w:tcBorders>
              <w:bottom w:val="single" w:sz="4" w:space="0" w:color="BFBFBF" w:themeColor="background1" w:themeShade="BF"/>
            </w:tcBorders>
          </w:tcPr>
          <w:p w14:paraId="5A453D87" w14:textId="2453FBB6" w:rsidR="00D7265C" w:rsidRPr="00C95BE5" w:rsidRDefault="00D7265C" w:rsidP="003C4D2C">
            <w:pPr>
              <w:pStyle w:val="ListParagraph"/>
              <w:numPr>
                <w:ilvl w:val="0"/>
                <w:numId w:val="46"/>
              </w:numPr>
              <w:rPr>
                <w:rFonts w:ascii="Times New Roman" w:hAnsi="Times New Roman" w:cs="Times New Roman"/>
                <w:sz w:val="24"/>
                <w:szCs w:val="24"/>
              </w:rPr>
            </w:pPr>
            <w:r w:rsidRPr="00C95BE5">
              <w:rPr>
                <w:rFonts w:ascii="Times New Roman" w:hAnsi="Times New Roman" w:cs="Times New Roman"/>
                <w:sz w:val="24"/>
                <w:szCs w:val="24"/>
              </w:rPr>
              <w:t>E</w:t>
            </w:r>
            <w:r w:rsidR="00775284">
              <w:rPr>
                <w:rFonts w:ascii="Times New Roman" w:hAnsi="Times New Roman" w:cs="Times New Roman"/>
                <w:sz w:val="24"/>
                <w:szCs w:val="24"/>
              </w:rPr>
              <w:t>OWPVT</w:t>
            </w:r>
            <w:r w:rsidR="007C1CBE">
              <w:rPr>
                <w:rFonts w:ascii="Times New Roman" w:hAnsi="Times New Roman" w:cs="Times New Roman"/>
                <w:sz w:val="24"/>
                <w:szCs w:val="24"/>
              </w:rPr>
              <w:t xml:space="preserve"> </w:t>
            </w:r>
          </w:p>
        </w:tc>
        <w:tc>
          <w:tcPr>
            <w:tcW w:w="310" w:type="pct"/>
          </w:tcPr>
          <w:p w14:paraId="2D564FCB"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color w:val="010205"/>
                <w:sz w:val="24"/>
                <w:szCs w:val="24"/>
              </w:rPr>
              <w:t>94.47</w:t>
            </w:r>
          </w:p>
        </w:tc>
        <w:tc>
          <w:tcPr>
            <w:tcW w:w="310" w:type="pct"/>
          </w:tcPr>
          <w:p w14:paraId="633FD9DD"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17.37</w:t>
            </w:r>
          </w:p>
        </w:tc>
        <w:tc>
          <w:tcPr>
            <w:tcW w:w="347" w:type="pct"/>
          </w:tcPr>
          <w:p w14:paraId="0DB2D0A4" w14:textId="4E718D4B" w:rsidR="00D7265C" w:rsidRPr="00D7265C" w:rsidRDefault="00B841A8" w:rsidP="003C4D2C">
            <w:pPr>
              <w:contextualSpacing/>
              <w:rPr>
                <w:rFonts w:ascii="Times New Roman" w:hAnsi="Times New Roman" w:cs="Times New Roman"/>
                <w:sz w:val="24"/>
                <w:szCs w:val="24"/>
              </w:rPr>
            </w:pPr>
            <w:r>
              <w:rPr>
                <w:rFonts w:ascii="Times New Roman" w:hAnsi="Times New Roman" w:cs="Times New Roman"/>
                <w:sz w:val="24"/>
                <w:szCs w:val="24"/>
              </w:rPr>
              <w:t>138</w:t>
            </w:r>
          </w:p>
        </w:tc>
        <w:tc>
          <w:tcPr>
            <w:tcW w:w="344" w:type="pct"/>
          </w:tcPr>
          <w:p w14:paraId="2395D931" w14:textId="603FE14A"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.45**</w:t>
            </w:r>
          </w:p>
        </w:tc>
        <w:tc>
          <w:tcPr>
            <w:tcW w:w="292" w:type="pct"/>
          </w:tcPr>
          <w:p w14:paraId="46B9E17A"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.53**</w:t>
            </w:r>
          </w:p>
        </w:tc>
        <w:tc>
          <w:tcPr>
            <w:tcW w:w="342" w:type="pct"/>
          </w:tcPr>
          <w:p w14:paraId="640BD365"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.43**</w:t>
            </w:r>
          </w:p>
        </w:tc>
        <w:tc>
          <w:tcPr>
            <w:tcW w:w="348" w:type="pct"/>
          </w:tcPr>
          <w:p w14:paraId="34B9ADDF" w14:textId="77777777" w:rsidR="00D7265C" w:rsidRPr="00C95BE5" w:rsidRDefault="00D7265C" w:rsidP="003C4D2C">
            <w:pPr>
              <w:contextualSpacing/>
              <w:rPr>
                <w:rFonts w:ascii="Times New Roman" w:hAnsi="Times New Roman" w:cs="Times New Roman"/>
                <w:sz w:val="24"/>
                <w:szCs w:val="24"/>
              </w:rPr>
            </w:pPr>
          </w:p>
        </w:tc>
        <w:tc>
          <w:tcPr>
            <w:tcW w:w="400" w:type="pct"/>
          </w:tcPr>
          <w:p w14:paraId="5250183B" w14:textId="77777777" w:rsidR="00D7265C" w:rsidRPr="00C95BE5" w:rsidRDefault="00D7265C" w:rsidP="003C4D2C">
            <w:pPr>
              <w:contextualSpacing/>
              <w:rPr>
                <w:rFonts w:ascii="Times New Roman" w:hAnsi="Times New Roman" w:cs="Times New Roman"/>
                <w:sz w:val="24"/>
                <w:szCs w:val="24"/>
              </w:rPr>
            </w:pPr>
          </w:p>
        </w:tc>
        <w:tc>
          <w:tcPr>
            <w:tcW w:w="294" w:type="pct"/>
          </w:tcPr>
          <w:p w14:paraId="65BE6F91" w14:textId="77777777" w:rsidR="00D7265C" w:rsidRPr="00C95BE5" w:rsidRDefault="00D7265C" w:rsidP="003C4D2C">
            <w:pPr>
              <w:contextualSpacing/>
              <w:rPr>
                <w:rFonts w:ascii="Times New Roman" w:hAnsi="Times New Roman" w:cs="Times New Roman"/>
                <w:sz w:val="24"/>
                <w:szCs w:val="24"/>
              </w:rPr>
            </w:pPr>
          </w:p>
        </w:tc>
        <w:tc>
          <w:tcPr>
            <w:tcW w:w="292" w:type="pct"/>
          </w:tcPr>
          <w:p w14:paraId="55CAE93D" w14:textId="77777777" w:rsidR="00D7265C" w:rsidRPr="00C95BE5" w:rsidRDefault="00D7265C" w:rsidP="003C4D2C">
            <w:pPr>
              <w:contextualSpacing/>
              <w:rPr>
                <w:rFonts w:ascii="Times New Roman" w:hAnsi="Times New Roman" w:cs="Times New Roman"/>
                <w:sz w:val="24"/>
                <w:szCs w:val="24"/>
              </w:rPr>
            </w:pPr>
          </w:p>
        </w:tc>
        <w:tc>
          <w:tcPr>
            <w:tcW w:w="298" w:type="pct"/>
          </w:tcPr>
          <w:p w14:paraId="6462A1A6" w14:textId="77777777" w:rsidR="00D7265C" w:rsidRPr="00C95BE5" w:rsidRDefault="00D7265C" w:rsidP="003C4D2C">
            <w:pPr>
              <w:contextualSpacing/>
              <w:rPr>
                <w:rFonts w:ascii="Times New Roman" w:hAnsi="Times New Roman" w:cs="Times New Roman"/>
                <w:sz w:val="24"/>
                <w:szCs w:val="24"/>
              </w:rPr>
            </w:pPr>
          </w:p>
        </w:tc>
      </w:tr>
      <w:tr w:rsidR="00B57ABD" w:rsidRPr="00C95BE5" w14:paraId="649A007A" w14:textId="77777777" w:rsidTr="00B57ABD">
        <w:trPr>
          <w:trHeight w:val="245"/>
        </w:trPr>
        <w:tc>
          <w:tcPr>
            <w:tcW w:w="1422" w:type="pct"/>
            <w:tcBorders>
              <w:bottom w:val="single" w:sz="4" w:space="0" w:color="auto"/>
            </w:tcBorders>
          </w:tcPr>
          <w:p w14:paraId="55AA15D7" w14:textId="77777777" w:rsidR="00D7265C" w:rsidRPr="00C95BE5" w:rsidRDefault="00D7265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Executive Function Measures</w:t>
            </w:r>
          </w:p>
        </w:tc>
        <w:tc>
          <w:tcPr>
            <w:tcW w:w="310" w:type="pct"/>
          </w:tcPr>
          <w:p w14:paraId="7914C6F2" w14:textId="77777777" w:rsidR="00D7265C" w:rsidRPr="00C95BE5" w:rsidRDefault="00D7265C" w:rsidP="003C4D2C">
            <w:pPr>
              <w:contextualSpacing/>
              <w:rPr>
                <w:rFonts w:ascii="Times New Roman" w:hAnsi="Times New Roman" w:cs="Times New Roman"/>
                <w:sz w:val="24"/>
                <w:szCs w:val="24"/>
              </w:rPr>
            </w:pPr>
          </w:p>
        </w:tc>
        <w:tc>
          <w:tcPr>
            <w:tcW w:w="310" w:type="pct"/>
          </w:tcPr>
          <w:p w14:paraId="2D213D0F" w14:textId="77777777" w:rsidR="00D7265C" w:rsidRPr="00C95BE5" w:rsidRDefault="00D7265C" w:rsidP="003C4D2C">
            <w:pPr>
              <w:contextualSpacing/>
              <w:rPr>
                <w:rFonts w:ascii="Times New Roman" w:hAnsi="Times New Roman" w:cs="Times New Roman"/>
                <w:sz w:val="24"/>
                <w:szCs w:val="24"/>
              </w:rPr>
            </w:pPr>
          </w:p>
        </w:tc>
        <w:tc>
          <w:tcPr>
            <w:tcW w:w="347" w:type="pct"/>
          </w:tcPr>
          <w:p w14:paraId="7794492C" w14:textId="77777777" w:rsidR="00D7265C" w:rsidRPr="00D7265C" w:rsidRDefault="00D7265C" w:rsidP="003C4D2C">
            <w:pPr>
              <w:contextualSpacing/>
              <w:rPr>
                <w:rFonts w:ascii="Times New Roman" w:hAnsi="Times New Roman" w:cs="Times New Roman"/>
                <w:sz w:val="24"/>
                <w:szCs w:val="24"/>
              </w:rPr>
            </w:pPr>
          </w:p>
        </w:tc>
        <w:tc>
          <w:tcPr>
            <w:tcW w:w="344" w:type="pct"/>
          </w:tcPr>
          <w:p w14:paraId="6F3027C3" w14:textId="1FFAE79E" w:rsidR="00D7265C" w:rsidRPr="00C95BE5" w:rsidRDefault="00D7265C" w:rsidP="003C4D2C">
            <w:pPr>
              <w:contextualSpacing/>
              <w:rPr>
                <w:rFonts w:ascii="Times New Roman" w:hAnsi="Times New Roman" w:cs="Times New Roman"/>
                <w:sz w:val="24"/>
                <w:szCs w:val="24"/>
              </w:rPr>
            </w:pPr>
          </w:p>
        </w:tc>
        <w:tc>
          <w:tcPr>
            <w:tcW w:w="292" w:type="pct"/>
          </w:tcPr>
          <w:p w14:paraId="25725057" w14:textId="77777777" w:rsidR="00D7265C" w:rsidRPr="00C95BE5" w:rsidRDefault="00D7265C" w:rsidP="003C4D2C">
            <w:pPr>
              <w:contextualSpacing/>
              <w:rPr>
                <w:rFonts w:ascii="Times New Roman" w:hAnsi="Times New Roman" w:cs="Times New Roman"/>
                <w:sz w:val="24"/>
                <w:szCs w:val="24"/>
              </w:rPr>
            </w:pPr>
          </w:p>
        </w:tc>
        <w:tc>
          <w:tcPr>
            <w:tcW w:w="342" w:type="pct"/>
          </w:tcPr>
          <w:p w14:paraId="2D80CDAF" w14:textId="77777777" w:rsidR="00D7265C" w:rsidRPr="00C95BE5" w:rsidRDefault="00D7265C" w:rsidP="003C4D2C">
            <w:pPr>
              <w:contextualSpacing/>
              <w:rPr>
                <w:rFonts w:ascii="Times New Roman" w:hAnsi="Times New Roman" w:cs="Times New Roman"/>
                <w:sz w:val="24"/>
                <w:szCs w:val="24"/>
              </w:rPr>
            </w:pPr>
          </w:p>
        </w:tc>
        <w:tc>
          <w:tcPr>
            <w:tcW w:w="348" w:type="pct"/>
          </w:tcPr>
          <w:p w14:paraId="415F6F44" w14:textId="77777777" w:rsidR="00D7265C" w:rsidRPr="00C95BE5" w:rsidRDefault="00D7265C" w:rsidP="003C4D2C">
            <w:pPr>
              <w:contextualSpacing/>
              <w:rPr>
                <w:rFonts w:ascii="Times New Roman" w:hAnsi="Times New Roman" w:cs="Times New Roman"/>
                <w:sz w:val="24"/>
                <w:szCs w:val="24"/>
              </w:rPr>
            </w:pPr>
          </w:p>
        </w:tc>
        <w:tc>
          <w:tcPr>
            <w:tcW w:w="400" w:type="pct"/>
          </w:tcPr>
          <w:p w14:paraId="053C627E" w14:textId="77777777" w:rsidR="00D7265C" w:rsidRPr="00C95BE5" w:rsidRDefault="00D7265C" w:rsidP="003C4D2C">
            <w:pPr>
              <w:contextualSpacing/>
              <w:rPr>
                <w:rFonts w:ascii="Times New Roman" w:hAnsi="Times New Roman" w:cs="Times New Roman"/>
                <w:sz w:val="24"/>
                <w:szCs w:val="24"/>
              </w:rPr>
            </w:pPr>
          </w:p>
        </w:tc>
        <w:tc>
          <w:tcPr>
            <w:tcW w:w="294" w:type="pct"/>
          </w:tcPr>
          <w:p w14:paraId="789B26A1" w14:textId="77777777" w:rsidR="00D7265C" w:rsidRPr="00C95BE5" w:rsidRDefault="00D7265C" w:rsidP="003C4D2C">
            <w:pPr>
              <w:contextualSpacing/>
              <w:rPr>
                <w:rFonts w:ascii="Times New Roman" w:hAnsi="Times New Roman" w:cs="Times New Roman"/>
                <w:sz w:val="24"/>
                <w:szCs w:val="24"/>
              </w:rPr>
            </w:pPr>
          </w:p>
        </w:tc>
        <w:tc>
          <w:tcPr>
            <w:tcW w:w="292" w:type="pct"/>
          </w:tcPr>
          <w:p w14:paraId="7325EACB" w14:textId="77777777" w:rsidR="00D7265C" w:rsidRPr="00C95BE5" w:rsidRDefault="00D7265C" w:rsidP="003C4D2C">
            <w:pPr>
              <w:contextualSpacing/>
              <w:rPr>
                <w:rFonts w:ascii="Times New Roman" w:hAnsi="Times New Roman" w:cs="Times New Roman"/>
                <w:sz w:val="24"/>
                <w:szCs w:val="24"/>
              </w:rPr>
            </w:pPr>
          </w:p>
        </w:tc>
        <w:tc>
          <w:tcPr>
            <w:tcW w:w="298" w:type="pct"/>
          </w:tcPr>
          <w:p w14:paraId="10AD54C7" w14:textId="77777777" w:rsidR="00D7265C" w:rsidRPr="00C95BE5" w:rsidRDefault="00D7265C" w:rsidP="003C4D2C">
            <w:pPr>
              <w:contextualSpacing/>
              <w:rPr>
                <w:rFonts w:ascii="Times New Roman" w:hAnsi="Times New Roman" w:cs="Times New Roman"/>
                <w:sz w:val="24"/>
                <w:szCs w:val="24"/>
              </w:rPr>
            </w:pPr>
          </w:p>
        </w:tc>
      </w:tr>
      <w:tr w:rsidR="00B57ABD" w:rsidRPr="00C95BE5" w14:paraId="6B1C740A" w14:textId="77777777" w:rsidTr="00B57ABD">
        <w:trPr>
          <w:trHeight w:val="254"/>
        </w:trPr>
        <w:tc>
          <w:tcPr>
            <w:tcW w:w="1422" w:type="pct"/>
            <w:tcBorders>
              <w:top w:val="single" w:sz="4" w:space="0" w:color="auto"/>
            </w:tcBorders>
          </w:tcPr>
          <w:p w14:paraId="03112C47" w14:textId="77777777" w:rsidR="00D7265C" w:rsidRPr="00C95BE5" w:rsidRDefault="00D7265C" w:rsidP="003C4D2C">
            <w:pPr>
              <w:pStyle w:val="ListParagraph"/>
              <w:numPr>
                <w:ilvl w:val="0"/>
                <w:numId w:val="46"/>
              </w:numPr>
              <w:rPr>
                <w:rFonts w:ascii="Times New Roman" w:hAnsi="Times New Roman" w:cs="Times New Roman"/>
                <w:sz w:val="24"/>
                <w:szCs w:val="24"/>
              </w:rPr>
            </w:pPr>
            <w:r w:rsidRPr="00C95BE5">
              <w:rPr>
                <w:rFonts w:ascii="Times New Roman" w:hAnsi="Times New Roman" w:cs="Times New Roman"/>
                <w:sz w:val="24"/>
                <w:szCs w:val="24"/>
              </w:rPr>
              <w:t xml:space="preserve">Digit Span </w:t>
            </w:r>
          </w:p>
        </w:tc>
        <w:tc>
          <w:tcPr>
            <w:tcW w:w="310" w:type="pct"/>
          </w:tcPr>
          <w:p w14:paraId="44DC5F1B"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color w:val="010205"/>
                <w:sz w:val="24"/>
                <w:szCs w:val="24"/>
              </w:rPr>
              <w:t>3.54</w:t>
            </w:r>
          </w:p>
        </w:tc>
        <w:tc>
          <w:tcPr>
            <w:tcW w:w="310" w:type="pct"/>
          </w:tcPr>
          <w:p w14:paraId="55397B4E"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2.35</w:t>
            </w:r>
          </w:p>
        </w:tc>
        <w:tc>
          <w:tcPr>
            <w:tcW w:w="347" w:type="pct"/>
          </w:tcPr>
          <w:p w14:paraId="2F819BD6" w14:textId="453651D9" w:rsidR="00D7265C" w:rsidRPr="00D7265C" w:rsidRDefault="00D7265C" w:rsidP="003C4D2C">
            <w:pPr>
              <w:contextualSpacing/>
              <w:rPr>
                <w:rFonts w:ascii="Times New Roman" w:hAnsi="Times New Roman" w:cs="Times New Roman"/>
                <w:sz w:val="24"/>
                <w:szCs w:val="24"/>
              </w:rPr>
            </w:pPr>
            <w:r>
              <w:rPr>
                <w:rFonts w:ascii="Times New Roman" w:hAnsi="Times New Roman" w:cs="Times New Roman"/>
                <w:sz w:val="24"/>
                <w:szCs w:val="24"/>
              </w:rPr>
              <w:t>0-11</w:t>
            </w:r>
          </w:p>
        </w:tc>
        <w:tc>
          <w:tcPr>
            <w:tcW w:w="344" w:type="pct"/>
          </w:tcPr>
          <w:p w14:paraId="193C50C8" w14:textId="0EC826B5"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.41**</w:t>
            </w:r>
          </w:p>
        </w:tc>
        <w:tc>
          <w:tcPr>
            <w:tcW w:w="292" w:type="pct"/>
          </w:tcPr>
          <w:p w14:paraId="39F3BC48"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.42**</w:t>
            </w:r>
          </w:p>
        </w:tc>
        <w:tc>
          <w:tcPr>
            <w:tcW w:w="342" w:type="pct"/>
          </w:tcPr>
          <w:p w14:paraId="568AF5C4"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.34**</w:t>
            </w:r>
          </w:p>
        </w:tc>
        <w:tc>
          <w:tcPr>
            <w:tcW w:w="348" w:type="pct"/>
          </w:tcPr>
          <w:p w14:paraId="2C03315A"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.29**</w:t>
            </w:r>
          </w:p>
        </w:tc>
        <w:tc>
          <w:tcPr>
            <w:tcW w:w="400" w:type="pct"/>
          </w:tcPr>
          <w:p w14:paraId="118918AC" w14:textId="77777777" w:rsidR="00D7265C" w:rsidRPr="00C95BE5" w:rsidRDefault="00D7265C" w:rsidP="003C4D2C">
            <w:pPr>
              <w:contextualSpacing/>
              <w:rPr>
                <w:rFonts w:ascii="Times New Roman" w:hAnsi="Times New Roman" w:cs="Times New Roman"/>
                <w:sz w:val="24"/>
                <w:szCs w:val="24"/>
              </w:rPr>
            </w:pPr>
          </w:p>
        </w:tc>
        <w:tc>
          <w:tcPr>
            <w:tcW w:w="294" w:type="pct"/>
          </w:tcPr>
          <w:p w14:paraId="53844331" w14:textId="77777777" w:rsidR="00D7265C" w:rsidRPr="00C95BE5" w:rsidRDefault="00D7265C" w:rsidP="003C4D2C">
            <w:pPr>
              <w:contextualSpacing/>
              <w:rPr>
                <w:rFonts w:ascii="Times New Roman" w:hAnsi="Times New Roman" w:cs="Times New Roman"/>
                <w:sz w:val="24"/>
                <w:szCs w:val="24"/>
              </w:rPr>
            </w:pPr>
          </w:p>
        </w:tc>
        <w:tc>
          <w:tcPr>
            <w:tcW w:w="292" w:type="pct"/>
          </w:tcPr>
          <w:p w14:paraId="14129E4C" w14:textId="77777777" w:rsidR="00D7265C" w:rsidRPr="00C95BE5" w:rsidRDefault="00D7265C" w:rsidP="003C4D2C">
            <w:pPr>
              <w:contextualSpacing/>
              <w:rPr>
                <w:rFonts w:ascii="Times New Roman" w:hAnsi="Times New Roman" w:cs="Times New Roman"/>
                <w:sz w:val="24"/>
                <w:szCs w:val="24"/>
              </w:rPr>
            </w:pPr>
          </w:p>
        </w:tc>
        <w:tc>
          <w:tcPr>
            <w:tcW w:w="298" w:type="pct"/>
          </w:tcPr>
          <w:p w14:paraId="294F87E0" w14:textId="77777777" w:rsidR="00D7265C" w:rsidRPr="00C95BE5" w:rsidRDefault="00D7265C" w:rsidP="003C4D2C">
            <w:pPr>
              <w:contextualSpacing/>
              <w:rPr>
                <w:rFonts w:ascii="Times New Roman" w:hAnsi="Times New Roman" w:cs="Times New Roman"/>
                <w:sz w:val="24"/>
                <w:szCs w:val="24"/>
              </w:rPr>
            </w:pPr>
          </w:p>
        </w:tc>
      </w:tr>
      <w:tr w:rsidR="00B57ABD" w:rsidRPr="00C95BE5" w14:paraId="561FB83D" w14:textId="77777777" w:rsidTr="00B57ABD">
        <w:trPr>
          <w:trHeight w:val="245"/>
        </w:trPr>
        <w:tc>
          <w:tcPr>
            <w:tcW w:w="1422" w:type="pct"/>
          </w:tcPr>
          <w:p w14:paraId="3D9C9167" w14:textId="37D41583" w:rsidR="00D7265C" w:rsidRPr="00C95BE5" w:rsidRDefault="00775284" w:rsidP="003C4D2C">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HTKS</w:t>
            </w:r>
          </w:p>
        </w:tc>
        <w:tc>
          <w:tcPr>
            <w:tcW w:w="310" w:type="pct"/>
          </w:tcPr>
          <w:p w14:paraId="3A82FA4E"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color w:val="010205"/>
                <w:sz w:val="24"/>
                <w:szCs w:val="24"/>
              </w:rPr>
              <w:t>3.53</w:t>
            </w:r>
          </w:p>
        </w:tc>
        <w:tc>
          <w:tcPr>
            <w:tcW w:w="310" w:type="pct"/>
          </w:tcPr>
          <w:p w14:paraId="4DC94CAA"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7.65</w:t>
            </w:r>
          </w:p>
        </w:tc>
        <w:tc>
          <w:tcPr>
            <w:tcW w:w="347" w:type="pct"/>
          </w:tcPr>
          <w:p w14:paraId="44DBEB12" w14:textId="701F6632" w:rsidR="00D7265C" w:rsidRPr="00D7265C" w:rsidRDefault="00D7265C" w:rsidP="003C4D2C">
            <w:pPr>
              <w:contextualSpacing/>
              <w:rPr>
                <w:rFonts w:ascii="Times New Roman" w:hAnsi="Times New Roman" w:cs="Times New Roman"/>
                <w:sz w:val="24"/>
                <w:szCs w:val="24"/>
              </w:rPr>
            </w:pPr>
            <w:r>
              <w:rPr>
                <w:rFonts w:ascii="Times New Roman" w:hAnsi="Times New Roman" w:cs="Times New Roman"/>
                <w:sz w:val="24"/>
                <w:szCs w:val="24"/>
              </w:rPr>
              <w:t>0-41</w:t>
            </w:r>
          </w:p>
        </w:tc>
        <w:tc>
          <w:tcPr>
            <w:tcW w:w="344" w:type="pct"/>
          </w:tcPr>
          <w:p w14:paraId="3E8EF6CA" w14:textId="1A442F6B"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.28**</w:t>
            </w:r>
          </w:p>
        </w:tc>
        <w:tc>
          <w:tcPr>
            <w:tcW w:w="292" w:type="pct"/>
          </w:tcPr>
          <w:p w14:paraId="0D9E85D8"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.29**</w:t>
            </w:r>
          </w:p>
        </w:tc>
        <w:tc>
          <w:tcPr>
            <w:tcW w:w="342" w:type="pct"/>
          </w:tcPr>
          <w:p w14:paraId="15815682"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.19**</w:t>
            </w:r>
          </w:p>
        </w:tc>
        <w:tc>
          <w:tcPr>
            <w:tcW w:w="348" w:type="pct"/>
          </w:tcPr>
          <w:p w14:paraId="1DE0850E"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.20**</w:t>
            </w:r>
          </w:p>
        </w:tc>
        <w:tc>
          <w:tcPr>
            <w:tcW w:w="400" w:type="pct"/>
          </w:tcPr>
          <w:p w14:paraId="495D3D08"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.38**</w:t>
            </w:r>
          </w:p>
        </w:tc>
        <w:tc>
          <w:tcPr>
            <w:tcW w:w="294" w:type="pct"/>
          </w:tcPr>
          <w:p w14:paraId="18FB38AC" w14:textId="77777777" w:rsidR="00D7265C" w:rsidRPr="00C95BE5" w:rsidRDefault="00D7265C" w:rsidP="003C4D2C">
            <w:pPr>
              <w:contextualSpacing/>
              <w:rPr>
                <w:rFonts w:ascii="Times New Roman" w:hAnsi="Times New Roman" w:cs="Times New Roman"/>
                <w:sz w:val="24"/>
                <w:szCs w:val="24"/>
              </w:rPr>
            </w:pPr>
          </w:p>
        </w:tc>
        <w:tc>
          <w:tcPr>
            <w:tcW w:w="292" w:type="pct"/>
          </w:tcPr>
          <w:p w14:paraId="78B9CD03" w14:textId="77777777" w:rsidR="00D7265C" w:rsidRPr="00C95BE5" w:rsidRDefault="00D7265C" w:rsidP="003C4D2C">
            <w:pPr>
              <w:contextualSpacing/>
              <w:rPr>
                <w:rFonts w:ascii="Times New Roman" w:hAnsi="Times New Roman" w:cs="Times New Roman"/>
                <w:sz w:val="24"/>
                <w:szCs w:val="24"/>
              </w:rPr>
            </w:pPr>
          </w:p>
        </w:tc>
        <w:tc>
          <w:tcPr>
            <w:tcW w:w="298" w:type="pct"/>
          </w:tcPr>
          <w:p w14:paraId="0AFAE494" w14:textId="77777777" w:rsidR="00D7265C" w:rsidRPr="00C95BE5" w:rsidRDefault="00D7265C" w:rsidP="003C4D2C">
            <w:pPr>
              <w:contextualSpacing/>
              <w:rPr>
                <w:rFonts w:ascii="Times New Roman" w:hAnsi="Times New Roman" w:cs="Times New Roman"/>
                <w:sz w:val="24"/>
                <w:szCs w:val="24"/>
              </w:rPr>
            </w:pPr>
          </w:p>
        </w:tc>
      </w:tr>
      <w:tr w:rsidR="00B57ABD" w:rsidRPr="00C95BE5" w14:paraId="1CBD651F" w14:textId="77777777" w:rsidTr="00B57ABD">
        <w:trPr>
          <w:trHeight w:val="254"/>
        </w:trPr>
        <w:tc>
          <w:tcPr>
            <w:tcW w:w="1422" w:type="pct"/>
            <w:tcBorders>
              <w:bottom w:val="single" w:sz="4" w:space="0" w:color="BFBFBF" w:themeColor="background1" w:themeShade="BF"/>
            </w:tcBorders>
          </w:tcPr>
          <w:p w14:paraId="19EBD806" w14:textId="33BE56CE" w:rsidR="00D7265C" w:rsidRPr="00C95BE5" w:rsidRDefault="00D7265C" w:rsidP="003C4D2C">
            <w:pPr>
              <w:pStyle w:val="ListParagraph"/>
              <w:numPr>
                <w:ilvl w:val="0"/>
                <w:numId w:val="46"/>
              </w:numPr>
              <w:rPr>
                <w:rFonts w:ascii="Times New Roman" w:hAnsi="Times New Roman" w:cs="Times New Roman"/>
                <w:sz w:val="24"/>
                <w:szCs w:val="24"/>
              </w:rPr>
            </w:pPr>
            <w:r w:rsidRPr="00C95BE5">
              <w:rPr>
                <w:rFonts w:ascii="Times New Roman" w:hAnsi="Times New Roman" w:cs="Times New Roman"/>
                <w:sz w:val="24"/>
                <w:szCs w:val="24"/>
              </w:rPr>
              <w:t>Pencil Tap</w:t>
            </w:r>
            <w:r w:rsidR="007C1CBE">
              <w:rPr>
                <w:rFonts w:ascii="Times New Roman" w:hAnsi="Times New Roman" w:cs="Times New Roman"/>
                <w:sz w:val="24"/>
                <w:szCs w:val="24"/>
              </w:rPr>
              <w:t xml:space="preserve"> </w:t>
            </w:r>
          </w:p>
        </w:tc>
        <w:tc>
          <w:tcPr>
            <w:tcW w:w="310" w:type="pct"/>
          </w:tcPr>
          <w:p w14:paraId="07CB2C2F"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7.91</w:t>
            </w:r>
          </w:p>
        </w:tc>
        <w:tc>
          <w:tcPr>
            <w:tcW w:w="310" w:type="pct"/>
          </w:tcPr>
          <w:p w14:paraId="186ABDED"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4.80</w:t>
            </w:r>
          </w:p>
        </w:tc>
        <w:tc>
          <w:tcPr>
            <w:tcW w:w="347" w:type="pct"/>
          </w:tcPr>
          <w:p w14:paraId="00AB1A4D" w14:textId="3A2B7DD0" w:rsidR="00D7265C" w:rsidRPr="00D7265C" w:rsidRDefault="00D7265C" w:rsidP="003C4D2C">
            <w:pPr>
              <w:contextualSpacing/>
              <w:rPr>
                <w:rFonts w:ascii="Times New Roman" w:hAnsi="Times New Roman" w:cs="Times New Roman"/>
                <w:sz w:val="24"/>
                <w:szCs w:val="24"/>
              </w:rPr>
            </w:pPr>
            <w:r>
              <w:rPr>
                <w:rFonts w:ascii="Times New Roman" w:hAnsi="Times New Roman" w:cs="Times New Roman"/>
                <w:sz w:val="24"/>
                <w:szCs w:val="24"/>
              </w:rPr>
              <w:t>0-16</w:t>
            </w:r>
          </w:p>
        </w:tc>
        <w:tc>
          <w:tcPr>
            <w:tcW w:w="344" w:type="pct"/>
          </w:tcPr>
          <w:p w14:paraId="5204DF13" w14:textId="43D5EB2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.26**</w:t>
            </w:r>
          </w:p>
        </w:tc>
        <w:tc>
          <w:tcPr>
            <w:tcW w:w="292" w:type="pct"/>
          </w:tcPr>
          <w:p w14:paraId="1FEEBBAA"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.27**</w:t>
            </w:r>
          </w:p>
        </w:tc>
        <w:tc>
          <w:tcPr>
            <w:tcW w:w="342" w:type="pct"/>
          </w:tcPr>
          <w:p w14:paraId="24A2217B"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.27**</w:t>
            </w:r>
          </w:p>
        </w:tc>
        <w:tc>
          <w:tcPr>
            <w:tcW w:w="348" w:type="pct"/>
          </w:tcPr>
          <w:p w14:paraId="7AEB326A"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.20**</w:t>
            </w:r>
          </w:p>
        </w:tc>
        <w:tc>
          <w:tcPr>
            <w:tcW w:w="400" w:type="pct"/>
          </w:tcPr>
          <w:p w14:paraId="2BF9F855"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.38**</w:t>
            </w:r>
          </w:p>
        </w:tc>
        <w:tc>
          <w:tcPr>
            <w:tcW w:w="294" w:type="pct"/>
          </w:tcPr>
          <w:p w14:paraId="2FB8970B"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.47**</w:t>
            </w:r>
          </w:p>
        </w:tc>
        <w:tc>
          <w:tcPr>
            <w:tcW w:w="292" w:type="pct"/>
          </w:tcPr>
          <w:p w14:paraId="57874362" w14:textId="77777777" w:rsidR="00D7265C" w:rsidRPr="00C95BE5" w:rsidRDefault="00D7265C" w:rsidP="003C4D2C">
            <w:pPr>
              <w:contextualSpacing/>
              <w:rPr>
                <w:rFonts w:ascii="Times New Roman" w:hAnsi="Times New Roman" w:cs="Times New Roman"/>
                <w:sz w:val="24"/>
                <w:szCs w:val="24"/>
              </w:rPr>
            </w:pPr>
          </w:p>
        </w:tc>
        <w:tc>
          <w:tcPr>
            <w:tcW w:w="298" w:type="pct"/>
          </w:tcPr>
          <w:p w14:paraId="7B30DDE4" w14:textId="77777777" w:rsidR="00D7265C" w:rsidRPr="00C95BE5" w:rsidRDefault="00D7265C" w:rsidP="003C4D2C">
            <w:pPr>
              <w:contextualSpacing/>
              <w:rPr>
                <w:rFonts w:ascii="Times New Roman" w:hAnsi="Times New Roman" w:cs="Times New Roman"/>
                <w:sz w:val="24"/>
                <w:szCs w:val="24"/>
              </w:rPr>
            </w:pPr>
          </w:p>
        </w:tc>
      </w:tr>
      <w:tr w:rsidR="00B57ABD" w:rsidRPr="00C95BE5" w14:paraId="08EB62E4" w14:textId="77777777" w:rsidTr="00B57ABD">
        <w:trPr>
          <w:trHeight w:val="245"/>
        </w:trPr>
        <w:tc>
          <w:tcPr>
            <w:tcW w:w="1422" w:type="pct"/>
            <w:tcBorders>
              <w:bottom w:val="single" w:sz="4" w:space="0" w:color="auto"/>
            </w:tcBorders>
          </w:tcPr>
          <w:p w14:paraId="28DD2251" w14:textId="730E5BDF" w:rsidR="00D7265C" w:rsidRPr="00C95BE5" w:rsidRDefault="00D7265C" w:rsidP="003C4D2C">
            <w:pPr>
              <w:contextualSpacing/>
              <w:jc w:val="center"/>
              <w:rPr>
                <w:rFonts w:ascii="Times New Roman" w:hAnsi="Times New Roman" w:cs="Times New Roman"/>
                <w:sz w:val="24"/>
                <w:szCs w:val="24"/>
              </w:rPr>
            </w:pPr>
            <w:r>
              <w:rPr>
                <w:rFonts w:ascii="Times New Roman" w:hAnsi="Times New Roman" w:cs="Times New Roman"/>
                <w:sz w:val="24"/>
                <w:szCs w:val="24"/>
              </w:rPr>
              <w:t xml:space="preserve">Social </w:t>
            </w:r>
            <w:r w:rsidRPr="00C95BE5">
              <w:rPr>
                <w:rFonts w:ascii="Times New Roman" w:hAnsi="Times New Roman" w:cs="Times New Roman"/>
                <w:sz w:val="24"/>
                <w:szCs w:val="24"/>
              </w:rPr>
              <w:t>Measures</w:t>
            </w:r>
          </w:p>
        </w:tc>
        <w:tc>
          <w:tcPr>
            <w:tcW w:w="310" w:type="pct"/>
          </w:tcPr>
          <w:p w14:paraId="467A3EEA" w14:textId="77777777" w:rsidR="00D7265C" w:rsidRPr="00C95BE5" w:rsidRDefault="00D7265C" w:rsidP="003C4D2C">
            <w:pPr>
              <w:contextualSpacing/>
              <w:rPr>
                <w:rFonts w:ascii="Times New Roman" w:hAnsi="Times New Roman" w:cs="Times New Roman"/>
                <w:sz w:val="24"/>
                <w:szCs w:val="24"/>
              </w:rPr>
            </w:pPr>
          </w:p>
        </w:tc>
        <w:tc>
          <w:tcPr>
            <w:tcW w:w="310" w:type="pct"/>
          </w:tcPr>
          <w:p w14:paraId="5ACC6768" w14:textId="77777777" w:rsidR="00D7265C" w:rsidRPr="00C95BE5" w:rsidRDefault="00D7265C" w:rsidP="003C4D2C">
            <w:pPr>
              <w:contextualSpacing/>
              <w:rPr>
                <w:rFonts w:ascii="Times New Roman" w:hAnsi="Times New Roman" w:cs="Times New Roman"/>
                <w:sz w:val="24"/>
                <w:szCs w:val="24"/>
              </w:rPr>
            </w:pPr>
          </w:p>
        </w:tc>
        <w:tc>
          <w:tcPr>
            <w:tcW w:w="347" w:type="pct"/>
          </w:tcPr>
          <w:p w14:paraId="4C4CABE3" w14:textId="77777777" w:rsidR="00D7265C" w:rsidRPr="00D7265C" w:rsidRDefault="00D7265C" w:rsidP="003C4D2C">
            <w:pPr>
              <w:contextualSpacing/>
              <w:rPr>
                <w:rFonts w:ascii="Times New Roman" w:hAnsi="Times New Roman" w:cs="Times New Roman"/>
                <w:sz w:val="24"/>
                <w:szCs w:val="24"/>
              </w:rPr>
            </w:pPr>
          </w:p>
        </w:tc>
        <w:tc>
          <w:tcPr>
            <w:tcW w:w="344" w:type="pct"/>
          </w:tcPr>
          <w:p w14:paraId="6EA7D6CC" w14:textId="3F1CBB5D" w:rsidR="00D7265C" w:rsidRPr="00C95BE5" w:rsidRDefault="00D7265C" w:rsidP="003C4D2C">
            <w:pPr>
              <w:contextualSpacing/>
              <w:rPr>
                <w:rFonts w:ascii="Times New Roman" w:hAnsi="Times New Roman" w:cs="Times New Roman"/>
                <w:sz w:val="24"/>
                <w:szCs w:val="24"/>
              </w:rPr>
            </w:pPr>
          </w:p>
        </w:tc>
        <w:tc>
          <w:tcPr>
            <w:tcW w:w="292" w:type="pct"/>
          </w:tcPr>
          <w:p w14:paraId="37E83E08" w14:textId="77777777" w:rsidR="00D7265C" w:rsidRPr="00C95BE5" w:rsidRDefault="00D7265C" w:rsidP="003C4D2C">
            <w:pPr>
              <w:contextualSpacing/>
              <w:rPr>
                <w:rFonts w:ascii="Times New Roman" w:hAnsi="Times New Roman" w:cs="Times New Roman"/>
                <w:sz w:val="24"/>
                <w:szCs w:val="24"/>
              </w:rPr>
            </w:pPr>
          </w:p>
        </w:tc>
        <w:tc>
          <w:tcPr>
            <w:tcW w:w="342" w:type="pct"/>
          </w:tcPr>
          <w:p w14:paraId="63A07E5D" w14:textId="77777777" w:rsidR="00D7265C" w:rsidRPr="00C95BE5" w:rsidRDefault="00D7265C" w:rsidP="003C4D2C">
            <w:pPr>
              <w:contextualSpacing/>
              <w:rPr>
                <w:rFonts w:ascii="Times New Roman" w:hAnsi="Times New Roman" w:cs="Times New Roman"/>
                <w:sz w:val="24"/>
                <w:szCs w:val="24"/>
              </w:rPr>
            </w:pPr>
          </w:p>
        </w:tc>
        <w:tc>
          <w:tcPr>
            <w:tcW w:w="348" w:type="pct"/>
          </w:tcPr>
          <w:p w14:paraId="1F1C9E3D" w14:textId="77777777" w:rsidR="00D7265C" w:rsidRPr="00C95BE5" w:rsidRDefault="00D7265C" w:rsidP="003C4D2C">
            <w:pPr>
              <w:contextualSpacing/>
              <w:rPr>
                <w:rFonts w:ascii="Times New Roman" w:hAnsi="Times New Roman" w:cs="Times New Roman"/>
                <w:sz w:val="24"/>
                <w:szCs w:val="24"/>
              </w:rPr>
            </w:pPr>
          </w:p>
        </w:tc>
        <w:tc>
          <w:tcPr>
            <w:tcW w:w="400" w:type="pct"/>
          </w:tcPr>
          <w:p w14:paraId="27EF4595" w14:textId="77777777" w:rsidR="00D7265C" w:rsidRPr="00C95BE5" w:rsidRDefault="00D7265C" w:rsidP="003C4D2C">
            <w:pPr>
              <w:contextualSpacing/>
              <w:rPr>
                <w:rFonts w:ascii="Times New Roman" w:hAnsi="Times New Roman" w:cs="Times New Roman"/>
                <w:sz w:val="24"/>
                <w:szCs w:val="24"/>
              </w:rPr>
            </w:pPr>
          </w:p>
        </w:tc>
        <w:tc>
          <w:tcPr>
            <w:tcW w:w="294" w:type="pct"/>
          </w:tcPr>
          <w:p w14:paraId="214D1A2E" w14:textId="77777777" w:rsidR="00D7265C" w:rsidRPr="00C95BE5" w:rsidRDefault="00D7265C" w:rsidP="003C4D2C">
            <w:pPr>
              <w:contextualSpacing/>
              <w:rPr>
                <w:rFonts w:ascii="Times New Roman" w:hAnsi="Times New Roman" w:cs="Times New Roman"/>
                <w:sz w:val="24"/>
                <w:szCs w:val="24"/>
              </w:rPr>
            </w:pPr>
          </w:p>
        </w:tc>
        <w:tc>
          <w:tcPr>
            <w:tcW w:w="292" w:type="pct"/>
          </w:tcPr>
          <w:p w14:paraId="25F22144" w14:textId="77777777" w:rsidR="00D7265C" w:rsidRPr="00C95BE5" w:rsidRDefault="00D7265C" w:rsidP="003C4D2C">
            <w:pPr>
              <w:contextualSpacing/>
              <w:rPr>
                <w:rFonts w:ascii="Times New Roman" w:hAnsi="Times New Roman" w:cs="Times New Roman"/>
                <w:sz w:val="24"/>
                <w:szCs w:val="24"/>
              </w:rPr>
            </w:pPr>
          </w:p>
        </w:tc>
        <w:tc>
          <w:tcPr>
            <w:tcW w:w="298" w:type="pct"/>
          </w:tcPr>
          <w:p w14:paraId="54F2FD47" w14:textId="77777777" w:rsidR="00D7265C" w:rsidRPr="00C95BE5" w:rsidRDefault="00D7265C" w:rsidP="003C4D2C">
            <w:pPr>
              <w:contextualSpacing/>
              <w:rPr>
                <w:rFonts w:ascii="Times New Roman" w:hAnsi="Times New Roman" w:cs="Times New Roman"/>
                <w:sz w:val="24"/>
                <w:szCs w:val="24"/>
              </w:rPr>
            </w:pPr>
          </w:p>
        </w:tc>
      </w:tr>
      <w:tr w:rsidR="00B57ABD" w:rsidRPr="00C95BE5" w14:paraId="0C6116A5" w14:textId="77777777" w:rsidTr="00B57ABD">
        <w:trPr>
          <w:trHeight w:val="254"/>
        </w:trPr>
        <w:tc>
          <w:tcPr>
            <w:tcW w:w="1422" w:type="pct"/>
            <w:tcBorders>
              <w:top w:val="single" w:sz="4" w:space="0" w:color="auto"/>
              <w:bottom w:val="single" w:sz="4" w:space="0" w:color="BFBFBF" w:themeColor="background1" w:themeShade="BF"/>
            </w:tcBorders>
          </w:tcPr>
          <w:p w14:paraId="493D6CFD" w14:textId="77777777" w:rsidR="00D7265C" w:rsidRPr="00C95BE5" w:rsidRDefault="00D7265C" w:rsidP="00B57ABD">
            <w:pPr>
              <w:pStyle w:val="ListParagraph"/>
              <w:numPr>
                <w:ilvl w:val="0"/>
                <w:numId w:val="46"/>
              </w:numPr>
              <w:rPr>
                <w:rFonts w:ascii="Times New Roman" w:hAnsi="Times New Roman" w:cs="Times New Roman"/>
                <w:sz w:val="24"/>
                <w:szCs w:val="24"/>
              </w:rPr>
            </w:pPr>
            <w:r w:rsidRPr="00C95BE5">
              <w:rPr>
                <w:rFonts w:ascii="Times New Roman" w:hAnsi="Times New Roman" w:cs="Times New Roman"/>
                <w:sz w:val="24"/>
                <w:szCs w:val="24"/>
              </w:rPr>
              <w:t>DECA Behavioral Concerns</w:t>
            </w:r>
          </w:p>
        </w:tc>
        <w:tc>
          <w:tcPr>
            <w:tcW w:w="310" w:type="pct"/>
            <w:tcBorders>
              <w:bottom w:val="single" w:sz="4" w:space="0" w:color="BFBFBF" w:themeColor="background1" w:themeShade="BF"/>
            </w:tcBorders>
          </w:tcPr>
          <w:p w14:paraId="548B0D89"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color w:val="010205"/>
                <w:sz w:val="24"/>
                <w:szCs w:val="24"/>
              </w:rPr>
              <w:t>49.63</w:t>
            </w:r>
          </w:p>
        </w:tc>
        <w:tc>
          <w:tcPr>
            <w:tcW w:w="310" w:type="pct"/>
            <w:tcBorders>
              <w:bottom w:val="single" w:sz="4" w:space="0" w:color="BFBFBF" w:themeColor="background1" w:themeShade="BF"/>
            </w:tcBorders>
          </w:tcPr>
          <w:p w14:paraId="7593229F"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9.31</w:t>
            </w:r>
          </w:p>
        </w:tc>
        <w:tc>
          <w:tcPr>
            <w:tcW w:w="347" w:type="pct"/>
            <w:tcBorders>
              <w:bottom w:val="single" w:sz="4" w:space="0" w:color="BFBFBF" w:themeColor="background1" w:themeShade="BF"/>
            </w:tcBorders>
          </w:tcPr>
          <w:p w14:paraId="08B51D4E" w14:textId="686FBFBF" w:rsidR="00D7265C" w:rsidRPr="00D7265C" w:rsidRDefault="00D7265C" w:rsidP="003C4D2C">
            <w:pPr>
              <w:contextualSpacing/>
              <w:rPr>
                <w:rFonts w:ascii="Times New Roman" w:hAnsi="Times New Roman" w:cs="Times New Roman"/>
                <w:sz w:val="24"/>
                <w:szCs w:val="24"/>
              </w:rPr>
            </w:pPr>
            <w:r>
              <w:rPr>
                <w:rFonts w:ascii="Times New Roman" w:hAnsi="Times New Roman" w:cs="Times New Roman"/>
                <w:sz w:val="24"/>
                <w:szCs w:val="24"/>
              </w:rPr>
              <w:t>29-71</w:t>
            </w:r>
          </w:p>
        </w:tc>
        <w:tc>
          <w:tcPr>
            <w:tcW w:w="344" w:type="pct"/>
            <w:tcBorders>
              <w:bottom w:val="single" w:sz="4" w:space="0" w:color="BFBFBF" w:themeColor="background1" w:themeShade="BF"/>
            </w:tcBorders>
          </w:tcPr>
          <w:p w14:paraId="28A43682" w14:textId="346B053F"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-.11</w:t>
            </w:r>
          </w:p>
        </w:tc>
        <w:tc>
          <w:tcPr>
            <w:tcW w:w="292" w:type="pct"/>
            <w:tcBorders>
              <w:bottom w:val="single" w:sz="4" w:space="0" w:color="BFBFBF" w:themeColor="background1" w:themeShade="BF"/>
            </w:tcBorders>
          </w:tcPr>
          <w:p w14:paraId="3ECBDFBC"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-.11</w:t>
            </w:r>
          </w:p>
        </w:tc>
        <w:tc>
          <w:tcPr>
            <w:tcW w:w="342" w:type="pct"/>
            <w:tcBorders>
              <w:bottom w:val="single" w:sz="4" w:space="0" w:color="BFBFBF" w:themeColor="background1" w:themeShade="BF"/>
            </w:tcBorders>
          </w:tcPr>
          <w:p w14:paraId="2E530637"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-.10</w:t>
            </w:r>
          </w:p>
        </w:tc>
        <w:tc>
          <w:tcPr>
            <w:tcW w:w="348" w:type="pct"/>
            <w:tcBorders>
              <w:bottom w:val="single" w:sz="4" w:space="0" w:color="BFBFBF" w:themeColor="background1" w:themeShade="BF"/>
            </w:tcBorders>
          </w:tcPr>
          <w:p w14:paraId="42223A6E"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-.16**</w:t>
            </w:r>
          </w:p>
        </w:tc>
        <w:tc>
          <w:tcPr>
            <w:tcW w:w="400" w:type="pct"/>
            <w:tcBorders>
              <w:bottom w:val="single" w:sz="4" w:space="0" w:color="BFBFBF" w:themeColor="background1" w:themeShade="BF"/>
            </w:tcBorders>
          </w:tcPr>
          <w:p w14:paraId="36286E9F"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-.24**</w:t>
            </w:r>
          </w:p>
        </w:tc>
        <w:tc>
          <w:tcPr>
            <w:tcW w:w="294" w:type="pct"/>
            <w:tcBorders>
              <w:bottom w:val="single" w:sz="4" w:space="0" w:color="BFBFBF" w:themeColor="background1" w:themeShade="BF"/>
            </w:tcBorders>
          </w:tcPr>
          <w:p w14:paraId="48288960"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-.15**</w:t>
            </w:r>
          </w:p>
        </w:tc>
        <w:tc>
          <w:tcPr>
            <w:tcW w:w="292" w:type="pct"/>
            <w:tcBorders>
              <w:bottom w:val="single" w:sz="4" w:space="0" w:color="BFBFBF" w:themeColor="background1" w:themeShade="BF"/>
            </w:tcBorders>
          </w:tcPr>
          <w:p w14:paraId="562B09E1"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-.25**</w:t>
            </w:r>
          </w:p>
        </w:tc>
        <w:tc>
          <w:tcPr>
            <w:tcW w:w="298" w:type="pct"/>
            <w:tcBorders>
              <w:bottom w:val="single" w:sz="4" w:space="0" w:color="BFBFBF" w:themeColor="background1" w:themeShade="BF"/>
            </w:tcBorders>
          </w:tcPr>
          <w:p w14:paraId="4C26ED0E" w14:textId="77777777" w:rsidR="00D7265C" w:rsidRPr="00C95BE5" w:rsidRDefault="00D7265C" w:rsidP="003C4D2C">
            <w:pPr>
              <w:contextualSpacing/>
              <w:rPr>
                <w:rFonts w:ascii="Times New Roman" w:hAnsi="Times New Roman" w:cs="Times New Roman"/>
                <w:sz w:val="24"/>
                <w:szCs w:val="24"/>
              </w:rPr>
            </w:pPr>
          </w:p>
        </w:tc>
      </w:tr>
      <w:tr w:rsidR="00B57ABD" w:rsidRPr="00C95BE5" w14:paraId="23C15A30" w14:textId="77777777" w:rsidTr="00B57ABD">
        <w:trPr>
          <w:trHeight w:val="254"/>
        </w:trPr>
        <w:tc>
          <w:tcPr>
            <w:tcW w:w="1422" w:type="pct"/>
            <w:tcBorders>
              <w:bottom w:val="single" w:sz="4" w:space="0" w:color="auto"/>
            </w:tcBorders>
          </w:tcPr>
          <w:p w14:paraId="03AE6248" w14:textId="77777777" w:rsidR="00D7265C" w:rsidRPr="00C95BE5" w:rsidRDefault="00D7265C" w:rsidP="00B57ABD">
            <w:pPr>
              <w:pStyle w:val="ListParagraph"/>
              <w:numPr>
                <w:ilvl w:val="0"/>
                <w:numId w:val="46"/>
              </w:numPr>
              <w:rPr>
                <w:rFonts w:ascii="Times New Roman" w:hAnsi="Times New Roman" w:cs="Times New Roman"/>
                <w:sz w:val="24"/>
                <w:szCs w:val="24"/>
              </w:rPr>
            </w:pPr>
            <w:r w:rsidRPr="00C95BE5">
              <w:rPr>
                <w:rFonts w:ascii="Times New Roman" w:hAnsi="Times New Roman" w:cs="Times New Roman"/>
                <w:sz w:val="24"/>
                <w:szCs w:val="24"/>
              </w:rPr>
              <w:t xml:space="preserve">inCLASS Peer Sociability </w:t>
            </w:r>
          </w:p>
        </w:tc>
        <w:tc>
          <w:tcPr>
            <w:tcW w:w="310" w:type="pct"/>
            <w:tcBorders>
              <w:bottom w:val="single" w:sz="4" w:space="0" w:color="auto"/>
            </w:tcBorders>
          </w:tcPr>
          <w:p w14:paraId="53FD0952"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3.05</w:t>
            </w:r>
          </w:p>
        </w:tc>
        <w:tc>
          <w:tcPr>
            <w:tcW w:w="310" w:type="pct"/>
            <w:tcBorders>
              <w:bottom w:val="single" w:sz="4" w:space="0" w:color="auto"/>
            </w:tcBorders>
          </w:tcPr>
          <w:p w14:paraId="2D5B6C3A"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1.06</w:t>
            </w:r>
          </w:p>
        </w:tc>
        <w:tc>
          <w:tcPr>
            <w:tcW w:w="347" w:type="pct"/>
            <w:tcBorders>
              <w:bottom w:val="single" w:sz="4" w:space="0" w:color="auto"/>
            </w:tcBorders>
          </w:tcPr>
          <w:p w14:paraId="3F0C539E" w14:textId="4F711C58" w:rsidR="00D7265C" w:rsidRPr="00D7265C" w:rsidRDefault="00D7265C" w:rsidP="003C4D2C">
            <w:pPr>
              <w:contextualSpacing/>
              <w:rPr>
                <w:rFonts w:ascii="Times New Roman" w:hAnsi="Times New Roman" w:cs="Times New Roman"/>
                <w:sz w:val="24"/>
                <w:szCs w:val="24"/>
              </w:rPr>
            </w:pPr>
            <w:r>
              <w:rPr>
                <w:rFonts w:ascii="Times New Roman" w:hAnsi="Times New Roman" w:cs="Times New Roman"/>
                <w:sz w:val="24"/>
                <w:szCs w:val="24"/>
              </w:rPr>
              <w:t>1-7</w:t>
            </w:r>
          </w:p>
        </w:tc>
        <w:tc>
          <w:tcPr>
            <w:tcW w:w="344" w:type="pct"/>
            <w:tcBorders>
              <w:bottom w:val="single" w:sz="4" w:space="0" w:color="auto"/>
            </w:tcBorders>
          </w:tcPr>
          <w:p w14:paraId="2753B3F4" w14:textId="2731DD8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.17**</w:t>
            </w:r>
          </w:p>
        </w:tc>
        <w:tc>
          <w:tcPr>
            <w:tcW w:w="292" w:type="pct"/>
            <w:tcBorders>
              <w:bottom w:val="single" w:sz="4" w:space="0" w:color="auto"/>
            </w:tcBorders>
          </w:tcPr>
          <w:p w14:paraId="512B6B09"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.12</w:t>
            </w:r>
          </w:p>
        </w:tc>
        <w:tc>
          <w:tcPr>
            <w:tcW w:w="342" w:type="pct"/>
            <w:tcBorders>
              <w:bottom w:val="single" w:sz="4" w:space="0" w:color="auto"/>
            </w:tcBorders>
          </w:tcPr>
          <w:p w14:paraId="09B6187B"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.17*</w:t>
            </w:r>
          </w:p>
        </w:tc>
        <w:tc>
          <w:tcPr>
            <w:tcW w:w="348" w:type="pct"/>
            <w:tcBorders>
              <w:bottom w:val="single" w:sz="4" w:space="0" w:color="auto"/>
            </w:tcBorders>
          </w:tcPr>
          <w:p w14:paraId="29D5E2DA"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.16*</w:t>
            </w:r>
          </w:p>
        </w:tc>
        <w:tc>
          <w:tcPr>
            <w:tcW w:w="400" w:type="pct"/>
            <w:tcBorders>
              <w:bottom w:val="single" w:sz="4" w:space="0" w:color="auto"/>
            </w:tcBorders>
          </w:tcPr>
          <w:p w14:paraId="0D6C9991"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.09</w:t>
            </w:r>
          </w:p>
        </w:tc>
        <w:tc>
          <w:tcPr>
            <w:tcW w:w="294" w:type="pct"/>
            <w:tcBorders>
              <w:bottom w:val="single" w:sz="4" w:space="0" w:color="auto"/>
            </w:tcBorders>
          </w:tcPr>
          <w:p w14:paraId="1A4C1763"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.15*</w:t>
            </w:r>
          </w:p>
        </w:tc>
        <w:tc>
          <w:tcPr>
            <w:tcW w:w="292" w:type="pct"/>
            <w:tcBorders>
              <w:bottom w:val="single" w:sz="4" w:space="0" w:color="auto"/>
            </w:tcBorders>
          </w:tcPr>
          <w:p w14:paraId="7429DDEB"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.15</w:t>
            </w:r>
          </w:p>
        </w:tc>
        <w:tc>
          <w:tcPr>
            <w:tcW w:w="298" w:type="pct"/>
            <w:tcBorders>
              <w:bottom w:val="single" w:sz="4" w:space="0" w:color="auto"/>
            </w:tcBorders>
          </w:tcPr>
          <w:p w14:paraId="05337FFA" w14:textId="77777777" w:rsidR="00D7265C" w:rsidRPr="00C95BE5" w:rsidRDefault="00D7265C" w:rsidP="003C4D2C">
            <w:pPr>
              <w:contextualSpacing/>
              <w:rPr>
                <w:rFonts w:ascii="Times New Roman" w:hAnsi="Times New Roman" w:cs="Times New Roman"/>
                <w:sz w:val="24"/>
                <w:szCs w:val="24"/>
              </w:rPr>
            </w:pPr>
            <w:r w:rsidRPr="00C95BE5">
              <w:rPr>
                <w:rFonts w:ascii="Times New Roman" w:hAnsi="Times New Roman" w:cs="Times New Roman"/>
                <w:sz w:val="24"/>
                <w:szCs w:val="24"/>
              </w:rPr>
              <w:t>-.16*</w:t>
            </w:r>
          </w:p>
        </w:tc>
      </w:tr>
    </w:tbl>
    <w:p w14:paraId="4BAD9809" w14:textId="78AC05B1" w:rsidR="003C4D2C" w:rsidRPr="00C95BE5" w:rsidRDefault="003C4D2C" w:rsidP="00775284">
      <w:pPr>
        <w:spacing w:line="240" w:lineRule="auto"/>
        <w:contextualSpacing/>
        <w:rPr>
          <w:sz w:val="20"/>
          <w:szCs w:val="20"/>
        </w:rPr>
      </w:pPr>
      <w:r w:rsidRPr="00C95BE5">
        <w:rPr>
          <w:sz w:val="20"/>
          <w:szCs w:val="20"/>
        </w:rPr>
        <w:t xml:space="preserve">Note: </w:t>
      </w:r>
      <w:r w:rsidR="00775284">
        <w:rPr>
          <w:sz w:val="20"/>
          <w:szCs w:val="20"/>
        </w:rPr>
        <w:t xml:space="preserve">WJ = Woodcock Johnson. EOWPVT=Expressive One Word Picture Vocabulary </w:t>
      </w:r>
      <w:proofErr w:type="gramStart"/>
      <w:r w:rsidR="00775284">
        <w:rPr>
          <w:sz w:val="20"/>
          <w:szCs w:val="20"/>
        </w:rPr>
        <w:t>Test..</w:t>
      </w:r>
      <w:proofErr w:type="gramEnd"/>
      <w:r w:rsidR="00775284">
        <w:rPr>
          <w:sz w:val="20"/>
          <w:szCs w:val="20"/>
        </w:rPr>
        <w:t xml:space="preserve"> HTKS=Head Toes Knees Shoulders Task. DECA = Devereaux Early Childhood Assessment. </w:t>
      </w:r>
      <w:r w:rsidRPr="00C95BE5">
        <w:rPr>
          <w:sz w:val="20"/>
          <w:szCs w:val="20"/>
        </w:rPr>
        <w:t>** p&lt;.01, * p &lt; .05</w:t>
      </w:r>
    </w:p>
    <w:p w14:paraId="7ACEB135" w14:textId="77777777" w:rsidR="003C4D2C" w:rsidRDefault="003C4D2C" w:rsidP="003C4D2C">
      <w:pPr>
        <w:contextualSpacing/>
      </w:pPr>
    </w:p>
    <w:p w14:paraId="66714845" w14:textId="77777777" w:rsidR="003C4D2C" w:rsidRDefault="003C4D2C" w:rsidP="003C4D2C">
      <w:pPr>
        <w:contextualSpacing/>
      </w:pPr>
    </w:p>
    <w:p w14:paraId="22EE6F63" w14:textId="77777777" w:rsidR="003C4D2C" w:rsidRDefault="003C4D2C" w:rsidP="003C4D2C">
      <w:pPr>
        <w:contextualSpacing/>
      </w:pPr>
    </w:p>
    <w:p w14:paraId="3033E728" w14:textId="77777777" w:rsidR="003C4D2C" w:rsidRDefault="003C4D2C" w:rsidP="003C4D2C">
      <w:pPr>
        <w:contextualSpacing/>
      </w:pPr>
    </w:p>
    <w:p w14:paraId="5237BA3A" w14:textId="77777777" w:rsidR="003C4D2C" w:rsidRDefault="003C4D2C" w:rsidP="003C4D2C">
      <w:pPr>
        <w:contextualSpacing/>
        <w:sectPr w:rsidR="003C4D2C" w:rsidSect="00D86CCC">
          <w:type w:val="continuous"/>
          <w:pgSz w:w="15840" w:h="12240" w:orient="landscape"/>
          <w:pgMar w:top="1440" w:right="1440" w:bottom="1440" w:left="1440" w:header="720" w:footer="720" w:gutter="0"/>
          <w:cols w:space="720"/>
          <w:docGrid w:linePitch="360"/>
        </w:sectPr>
      </w:pPr>
    </w:p>
    <w:p w14:paraId="3EF034F6" w14:textId="45093662" w:rsidR="003C4D2C" w:rsidRDefault="003C4D2C" w:rsidP="003C4D2C">
      <w:pPr>
        <w:contextualSpacing/>
      </w:pPr>
      <w:r>
        <w:lastRenderedPageBreak/>
        <w:t>statistical fit.</w:t>
      </w:r>
      <w:r w:rsidR="007C1CBE">
        <w:t xml:space="preserve"> </w:t>
      </w:r>
      <w:r>
        <w:t xml:space="preserve">However, it was able to discern an additional class through greater differentiation of the profiles. </w:t>
      </w:r>
    </w:p>
    <w:p w14:paraId="4018379A" w14:textId="1BD038F8" w:rsidR="00814C51" w:rsidRDefault="00814C51" w:rsidP="00814C51">
      <w:pPr>
        <w:pStyle w:val="Caption"/>
        <w:rPr>
          <w:i/>
          <w:iCs w:val="0"/>
        </w:rPr>
      </w:pPr>
      <w:bookmarkStart w:id="105" w:name="_Toc44366128"/>
      <w:r>
        <w:t xml:space="preserve">Table </w:t>
      </w:r>
      <w:fldSimple w:instr=" SEQ Table \* ARABIC ">
        <w:r w:rsidR="002039BE">
          <w:rPr>
            <w:noProof/>
          </w:rPr>
          <w:t>5</w:t>
        </w:r>
        <w:bookmarkEnd w:id="105"/>
      </w:fldSimple>
    </w:p>
    <w:p w14:paraId="6AD50BB7" w14:textId="7B9FE4C4" w:rsidR="003C4D2C" w:rsidRPr="00C95BE5" w:rsidRDefault="003C4D2C" w:rsidP="003C4D2C">
      <w:pPr>
        <w:spacing w:after="160" w:line="259" w:lineRule="auto"/>
        <w:rPr>
          <w:i/>
          <w:iCs/>
        </w:rPr>
      </w:pPr>
      <w:r w:rsidRPr="00C95BE5">
        <w:rPr>
          <w:i/>
          <w:iCs/>
        </w:rPr>
        <w:t xml:space="preserve">Model Fit </w:t>
      </w:r>
      <w:r>
        <w:rPr>
          <w:i/>
          <w:iCs/>
        </w:rPr>
        <w:t xml:space="preserve">Indices </w:t>
      </w:r>
    </w:p>
    <w:tbl>
      <w:tblPr>
        <w:tblStyle w:val="TableGridLight"/>
        <w:tblW w:w="9483" w:type="dxa"/>
        <w:tblLook w:val="04A0" w:firstRow="1" w:lastRow="0" w:firstColumn="1" w:lastColumn="0" w:noHBand="0" w:noVBand="1"/>
      </w:tblPr>
      <w:tblGrid>
        <w:gridCol w:w="843"/>
        <w:gridCol w:w="1190"/>
        <w:gridCol w:w="996"/>
        <w:gridCol w:w="996"/>
        <w:gridCol w:w="996"/>
        <w:gridCol w:w="990"/>
        <w:gridCol w:w="1043"/>
        <w:gridCol w:w="790"/>
        <w:gridCol w:w="830"/>
        <w:gridCol w:w="809"/>
      </w:tblGrid>
      <w:tr w:rsidR="003468D4" w:rsidRPr="00C95BE5" w14:paraId="7197CC25" w14:textId="77777777" w:rsidTr="003468D4">
        <w:tc>
          <w:tcPr>
            <w:tcW w:w="843" w:type="dxa"/>
            <w:tcBorders>
              <w:top w:val="single" w:sz="4" w:space="0" w:color="auto"/>
              <w:bottom w:val="single" w:sz="4" w:space="0" w:color="auto"/>
            </w:tcBorders>
          </w:tcPr>
          <w:p w14:paraId="0A2F653E" w14:textId="77777777" w:rsidR="003468D4" w:rsidRPr="00C95BE5" w:rsidRDefault="003468D4" w:rsidP="005A44C2">
            <w:pPr>
              <w:contextualSpacing/>
              <w:jc w:val="center"/>
              <w:rPr>
                <w:rFonts w:ascii="Times New Roman" w:hAnsi="Times New Roman"/>
                <w:sz w:val="24"/>
              </w:rPr>
            </w:pPr>
            <w:bookmarkStart w:id="106" w:name="_Hlk41395922"/>
            <w:r w:rsidRPr="00C95BE5">
              <w:rPr>
                <w:rFonts w:ascii="Times New Roman" w:hAnsi="Times New Roman"/>
                <w:sz w:val="24"/>
              </w:rPr>
              <w:t>Model</w:t>
            </w:r>
          </w:p>
        </w:tc>
        <w:tc>
          <w:tcPr>
            <w:tcW w:w="1190" w:type="dxa"/>
            <w:tcBorders>
              <w:top w:val="single" w:sz="4" w:space="0" w:color="auto"/>
              <w:bottom w:val="single" w:sz="4" w:space="0" w:color="auto"/>
            </w:tcBorders>
          </w:tcPr>
          <w:p w14:paraId="574BB571"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Log likelihood</w:t>
            </w:r>
          </w:p>
        </w:tc>
        <w:tc>
          <w:tcPr>
            <w:tcW w:w="996" w:type="dxa"/>
            <w:tcBorders>
              <w:top w:val="single" w:sz="4" w:space="0" w:color="auto"/>
              <w:bottom w:val="single" w:sz="4" w:space="0" w:color="auto"/>
            </w:tcBorders>
          </w:tcPr>
          <w:p w14:paraId="0E7C998E"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AIC</w:t>
            </w:r>
          </w:p>
        </w:tc>
        <w:tc>
          <w:tcPr>
            <w:tcW w:w="996" w:type="dxa"/>
            <w:tcBorders>
              <w:top w:val="single" w:sz="4" w:space="0" w:color="auto"/>
              <w:bottom w:val="single" w:sz="4" w:space="0" w:color="auto"/>
            </w:tcBorders>
          </w:tcPr>
          <w:p w14:paraId="5D1B8678"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BIC</w:t>
            </w:r>
          </w:p>
        </w:tc>
        <w:tc>
          <w:tcPr>
            <w:tcW w:w="996" w:type="dxa"/>
            <w:tcBorders>
              <w:top w:val="single" w:sz="4" w:space="0" w:color="auto"/>
              <w:bottom w:val="single" w:sz="4" w:space="0" w:color="auto"/>
            </w:tcBorders>
          </w:tcPr>
          <w:p w14:paraId="0402980B"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SABIC</w:t>
            </w:r>
          </w:p>
        </w:tc>
        <w:tc>
          <w:tcPr>
            <w:tcW w:w="990" w:type="dxa"/>
            <w:tcBorders>
              <w:top w:val="single" w:sz="4" w:space="0" w:color="auto"/>
              <w:bottom w:val="single" w:sz="4" w:space="0" w:color="auto"/>
            </w:tcBorders>
          </w:tcPr>
          <w:p w14:paraId="728F876E"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Entropy</w:t>
            </w:r>
          </w:p>
        </w:tc>
        <w:tc>
          <w:tcPr>
            <w:tcW w:w="1043" w:type="dxa"/>
            <w:tcBorders>
              <w:top w:val="single" w:sz="4" w:space="0" w:color="auto"/>
              <w:bottom w:val="single" w:sz="4" w:space="0" w:color="auto"/>
            </w:tcBorders>
          </w:tcPr>
          <w:p w14:paraId="074B71F6"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Smallest class %</w:t>
            </w:r>
          </w:p>
        </w:tc>
        <w:tc>
          <w:tcPr>
            <w:tcW w:w="790" w:type="dxa"/>
            <w:tcBorders>
              <w:top w:val="single" w:sz="4" w:space="0" w:color="auto"/>
              <w:bottom w:val="single" w:sz="4" w:space="0" w:color="auto"/>
            </w:tcBorders>
          </w:tcPr>
          <w:p w14:paraId="745FAC87" w14:textId="6B848F0B"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LM</w:t>
            </w:r>
            <w:r>
              <w:rPr>
                <w:rFonts w:ascii="Times New Roman" w:hAnsi="Times New Roman"/>
                <w:sz w:val="24"/>
              </w:rPr>
              <w:t>R</w:t>
            </w:r>
            <w:r w:rsidRPr="00C95BE5">
              <w:rPr>
                <w:rFonts w:ascii="Times New Roman" w:hAnsi="Times New Roman"/>
                <w:sz w:val="24"/>
              </w:rPr>
              <w:t xml:space="preserve"> Value</w:t>
            </w:r>
          </w:p>
        </w:tc>
        <w:tc>
          <w:tcPr>
            <w:tcW w:w="830" w:type="dxa"/>
            <w:tcBorders>
              <w:top w:val="single" w:sz="4" w:space="0" w:color="auto"/>
              <w:bottom w:val="single" w:sz="4" w:space="0" w:color="auto"/>
            </w:tcBorders>
          </w:tcPr>
          <w:p w14:paraId="36810630"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BLRT</w:t>
            </w:r>
          </w:p>
        </w:tc>
        <w:tc>
          <w:tcPr>
            <w:tcW w:w="809" w:type="dxa"/>
            <w:tcBorders>
              <w:top w:val="single" w:sz="4" w:space="0" w:color="auto"/>
              <w:bottom w:val="single" w:sz="4" w:space="0" w:color="auto"/>
            </w:tcBorders>
          </w:tcPr>
          <w:p w14:paraId="0ED7384E" w14:textId="14332A50" w:rsidR="003468D4" w:rsidRPr="00C95BE5" w:rsidRDefault="003468D4" w:rsidP="005A44C2">
            <w:pPr>
              <w:contextualSpacing/>
              <w:jc w:val="center"/>
              <w:rPr>
                <w:rFonts w:ascii="Times New Roman" w:hAnsi="Times New Roman"/>
                <w:sz w:val="24"/>
              </w:rPr>
            </w:pPr>
            <w:r>
              <w:rPr>
                <w:rFonts w:ascii="Times New Roman" w:hAnsi="Times New Roman"/>
                <w:sz w:val="24"/>
              </w:rPr>
              <w:t xml:space="preserve">Inter. </w:t>
            </w:r>
          </w:p>
        </w:tc>
      </w:tr>
      <w:tr w:rsidR="003468D4" w:rsidRPr="00C95BE5" w14:paraId="44219B56" w14:textId="77777777" w:rsidTr="003468D4">
        <w:tc>
          <w:tcPr>
            <w:tcW w:w="843" w:type="dxa"/>
            <w:tcBorders>
              <w:top w:val="single" w:sz="4" w:space="0" w:color="auto"/>
            </w:tcBorders>
          </w:tcPr>
          <w:p w14:paraId="677F900A"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1</w:t>
            </w:r>
          </w:p>
        </w:tc>
        <w:tc>
          <w:tcPr>
            <w:tcW w:w="1190" w:type="dxa"/>
            <w:tcBorders>
              <w:top w:val="single" w:sz="4" w:space="0" w:color="auto"/>
            </w:tcBorders>
          </w:tcPr>
          <w:p w14:paraId="23C5BF5A"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-2024</w:t>
            </w:r>
          </w:p>
        </w:tc>
        <w:tc>
          <w:tcPr>
            <w:tcW w:w="996" w:type="dxa"/>
            <w:tcBorders>
              <w:top w:val="single" w:sz="4" w:space="0" w:color="auto"/>
            </w:tcBorders>
          </w:tcPr>
          <w:p w14:paraId="744AB2DD"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4073.81</w:t>
            </w:r>
          </w:p>
        </w:tc>
        <w:tc>
          <w:tcPr>
            <w:tcW w:w="996" w:type="dxa"/>
            <w:tcBorders>
              <w:top w:val="single" w:sz="4" w:space="0" w:color="auto"/>
            </w:tcBorders>
          </w:tcPr>
          <w:p w14:paraId="70BCB9F3"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4120.81</w:t>
            </w:r>
          </w:p>
        </w:tc>
        <w:tc>
          <w:tcPr>
            <w:tcW w:w="996" w:type="dxa"/>
            <w:tcBorders>
              <w:top w:val="single" w:sz="4" w:space="0" w:color="auto"/>
            </w:tcBorders>
          </w:tcPr>
          <w:p w14:paraId="13368E40"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4082.2</w:t>
            </w:r>
          </w:p>
        </w:tc>
        <w:tc>
          <w:tcPr>
            <w:tcW w:w="990" w:type="dxa"/>
            <w:tcBorders>
              <w:top w:val="single" w:sz="4" w:space="0" w:color="auto"/>
            </w:tcBorders>
          </w:tcPr>
          <w:p w14:paraId="2EFBE12D" w14:textId="77777777" w:rsidR="003468D4" w:rsidRPr="00C95BE5" w:rsidRDefault="003468D4" w:rsidP="005A44C2">
            <w:pPr>
              <w:contextualSpacing/>
              <w:jc w:val="center"/>
              <w:rPr>
                <w:rFonts w:ascii="Times New Roman" w:hAnsi="Times New Roman"/>
                <w:sz w:val="24"/>
              </w:rPr>
            </w:pPr>
          </w:p>
        </w:tc>
        <w:tc>
          <w:tcPr>
            <w:tcW w:w="1043" w:type="dxa"/>
            <w:tcBorders>
              <w:top w:val="single" w:sz="4" w:space="0" w:color="auto"/>
            </w:tcBorders>
          </w:tcPr>
          <w:p w14:paraId="0FFA5078" w14:textId="77777777" w:rsidR="003468D4" w:rsidRPr="00C95BE5" w:rsidRDefault="003468D4" w:rsidP="005A44C2">
            <w:pPr>
              <w:contextualSpacing/>
              <w:jc w:val="center"/>
              <w:rPr>
                <w:rFonts w:ascii="Times New Roman" w:hAnsi="Times New Roman"/>
                <w:sz w:val="24"/>
              </w:rPr>
            </w:pPr>
          </w:p>
        </w:tc>
        <w:tc>
          <w:tcPr>
            <w:tcW w:w="790" w:type="dxa"/>
            <w:tcBorders>
              <w:top w:val="single" w:sz="4" w:space="0" w:color="auto"/>
            </w:tcBorders>
          </w:tcPr>
          <w:p w14:paraId="10EDCC43" w14:textId="77777777" w:rsidR="003468D4" w:rsidRPr="00C95BE5" w:rsidRDefault="003468D4" w:rsidP="005A44C2">
            <w:pPr>
              <w:contextualSpacing/>
              <w:jc w:val="center"/>
              <w:rPr>
                <w:rFonts w:ascii="Times New Roman" w:hAnsi="Times New Roman"/>
                <w:sz w:val="24"/>
              </w:rPr>
            </w:pPr>
          </w:p>
        </w:tc>
        <w:tc>
          <w:tcPr>
            <w:tcW w:w="830" w:type="dxa"/>
            <w:tcBorders>
              <w:top w:val="single" w:sz="4" w:space="0" w:color="auto"/>
            </w:tcBorders>
          </w:tcPr>
          <w:p w14:paraId="5F66A8C3" w14:textId="77777777" w:rsidR="003468D4" w:rsidRPr="00C95BE5" w:rsidRDefault="003468D4" w:rsidP="005A44C2">
            <w:pPr>
              <w:contextualSpacing/>
              <w:jc w:val="center"/>
              <w:rPr>
                <w:rFonts w:ascii="Times New Roman" w:hAnsi="Times New Roman"/>
                <w:sz w:val="24"/>
              </w:rPr>
            </w:pPr>
          </w:p>
        </w:tc>
        <w:tc>
          <w:tcPr>
            <w:tcW w:w="809" w:type="dxa"/>
            <w:tcBorders>
              <w:top w:val="single" w:sz="4" w:space="0" w:color="auto"/>
            </w:tcBorders>
          </w:tcPr>
          <w:p w14:paraId="00652AA5" w14:textId="77777777" w:rsidR="003468D4" w:rsidRPr="00C95BE5" w:rsidRDefault="003468D4" w:rsidP="005A44C2">
            <w:pPr>
              <w:contextualSpacing/>
              <w:jc w:val="center"/>
              <w:rPr>
                <w:rFonts w:ascii="Times New Roman" w:hAnsi="Times New Roman"/>
                <w:sz w:val="24"/>
              </w:rPr>
            </w:pPr>
          </w:p>
        </w:tc>
      </w:tr>
      <w:tr w:rsidR="003468D4" w:rsidRPr="00C95BE5" w14:paraId="31999ECC" w14:textId="77777777" w:rsidTr="003468D4">
        <w:tc>
          <w:tcPr>
            <w:tcW w:w="843" w:type="dxa"/>
          </w:tcPr>
          <w:p w14:paraId="58511034"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2</w:t>
            </w:r>
          </w:p>
        </w:tc>
        <w:tc>
          <w:tcPr>
            <w:tcW w:w="1190" w:type="dxa"/>
          </w:tcPr>
          <w:p w14:paraId="38E77A93"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-1917.64</w:t>
            </w:r>
          </w:p>
        </w:tc>
        <w:tc>
          <w:tcPr>
            <w:tcW w:w="996" w:type="dxa"/>
          </w:tcPr>
          <w:p w14:paraId="23563185"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3979.29</w:t>
            </w:r>
          </w:p>
        </w:tc>
        <w:tc>
          <w:tcPr>
            <w:tcW w:w="996" w:type="dxa"/>
          </w:tcPr>
          <w:p w14:paraId="3CB6862C"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3964.47</w:t>
            </w:r>
          </w:p>
        </w:tc>
        <w:tc>
          <w:tcPr>
            <w:tcW w:w="996" w:type="dxa"/>
          </w:tcPr>
          <w:p w14:paraId="41460B12"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3894.68</w:t>
            </w:r>
          </w:p>
        </w:tc>
        <w:tc>
          <w:tcPr>
            <w:tcW w:w="990" w:type="dxa"/>
          </w:tcPr>
          <w:p w14:paraId="37237726"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81</w:t>
            </w:r>
          </w:p>
        </w:tc>
        <w:tc>
          <w:tcPr>
            <w:tcW w:w="1043" w:type="dxa"/>
          </w:tcPr>
          <w:p w14:paraId="669EBCD3"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22</w:t>
            </w:r>
          </w:p>
        </w:tc>
        <w:tc>
          <w:tcPr>
            <w:tcW w:w="790" w:type="dxa"/>
          </w:tcPr>
          <w:p w14:paraId="72BEEA8D"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.06</w:t>
            </w:r>
          </w:p>
        </w:tc>
        <w:tc>
          <w:tcPr>
            <w:tcW w:w="830" w:type="dxa"/>
          </w:tcPr>
          <w:p w14:paraId="2869FA69"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.001</w:t>
            </w:r>
          </w:p>
        </w:tc>
        <w:tc>
          <w:tcPr>
            <w:tcW w:w="809" w:type="dxa"/>
          </w:tcPr>
          <w:p w14:paraId="04B868D0"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2&gt;1</w:t>
            </w:r>
          </w:p>
        </w:tc>
      </w:tr>
      <w:tr w:rsidR="003468D4" w:rsidRPr="00C95BE5" w14:paraId="1C075EB2" w14:textId="77777777" w:rsidTr="003468D4">
        <w:tc>
          <w:tcPr>
            <w:tcW w:w="843" w:type="dxa"/>
          </w:tcPr>
          <w:p w14:paraId="6D6DCA87"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w:t>
            </w:r>
          </w:p>
        </w:tc>
        <w:tc>
          <w:tcPr>
            <w:tcW w:w="1190" w:type="dxa"/>
          </w:tcPr>
          <w:p w14:paraId="27FF95C1"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-1862</w:t>
            </w:r>
          </w:p>
        </w:tc>
        <w:tc>
          <w:tcPr>
            <w:tcW w:w="996" w:type="dxa"/>
          </w:tcPr>
          <w:p w14:paraId="1320D892"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3788.01</w:t>
            </w:r>
          </w:p>
        </w:tc>
        <w:tc>
          <w:tcPr>
            <w:tcW w:w="996" w:type="dxa"/>
          </w:tcPr>
          <w:p w14:paraId="6E210924"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3977.91</w:t>
            </w:r>
          </w:p>
        </w:tc>
        <w:tc>
          <w:tcPr>
            <w:tcW w:w="996" w:type="dxa"/>
          </w:tcPr>
          <w:p w14:paraId="04689B73"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3810.4</w:t>
            </w:r>
          </w:p>
        </w:tc>
        <w:tc>
          <w:tcPr>
            <w:tcW w:w="990" w:type="dxa"/>
          </w:tcPr>
          <w:p w14:paraId="3C203783"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73</w:t>
            </w:r>
          </w:p>
        </w:tc>
        <w:tc>
          <w:tcPr>
            <w:tcW w:w="1043" w:type="dxa"/>
          </w:tcPr>
          <w:p w14:paraId="3AFE60ED"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15</w:t>
            </w:r>
          </w:p>
        </w:tc>
        <w:tc>
          <w:tcPr>
            <w:tcW w:w="790" w:type="dxa"/>
          </w:tcPr>
          <w:p w14:paraId="4BD930C0"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.00</w:t>
            </w:r>
          </w:p>
        </w:tc>
        <w:tc>
          <w:tcPr>
            <w:tcW w:w="830" w:type="dxa"/>
          </w:tcPr>
          <w:p w14:paraId="5BC7918E"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.001</w:t>
            </w:r>
          </w:p>
        </w:tc>
        <w:tc>
          <w:tcPr>
            <w:tcW w:w="809" w:type="dxa"/>
          </w:tcPr>
          <w:p w14:paraId="1227CD9B"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3&gt;2</w:t>
            </w:r>
          </w:p>
        </w:tc>
      </w:tr>
      <w:tr w:rsidR="003468D4" w:rsidRPr="00C95BE5" w14:paraId="275D0528" w14:textId="77777777" w:rsidTr="003468D4">
        <w:tc>
          <w:tcPr>
            <w:tcW w:w="843" w:type="dxa"/>
          </w:tcPr>
          <w:p w14:paraId="61C88CA8"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4</w:t>
            </w:r>
          </w:p>
        </w:tc>
        <w:tc>
          <w:tcPr>
            <w:tcW w:w="1190" w:type="dxa"/>
          </w:tcPr>
          <w:p w14:paraId="65C8F97F"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-1831</w:t>
            </w:r>
          </w:p>
        </w:tc>
        <w:tc>
          <w:tcPr>
            <w:tcW w:w="996" w:type="dxa"/>
          </w:tcPr>
          <w:p w14:paraId="6A186FA0"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3747.3</w:t>
            </w:r>
          </w:p>
        </w:tc>
        <w:tc>
          <w:tcPr>
            <w:tcW w:w="996" w:type="dxa"/>
          </w:tcPr>
          <w:p w14:paraId="467F3BF2"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3909.9</w:t>
            </w:r>
          </w:p>
        </w:tc>
        <w:tc>
          <w:tcPr>
            <w:tcW w:w="996" w:type="dxa"/>
          </w:tcPr>
          <w:p w14:paraId="1A2B7F32"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3776.69</w:t>
            </w:r>
          </w:p>
        </w:tc>
        <w:tc>
          <w:tcPr>
            <w:tcW w:w="990" w:type="dxa"/>
          </w:tcPr>
          <w:p w14:paraId="11BB5132"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75</w:t>
            </w:r>
          </w:p>
        </w:tc>
        <w:tc>
          <w:tcPr>
            <w:tcW w:w="1043" w:type="dxa"/>
          </w:tcPr>
          <w:p w14:paraId="5A26AF33"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7</w:t>
            </w:r>
          </w:p>
        </w:tc>
        <w:tc>
          <w:tcPr>
            <w:tcW w:w="790" w:type="dxa"/>
          </w:tcPr>
          <w:p w14:paraId="191C0EAC"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.06</w:t>
            </w:r>
          </w:p>
        </w:tc>
        <w:tc>
          <w:tcPr>
            <w:tcW w:w="830" w:type="dxa"/>
          </w:tcPr>
          <w:p w14:paraId="0EEBB19E"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.001</w:t>
            </w:r>
          </w:p>
        </w:tc>
        <w:tc>
          <w:tcPr>
            <w:tcW w:w="809" w:type="dxa"/>
          </w:tcPr>
          <w:p w14:paraId="0309BB24"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4&gt;3</w:t>
            </w:r>
          </w:p>
        </w:tc>
      </w:tr>
      <w:tr w:rsidR="003468D4" w:rsidRPr="00C95BE5" w14:paraId="2057C6D8" w14:textId="77777777" w:rsidTr="003468D4">
        <w:tc>
          <w:tcPr>
            <w:tcW w:w="843" w:type="dxa"/>
          </w:tcPr>
          <w:p w14:paraId="369BA866"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5</w:t>
            </w:r>
          </w:p>
        </w:tc>
        <w:tc>
          <w:tcPr>
            <w:tcW w:w="1190" w:type="dxa"/>
          </w:tcPr>
          <w:p w14:paraId="0C982BDF"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-1807.33</w:t>
            </w:r>
          </w:p>
        </w:tc>
        <w:tc>
          <w:tcPr>
            <w:tcW w:w="996" w:type="dxa"/>
          </w:tcPr>
          <w:p w14:paraId="44D7C32F"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3718.66</w:t>
            </w:r>
          </w:p>
        </w:tc>
        <w:tc>
          <w:tcPr>
            <w:tcW w:w="996" w:type="dxa"/>
          </w:tcPr>
          <w:p w14:paraId="2467AC41"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3920.01</w:t>
            </w:r>
          </w:p>
        </w:tc>
        <w:tc>
          <w:tcPr>
            <w:tcW w:w="996" w:type="dxa"/>
          </w:tcPr>
          <w:p w14:paraId="38480CB6"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3755.04</w:t>
            </w:r>
          </w:p>
        </w:tc>
        <w:tc>
          <w:tcPr>
            <w:tcW w:w="990" w:type="dxa"/>
          </w:tcPr>
          <w:p w14:paraId="3F1C6674"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76</w:t>
            </w:r>
          </w:p>
        </w:tc>
        <w:tc>
          <w:tcPr>
            <w:tcW w:w="1043" w:type="dxa"/>
          </w:tcPr>
          <w:p w14:paraId="3F933CCB"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5</w:t>
            </w:r>
          </w:p>
        </w:tc>
        <w:tc>
          <w:tcPr>
            <w:tcW w:w="790" w:type="dxa"/>
          </w:tcPr>
          <w:p w14:paraId="0E900A9F"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.6</w:t>
            </w:r>
          </w:p>
        </w:tc>
        <w:tc>
          <w:tcPr>
            <w:tcW w:w="830" w:type="dxa"/>
          </w:tcPr>
          <w:p w14:paraId="1F43A1D1"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.001</w:t>
            </w:r>
          </w:p>
        </w:tc>
        <w:tc>
          <w:tcPr>
            <w:tcW w:w="809" w:type="dxa"/>
          </w:tcPr>
          <w:p w14:paraId="00A3A0AD" w14:textId="77777777" w:rsidR="003468D4" w:rsidRPr="00C95BE5" w:rsidRDefault="003468D4" w:rsidP="005A44C2">
            <w:pPr>
              <w:contextualSpacing/>
              <w:jc w:val="center"/>
              <w:rPr>
                <w:rFonts w:ascii="Times New Roman" w:hAnsi="Times New Roman"/>
                <w:sz w:val="24"/>
              </w:rPr>
            </w:pPr>
            <w:r w:rsidRPr="00C95BE5">
              <w:rPr>
                <w:rFonts w:ascii="Times New Roman" w:hAnsi="Times New Roman"/>
                <w:sz w:val="24"/>
              </w:rPr>
              <w:t>5&gt;4</w:t>
            </w:r>
          </w:p>
        </w:tc>
      </w:tr>
    </w:tbl>
    <w:bookmarkEnd w:id="106"/>
    <w:p w14:paraId="62741692" w14:textId="7FAD18DF" w:rsidR="003C4D2C" w:rsidRPr="00775284" w:rsidRDefault="00775284" w:rsidP="003C4D2C">
      <w:pPr>
        <w:contextualSpacing/>
        <w:rPr>
          <w:sz w:val="20"/>
          <w:szCs w:val="20"/>
        </w:rPr>
      </w:pPr>
      <w:r w:rsidRPr="00775284">
        <w:rPr>
          <w:sz w:val="20"/>
          <w:szCs w:val="20"/>
        </w:rPr>
        <w:t xml:space="preserve">Note: </w:t>
      </w:r>
      <w:r w:rsidR="003468D4">
        <w:rPr>
          <w:sz w:val="20"/>
          <w:szCs w:val="20"/>
        </w:rPr>
        <w:t xml:space="preserve">LMP = Lo </w:t>
      </w:r>
      <w:proofErr w:type="spellStart"/>
      <w:r w:rsidR="003468D4">
        <w:rPr>
          <w:sz w:val="20"/>
          <w:szCs w:val="20"/>
        </w:rPr>
        <w:t>Mendell</w:t>
      </w:r>
      <w:proofErr w:type="spellEnd"/>
      <w:r w:rsidR="003468D4">
        <w:rPr>
          <w:sz w:val="20"/>
          <w:szCs w:val="20"/>
        </w:rPr>
        <w:t xml:space="preserve"> Rubin test. BLRT =</w:t>
      </w:r>
      <w:r w:rsidR="003468D4" w:rsidRPr="003468D4">
        <w:t xml:space="preserve"> </w:t>
      </w:r>
      <w:r w:rsidR="003468D4" w:rsidRPr="003468D4">
        <w:rPr>
          <w:sz w:val="20"/>
          <w:szCs w:val="20"/>
        </w:rPr>
        <w:t>bootstrap likelihood ratio test</w:t>
      </w:r>
      <w:r w:rsidR="003468D4">
        <w:rPr>
          <w:sz w:val="16"/>
          <w:szCs w:val="16"/>
        </w:rPr>
        <w:t xml:space="preserve">. Inter=Interpretation. </w:t>
      </w:r>
    </w:p>
    <w:p w14:paraId="1A92DD09" w14:textId="35C03267" w:rsidR="003C4D2C" w:rsidRDefault="003C4D2C" w:rsidP="003C4D2C">
      <w:pPr>
        <w:ind w:firstLine="720"/>
        <w:contextualSpacing/>
      </w:pPr>
      <w:r>
        <w:t>Table 6 presents the latent profile membership proportions and means for each of the AtL measures, while Figure 1 graphically depicts the patterns.</w:t>
      </w:r>
      <w:r w:rsidR="007C1CBE">
        <w:t xml:space="preserve"> </w:t>
      </w:r>
      <w:r w:rsidR="00B57ABD">
        <w:t>M</w:t>
      </w:r>
      <w:r>
        <w:t xml:space="preserve">ultinomial logistic regression was conducted to determine whether class membership could be used to predict demographic characteristics, gender, age categories, home language, and ethnicity. These results are presented in </w:t>
      </w:r>
      <w:r w:rsidR="00B57ABD">
        <w:t>T</w:t>
      </w:r>
      <w:r>
        <w:t xml:space="preserve">able 7. </w:t>
      </w:r>
    </w:p>
    <w:p w14:paraId="0F3652FA" w14:textId="65B99421" w:rsidR="003C4D2C" w:rsidRPr="00EC00CB" w:rsidRDefault="003C4D2C" w:rsidP="00EC00CB">
      <w:pPr>
        <w:ind w:firstLine="720"/>
        <w:rPr>
          <w:vanish/>
          <w:specVanish/>
        </w:rPr>
      </w:pPr>
      <w:r>
        <w:t xml:space="preserve">Profile 1, </w:t>
      </w:r>
      <w:r w:rsidRPr="00090234">
        <w:rPr>
          <w:i/>
          <w:iCs/>
        </w:rPr>
        <w:t>low approaches to learning</w:t>
      </w:r>
      <w:r>
        <w:t>, was the smallest profile (5%) and represented children who had low AtL. The children in this profile were rated low on classroom observations of their independence and involvement with tasks. This group also had the lowest rated attention. In terms of demographics, boys (β = 1.2</w:t>
      </w:r>
      <w:r w:rsidR="005833DE">
        <w:t>8</w:t>
      </w:r>
      <w:r>
        <w:t xml:space="preserve">, </w:t>
      </w:r>
      <w:r>
        <w:rPr>
          <w:i/>
          <w:iCs/>
        </w:rPr>
        <w:t xml:space="preserve">SE </w:t>
      </w:r>
      <w:r>
        <w:t xml:space="preserve">= .62, p &lt; .01) </w:t>
      </w:r>
      <w:r w:rsidR="005833DE">
        <w:t xml:space="preserve">were more likely to be in profile 1 than girls. </w:t>
      </w:r>
      <w:r>
        <w:t xml:space="preserve">Children whose home language was Spanish were </w:t>
      </w:r>
      <w:r w:rsidR="005833DE">
        <w:t xml:space="preserve">slightly more likely to be in profile 5 than profile 1 (β = -1.73, </w:t>
      </w:r>
      <w:r w:rsidR="005833DE">
        <w:rPr>
          <w:i/>
          <w:iCs/>
        </w:rPr>
        <w:t xml:space="preserve">SE </w:t>
      </w:r>
      <w:r w:rsidR="005833DE">
        <w:t>= .98, p =.06)</w:t>
      </w:r>
      <w:proofErr w:type="gramStart"/>
      <w:r w:rsidR="005833DE">
        <w:t xml:space="preserve">.  </w:t>
      </w:r>
      <w:proofErr w:type="gramEnd"/>
      <w:r w:rsidR="005833DE">
        <w:t xml:space="preserve"> </w:t>
      </w:r>
      <w:r>
        <w:t xml:space="preserve"> </w:t>
      </w:r>
    </w:p>
    <w:p w14:paraId="5D0AE0D9" w14:textId="77777777" w:rsidR="00EC00CB" w:rsidRDefault="00EC00CB" w:rsidP="00EC00CB">
      <w:pPr>
        <w:pStyle w:val="Caption"/>
        <w:ind w:firstLine="720"/>
      </w:pPr>
      <w:r>
        <w:t xml:space="preserve"> </w:t>
      </w:r>
    </w:p>
    <w:p w14:paraId="2C60A86F" w14:textId="5DA7A8C3" w:rsidR="005833DE" w:rsidRPr="00EC00CB" w:rsidRDefault="00EC00CB" w:rsidP="0022759B">
      <w:pPr>
        <w:ind w:firstLine="720"/>
        <w:rPr>
          <w:vanish/>
          <w:specVanish/>
        </w:rPr>
      </w:pPr>
      <w:r w:rsidRPr="00EC00CB">
        <w:t xml:space="preserve">Profile 2 represented 8% of the sample and is characterized as </w:t>
      </w:r>
      <w:r w:rsidRPr="005833DE">
        <w:rPr>
          <w:i/>
          <w:iCs/>
        </w:rPr>
        <w:t>social/dependent</w:t>
      </w:r>
      <w:r w:rsidRPr="00EC00CB">
        <w:t>. This group had high ratings of adaptive behavior and medium ratings of emotion management and initiative. However, this group had below average attention (</w:t>
      </w:r>
      <w:r w:rsidRPr="005833DE">
        <w:rPr>
          <w:i/>
          <w:iCs/>
        </w:rPr>
        <w:t>M</w:t>
      </w:r>
      <w:r w:rsidRPr="00EC00CB">
        <w:t xml:space="preserve"> = </w:t>
      </w:r>
      <w:r w:rsidR="005833DE">
        <w:t>-</w:t>
      </w:r>
      <w:r w:rsidRPr="00EC00CB">
        <w:t>1. 46) and independence scores (</w:t>
      </w:r>
      <w:r w:rsidRPr="005833DE">
        <w:rPr>
          <w:i/>
          <w:iCs/>
        </w:rPr>
        <w:t>M</w:t>
      </w:r>
      <w:r w:rsidRPr="00EC00CB">
        <w:t xml:space="preserve"> =</w:t>
      </w:r>
      <w:r w:rsidR="005833DE">
        <w:t xml:space="preserve"> -</w:t>
      </w:r>
      <w:r w:rsidRPr="00EC00CB">
        <w:t xml:space="preserve"> .47). Compared to profile 5, profile 2 had significantly more </w:t>
      </w:r>
      <w:r w:rsidR="005833DE">
        <w:t xml:space="preserve">male students (β </w:t>
      </w:r>
      <w:r w:rsidR="005833DE">
        <w:lastRenderedPageBreak/>
        <w:t xml:space="preserve">=1.06, </w:t>
      </w:r>
      <w:r w:rsidR="005833DE">
        <w:rPr>
          <w:i/>
          <w:iCs/>
        </w:rPr>
        <w:t xml:space="preserve">SE </w:t>
      </w:r>
      <w:r w:rsidR="005833DE">
        <w:t xml:space="preserve">= .45, p&lt;.05) and students whose home language was Spanish (β = 1.42, </w:t>
      </w:r>
      <w:r w:rsidR="005833DE">
        <w:rPr>
          <w:i/>
          <w:iCs/>
        </w:rPr>
        <w:t xml:space="preserve">SE </w:t>
      </w:r>
      <w:r w:rsidR="005833DE">
        <w:t xml:space="preserve">= .76, </w:t>
      </w:r>
      <w:r w:rsidR="002039BE">
        <w:rPr>
          <w:i/>
          <w:iCs/>
        </w:rPr>
        <w:t>p</w:t>
      </w:r>
      <w:r w:rsidR="002039BE">
        <w:t xml:space="preserve">  </w:t>
      </w:r>
      <w:r w:rsidR="005833DE">
        <w:t>&lt;.05)</w:t>
      </w:r>
      <w:proofErr w:type="gramStart"/>
      <w:r w:rsidR="005D7B14">
        <w:t>.</w:t>
      </w:r>
      <w:r w:rsidR="005833DE">
        <w:t xml:space="preserve">  </w:t>
      </w:r>
      <w:proofErr w:type="gramEnd"/>
      <w:r w:rsidR="005833DE">
        <w:t xml:space="preserve"> </w:t>
      </w:r>
    </w:p>
    <w:p w14:paraId="1F52FF41" w14:textId="132A6838" w:rsidR="005833DE" w:rsidRPr="00EC00CB" w:rsidRDefault="005833DE" w:rsidP="005833DE">
      <w:pPr>
        <w:ind w:firstLine="720"/>
        <w:rPr>
          <w:vanish/>
          <w:specVanish/>
        </w:rPr>
      </w:pPr>
      <w:r>
        <w:t xml:space="preserve">    </w:t>
      </w:r>
    </w:p>
    <w:p w14:paraId="467A87E8" w14:textId="4E173176" w:rsidR="005833DE" w:rsidRDefault="005833DE" w:rsidP="005833DE">
      <w:r>
        <w:t xml:space="preserve">  </w:t>
      </w:r>
    </w:p>
    <w:p w14:paraId="3219F6D8" w14:textId="032F6A2A" w:rsidR="003C4D2C" w:rsidRPr="00EC00CB" w:rsidRDefault="009A67E6" w:rsidP="005833DE">
      <w:pPr>
        <w:rPr>
          <w:vanish/>
          <w:specVanish/>
        </w:rPr>
      </w:pPr>
      <w:bookmarkStart w:id="107" w:name="_Toc44366129"/>
      <w:r>
        <w:t xml:space="preserve">Table </w:t>
      </w:r>
      <w:fldSimple w:instr=" SEQ Table \* ARABIC ">
        <w:r w:rsidR="002039BE">
          <w:rPr>
            <w:noProof/>
          </w:rPr>
          <w:t>6</w:t>
        </w:r>
        <w:bookmarkEnd w:id="107"/>
      </w:fldSimple>
    </w:p>
    <w:tbl>
      <w:tblPr>
        <w:tblStyle w:val="TableGridLight"/>
        <w:tblpPr w:leftFromText="180" w:rightFromText="180" w:vertAnchor="text" w:horzAnchor="margin" w:tblpY="458"/>
        <w:tblW w:w="5000" w:type="pct"/>
        <w:tblLook w:val="04A0" w:firstRow="1" w:lastRow="0" w:firstColumn="1" w:lastColumn="0" w:noHBand="0" w:noVBand="1"/>
      </w:tblPr>
      <w:tblGrid>
        <w:gridCol w:w="2391"/>
        <w:gridCol w:w="1401"/>
        <w:gridCol w:w="1401"/>
        <w:gridCol w:w="1395"/>
        <w:gridCol w:w="1395"/>
        <w:gridCol w:w="1367"/>
      </w:tblGrid>
      <w:tr w:rsidR="003C4D2C" w:rsidRPr="00C95BE5" w14:paraId="23D85550" w14:textId="77777777" w:rsidTr="00B841A8">
        <w:tc>
          <w:tcPr>
            <w:tcW w:w="1279" w:type="pct"/>
            <w:tcBorders>
              <w:top w:val="single" w:sz="4" w:space="0" w:color="auto"/>
              <w:bottom w:val="single" w:sz="4" w:space="0" w:color="auto"/>
            </w:tcBorders>
          </w:tcPr>
          <w:p w14:paraId="291F94E3" w14:textId="2219AB51" w:rsidR="003C4D2C" w:rsidRPr="00C95BE5" w:rsidRDefault="00EC00CB" w:rsidP="003C4D2C">
            <w:pPr>
              <w:contextualSpacing/>
              <w:rPr>
                <w:rFonts w:ascii="Times New Roman" w:hAnsi="Times New Roman" w:cs="Times New Roman"/>
                <w:sz w:val="24"/>
                <w:szCs w:val="24"/>
              </w:rPr>
            </w:pPr>
            <w:r>
              <w:rPr>
                <w:rFonts w:ascii="Times New Roman" w:hAnsi="Times New Roman" w:cs="Times New Roman"/>
                <w:sz w:val="24"/>
                <w:szCs w:val="24"/>
              </w:rPr>
              <w:t xml:space="preserve"> </w:t>
            </w:r>
            <w:r w:rsidR="003C4D2C" w:rsidRPr="00C95BE5">
              <w:rPr>
                <w:rFonts w:ascii="Times New Roman" w:hAnsi="Times New Roman" w:cs="Times New Roman"/>
                <w:sz w:val="24"/>
                <w:szCs w:val="24"/>
              </w:rPr>
              <w:t>Variable</w:t>
            </w:r>
          </w:p>
        </w:tc>
        <w:tc>
          <w:tcPr>
            <w:tcW w:w="749" w:type="pct"/>
            <w:tcBorders>
              <w:top w:val="single" w:sz="4" w:space="0" w:color="auto"/>
              <w:bottom w:val="single" w:sz="4" w:space="0" w:color="auto"/>
            </w:tcBorders>
          </w:tcPr>
          <w:p w14:paraId="3B9F88D4"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Profile 1</w:t>
            </w:r>
          </w:p>
          <w:p w14:paraId="725107FA"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Low Approaches to Learning</w:t>
            </w:r>
          </w:p>
          <w:p w14:paraId="29ABEF4B"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(n=18)</w:t>
            </w:r>
          </w:p>
        </w:tc>
        <w:tc>
          <w:tcPr>
            <w:tcW w:w="749" w:type="pct"/>
            <w:tcBorders>
              <w:top w:val="single" w:sz="4" w:space="0" w:color="auto"/>
              <w:bottom w:val="single" w:sz="4" w:space="0" w:color="auto"/>
            </w:tcBorders>
          </w:tcPr>
          <w:p w14:paraId="4407D242"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Profile 2</w:t>
            </w:r>
          </w:p>
          <w:p w14:paraId="7B1A08C9"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Social Dependent</w:t>
            </w:r>
          </w:p>
          <w:p w14:paraId="30D00CEB"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(n=30)</w:t>
            </w:r>
          </w:p>
        </w:tc>
        <w:tc>
          <w:tcPr>
            <w:tcW w:w="746" w:type="pct"/>
            <w:tcBorders>
              <w:top w:val="single" w:sz="4" w:space="0" w:color="auto"/>
              <w:bottom w:val="single" w:sz="4" w:space="0" w:color="auto"/>
            </w:tcBorders>
          </w:tcPr>
          <w:p w14:paraId="388C5DA0"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Profile 3</w:t>
            </w:r>
          </w:p>
          <w:p w14:paraId="7BF09D2F"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Middle of the Road</w:t>
            </w:r>
          </w:p>
          <w:p w14:paraId="58CB2103"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(n=164)</w:t>
            </w:r>
          </w:p>
        </w:tc>
        <w:tc>
          <w:tcPr>
            <w:tcW w:w="746" w:type="pct"/>
            <w:tcBorders>
              <w:top w:val="single" w:sz="4" w:space="0" w:color="auto"/>
              <w:bottom w:val="single" w:sz="4" w:space="0" w:color="auto"/>
            </w:tcBorders>
          </w:tcPr>
          <w:p w14:paraId="03BE638F"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Profile 4</w:t>
            </w:r>
          </w:p>
          <w:p w14:paraId="39FE14E7" w14:textId="77777777" w:rsidR="003C4D2C" w:rsidRPr="00C95BE5" w:rsidRDefault="003C4D2C" w:rsidP="003C4D2C">
            <w:pPr>
              <w:contextualSpacing/>
              <w:jc w:val="center"/>
              <w:rPr>
                <w:rFonts w:ascii="Times New Roman" w:hAnsi="Times New Roman" w:cs="Times New Roman"/>
                <w:sz w:val="24"/>
                <w:szCs w:val="24"/>
              </w:rPr>
            </w:pPr>
            <w:r>
              <w:rPr>
                <w:rFonts w:ascii="Times New Roman" w:hAnsi="Times New Roman" w:cs="Times New Roman"/>
                <w:sz w:val="24"/>
                <w:szCs w:val="24"/>
              </w:rPr>
              <w:t xml:space="preserve">Low Teacher Ratings </w:t>
            </w:r>
          </w:p>
          <w:p w14:paraId="6374C559"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(n=26)</w:t>
            </w:r>
          </w:p>
        </w:tc>
        <w:tc>
          <w:tcPr>
            <w:tcW w:w="731" w:type="pct"/>
            <w:tcBorders>
              <w:top w:val="single" w:sz="4" w:space="0" w:color="auto"/>
              <w:bottom w:val="single" w:sz="4" w:space="0" w:color="auto"/>
            </w:tcBorders>
          </w:tcPr>
          <w:p w14:paraId="11C3C299"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Profile 5</w:t>
            </w:r>
          </w:p>
          <w:p w14:paraId="1E0D2434"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Positive Approaches to Learning</w:t>
            </w:r>
          </w:p>
          <w:p w14:paraId="79329057"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(n=117)</w:t>
            </w:r>
          </w:p>
        </w:tc>
      </w:tr>
      <w:tr w:rsidR="003C4D2C" w:rsidRPr="00C95BE5" w14:paraId="00518508" w14:textId="77777777" w:rsidTr="00B841A8">
        <w:tc>
          <w:tcPr>
            <w:tcW w:w="1279" w:type="pct"/>
            <w:tcBorders>
              <w:top w:val="single" w:sz="4" w:space="0" w:color="auto"/>
            </w:tcBorders>
          </w:tcPr>
          <w:p w14:paraId="3D4DB3B5" w14:textId="77777777" w:rsidR="003C4D2C" w:rsidRPr="00C95BE5" w:rsidRDefault="003C4D2C" w:rsidP="003C4D2C">
            <w:pPr>
              <w:contextualSpacing/>
              <w:rPr>
                <w:rFonts w:ascii="Times New Roman" w:hAnsi="Times New Roman" w:cs="Times New Roman"/>
                <w:sz w:val="24"/>
                <w:szCs w:val="24"/>
              </w:rPr>
            </w:pPr>
            <w:r w:rsidRPr="00C95BE5">
              <w:rPr>
                <w:rFonts w:ascii="Times New Roman" w:hAnsi="Times New Roman" w:cs="Times New Roman"/>
                <w:sz w:val="24"/>
                <w:szCs w:val="24"/>
              </w:rPr>
              <w:t>Adaptive</w:t>
            </w:r>
          </w:p>
        </w:tc>
        <w:tc>
          <w:tcPr>
            <w:tcW w:w="749" w:type="pct"/>
            <w:tcBorders>
              <w:top w:val="single" w:sz="4" w:space="0" w:color="auto"/>
            </w:tcBorders>
          </w:tcPr>
          <w:p w14:paraId="68F3F1D4"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2</w:t>
            </w:r>
          </w:p>
        </w:tc>
        <w:tc>
          <w:tcPr>
            <w:tcW w:w="749" w:type="pct"/>
            <w:tcBorders>
              <w:top w:val="single" w:sz="4" w:space="0" w:color="auto"/>
            </w:tcBorders>
          </w:tcPr>
          <w:p w14:paraId="7191525D"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3</w:t>
            </w:r>
          </w:p>
        </w:tc>
        <w:tc>
          <w:tcPr>
            <w:tcW w:w="746" w:type="pct"/>
            <w:tcBorders>
              <w:top w:val="single" w:sz="4" w:space="0" w:color="auto"/>
            </w:tcBorders>
          </w:tcPr>
          <w:p w14:paraId="6F11BFC1"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2</w:t>
            </w:r>
          </w:p>
        </w:tc>
        <w:tc>
          <w:tcPr>
            <w:tcW w:w="746" w:type="pct"/>
            <w:tcBorders>
              <w:top w:val="single" w:sz="4" w:space="0" w:color="auto"/>
            </w:tcBorders>
          </w:tcPr>
          <w:p w14:paraId="16F646A0"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1</w:t>
            </w:r>
          </w:p>
        </w:tc>
        <w:tc>
          <w:tcPr>
            <w:tcW w:w="731" w:type="pct"/>
            <w:tcBorders>
              <w:top w:val="single" w:sz="4" w:space="0" w:color="auto"/>
            </w:tcBorders>
          </w:tcPr>
          <w:p w14:paraId="0100372E"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3</w:t>
            </w:r>
          </w:p>
        </w:tc>
      </w:tr>
      <w:tr w:rsidR="003C4D2C" w:rsidRPr="00C95BE5" w14:paraId="6019A170" w14:textId="77777777" w:rsidTr="00B841A8">
        <w:tc>
          <w:tcPr>
            <w:tcW w:w="1279" w:type="pct"/>
          </w:tcPr>
          <w:p w14:paraId="5269228D" w14:textId="77777777" w:rsidR="003C4D2C" w:rsidRPr="00C95BE5" w:rsidRDefault="003C4D2C" w:rsidP="003C4D2C">
            <w:pPr>
              <w:contextualSpacing/>
              <w:rPr>
                <w:rFonts w:ascii="Times New Roman" w:hAnsi="Times New Roman" w:cs="Times New Roman"/>
                <w:sz w:val="24"/>
                <w:szCs w:val="24"/>
              </w:rPr>
            </w:pPr>
            <w:r w:rsidRPr="00C95BE5">
              <w:rPr>
                <w:rFonts w:ascii="Times New Roman" w:hAnsi="Times New Roman" w:cs="Times New Roman"/>
                <w:sz w:val="24"/>
                <w:szCs w:val="24"/>
              </w:rPr>
              <w:t xml:space="preserve">Emotion Management </w:t>
            </w:r>
          </w:p>
        </w:tc>
        <w:tc>
          <w:tcPr>
            <w:tcW w:w="749" w:type="pct"/>
          </w:tcPr>
          <w:p w14:paraId="265F6BBA"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1</w:t>
            </w:r>
          </w:p>
        </w:tc>
        <w:tc>
          <w:tcPr>
            <w:tcW w:w="749" w:type="pct"/>
          </w:tcPr>
          <w:p w14:paraId="35B48D3F"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2</w:t>
            </w:r>
          </w:p>
        </w:tc>
        <w:tc>
          <w:tcPr>
            <w:tcW w:w="746" w:type="pct"/>
          </w:tcPr>
          <w:p w14:paraId="6A9B7915"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2</w:t>
            </w:r>
          </w:p>
        </w:tc>
        <w:tc>
          <w:tcPr>
            <w:tcW w:w="746" w:type="pct"/>
          </w:tcPr>
          <w:p w14:paraId="69811A9B"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1</w:t>
            </w:r>
          </w:p>
        </w:tc>
        <w:tc>
          <w:tcPr>
            <w:tcW w:w="731" w:type="pct"/>
          </w:tcPr>
          <w:p w14:paraId="18E68F71"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3</w:t>
            </w:r>
          </w:p>
        </w:tc>
      </w:tr>
      <w:tr w:rsidR="003C4D2C" w:rsidRPr="00C95BE5" w14:paraId="226A8141" w14:textId="77777777" w:rsidTr="00B841A8">
        <w:tc>
          <w:tcPr>
            <w:tcW w:w="1279" w:type="pct"/>
          </w:tcPr>
          <w:p w14:paraId="52533927" w14:textId="77777777" w:rsidR="003C4D2C" w:rsidRPr="00C95BE5" w:rsidRDefault="003C4D2C" w:rsidP="003C4D2C">
            <w:pPr>
              <w:contextualSpacing/>
              <w:rPr>
                <w:rFonts w:ascii="Times New Roman" w:hAnsi="Times New Roman" w:cs="Times New Roman"/>
                <w:sz w:val="24"/>
                <w:szCs w:val="24"/>
              </w:rPr>
            </w:pPr>
            <w:r w:rsidRPr="00C95BE5">
              <w:rPr>
                <w:rFonts w:ascii="Times New Roman" w:hAnsi="Times New Roman" w:cs="Times New Roman"/>
                <w:sz w:val="24"/>
                <w:szCs w:val="24"/>
              </w:rPr>
              <w:t xml:space="preserve">Initiative </w:t>
            </w:r>
          </w:p>
        </w:tc>
        <w:tc>
          <w:tcPr>
            <w:tcW w:w="749" w:type="pct"/>
          </w:tcPr>
          <w:p w14:paraId="5DC4637C"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1</w:t>
            </w:r>
          </w:p>
        </w:tc>
        <w:tc>
          <w:tcPr>
            <w:tcW w:w="749" w:type="pct"/>
          </w:tcPr>
          <w:p w14:paraId="52296F7A"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2</w:t>
            </w:r>
          </w:p>
        </w:tc>
        <w:tc>
          <w:tcPr>
            <w:tcW w:w="746" w:type="pct"/>
          </w:tcPr>
          <w:p w14:paraId="1AA67696"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2</w:t>
            </w:r>
          </w:p>
        </w:tc>
        <w:tc>
          <w:tcPr>
            <w:tcW w:w="746" w:type="pct"/>
          </w:tcPr>
          <w:p w14:paraId="7F20151B"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1</w:t>
            </w:r>
          </w:p>
        </w:tc>
        <w:tc>
          <w:tcPr>
            <w:tcW w:w="731" w:type="pct"/>
          </w:tcPr>
          <w:p w14:paraId="0CD6AAFE"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3</w:t>
            </w:r>
          </w:p>
        </w:tc>
      </w:tr>
      <w:tr w:rsidR="003C4D2C" w:rsidRPr="00C95BE5" w14:paraId="1AE7B624" w14:textId="77777777" w:rsidTr="00B841A8">
        <w:tc>
          <w:tcPr>
            <w:tcW w:w="1279" w:type="pct"/>
          </w:tcPr>
          <w:p w14:paraId="6AED702E" w14:textId="77777777" w:rsidR="003C4D2C" w:rsidRPr="00C95BE5" w:rsidRDefault="003C4D2C" w:rsidP="003C4D2C">
            <w:pPr>
              <w:contextualSpacing/>
              <w:rPr>
                <w:rFonts w:ascii="Times New Roman" w:hAnsi="Times New Roman" w:cs="Times New Roman"/>
                <w:sz w:val="24"/>
                <w:szCs w:val="24"/>
              </w:rPr>
            </w:pPr>
            <w:r w:rsidRPr="00C95BE5">
              <w:rPr>
                <w:rFonts w:ascii="Times New Roman" w:hAnsi="Times New Roman" w:cs="Times New Roman"/>
                <w:sz w:val="24"/>
                <w:szCs w:val="24"/>
              </w:rPr>
              <w:t xml:space="preserve">Involvement with Tasks </w:t>
            </w:r>
          </w:p>
        </w:tc>
        <w:tc>
          <w:tcPr>
            <w:tcW w:w="749" w:type="pct"/>
          </w:tcPr>
          <w:p w14:paraId="31F57F2F"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-.93</w:t>
            </w:r>
          </w:p>
        </w:tc>
        <w:tc>
          <w:tcPr>
            <w:tcW w:w="749" w:type="pct"/>
          </w:tcPr>
          <w:p w14:paraId="321D0C43"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.094</w:t>
            </w:r>
          </w:p>
        </w:tc>
        <w:tc>
          <w:tcPr>
            <w:tcW w:w="746" w:type="pct"/>
          </w:tcPr>
          <w:p w14:paraId="1F6C262E"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-.130</w:t>
            </w:r>
          </w:p>
        </w:tc>
        <w:tc>
          <w:tcPr>
            <w:tcW w:w="746" w:type="pct"/>
          </w:tcPr>
          <w:p w14:paraId="13018343"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-.47</w:t>
            </w:r>
          </w:p>
        </w:tc>
        <w:tc>
          <w:tcPr>
            <w:tcW w:w="731" w:type="pct"/>
          </w:tcPr>
          <w:p w14:paraId="3C155EEE"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.457</w:t>
            </w:r>
          </w:p>
        </w:tc>
      </w:tr>
      <w:tr w:rsidR="003C4D2C" w:rsidRPr="00C95BE5" w14:paraId="5BABA292" w14:textId="77777777" w:rsidTr="00B841A8">
        <w:tc>
          <w:tcPr>
            <w:tcW w:w="1279" w:type="pct"/>
            <w:tcBorders>
              <w:bottom w:val="single" w:sz="4" w:space="0" w:color="BFBFBF" w:themeColor="background1" w:themeShade="BF"/>
            </w:tcBorders>
          </w:tcPr>
          <w:p w14:paraId="46434936" w14:textId="77777777" w:rsidR="003C4D2C" w:rsidRPr="00C95BE5" w:rsidRDefault="003C4D2C" w:rsidP="003C4D2C">
            <w:pPr>
              <w:contextualSpacing/>
              <w:rPr>
                <w:rFonts w:ascii="Times New Roman" w:hAnsi="Times New Roman" w:cs="Times New Roman"/>
                <w:sz w:val="24"/>
                <w:szCs w:val="24"/>
              </w:rPr>
            </w:pPr>
            <w:r w:rsidRPr="00C95BE5">
              <w:rPr>
                <w:rFonts w:ascii="Times New Roman" w:hAnsi="Times New Roman" w:cs="Times New Roman"/>
                <w:sz w:val="24"/>
                <w:szCs w:val="24"/>
              </w:rPr>
              <w:t xml:space="preserve">Independence </w:t>
            </w:r>
          </w:p>
        </w:tc>
        <w:tc>
          <w:tcPr>
            <w:tcW w:w="749" w:type="pct"/>
            <w:tcBorders>
              <w:bottom w:val="single" w:sz="4" w:space="0" w:color="BFBFBF" w:themeColor="background1" w:themeShade="BF"/>
            </w:tcBorders>
          </w:tcPr>
          <w:p w14:paraId="1E5C770F"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-.48</w:t>
            </w:r>
          </w:p>
        </w:tc>
        <w:tc>
          <w:tcPr>
            <w:tcW w:w="749" w:type="pct"/>
            <w:tcBorders>
              <w:bottom w:val="single" w:sz="4" w:space="0" w:color="BFBFBF" w:themeColor="background1" w:themeShade="BF"/>
            </w:tcBorders>
          </w:tcPr>
          <w:p w14:paraId="5C503724"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-.468</w:t>
            </w:r>
          </w:p>
        </w:tc>
        <w:tc>
          <w:tcPr>
            <w:tcW w:w="746" w:type="pct"/>
            <w:tcBorders>
              <w:bottom w:val="single" w:sz="4" w:space="0" w:color="BFBFBF" w:themeColor="background1" w:themeShade="BF"/>
            </w:tcBorders>
          </w:tcPr>
          <w:p w14:paraId="0C603EDE"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-.178</w:t>
            </w:r>
          </w:p>
        </w:tc>
        <w:tc>
          <w:tcPr>
            <w:tcW w:w="746" w:type="pct"/>
            <w:tcBorders>
              <w:bottom w:val="single" w:sz="4" w:space="0" w:color="BFBFBF" w:themeColor="background1" w:themeShade="BF"/>
            </w:tcBorders>
          </w:tcPr>
          <w:p w14:paraId="63587581"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-.39</w:t>
            </w:r>
          </w:p>
        </w:tc>
        <w:tc>
          <w:tcPr>
            <w:tcW w:w="731" w:type="pct"/>
            <w:tcBorders>
              <w:bottom w:val="single" w:sz="4" w:space="0" w:color="BFBFBF" w:themeColor="background1" w:themeShade="BF"/>
            </w:tcBorders>
          </w:tcPr>
          <w:p w14:paraId="53A0D22B"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.568</w:t>
            </w:r>
          </w:p>
        </w:tc>
      </w:tr>
      <w:tr w:rsidR="003C4D2C" w:rsidRPr="00C95BE5" w14:paraId="42DA26A2" w14:textId="77777777" w:rsidTr="00B841A8">
        <w:tc>
          <w:tcPr>
            <w:tcW w:w="1279" w:type="pct"/>
            <w:tcBorders>
              <w:bottom w:val="single" w:sz="4" w:space="0" w:color="auto"/>
            </w:tcBorders>
          </w:tcPr>
          <w:p w14:paraId="6288AAE8" w14:textId="77777777" w:rsidR="003C4D2C" w:rsidRPr="00C95BE5" w:rsidRDefault="003C4D2C" w:rsidP="003C4D2C">
            <w:pPr>
              <w:contextualSpacing/>
              <w:rPr>
                <w:rFonts w:ascii="Times New Roman" w:hAnsi="Times New Roman" w:cs="Times New Roman"/>
                <w:sz w:val="24"/>
                <w:szCs w:val="24"/>
              </w:rPr>
            </w:pPr>
            <w:r w:rsidRPr="00C95BE5">
              <w:rPr>
                <w:rFonts w:ascii="Times New Roman" w:hAnsi="Times New Roman" w:cs="Times New Roman"/>
                <w:sz w:val="24"/>
                <w:szCs w:val="24"/>
              </w:rPr>
              <w:t>Attention</w:t>
            </w:r>
          </w:p>
        </w:tc>
        <w:tc>
          <w:tcPr>
            <w:tcW w:w="749" w:type="pct"/>
            <w:tcBorders>
              <w:bottom w:val="single" w:sz="4" w:space="0" w:color="auto"/>
            </w:tcBorders>
          </w:tcPr>
          <w:p w14:paraId="30116764"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-2.669</w:t>
            </w:r>
          </w:p>
        </w:tc>
        <w:tc>
          <w:tcPr>
            <w:tcW w:w="749" w:type="pct"/>
            <w:tcBorders>
              <w:bottom w:val="single" w:sz="4" w:space="0" w:color="auto"/>
            </w:tcBorders>
          </w:tcPr>
          <w:p w14:paraId="26B82A64"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-1.459</w:t>
            </w:r>
          </w:p>
        </w:tc>
        <w:tc>
          <w:tcPr>
            <w:tcW w:w="746" w:type="pct"/>
            <w:tcBorders>
              <w:bottom w:val="single" w:sz="4" w:space="0" w:color="auto"/>
            </w:tcBorders>
          </w:tcPr>
          <w:p w14:paraId="023F079D"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.439</w:t>
            </w:r>
          </w:p>
        </w:tc>
        <w:tc>
          <w:tcPr>
            <w:tcW w:w="746" w:type="pct"/>
            <w:tcBorders>
              <w:bottom w:val="single" w:sz="4" w:space="0" w:color="auto"/>
            </w:tcBorders>
          </w:tcPr>
          <w:p w14:paraId="4713B7E0"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.176</w:t>
            </w:r>
          </w:p>
        </w:tc>
        <w:tc>
          <w:tcPr>
            <w:tcW w:w="731" w:type="pct"/>
            <w:tcBorders>
              <w:bottom w:val="single" w:sz="4" w:space="0" w:color="auto"/>
            </w:tcBorders>
          </w:tcPr>
          <w:p w14:paraId="5A81DBCD"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.329</w:t>
            </w:r>
          </w:p>
        </w:tc>
      </w:tr>
    </w:tbl>
    <w:p w14:paraId="4608E28D" w14:textId="77777777" w:rsidR="003C4D2C" w:rsidRPr="0013383A" w:rsidRDefault="003C4D2C" w:rsidP="003C4D2C">
      <w:pPr>
        <w:rPr>
          <w:i/>
          <w:iCs/>
        </w:rPr>
      </w:pPr>
      <w:r>
        <w:rPr>
          <w:i/>
          <w:iCs/>
        </w:rPr>
        <w:t>Five</w:t>
      </w:r>
      <w:r w:rsidRPr="0013383A">
        <w:rPr>
          <w:i/>
          <w:iCs/>
        </w:rPr>
        <w:t xml:space="preserve">-Profile Model Results </w:t>
      </w:r>
    </w:p>
    <w:p w14:paraId="5DE822EC" w14:textId="77777777" w:rsidR="003C4D2C" w:rsidRPr="00C95BE5" w:rsidRDefault="003C4D2C" w:rsidP="003C4D2C"/>
    <w:p w14:paraId="796D81BC" w14:textId="43325461" w:rsidR="00E875F6" w:rsidRDefault="002F33E8" w:rsidP="002F33E8">
      <w:pPr>
        <w:pStyle w:val="Caption"/>
        <w:rPr>
          <w:iCs w:val="0"/>
        </w:rPr>
      </w:pPr>
      <w:bookmarkStart w:id="108" w:name="_Toc44346052"/>
      <w:bookmarkStart w:id="109" w:name="_Hlk40821815"/>
      <w:r>
        <w:t xml:space="preserve">Figure </w:t>
      </w:r>
      <w:r>
        <w:fldChar w:fldCharType="begin"/>
      </w:r>
      <w:r>
        <w:instrText xml:space="preserve"> SEQ Figure \</w:instrText>
      </w:r>
      <w:r w:rsidR="002A6055">
        <w:instrText>r 1 \</w:instrText>
      </w:r>
      <w:r>
        <w:instrText xml:space="preserve">* ARABIC </w:instrText>
      </w:r>
      <w:r>
        <w:fldChar w:fldCharType="separate"/>
      </w:r>
      <w:r w:rsidR="002039BE">
        <w:rPr>
          <w:noProof/>
        </w:rPr>
        <w:t>1</w:t>
      </w:r>
      <w:bookmarkEnd w:id="108"/>
      <w:r>
        <w:fldChar w:fldCharType="end"/>
      </w:r>
    </w:p>
    <w:p w14:paraId="206C6C36" w14:textId="6DA54C50" w:rsidR="003C4D2C" w:rsidRPr="005A44C2" w:rsidRDefault="003C4D2C" w:rsidP="003C4D2C">
      <w:pPr>
        <w:rPr>
          <w:i/>
        </w:rPr>
      </w:pPr>
      <w:r w:rsidRPr="005A44C2">
        <w:rPr>
          <w:i/>
        </w:rPr>
        <w:t xml:space="preserve">Latent Profiles </w:t>
      </w:r>
    </w:p>
    <w:p w14:paraId="7A801A6C" w14:textId="77777777" w:rsidR="003C4D2C" w:rsidRPr="00C95BE5" w:rsidRDefault="003C4D2C" w:rsidP="003C4D2C">
      <w:pPr>
        <w:rPr>
          <w:iCs/>
        </w:rPr>
      </w:pPr>
      <w:r w:rsidRPr="00C95BE5">
        <w:rPr>
          <w:noProof/>
        </w:rPr>
        <w:drawing>
          <wp:inline distT="0" distB="0" distL="0" distR="0" wp14:anchorId="2195A4F6" wp14:editId="04E632A2">
            <wp:extent cx="6127750" cy="2901950"/>
            <wp:effectExtent l="0" t="0" r="6350" b="12700"/>
            <wp:docPr id="9" name="Chart 9">
              <a:extLst xmlns:a="http://schemas.openxmlformats.org/drawingml/2006/main">
                <a:ext uri="{FF2B5EF4-FFF2-40B4-BE49-F238E27FC236}">
                  <a16:creationId xmlns:a16="http://schemas.microsoft.com/office/drawing/2014/main" id="{2C880D45-0A00-4710-AA4E-B4FD9D1718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F829407" w14:textId="77777777" w:rsidR="003C4D2C" w:rsidRPr="00C95BE5" w:rsidRDefault="003C4D2C" w:rsidP="003C4D2C">
      <w:pPr>
        <w:rPr>
          <w:iCs/>
        </w:rPr>
      </w:pPr>
    </w:p>
    <w:p w14:paraId="6F758E82" w14:textId="5E3FE366" w:rsidR="003C4D2C" w:rsidRDefault="003C4D2C" w:rsidP="003C4D2C">
      <w:pPr>
        <w:ind w:firstLine="720"/>
      </w:pPr>
      <w:r>
        <w:lastRenderedPageBreak/>
        <w:t xml:space="preserve">Representing 46% of the sample, Profile 3 included children who were generally average across all measures, thus they are characterized as </w:t>
      </w:r>
      <w:r w:rsidRPr="00AF7902">
        <w:rPr>
          <w:i/>
          <w:iCs/>
        </w:rPr>
        <w:t>middle of the road</w:t>
      </w:r>
      <w:r>
        <w:t>. They were slightly higher on their attention scores (</w:t>
      </w:r>
      <w:r>
        <w:rPr>
          <w:i/>
          <w:iCs/>
        </w:rPr>
        <w:t>M</w:t>
      </w:r>
      <w:r>
        <w:t xml:space="preserve"> = .44), particularly compared to profiles one and two. This group included predominately English speakers (68%) and boys (56%).</w:t>
      </w:r>
      <w:r w:rsidR="007C1CBE">
        <w:t xml:space="preserve"> </w:t>
      </w:r>
      <w:r>
        <w:t xml:space="preserve">This group was generally split across racial groups, with each group including approximately 20% of the sample. Finally, this group was more likely to have 3-year </w:t>
      </w:r>
      <w:proofErr w:type="spellStart"/>
      <w:r>
        <w:t>olds</w:t>
      </w:r>
      <w:proofErr w:type="spellEnd"/>
      <w:r w:rsidR="002039BE">
        <w:t xml:space="preserve"> compared to profile 5</w:t>
      </w:r>
      <w:r>
        <w:t xml:space="preserve"> (β = .83, </w:t>
      </w:r>
      <w:r>
        <w:rPr>
          <w:i/>
          <w:iCs/>
        </w:rPr>
        <w:t xml:space="preserve">SE </w:t>
      </w:r>
      <w:r>
        <w:t xml:space="preserve">= .33, p &lt; .05). </w:t>
      </w:r>
    </w:p>
    <w:p w14:paraId="0BE8F363" w14:textId="0DBD72AC" w:rsidR="003C4D2C" w:rsidRDefault="003C4D2C" w:rsidP="003C4D2C">
      <w:r>
        <w:tab/>
        <w:t xml:space="preserve">Profile 4, </w:t>
      </w:r>
      <w:r>
        <w:rPr>
          <w:i/>
          <w:iCs/>
        </w:rPr>
        <w:t xml:space="preserve">low teacher ratings, </w:t>
      </w:r>
      <w:r>
        <w:t>included 7% of the sample. This group was closest in mean values to profile 1, low approaches to learning, however, the children in profile four had slightly higher than average attention (</w:t>
      </w:r>
      <w:r>
        <w:rPr>
          <w:i/>
          <w:iCs/>
        </w:rPr>
        <w:t>M</w:t>
      </w:r>
      <w:r>
        <w:t xml:space="preserve"> = .18). This group also had slightly higher scores in independence and attention tha</w:t>
      </w:r>
      <w:r w:rsidR="009A698F">
        <w:t>n</w:t>
      </w:r>
      <w:r>
        <w:t xml:space="preserve"> profile 1, although these scores were still below average. </w:t>
      </w:r>
      <w:proofErr w:type="gramStart"/>
      <w:r>
        <w:t>Similar to</w:t>
      </w:r>
      <w:proofErr w:type="gramEnd"/>
      <w:r>
        <w:t xml:space="preserve"> profile 1, however, this group was made up of 75% boys. Compared to the highest profile, children in profile 4 were more likely to be male (β=</w:t>
      </w:r>
      <w:r w:rsidR="002039BE">
        <w:t>1.39</w:t>
      </w:r>
      <w:r>
        <w:t xml:space="preserve">, SE = .52, </w:t>
      </w:r>
      <w:r w:rsidR="002039BE">
        <w:rPr>
          <w:i/>
          <w:iCs/>
        </w:rPr>
        <w:t>p</w:t>
      </w:r>
      <w:r w:rsidR="002039BE">
        <w:t xml:space="preserve"> &lt; .01</w:t>
      </w:r>
      <w:r>
        <w:t xml:space="preserve">) and younger </w:t>
      </w:r>
      <w:r w:rsidR="002039BE">
        <w:t xml:space="preserve">children </w:t>
      </w:r>
      <w:r>
        <w:t>(toddler, β=1.10, SE = .61, p =.0</w:t>
      </w:r>
      <w:r w:rsidR="002039BE">
        <w:t>6</w:t>
      </w:r>
      <w:r>
        <w:t xml:space="preserve">; 3 year </w:t>
      </w:r>
      <w:proofErr w:type="spellStart"/>
      <w:r>
        <w:t>olds</w:t>
      </w:r>
      <w:proofErr w:type="spellEnd"/>
      <w:r>
        <w:t>, β=1.27, SE = .64, p</w:t>
      </w:r>
      <w:r w:rsidR="002039BE">
        <w:t>&lt;.05</w:t>
      </w:r>
      <w:r>
        <w:t xml:space="preserve">). </w:t>
      </w:r>
    </w:p>
    <w:p w14:paraId="02CDCEA5" w14:textId="77777777" w:rsidR="003C4D2C" w:rsidRPr="002C0824" w:rsidRDefault="003C4D2C" w:rsidP="003C4D2C">
      <w:r>
        <w:tab/>
        <w:t xml:space="preserve">Finally, profile 5 (33% of sample) was characterized by children </w:t>
      </w:r>
      <w:r w:rsidRPr="00AF7902">
        <w:t>with</w:t>
      </w:r>
      <w:r w:rsidRPr="00AF7902">
        <w:rPr>
          <w:i/>
          <w:iCs/>
        </w:rPr>
        <w:t xml:space="preserve"> positive approaches to learning</w:t>
      </w:r>
      <w:r>
        <w:t xml:space="preserve">. The children in this group were above average across all measures and had the highest scores on all measures. This group was particularly high in teacher-rated adaption, emotion management, and initiative. This group is made up of slightly more girls (57%). This group also has a high percentage of Hispanic children (42%). It is interested to note that children who speak Spanish make up 41% of this group, and that 75% of the Spanish-speaking children are in profiles 3 and 5. </w:t>
      </w:r>
    </w:p>
    <w:p w14:paraId="2C7D53D4" w14:textId="55E72037" w:rsidR="003C4D2C" w:rsidRPr="00814C51" w:rsidRDefault="003C4D2C" w:rsidP="00814C51">
      <w:pPr>
        <w:pStyle w:val="Heading2"/>
      </w:pPr>
      <w:bookmarkStart w:id="110" w:name="_Toc46265521"/>
      <w:r w:rsidRPr="00814C51">
        <w:t>Class Validation</w:t>
      </w:r>
      <w:bookmarkEnd w:id="110"/>
      <w:r w:rsidR="007C1CBE">
        <w:t xml:space="preserve"> </w:t>
      </w:r>
      <w:bookmarkEnd w:id="109"/>
    </w:p>
    <w:p w14:paraId="4FC751A2" w14:textId="04021F1B" w:rsidR="002039BE" w:rsidRDefault="003C4D2C" w:rsidP="005D7B14">
      <w:pPr>
        <w:ind w:firstLine="720"/>
        <w:contextualSpacing/>
        <w:rPr>
          <w:color w:val="221E1F"/>
        </w:rPr>
      </w:pPr>
      <w:r w:rsidRPr="00E34253">
        <w:rPr>
          <w:color w:val="221E1F"/>
        </w:rPr>
        <w:t>After identifying the subgroups, additional vari</w:t>
      </w:r>
      <w:r w:rsidRPr="00E34253">
        <w:rPr>
          <w:color w:val="221E1F"/>
        </w:rPr>
        <w:softHyphen/>
        <w:t xml:space="preserve">ables </w:t>
      </w:r>
      <w:r>
        <w:rPr>
          <w:color w:val="221E1F"/>
        </w:rPr>
        <w:t xml:space="preserve">were used </w:t>
      </w:r>
      <w:r w:rsidRPr="00E34253">
        <w:rPr>
          <w:color w:val="221E1F"/>
        </w:rPr>
        <w:t>to validate the differentiation between classes and to better understand the profiles for each</w:t>
      </w:r>
      <w:r>
        <w:rPr>
          <w:color w:val="221E1F"/>
        </w:rPr>
        <w:t xml:space="preserve">. One-way ANOVAs </w:t>
      </w:r>
      <w:r>
        <w:rPr>
          <w:color w:val="221E1F"/>
        </w:rPr>
        <w:lastRenderedPageBreak/>
        <w:t xml:space="preserve">were conducted with class membership as the independent variable. Post hoc analysis was </w:t>
      </w:r>
      <w:r w:rsidR="002039BE">
        <w:rPr>
          <w:color w:val="221E1F"/>
        </w:rPr>
        <w:t xml:space="preserve">conducted using Tukey’s HSD </w:t>
      </w:r>
      <w:r w:rsidR="002039BE" w:rsidRPr="009A6864">
        <w:t>(Kim, 2015)</w:t>
      </w:r>
      <w:r w:rsidR="002039BE">
        <w:rPr>
          <w:color w:val="221E1F"/>
        </w:rPr>
        <w:t xml:space="preserve">. Validation measures included measures of school readiness, executive function, social skills, and behavioral concerns as rated by the teachers. While low power due to small group size may have prevented more significant differences between the profiles, some interesting trends did emerge. These results are presented in Table 8 and Figure 2 (note, for ease of interpretation of the bar graphs, the validation measures were transposed to Z scores). </w:t>
      </w:r>
    </w:p>
    <w:p w14:paraId="712C1FCD" w14:textId="77777777" w:rsidR="002039BE" w:rsidRDefault="002039BE" w:rsidP="002039BE">
      <w:pPr>
        <w:ind w:firstLine="720"/>
        <w:contextualSpacing/>
        <w:rPr>
          <w:color w:val="221E1F"/>
        </w:rPr>
      </w:pPr>
      <w:r>
        <w:rPr>
          <w:color w:val="221E1F"/>
        </w:rPr>
        <w:t>Profile 1 had the lowest executive function measures compared to the other profiles. For example, profile 1 had significantly lower digit span values than profile 2 [</w:t>
      </w:r>
      <w:r>
        <w:rPr>
          <w:i/>
          <w:iCs/>
          <w:color w:val="221E1F"/>
        </w:rPr>
        <w:t>F (</w:t>
      </w:r>
      <w:r>
        <w:rPr>
          <w:color w:val="221E1F"/>
        </w:rPr>
        <w:t>3, 354) = , p=.01] and profile 5 [</w:t>
      </w:r>
      <w:r>
        <w:rPr>
          <w:i/>
          <w:iCs/>
          <w:color w:val="221E1F"/>
        </w:rPr>
        <w:t>F (</w:t>
      </w:r>
      <w:r>
        <w:rPr>
          <w:color w:val="221E1F"/>
        </w:rPr>
        <w:t xml:space="preserve">3, 354) = , p=.01]. However, profile 5 had significantly higher digit span scores than the rest of the groups. One of the biggest differences in EF was between profile 4, negative AtL, and profile 5. Interestingly, although the negative AtL had above average scores on attention, they had some of the lowest scores across the three executive function measures. Profiles 2 and 3 did not have statistically significant differences in executive function, although they did have differences in their attention scores. This seems to indicate that attention captures some aspect of behavior that is different </w:t>
      </w:r>
      <w:proofErr w:type="spellStart"/>
      <w:r>
        <w:rPr>
          <w:color w:val="221E1F"/>
        </w:rPr>
        <w:t>that</w:t>
      </w:r>
      <w:proofErr w:type="spellEnd"/>
      <w:r>
        <w:rPr>
          <w:color w:val="221E1F"/>
        </w:rPr>
        <w:t xml:space="preserve"> just executive function. </w:t>
      </w:r>
    </w:p>
    <w:p w14:paraId="19633139" w14:textId="32FDAA9F" w:rsidR="00814C51" w:rsidRDefault="002039BE" w:rsidP="002039BE">
      <w:pPr>
        <w:ind w:firstLine="720"/>
        <w:contextualSpacing/>
        <w:rPr>
          <w:iCs/>
        </w:rPr>
      </w:pPr>
      <w:r>
        <w:rPr>
          <w:color w:val="221E1F"/>
        </w:rPr>
        <w:t xml:space="preserve">In terms of social skills, the validation measures indicate differences between profiles 1 and profile 4. Whereas profile 1 was characterized by low approaches to learning, they do not have the lowest social skills or peer sociability. Profile 4, the negative AtL, had the highest ratings of behavioral concerns and the lowest ratings of peer sociability. Although this group </w:t>
      </w:r>
      <w:proofErr w:type="gramStart"/>
      <w:r>
        <w:rPr>
          <w:color w:val="221E1F"/>
        </w:rPr>
        <w:t>is able to</w:t>
      </w:r>
      <w:proofErr w:type="gramEnd"/>
      <w:r>
        <w:rPr>
          <w:color w:val="221E1F"/>
        </w:rPr>
        <w:t xml:space="preserve"> pay attention, perhaps in one-on-one situations, they struggle in the classroom with their interactions with the teacher and with peers. </w:t>
      </w:r>
    </w:p>
    <w:p w14:paraId="139B8D47" w14:textId="77777777" w:rsidR="00814C51" w:rsidRDefault="00814C51" w:rsidP="003C4D2C">
      <w:pPr>
        <w:tabs>
          <w:tab w:val="left" w:pos="972"/>
        </w:tabs>
        <w:spacing w:after="160" w:line="259" w:lineRule="auto"/>
        <w:rPr>
          <w:iCs/>
        </w:rPr>
        <w:sectPr w:rsidR="00814C51" w:rsidSect="00D86CCC">
          <w:headerReference w:type="default" r:id="rId26"/>
          <w:type w:val="continuous"/>
          <w:pgSz w:w="12240" w:h="15840"/>
          <w:pgMar w:top="1440" w:right="1440" w:bottom="1440" w:left="1440" w:header="720" w:footer="720" w:gutter="0"/>
          <w:cols w:space="720"/>
          <w:docGrid w:linePitch="360"/>
        </w:sectPr>
      </w:pPr>
    </w:p>
    <w:p w14:paraId="30615588" w14:textId="648D04DA" w:rsidR="00814C51" w:rsidRDefault="00814C51" w:rsidP="00814C51">
      <w:pPr>
        <w:pStyle w:val="Caption"/>
        <w:keepNext/>
      </w:pPr>
      <w:bookmarkStart w:id="111" w:name="_Toc44366130"/>
      <w:r>
        <w:lastRenderedPageBreak/>
        <w:t xml:space="preserve">Table </w:t>
      </w:r>
      <w:fldSimple w:instr=" SEQ Table \* ARABIC ">
        <w:r w:rsidR="002039BE">
          <w:rPr>
            <w:noProof/>
          </w:rPr>
          <w:t>7</w:t>
        </w:r>
        <w:bookmarkEnd w:id="111"/>
      </w:fldSimple>
    </w:p>
    <w:p w14:paraId="152417F9" w14:textId="77777777" w:rsidR="003C4D2C" w:rsidRPr="00814C51" w:rsidRDefault="003C4D2C" w:rsidP="003C4D2C">
      <w:pPr>
        <w:tabs>
          <w:tab w:val="left" w:pos="972"/>
        </w:tabs>
        <w:spacing w:after="160" w:line="259" w:lineRule="auto"/>
        <w:rPr>
          <w:i/>
        </w:rPr>
      </w:pPr>
      <w:r w:rsidRPr="00814C51">
        <w:rPr>
          <w:i/>
        </w:rPr>
        <w:t xml:space="preserve">Multinomial Logistic Regression Model Results for Profile Differences in Demographic Characteristics </w:t>
      </w:r>
    </w:p>
    <w:tbl>
      <w:tblPr>
        <w:tblStyle w:val="TableGridLight1"/>
        <w:tblpPr w:leftFromText="180" w:rightFromText="180" w:vertAnchor="text" w:horzAnchor="margin" w:tblpY="-63"/>
        <w:tblW w:w="10447" w:type="dxa"/>
        <w:tblLayout w:type="fixed"/>
        <w:tblLook w:val="04A0" w:firstRow="1" w:lastRow="0" w:firstColumn="1" w:lastColumn="0" w:noHBand="0" w:noVBand="1"/>
      </w:tblPr>
      <w:tblGrid>
        <w:gridCol w:w="1705"/>
        <w:gridCol w:w="900"/>
        <w:gridCol w:w="720"/>
        <w:gridCol w:w="720"/>
        <w:gridCol w:w="810"/>
        <w:gridCol w:w="540"/>
        <w:gridCol w:w="720"/>
        <w:gridCol w:w="900"/>
        <w:gridCol w:w="540"/>
        <w:gridCol w:w="720"/>
        <w:gridCol w:w="900"/>
        <w:gridCol w:w="630"/>
        <w:gridCol w:w="642"/>
      </w:tblGrid>
      <w:tr w:rsidR="00814C51" w:rsidRPr="001F680D" w14:paraId="3881D131" w14:textId="77777777" w:rsidTr="00B57ABD">
        <w:trPr>
          <w:trHeight w:val="1086"/>
        </w:trPr>
        <w:tc>
          <w:tcPr>
            <w:tcW w:w="1705" w:type="dxa"/>
            <w:tcBorders>
              <w:top w:val="single" w:sz="4" w:space="0" w:color="auto"/>
              <w:bottom w:val="single" w:sz="4" w:space="0" w:color="auto"/>
            </w:tcBorders>
          </w:tcPr>
          <w:p w14:paraId="624BA36A" w14:textId="77777777" w:rsidR="00814C51" w:rsidRPr="001F680D" w:rsidRDefault="00814C51" w:rsidP="00814C51">
            <w:pPr>
              <w:tabs>
                <w:tab w:val="left" w:pos="972"/>
              </w:tabs>
              <w:rPr>
                <w:rFonts w:ascii="Times New Roman" w:hAnsi="Times New Roman" w:cs="Times New Roman"/>
                <w:iCs/>
                <w:sz w:val="24"/>
                <w:szCs w:val="24"/>
              </w:rPr>
            </w:pPr>
          </w:p>
        </w:tc>
        <w:tc>
          <w:tcPr>
            <w:tcW w:w="2340" w:type="dxa"/>
            <w:gridSpan w:val="3"/>
            <w:tcBorders>
              <w:top w:val="single" w:sz="4" w:space="0" w:color="auto"/>
              <w:bottom w:val="single" w:sz="4" w:space="0" w:color="auto"/>
            </w:tcBorders>
          </w:tcPr>
          <w:p w14:paraId="0AC91119"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 xml:space="preserve">Profile 1 </w:t>
            </w:r>
          </w:p>
          <w:p w14:paraId="5EA19BA9"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Low AtL</w:t>
            </w:r>
          </w:p>
          <w:p w14:paraId="78DD8958"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(n=18)</w:t>
            </w:r>
          </w:p>
        </w:tc>
        <w:tc>
          <w:tcPr>
            <w:tcW w:w="2070" w:type="dxa"/>
            <w:gridSpan w:val="3"/>
            <w:tcBorders>
              <w:top w:val="single" w:sz="4" w:space="0" w:color="auto"/>
              <w:bottom w:val="single" w:sz="4" w:space="0" w:color="auto"/>
            </w:tcBorders>
          </w:tcPr>
          <w:p w14:paraId="65EAE4D6" w14:textId="77777777" w:rsidR="00814C51" w:rsidRPr="001F680D" w:rsidRDefault="00814C51" w:rsidP="00814C51">
            <w:pPr>
              <w:rPr>
                <w:rFonts w:ascii="Times New Roman" w:hAnsi="Times New Roman" w:cs="Times New Roman"/>
                <w:sz w:val="24"/>
                <w:szCs w:val="24"/>
              </w:rPr>
            </w:pPr>
            <w:r w:rsidRPr="001F680D">
              <w:rPr>
                <w:rFonts w:ascii="Times New Roman" w:hAnsi="Times New Roman" w:cs="Times New Roman"/>
                <w:sz w:val="24"/>
                <w:szCs w:val="24"/>
              </w:rPr>
              <w:t>Profile 2</w:t>
            </w:r>
          </w:p>
          <w:p w14:paraId="7F59C6EC" w14:textId="77777777" w:rsidR="00814C51" w:rsidRPr="001F680D" w:rsidRDefault="00814C51" w:rsidP="00814C51">
            <w:pPr>
              <w:rPr>
                <w:rFonts w:ascii="Times New Roman" w:hAnsi="Times New Roman" w:cs="Times New Roman"/>
                <w:sz w:val="24"/>
                <w:szCs w:val="24"/>
              </w:rPr>
            </w:pPr>
            <w:r w:rsidRPr="001F680D">
              <w:rPr>
                <w:rFonts w:ascii="Times New Roman" w:hAnsi="Times New Roman" w:cs="Times New Roman"/>
                <w:sz w:val="24"/>
                <w:szCs w:val="24"/>
              </w:rPr>
              <w:t xml:space="preserve">Social Dependent </w:t>
            </w:r>
          </w:p>
          <w:p w14:paraId="32313C21"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sz w:val="24"/>
                <w:szCs w:val="24"/>
              </w:rPr>
              <w:t>(n=30)</w:t>
            </w:r>
          </w:p>
        </w:tc>
        <w:tc>
          <w:tcPr>
            <w:tcW w:w="2160" w:type="dxa"/>
            <w:gridSpan w:val="3"/>
            <w:tcBorders>
              <w:top w:val="single" w:sz="4" w:space="0" w:color="auto"/>
              <w:bottom w:val="single" w:sz="4" w:space="0" w:color="auto"/>
            </w:tcBorders>
          </w:tcPr>
          <w:p w14:paraId="25DC8326" w14:textId="77777777" w:rsidR="00814C51" w:rsidRPr="001F680D" w:rsidRDefault="00814C51" w:rsidP="00814C51">
            <w:pPr>
              <w:rPr>
                <w:rFonts w:ascii="Times New Roman" w:hAnsi="Times New Roman" w:cs="Times New Roman"/>
                <w:sz w:val="24"/>
                <w:szCs w:val="24"/>
              </w:rPr>
            </w:pPr>
            <w:r w:rsidRPr="001F680D">
              <w:rPr>
                <w:rFonts w:ascii="Times New Roman" w:hAnsi="Times New Roman" w:cs="Times New Roman"/>
                <w:sz w:val="24"/>
                <w:szCs w:val="24"/>
              </w:rPr>
              <w:t>Profile 3</w:t>
            </w:r>
          </w:p>
          <w:p w14:paraId="17A01562" w14:textId="77777777" w:rsidR="00814C51" w:rsidRPr="001F680D" w:rsidRDefault="00814C51" w:rsidP="00814C51">
            <w:pPr>
              <w:rPr>
                <w:rFonts w:ascii="Times New Roman" w:hAnsi="Times New Roman" w:cs="Times New Roman"/>
                <w:sz w:val="24"/>
                <w:szCs w:val="24"/>
              </w:rPr>
            </w:pPr>
            <w:r w:rsidRPr="001F680D">
              <w:rPr>
                <w:rFonts w:ascii="Times New Roman" w:hAnsi="Times New Roman" w:cs="Times New Roman"/>
                <w:sz w:val="24"/>
                <w:szCs w:val="24"/>
              </w:rPr>
              <w:t xml:space="preserve">Middle of the Road </w:t>
            </w:r>
          </w:p>
          <w:p w14:paraId="73611C80"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sz w:val="24"/>
                <w:szCs w:val="24"/>
              </w:rPr>
              <w:t>(n=164)</w:t>
            </w:r>
          </w:p>
        </w:tc>
        <w:tc>
          <w:tcPr>
            <w:tcW w:w="2172" w:type="dxa"/>
            <w:gridSpan w:val="3"/>
            <w:tcBorders>
              <w:top w:val="single" w:sz="4" w:space="0" w:color="auto"/>
              <w:bottom w:val="single" w:sz="4" w:space="0" w:color="auto"/>
            </w:tcBorders>
          </w:tcPr>
          <w:p w14:paraId="6F8F5AC6" w14:textId="77777777" w:rsidR="00814C51" w:rsidRPr="001F680D" w:rsidRDefault="00814C51" w:rsidP="00814C51">
            <w:pPr>
              <w:rPr>
                <w:rFonts w:ascii="Times New Roman" w:hAnsi="Times New Roman" w:cs="Times New Roman"/>
                <w:sz w:val="24"/>
                <w:szCs w:val="24"/>
              </w:rPr>
            </w:pPr>
            <w:r w:rsidRPr="001F680D">
              <w:rPr>
                <w:rFonts w:ascii="Times New Roman" w:hAnsi="Times New Roman" w:cs="Times New Roman"/>
                <w:sz w:val="24"/>
                <w:szCs w:val="24"/>
              </w:rPr>
              <w:t>Profile 4</w:t>
            </w:r>
          </w:p>
          <w:p w14:paraId="699A5CEE" w14:textId="77777777" w:rsidR="00814C51" w:rsidRPr="001F680D" w:rsidRDefault="00814C51" w:rsidP="00814C51">
            <w:pPr>
              <w:rPr>
                <w:rFonts w:ascii="Times New Roman" w:hAnsi="Times New Roman" w:cs="Times New Roman"/>
                <w:sz w:val="24"/>
                <w:szCs w:val="24"/>
              </w:rPr>
            </w:pPr>
            <w:r w:rsidRPr="001F680D">
              <w:rPr>
                <w:rFonts w:ascii="Times New Roman" w:hAnsi="Times New Roman" w:cs="Times New Roman"/>
                <w:sz w:val="24"/>
                <w:szCs w:val="24"/>
              </w:rPr>
              <w:t>Low Teacher Ratings</w:t>
            </w:r>
          </w:p>
          <w:p w14:paraId="61EC122A"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sz w:val="24"/>
                <w:szCs w:val="24"/>
              </w:rPr>
              <w:t>(n=26)</w:t>
            </w:r>
          </w:p>
        </w:tc>
      </w:tr>
      <w:tr w:rsidR="00814C51" w:rsidRPr="001F680D" w14:paraId="7B926D41" w14:textId="77777777" w:rsidTr="00B57ABD">
        <w:trPr>
          <w:trHeight w:val="268"/>
        </w:trPr>
        <w:tc>
          <w:tcPr>
            <w:tcW w:w="1705" w:type="dxa"/>
            <w:tcBorders>
              <w:top w:val="single" w:sz="4" w:space="0" w:color="auto"/>
            </w:tcBorders>
          </w:tcPr>
          <w:p w14:paraId="674308E9" w14:textId="77777777" w:rsidR="00814C51" w:rsidRPr="001F680D" w:rsidRDefault="00814C51" w:rsidP="00814C51">
            <w:pPr>
              <w:tabs>
                <w:tab w:val="left" w:pos="972"/>
              </w:tabs>
              <w:rPr>
                <w:rFonts w:ascii="Times New Roman" w:hAnsi="Times New Roman" w:cs="Times New Roman"/>
                <w:iCs/>
                <w:sz w:val="24"/>
                <w:szCs w:val="24"/>
              </w:rPr>
            </w:pPr>
          </w:p>
        </w:tc>
        <w:tc>
          <w:tcPr>
            <w:tcW w:w="900" w:type="dxa"/>
            <w:tcBorders>
              <w:top w:val="single" w:sz="4" w:space="0" w:color="auto"/>
              <w:bottom w:val="single" w:sz="4" w:space="0" w:color="auto"/>
            </w:tcBorders>
          </w:tcPr>
          <w:p w14:paraId="11B9B0C2"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β</w:t>
            </w:r>
          </w:p>
        </w:tc>
        <w:tc>
          <w:tcPr>
            <w:tcW w:w="720" w:type="dxa"/>
            <w:tcBorders>
              <w:top w:val="single" w:sz="4" w:space="0" w:color="auto"/>
              <w:bottom w:val="single" w:sz="4" w:space="0" w:color="auto"/>
            </w:tcBorders>
          </w:tcPr>
          <w:p w14:paraId="1BBEBB5A"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se</w:t>
            </w:r>
          </w:p>
        </w:tc>
        <w:tc>
          <w:tcPr>
            <w:tcW w:w="720" w:type="dxa"/>
            <w:tcBorders>
              <w:top w:val="single" w:sz="4" w:space="0" w:color="auto"/>
              <w:bottom w:val="single" w:sz="4" w:space="0" w:color="auto"/>
            </w:tcBorders>
          </w:tcPr>
          <w:p w14:paraId="7F2619FF"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OR</w:t>
            </w:r>
          </w:p>
        </w:tc>
        <w:tc>
          <w:tcPr>
            <w:tcW w:w="810" w:type="dxa"/>
            <w:tcBorders>
              <w:top w:val="single" w:sz="4" w:space="0" w:color="auto"/>
              <w:bottom w:val="single" w:sz="4" w:space="0" w:color="auto"/>
            </w:tcBorders>
          </w:tcPr>
          <w:p w14:paraId="73C05594"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β</w:t>
            </w:r>
          </w:p>
        </w:tc>
        <w:tc>
          <w:tcPr>
            <w:tcW w:w="540" w:type="dxa"/>
            <w:tcBorders>
              <w:top w:val="single" w:sz="4" w:space="0" w:color="auto"/>
              <w:bottom w:val="single" w:sz="4" w:space="0" w:color="auto"/>
            </w:tcBorders>
          </w:tcPr>
          <w:p w14:paraId="349FF80A"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se</w:t>
            </w:r>
          </w:p>
        </w:tc>
        <w:tc>
          <w:tcPr>
            <w:tcW w:w="720" w:type="dxa"/>
            <w:tcBorders>
              <w:top w:val="single" w:sz="4" w:space="0" w:color="auto"/>
              <w:bottom w:val="single" w:sz="4" w:space="0" w:color="auto"/>
            </w:tcBorders>
          </w:tcPr>
          <w:p w14:paraId="77FB7969"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OR</w:t>
            </w:r>
          </w:p>
        </w:tc>
        <w:tc>
          <w:tcPr>
            <w:tcW w:w="900" w:type="dxa"/>
            <w:tcBorders>
              <w:top w:val="single" w:sz="4" w:space="0" w:color="auto"/>
              <w:bottom w:val="single" w:sz="4" w:space="0" w:color="auto"/>
            </w:tcBorders>
          </w:tcPr>
          <w:p w14:paraId="056DB2ED" w14:textId="413A5D0A" w:rsidR="00814C51" w:rsidRPr="001F680D" w:rsidRDefault="005D7B14"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Β</w:t>
            </w:r>
          </w:p>
        </w:tc>
        <w:tc>
          <w:tcPr>
            <w:tcW w:w="540" w:type="dxa"/>
            <w:tcBorders>
              <w:top w:val="single" w:sz="4" w:space="0" w:color="auto"/>
              <w:bottom w:val="single" w:sz="4" w:space="0" w:color="auto"/>
            </w:tcBorders>
          </w:tcPr>
          <w:p w14:paraId="5C75D249"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se</w:t>
            </w:r>
          </w:p>
        </w:tc>
        <w:tc>
          <w:tcPr>
            <w:tcW w:w="720" w:type="dxa"/>
            <w:tcBorders>
              <w:top w:val="single" w:sz="4" w:space="0" w:color="auto"/>
              <w:bottom w:val="single" w:sz="4" w:space="0" w:color="auto"/>
            </w:tcBorders>
          </w:tcPr>
          <w:p w14:paraId="2F113075"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OR</w:t>
            </w:r>
          </w:p>
        </w:tc>
        <w:tc>
          <w:tcPr>
            <w:tcW w:w="900" w:type="dxa"/>
            <w:tcBorders>
              <w:top w:val="single" w:sz="4" w:space="0" w:color="auto"/>
              <w:bottom w:val="single" w:sz="4" w:space="0" w:color="auto"/>
            </w:tcBorders>
          </w:tcPr>
          <w:p w14:paraId="417CCE99"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β</w:t>
            </w:r>
          </w:p>
        </w:tc>
        <w:tc>
          <w:tcPr>
            <w:tcW w:w="630" w:type="dxa"/>
            <w:tcBorders>
              <w:top w:val="single" w:sz="4" w:space="0" w:color="auto"/>
              <w:bottom w:val="single" w:sz="4" w:space="0" w:color="auto"/>
            </w:tcBorders>
          </w:tcPr>
          <w:p w14:paraId="6C0E921B"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se</w:t>
            </w:r>
          </w:p>
        </w:tc>
        <w:tc>
          <w:tcPr>
            <w:tcW w:w="642" w:type="dxa"/>
            <w:tcBorders>
              <w:top w:val="single" w:sz="4" w:space="0" w:color="auto"/>
              <w:bottom w:val="single" w:sz="4" w:space="0" w:color="auto"/>
            </w:tcBorders>
          </w:tcPr>
          <w:p w14:paraId="0607FD70"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OR</w:t>
            </w:r>
          </w:p>
        </w:tc>
      </w:tr>
      <w:tr w:rsidR="00814C51" w:rsidRPr="001F680D" w14:paraId="20D002C6" w14:textId="77777777" w:rsidTr="00B57ABD">
        <w:trPr>
          <w:trHeight w:val="268"/>
        </w:trPr>
        <w:tc>
          <w:tcPr>
            <w:tcW w:w="1705" w:type="dxa"/>
          </w:tcPr>
          <w:p w14:paraId="3B763FF7" w14:textId="1C4FD4A1"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Male</w:t>
            </w:r>
            <w:r w:rsidR="007C1CBE" w:rsidRPr="001F680D">
              <w:rPr>
                <w:rFonts w:ascii="Times New Roman" w:hAnsi="Times New Roman" w:cs="Times New Roman"/>
                <w:iCs/>
                <w:sz w:val="24"/>
                <w:szCs w:val="24"/>
              </w:rPr>
              <w:t xml:space="preserve"> </w:t>
            </w:r>
            <w:r w:rsidRPr="001F680D">
              <w:rPr>
                <w:rFonts w:ascii="Times New Roman" w:hAnsi="Times New Roman" w:cs="Times New Roman"/>
                <w:iCs/>
                <w:sz w:val="24"/>
                <w:szCs w:val="24"/>
              </w:rPr>
              <w:t>(n=175)</w:t>
            </w:r>
          </w:p>
        </w:tc>
        <w:tc>
          <w:tcPr>
            <w:tcW w:w="900" w:type="dxa"/>
            <w:tcBorders>
              <w:top w:val="single" w:sz="4" w:space="0" w:color="auto"/>
            </w:tcBorders>
          </w:tcPr>
          <w:p w14:paraId="4280A931" w14:textId="41BD082C" w:rsidR="00814C51" w:rsidRPr="001F680D" w:rsidRDefault="00814C51" w:rsidP="00814C51">
            <w:pPr>
              <w:tabs>
                <w:tab w:val="left" w:pos="972"/>
              </w:tabs>
              <w:jc w:val="center"/>
              <w:rPr>
                <w:rFonts w:ascii="Times New Roman" w:hAnsi="Times New Roman" w:cs="Times New Roman"/>
                <w:b/>
                <w:bCs/>
                <w:iCs/>
                <w:sz w:val="24"/>
                <w:szCs w:val="24"/>
              </w:rPr>
            </w:pPr>
            <w:r w:rsidRPr="001F680D">
              <w:rPr>
                <w:rFonts w:ascii="Times New Roman" w:hAnsi="Times New Roman" w:cs="Times New Roman"/>
                <w:b/>
                <w:bCs/>
                <w:iCs/>
                <w:sz w:val="24"/>
                <w:szCs w:val="24"/>
              </w:rPr>
              <w:t>1.2</w:t>
            </w:r>
            <w:r w:rsidR="00F425F4" w:rsidRPr="001F680D">
              <w:rPr>
                <w:rFonts w:ascii="Times New Roman" w:hAnsi="Times New Roman" w:cs="Times New Roman"/>
                <w:b/>
                <w:bCs/>
                <w:iCs/>
                <w:sz w:val="24"/>
                <w:szCs w:val="24"/>
              </w:rPr>
              <w:t>8</w:t>
            </w:r>
            <w:r w:rsidRPr="001F680D">
              <w:rPr>
                <w:rFonts w:ascii="Times New Roman" w:hAnsi="Times New Roman" w:cs="Times New Roman"/>
                <w:b/>
                <w:bCs/>
                <w:iCs/>
                <w:sz w:val="24"/>
                <w:szCs w:val="24"/>
              </w:rPr>
              <w:t>*</w:t>
            </w:r>
          </w:p>
        </w:tc>
        <w:tc>
          <w:tcPr>
            <w:tcW w:w="720" w:type="dxa"/>
            <w:tcBorders>
              <w:top w:val="single" w:sz="4" w:space="0" w:color="auto"/>
            </w:tcBorders>
          </w:tcPr>
          <w:p w14:paraId="5CE79B0F"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.62</w:t>
            </w:r>
          </w:p>
        </w:tc>
        <w:tc>
          <w:tcPr>
            <w:tcW w:w="720" w:type="dxa"/>
            <w:tcBorders>
              <w:top w:val="single" w:sz="4" w:space="0" w:color="auto"/>
            </w:tcBorders>
          </w:tcPr>
          <w:p w14:paraId="3C347B9F" w14:textId="567537C7"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3.57</w:t>
            </w:r>
          </w:p>
        </w:tc>
        <w:tc>
          <w:tcPr>
            <w:tcW w:w="810" w:type="dxa"/>
            <w:tcBorders>
              <w:top w:val="single" w:sz="4" w:space="0" w:color="auto"/>
            </w:tcBorders>
          </w:tcPr>
          <w:p w14:paraId="44774F30" w14:textId="11AB88DA" w:rsidR="00814C51" w:rsidRPr="001F680D" w:rsidRDefault="00814C51" w:rsidP="00814C51">
            <w:pPr>
              <w:tabs>
                <w:tab w:val="left" w:pos="972"/>
              </w:tabs>
              <w:jc w:val="center"/>
              <w:rPr>
                <w:rFonts w:ascii="Times New Roman" w:hAnsi="Times New Roman" w:cs="Times New Roman"/>
                <w:b/>
                <w:bCs/>
                <w:iCs/>
                <w:sz w:val="24"/>
                <w:szCs w:val="24"/>
              </w:rPr>
            </w:pPr>
            <w:r w:rsidRPr="001F680D">
              <w:rPr>
                <w:rFonts w:ascii="Times New Roman" w:hAnsi="Times New Roman" w:cs="Times New Roman"/>
                <w:b/>
                <w:bCs/>
                <w:sz w:val="24"/>
                <w:szCs w:val="24"/>
              </w:rPr>
              <w:t>1.06*</w:t>
            </w:r>
          </w:p>
        </w:tc>
        <w:tc>
          <w:tcPr>
            <w:tcW w:w="540" w:type="dxa"/>
            <w:tcBorders>
              <w:top w:val="single" w:sz="4" w:space="0" w:color="auto"/>
            </w:tcBorders>
          </w:tcPr>
          <w:p w14:paraId="3025C8C5"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.45</w:t>
            </w:r>
          </w:p>
        </w:tc>
        <w:tc>
          <w:tcPr>
            <w:tcW w:w="720" w:type="dxa"/>
            <w:tcBorders>
              <w:top w:val="single" w:sz="4" w:space="0" w:color="auto"/>
            </w:tcBorders>
          </w:tcPr>
          <w:p w14:paraId="3493E95C" w14:textId="78A52BF8"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2.91</w:t>
            </w:r>
          </w:p>
        </w:tc>
        <w:tc>
          <w:tcPr>
            <w:tcW w:w="900" w:type="dxa"/>
            <w:tcBorders>
              <w:top w:val="single" w:sz="4" w:space="0" w:color="auto"/>
            </w:tcBorders>
          </w:tcPr>
          <w:p w14:paraId="296C4651" w14:textId="177D0541"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F425F4" w:rsidRPr="001F680D">
              <w:rPr>
                <w:rFonts w:ascii="Times New Roman" w:hAnsi="Times New Roman" w:cs="Times New Roman"/>
                <w:sz w:val="24"/>
                <w:szCs w:val="24"/>
              </w:rPr>
              <w:t>50</w:t>
            </w:r>
            <w:r w:rsidR="00F425F4" w:rsidRPr="001F680D">
              <w:rPr>
                <w:rFonts w:ascii="Times New Roman" w:hAnsi="Times New Roman" w:cs="Times New Roman"/>
                <w:b/>
                <w:bCs/>
                <w:sz w:val="24"/>
                <w:szCs w:val="24"/>
              </w:rPr>
              <w:t>⸆</w:t>
            </w:r>
          </w:p>
        </w:tc>
        <w:tc>
          <w:tcPr>
            <w:tcW w:w="540" w:type="dxa"/>
            <w:tcBorders>
              <w:top w:val="single" w:sz="4" w:space="0" w:color="auto"/>
            </w:tcBorders>
          </w:tcPr>
          <w:p w14:paraId="39D24760"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.27</w:t>
            </w:r>
          </w:p>
        </w:tc>
        <w:tc>
          <w:tcPr>
            <w:tcW w:w="720" w:type="dxa"/>
            <w:tcBorders>
              <w:top w:val="single" w:sz="4" w:space="0" w:color="auto"/>
            </w:tcBorders>
          </w:tcPr>
          <w:p w14:paraId="5308FF52" w14:textId="6C6EEC41"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1.64</w:t>
            </w:r>
          </w:p>
        </w:tc>
        <w:tc>
          <w:tcPr>
            <w:tcW w:w="900" w:type="dxa"/>
            <w:tcBorders>
              <w:top w:val="single" w:sz="4" w:space="0" w:color="auto"/>
            </w:tcBorders>
          </w:tcPr>
          <w:p w14:paraId="1B37D7A4" w14:textId="20F7FC58" w:rsidR="00814C51" w:rsidRPr="001F680D" w:rsidRDefault="00814C51" w:rsidP="00814C51">
            <w:pPr>
              <w:tabs>
                <w:tab w:val="left" w:pos="972"/>
              </w:tabs>
              <w:jc w:val="center"/>
              <w:rPr>
                <w:rFonts w:ascii="Times New Roman" w:hAnsi="Times New Roman" w:cs="Times New Roman"/>
                <w:b/>
                <w:bCs/>
                <w:iCs/>
                <w:sz w:val="24"/>
                <w:szCs w:val="24"/>
              </w:rPr>
            </w:pPr>
            <w:r w:rsidRPr="001F680D">
              <w:rPr>
                <w:rFonts w:ascii="Times New Roman" w:hAnsi="Times New Roman" w:cs="Times New Roman"/>
                <w:b/>
                <w:bCs/>
                <w:sz w:val="24"/>
                <w:szCs w:val="24"/>
              </w:rPr>
              <w:t>1.3</w:t>
            </w:r>
            <w:r w:rsidR="00F425F4" w:rsidRPr="001F680D">
              <w:rPr>
                <w:rFonts w:ascii="Times New Roman" w:hAnsi="Times New Roman" w:cs="Times New Roman"/>
                <w:b/>
                <w:bCs/>
                <w:sz w:val="24"/>
                <w:szCs w:val="24"/>
              </w:rPr>
              <w:t>9**</w:t>
            </w:r>
          </w:p>
        </w:tc>
        <w:tc>
          <w:tcPr>
            <w:tcW w:w="630" w:type="dxa"/>
            <w:tcBorders>
              <w:top w:val="single" w:sz="4" w:space="0" w:color="auto"/>
            </w:tcBorders>
          </w:tcPr>
          <w:p w14:paraId="485862CE"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.52</w:t>
            </w:r>
          </w:p>
        </w:tc>
        <w:tc>
          <w:tcPr>
            <w:tcW w:w="642" w:type="dxa"/>
            <w:tcBorders>
              <w:top w:val="single" w:sz="4" w:space="0" w:color="auto"/>
            </w:tcBorders>
          </w:tcPr>
          <w:p w14:paraId="01D34378" w14:textId="2E78E3C3"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3.99</w:t>
            </w:r>
          </w:p>
        </w:tc>
      </w:tr>
      <w:tr w:rsidR="00814C51" w:rsidRPr="001F680D" w14:paraId="1AF87ED3" w14:textId="77777777" w:rsidTr="00F425F4">
        <w:trPr>
          <w:gridAfter w:val="12"/>
          <w:wAfter w:w="8742" w:type="dxa"/>
          <w:trHeight w:val="268"/>
        </w:trPr>
        <w:tc>
          <w:tcPr>
            <w:tcW w:w="1705" w:type="dxa"/>
          </w:tcPr>
          <w:p w14:paraId="670737E7"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Ethnicity</w:t>
            </w:r>
          </w:p>
        </w:tc>
      </w:tr>
      <w:tr w:rsidR="00814C51" w:rsidRPr="001F680D" w14:paraId="72E2BCB7" w14:textId="77777777" w:rsidTr="00B57ABD">
        <w:trPr>
          <w:trHeight w:val="268"/>
        </w:trPr>
        <w:tc>
          <w:tcPr>
            <w:tcW w:w="1705" w:type="dxa"/>
          </w:tcPr>
          <w:p w14:paraId="1EFCD19B"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Black (n=77)</w:t>
            </w:r>
          </w:p>
        </w:tc>
        <w:tc>
          <w:tcPr>
            <w:tcW w:w="900" w:type="dxa"/>
            <w:vAlign w:val="center"/>
          </w:tcPr>
          <w:p w14:paraId="6401E340" w14:textId="2F5F61AD" w:rsidR="00814C51" w:rsidRPr="001F680D" w:rsidRDefault="00F425F4"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1.63</w:t>
            </w:r>
          </w:p>
        </w:tc>
        <w:tc>
          <w:tcPr>
            <w:tcW w:w="720" w:type="dxa"/>
            <w:vAlign w:val="center"/>
          </w:tcPr>
          <w:p w14:paraId="3777F414" w14:textId="14106460"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1.49</w:t>
            </w:r>
          </w:p>
        </w:tc>
        <w:tc>
          <w:tcPr>
            <w:tcW w:w="720" w:type="dxa"/>
            <w:vAlign w:val="center"/>
          </w:tcPr>
          <w:p w14:paraId="0FDB7757" w14:textId="5D4B120A"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5.13</w:t>
            </w:r>
          </w:p>
        </w:tc>
        <w:tc>
          <w:tcPr>
            <w:tcW w:w="810" w:type="dxa"/>
            <w:vAlign w:val="center"/>
          </w:tcPr>
          <w:p w14:paraId="717DF070" w14:textId="721675D4" w:rsidR="00814C51" w:rsidRPr="001F680D" w:rsidRDefault="00F425F4"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.94</w:t>
            </w:r>
          </w:p>
        </w:tc>
        <w:tc>
          <w:tcPr>
            <w:tcW w:w="540" w:type="dxa"/>
            <w:vAlign w:val="center"/>
          </w:tcPr>
          <w:p w14:paraId="077DDC7F" w14:textId="48607B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.7</w:t>
            </w:r>
            <w:r w:rsidR="001F680D" w:rsidRPr="001F680D">
              <w:rPr>
                <w:rFonts w:ascii="Times New Roman" w:hAnsi="Times New Roman" w:cs="Times New Roman"/>
                <w:sz w:val="24"/>
                <w:szCs w:val="24"/>
              </w:rPr>
              <w:t>6</w:t>
            </w:r>
          </w:p>
        </w:tc>
        <w:tc>
          <w:tcPr>
            <w:tcW w:w="720" w:type="dxa"/>
            <w:vAlign w:val="center"/>
          </w:tcPr>
          <w:p w14:paraId="0280A585" w14:textId="4BE1F6DD"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2.56</w:t>
            </w:r>
          </w:p>
        </w:tc>
        <w:tc>
          <w:tcPr>
            <w:tcW w:w="900" w:type="dxa"/>
            <w:vAlign w:val="center"/>
          </w:tcPr>
          <w:p w14:paraId="1C5A8755" w14:textId="23C580C9" w:rsidR="00814C51" w:rsidRPr="001F680D" w:rsidRDefault="00F425F4"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.12</w:t>
            </w:r>
          </w:p>
        </w:tc>
        <w:tc>
          <w:tcPr>
            <w:tcW w:w="540" w:type="dxa"/>
            <w:vAlign w:val="center"/>
          </w:tcPr>
          <w:p w14:paraId="58067B35" w14:textId="0A2A9C78"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.4</w:t>
            </w:r>
            <w:r w:rsidR="001F680D" w:rsidRPr="001F680D">
              <w:rPr>
                <w:rFonts w:ascii="Times New Roman" w:hAnsi="Times New Roman" w:cs="Times New Roman"/>
                <w:sz w:val="24"/>
                <w:szCs w:val="24"/>
              </w:rPr>
              <w:t>0</w:t>
            </w:r>
          </w:p>
        </w:tc>
        <w:tc>
          <w:tcPr>
            <w:tcW w:w="720" w:type="dxa"/>
            <w:vAlign w:val="center"/>
          </w:tcPr>
          <w:p w14:paraId="0BB17AFF" w14:textId="54940477"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1.13</w:t>
            </w:r>
          </w:p>
        </w:tc>
        <w:tc>
          <w:tcPr>
            <w:tcW w:w="900" w:type="dxa"/>
            <w:vAlign w:val="center"/>
          </w:tcPr>
          <w:p w14:paraId="32C83AD7" w14:textId="1AE41063"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F425F4" w:rsidRPr="001F680D">
              <w:rPr>
                <w:rFonts w:ascii="Times New Roman" w:hAnsi="Times New Roman" w:cs="Times New Roman"/>
                <w:sz w:val="24"/>
                <w:szCs w:val="24"/>
              </w:rPr>
              <w:t>21</w:t>
            </w:r>
          </w:p>
        </w:tc>
        <w:tc>
          <w:tcPr>
            <w:tcW w:w="630" w:type="dxa"/>
            <w:vAlign w:val="center"/>
          </w:tcPr>
          <w:p w14:paraId="46861868" w14:textId="1F2687EA"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1F680D" w:rsidRPr="001F680D">
              <w:rPr>
                <w:rFonts w:ascii="Times New Roman" w:hAnsi="Times New Roman" w:cs="Times New Roman"/>
                <w:sz w:val="24"/>
                <w:szCs w:val="24"/>
              </w:rPr>
              <w:t>68</w:t>
            </w:r>
          </w:p>
        </w:tc>
        <w:tc>
          <w:tcPr>
            <w:tcW w:w="642" w:type="dxa"/>
            <w:vAlign w:val="center"/>
          </w:tcPr>
          <w:p w14:paraId="21632081" w14:textId="30DC5AEE"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1F680D" w:rsidRPr="001F680D">
              <w:rPr>
                <w:rFonts w:ascii="Times New Roman" w:hAnsi="Times New Roman" w:cs="Times New Roman"/>
                <w:sz w:val="24"/>
                <w:szCs w:val="24"/>
              </w:rPr>
              <w:t>81</w:t>
            </w:r>
          </w:p>
        </w:tc>
      </w:tr>
      <w:tr w:rsidR="00814C51" w:rsidRPr="001F680D" w14:paraId="2BD622F4" w14:textId="77777777" w:rsidTr="00B57ABD">
        <w:trPr>
          <w:trHeight w:val="268"/>
        </w:trPr>
        <w:tc>
          <w:tcPr>
            <w:tcW w:w="1705" w:type="dxa"/>
          </w:tcPr>
          <w:p w14:paraId="7F6EC019"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Hispanic (n=113)</w:t>
            </w:r>
          </w:p>
        </w:tc>
        <w:tc>
          <w:tcPr>
            <w:tcW w:w="900" w:type="dxa"/>
            <w:vAlign w:val="center"/>
          </w:tcPr>
          <w:p w14:paraId="56CC7697" w14:textId="11A139A1" w:rsidR="00814C51" w:rsidRPr="001F680D" w:rsidRDefault="00F425F4"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.05</w:t>
            </w:r>
          </w:p>
        </w:tc>
        <w:tc>
          <w:tcPr>
            <w:tcW w:w="720" w:type="dxa"/>
            <w:vAlign w:val="center"/>
          </w:tcPr>
          <w:p w14:paraId="7CEE7444" w14:textId="1939FF3E"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1.04</w:t>
            </w:r>
          </w:p>
        </w:tc>
        <w:tc>
          <w:tcPr>
            <w:tcW w:w="720" w:type="dxa"/>
            <w:vAlign w:val="center"/>
          </w:tcPr>
          <w:p w14:paraId="62EF46BE" w14:textId="160F3827"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1.05</w:t>
            </w:r>
          </w:p>
        </w:tc>
        <w:tc>
          <w:tcPr>
            <w:tcW w:w="810" w:type="dxa"/>
            <w:vAlign w:val="center"/>
          </w:tcPr>
          <w:p w14:paraId="1079D28C" w14:textId="3486A7DC"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F425F4" w:rsidRPr="001F680D">
              <w:rPr>
                <w:rFonts w:ascii="Times New Roman" w:hAnsi="Times New Roman" w:cs="Times New Roman"/>
                <w:sz w:val="24"/>
                <w:szCs w:val="24"/>
              </w:rPr>
              <w:t>57</w:t>
            </w:r>
          </w:p>
        </w:tc>
        <w:tc>
          <w:tcPr>
            <w:tcW w:w="540" w:type="dxa"/>
            <w:vAlign w:val="center"/>
          </w:tcPr>
          <w:p w14:paraId="2C8F1170" w14:textId="260A8748"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1F680D" w:rsidRPr="001F680D">
              <w:rPr>
                <w:rFonts w:ascii="Times New Roman" w:hAnsi="Times New Roman" w:cs="Times New Roman"/>
                <w:sz w:val="24"/>
                <w:szCs w:val="24"/>
              </w:rPr>
              <w:t>78</w:t>
            </w:r>
          </w:p>
        </w:tc>
        <w:tc>
          <w:tcPr>
            <w:tcW w:w="720" w:type="dxa"/>
            <w:vAlign w:val="center"/>
          </w:tcPr>
          <w:p w14:paraId="079CC198" w14:textId="4E36ADAA"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.56</w:t>
            </w:r>
          </w:p>
        </w:tc>
        <w:tc>
          <w:tcPr>
            <w:tcW w:w="900" w:type="dxa"/>
            <w:vAlign w:val="center"/>
          </w:tcPr>
          <w:p w14:paraId="23BB97C5" w14:textId="323F4EC1"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w:t>
            </w:r>
            <w:r w:rsidR="00F425F4" w:rsidRPr="001F680D">
              <w:rPr>
                <w:rFonts w:ascii="Times New Roman" w:hAnsi="Times New Roman" w:cs="Times New Roman"/>
                <w:sz w:val="24"/>
                <w:szCs w:val="24"/>
              </w:rPr>
              <w:t>05*</w:t>
            </w:r>
          </w:p>
        </w:tc>
        <w:tc>
          <w:tcPr>
            <w:tcW w:w="540" w:type="dxa"/>
            <w:vAlign w:val="center"/>
          </w:tcPr>
          <w:p w14:paraId="6EBA3934" w14:textId="56DB3E34"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.5</w:t>
            </w:r>
            <w:r w:rsidR="001F680D" w:rsidRPr="001F680D">
              <w:rPr>
                <w:rFonts w:ascii="Times New Roman" w:hAnsi="Times New Roman" w:cs="Times New Roman"/>
                <w:sz w:val="24"/>
                <w:szCs w:val="24"/>
              </w:rPr>
              <w:t>0</w:t>
            </w:r>
          </w:p>
        </w:tc>
        <w:tc>
          <w:tcPr>
            <w:tcW w:w="720" w:type="dxa"/>
            <w:vAlign w:val="center"/>
          </w:tcPr>
          <w:p w14:paraId="79317B85" w14:textId="7F003958"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1F680D" w:rsidRPr="001F680D">
              <w:rPr>
                <w:rFonts w:ascii="Times New Roman" w:hAnsi="Times New Roman" w:cs="Times New Roman"/>
                <w:sz w:val="24"/>
                <w:szCs w:val="24"/>
              </w:rPr>
              <w:t>35</w:t>
            </w:r>
          </w:p>
        </w:tc>
        <w:tc>
          <w:tcPr>
            <w:tcW w:w="900" w:type="dxa"/>
            <w:vAlign w:val="center"/>
          </w:tcPr>
          <w:p w14:paraId="7A5C926D" w14:textId="5CD5610C"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F425F4" w:rsidRPr="001F680D">
              <w:rPr>
                <w:rFonts w:ascii="Times New Roman" w:hAnsi="Times New Roman" w:cs="Times New Roman"/>
                <w:sz w:val="24"/>
                <w:szCs w:val="24"/>
              </w:rPr>
              <w:t>96</w:t>
            </w:r>
          </w:p>
        </w:tc>
        <w:tc>
          <w:tcPr>
            <w:tcW w:w="630" w:type="dxa"/>
            <w:vAlign w:val="center"/>
          </w:tcPr>
          <w:p w14:paraId="4C6A5C34" w14:textId="23878F1B"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1F680D" w:rsidRPr="001F680D">
              <w:rPr>
                <w:rFonts w:ascii="Times New Roman" w:hAnsi="Times New Roman" w:cs="Times New Roman"/>
                <w:sz w:val="24"/>
                <w:szCs w:val="24"/>
              </w:rPr>
              <w:t>65</w:t>
            </w:r>
          </w:p>
        </w:tc>
        <w:tc>
          <w:tcPr>
            <w:tcW w:w="642" w:type="dxa"/>
            <w:vAlign w:val="center"/>
          </w:tcPr>
          <w:p w14:paraId="2760136E" w14:textId="5F88C7DE"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.3</w:t>
            </w:r>
            <w:r w:rsidR="001F680D" w:rsidRPr="001F680D">
              <w:rPr>
                <w:rFonts w:ascii="Times New Roman" w:hAnsi="Times New Roman" w:cs="Times New Roman"/>
                <w:sz w:val="24"/>
                <w:szCs w:val="24"/>
              </w:rPr>
              <w:t>8</w:t>
            </w:r>
          </w:p>
        </w:tc>
      </w:tr>
      <w:tr w:rsidR="00F425F4" w:rsidRPr="001F680D" w14:paraId="01DED4DC" w14:textId="77777777" w:rsidTr="00B57ABD">
        <w:trPr>
          <w:trHeight w:val="268"/>
        </w:trPr>
        <w:tc>
          <w:tcPr>
            <w:tcW w:w="1705" w:type="dxa"/>
          </w:tcPr>
          <w:p w14:paraId="371E9338" w14:textId="0F17DD07" w:rsidR="00F425F4" w:rsidRPr="001F680D" w:rsidRDefault="00F425F4"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 xml:space="preserve">Other (n=) </w:t>
            </w:r>
          </w:p>
        </w:tc>
        <w:tc>
          <w:tcPr>
            <w:tcW w:w="900" w:type="dxa"/>
            <w:vAlign w:val="center"/>
          </w:tcPr>
          <w:p w14:paraId="2B028B1C" w14:textId="67827D84" w:rsidR="00F425F4" w:rsidRPr="001F680D" w:rsidRDefault="00F425F4" w:rsidP="00814C51">
            <w:pPr>
              <w:tabs>
                <w:tab w:val="left" w:pos="972"/>
              </w:tabs>
              <w:jc w:val="center"/>
              <w:rPr>
                <w:rFonts w:ascii="Times New Roman" w:hAnsi="Times New Roman" w:cs="Times New Roman"/>
                <w:b/>
                <w:bCs/>
                <w:sz w:val="24"/>
                <w:szCs w:val="24"/>
              </w:rPr>
            </w:pPr>
            <w:r w:rsidRPr="001F680D">
              <w:rPr>
                <w:rFonts w:ascii="Times New Roman" w:hAnsi="Times New Roman" w:cs="Times New Roman"/>
                <w:b/>
                <w:bCs/>
                <w:sz w:val="24"/>
                <w:szCs w:val="24"/>
              </w:rPr>
              <w:t>2.63*</w:t>
            </w:r>
          </w:p>
        </w:tc>
        <w:tc>
          <w:tcPr>
            <w:tcW w:w="720" w:type="dxa"/>
            <w:vAlign w:val="center"/>
          </w:tcPr>
          <w:p w14:paraId="1B9F7AC1" w14:textId="6FD0037E" w:rsidR="00F425F4" w:rsidRPr="001F680D" w:rsidRDefault="001F680D" w:rsidP="00814C51">
            <w:pPr>
              <w:tabs>
                <w:tab w:val="left" w:pos="972"/>
              </w:tabs>
              <w:jc w:val="center"/>
              <w:rPr>
                <w:rFonts w:ascii="Times New Roman" w:hAnsi="Times New Roman" w:cs="Times New Roman"/>
                <w:sz w:val="24"/>
                <w:szCs w:val="24"/>
              </w:rPr>
            </w:pPr>
            <w:r w:rsidRPr="001F680D">
              <w:rPr>
                <w:rFonts w:ascii="Times New Roman" w:hAnsi="Times New Roman" w:cs="Times New Roman"/>
                <w:sz w:val="24"/>
                <w:szCs w:val="24"/>
              </w:rPr>
              <w:t>1.31</w:t>
            </w:r>
          </w:p>
        </w:tc>
        <w:tc>
          <w:tcPr>
            <w:tcW w:w="720" w:type="dxa"/>
            <w:vAlign w:val="center"/>
          </w:tcPr>
          <w:p w14:paraId="5034FFD3" w14:textId="117C1D3C" w:rsidR="00F425F4" w:rsidRPr="001F680D" w:rsidRDefault="001F680D" w:rsidP="00814C51">
            <w:pPr>
              <w:tabs>
                <w:tab w:val="left" w:pos="972"/>
              </w:tabs>
              <w:jc w:val="center"/>
              <w:rPr>
                <w:rFonts w:ascii="Times New Roman" w:hAnsi="Times New Roman" w:cs="Times New Roman"/>
                <w:sz w:val="24"/>
                <w:szCs w:val="24"/>
              </w:rPr>
            </w:pPr>
            <w:r w:rsidRPr="001F680D">
              <w:rPr>
                <w:rFonts w:ascii="Times New Roman" w:hAnsi="Times New Roman" w:cs="Times New Roman"/>
                <w:sz w:val="24"/>
                <w:szCs w:val="24"/>
              </w:rPr>
              <w:t>13.97</w:t>
            </w:r>
          </w:p>
        </w:tc>
        <w:tc>
          <w:tcPr>
            <w:tcW w:w="810" w:type="dxa"/>
            <w:vAlign w:val="center"/>
          </w:tcPr>
          <w:p w14:paraId="1C4726F5" w14:textId="4701EB0D" w:rsidR="00F425F4" w:rsidRPr="001F680D" w:rsidRDefault="00F425F4" w:rsidP="00814C51">
            <w:pPr>
              <w:tabs>
                <w:tab w:val="left" w:pos="972"/>
              </w:tabs>
              <w:jc w:val="center"/>
              <w:rPr>
                <w:rFonts w:ascii="Times New Roman" w:hAnsi="Times New Roman" w:cs="Times New Roman"/>
                <w:b/>
                <w:bCs/>
                <w:sz w:val="24"/>
                <w:szCs w:val="24"/>
              </w:rPr>
            </w:pPr>
            <w:r w:rsidRPr="001F680D">
              <w:rPr>
                <w:rFonts w:ascii="Times New Roman" w:hAnsi="Times New Roman" w:cs="Times New Roman"/>
                <w:b/>
                <w:bCs/>
                <w:sz w:val="24"/>
                <w:szCs w:val="24"/>
              </w:rPr>
              <w:t>1.37⸆</w:t>
            </w:r>
          </w:p>
        </w:tc>
        <w:tc>
          <w:tcPr>
            <w:tcW w:w="540" w:type="dxa"/>
            <w:vAlign w:val="center"/>
          </w:tcPr>
          <w:p w14:paraId="70AE4EA8" w14:textId="349B40B4" w:rsidR="00F425F4" w:rsidRPr="001F680D" w:rsidRDefault="001F680D" w:rsidP="00814C51">
            <w:pPr>
              <w:tabs>
                <w:tab w:val="left" w:pos="972"/>
              </w:tabs>
              <w:jc w:val="center"/>
              <w:rPr>
                <w:rFonts w:ascii="Times New Roman" w:hAnsi="Times New Roman" w:cs="Times New Roman"/>
                <w:sz w:val="24"/>
                <w:szCs w:val="24"/>
              </w:rPr>
            </w:pPr>
            <w:r w:rsidRPr="001F680D">
              <w:rPr>
                <w:rFonts w:ascii="Times New Roman" w:hAnsi="Times New Roman" w:cs="Times New Roman"/>
                <w:sz w:val="24"/>
                <w:szCs w:val="24"/>
              </w:rPr>
              <w:t>.77</w:t>
            </w:r>
          </w:p>
        </w:tc>
        <w:tc>
          <w:tcPr>
            <w:tcW w:w="720" w:type="dxa"/>
            <w:vAlign w:val="center"/>
          </w:tcPr>
          <w:p w14:paraId="6A0C7213" w14:textId="075109F0" w:rsidR="00F425F4" w:rsidRPr="001F680D" w:rsidRDefault="001F680D" w:rsidP="00814C51">
            <w:pPr>
              <w:tabs>
                <w:tab w:val="left" w:pos="972"/>
              </w:tabs>
              <w:jc w:val="center"/>
              <w:rPr>
                <w:rFonts w:ascii="Times New Roman" w:hAnsi="Times New Roman" w:cs="Times New Roman"/>
                <w:sz w:val="24"/>
                <w:szCs w:val="24"/>
              </w:rPr>
            </w:pPr>
            <w:r w:rsidRPr="001F680D">
              <w:rPr>
                <w:rFonts w:ascii="Times New Roman" w:hAnsi="Times New Roman" w:cs="Times New Roman"/>
                <w:sz w:val="24"/>
                <w:szCs w:val="24"/>
              </w:rPr>
              <w:t>3.94</w:t>
            </w:r>
          </w:p>
        </w:tc>
        <w:tc>
          <w:tcPr>
            <w:tcW w:w="900" w:type="dxa"/>
            <w:vAlign w:val="center"/>
          </w:tcPr>
          <w:p w14:paraId="7A81243B" w14:textId="44D82046" w:rsidR="00F425F4" w:rsidRPr="001F680D" w:rsidRDefault="00F425F4" w:rsidP="00814C51">
            <w:pPr>
              <w:tabs>
                <w:tab w:val="left" w:pos="972"/>
              </w:tabs>
              <w:jc w:val="center"/>
              <w:rPr>
                <w:rFonts w:ascii="Times New Roman" w:hAnsi="Times New Roman" w:cs="Times New Roman"/>
                <w:sz w:val="24"/>
                <w:szCs w:val="24"/>
              </w:rPr>
            </w:pPr>
            <w:r w:rsidRPr="001F680D">
              <w:rPr>
                <w:rFonts w:ascii="Times New Roman" w:hAnsi="Times New Roman" w:cs="Times New Roman"/>
                <w:sz w:val="24"/>
                <w:szCs w:val="24"/>
              </w:rPr>
              <w:t>.72</w:t>
            </w:r>
          </w:p>
        </w:tc>
        <w:tc>
          <w:tcPr>
            <w:tcW w:w="540" w:type="dxa"/>
            <w:vAlign w:val="center"/>
          </w:tcPr>
          <w:p w14:paraId="4757E9C3" w14:textId="40AC6407" w:rsidR="00F425F4" w:rsidRPr="001F680D" w:rsidRDefault="001F680D" w:rsidP="00814C51">
            <w:pPr>
              <w:tabs>
                <w:tab w:val="left" w:pos="972"/>
              </w:tabs>
              <w:jc w:val="center"/>
              <w:rPr>
                <w:rFonts w:ascii="Times New Roman" w:hAnsi="Times New Roman" w:cs="Times New Roman"/>
                <w:sz w:val="24"/>
                <w:szCs w:val="24"/>
              </w:rPr>
            </w:pPr>
            <w:r w:rsidRPr="001F680D">
              <w:rPr>
                <w:rFonts w:ascii="Times New Roman" w:hAnsi="Times New Roman" w:cs="Times New Roman"/>
                <w:sz w:val="24"/>
                <w:szCs w:val="24"/>
              </w:rPr>
              <w:t>.46</w:t>
            </w:r>
          </w:p>
        </w:tc>
        <w:tc>
          <w:tcPr>
            <w:tcW w:w="720" w:type="dxa"/>
            <w:vAlign w:val="center"/>
          </w:tcPr>
          <w:p w14:paraId="12AFC146" w14:textId="31DD4B84" w:rsidR="00F425F4" w:rsidRPr="001F680D" w:rsidRDefault="001F680D" w:rsidP="00814C51">
            <w:pPr>
              <w:tabs>
                <w:tab w:val="left" w:pos="972"/>
              </w:tabs>
              <w:jc w:val="center"/>
              <w:rPr>
                <w:rFonts w:ascii="Times New Roman" w:hAnsi="Times New Roman" w:cs="Times New Roman"/>
                <w:sz w:val="24"/>
                <w:szCs w:val="24"/>
              </w:rPr>
            </w:pPr>
            <w:r w:rsidRPr="001F680D">
              <w:rPr>
                <w:rFonts w:ascii="Times New Roman" w:hAnsi="Times New Roman" w:cs="Times New Roman"/>
                <w:sz w:val="24"/>
                <w:szCs w:val="24"/>
              </w:rPr>
              <w:t>2.05</w:t>
            </w:r>
          </w:p>
        </w:tc>
        <w:tc>
          <w:tcPr>
            <w:tcW w:w="900" w:type="dxa"/>
            <w:vAlign w:val="center"/>
          </w:tcPr>
          <w:p w14:paraId="7B964F53" w14:textId="431DE031" w:rsidR="00F425F4" w:rsidRPr="001F680D" w:rsidRDefault="00F425F4" w:rsidP="00814C51">
            <w:pPr>
              <w:tabs>
                <w:tab w:val="left" w:pos="972"/>
              </w:tabs>
              <w:jc w:val="center"/>
              <w:rPr>
                <w:rFonts w:ascii="Times New Roman" w:hAnsi="Times New Roman" w:cs="Times New Roman"/>
                <w:b/>
                <w:bCs/>
                <w:sz w:val="24"/>
                <w:szCs w:val="24"/>
              </w:rPr>
            </w:pPr>
            <w:r w:rsidRPr="001F680D">
              <w:rPr>
                <w:rFonts w:ascii="Times New Roman" w:hAnsi="Times New Roman" w:cs="Times New Roman"/>
                <w:b/>
                <w:bCs/>
                <w:sz w:val="24"/>
                <w:szCs w:val="24"/>
              </w:rPr>
              <w:t>.17</w:t>
            </w:r>
          </w:p>
        </w:tc>
        <w:tc>
          <w:tcPr>
            <w:tcW w:w="630" w:type="dxa"/>
            <w:vAlign w:val="center"/>
          </w:tcPr>
          <w:p w14:paraId="506E2C7F" w14:textId="65CE8FFD" w:rsidR="00F425F4" w:rsidRPr="001F680D" w:rsidRDefault="001F680D" w:rsidP="00814C51">
            <w:pPr>
              <w:tabs>
                <w:tab w:val="left" w:pos="972"/>
              </w:tabs>
              <w:jc w:val="center"/>
              <w:rPr>
                <w:rFonts w:ascii="Times New Roman" w:hAnsi="Times New Roman" w:cs="Times New Roman"/>
                <w:sz w:val="24"/>
                <w:szCs w:val="24"/>
              </w:rPr>
            </w:pPr>
            <w:r w:rsidRPr="001F680D">
              <w:rPr>
                <w:rFonts w:ascii="Times New Roman" w:hAnsi="Times New Roman" w:cs="Times New Roman"/>
                <w:sz w:val="24"/>
                <w:szCs w:val="24"/>
              </w:rPr>
              <w:t>.72</w:t>
            </w:r>
          </w:p>
        </w:tc>
        <w:tc>
          <w:tcPr>
            <w:tcW w:w="642" w:type="dxa"/>
            <w:vAlign w:val="center"/>
          </w:tcPr>
          <w:p w14:paraId="2DADDC07" w14:textId="0CCE73B9" w:rsidR="00F425F4" w:rsidRPr="001F680D" w:rsidRDefault="001F680D" w:rsidP="00814C51">
            <w:pPr>
              <w:tabs>
                <w:tab w:val="left" w:pos="972"/>
              </w:tabs>
              <w:jc w:val="center"/>
              <w:rPr>
                <w:rFonts w:ascii="Times New Roman" w:hAnsi="Times New Roman" w:cs="Times New Roman"/>
                <w:sz w:val="24"/>
                <w:szCs w:val="24"/>
              </w:rPr>
            </w:pPr>
            <w:r w:rsidRPr="001F680D">
              <w:rPr>
                <w:rFonts w:ascii="Times New Roman" w:hAnsi="Times New Roman" w:cs="Times New Roman"/>
                <w:sz w:val="24"/>
                <w:szCs w:val="24"/>
              </w:rPr>
              <w:t>1.19</w:t>
            </w:r>
          </w:p>
        </w:tc>
      </w:tr>
      <w:tr w:rsidR="00814C51" w:rsidRPr="001F680D" w14:paraId="2CFBEE8E" w14:textId="77777777" w:rsidTr="00F425F4">
        <w:trPr>
          <w:gridAfter w:val="12"/>
          <w:wAfter w:w="8742" w:type="dxa"/>
          <w:trHeight w:val="268"/>
        </w:trPr>
        <w:tc>
          <w:tcPr>
            <w:tcW w:w="1705" w:type="dxa"/>
          </w:tcPr>
          <w:p w14:paraId="5107A2C3"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 xml:space="preserve">Home Language </w:t>
            </w:r>
          </w:p>
        </w:tc>
      </w:tr>
      <w:tr w:rsidR="00814C51" w:rsidRPr="001F680D" w14:paraId="04EA348B" w14:textId="77777777" w:rsidTr="00B57ABD">
        <w:trPr>
          <w:trHeight w:val="268"/>
        </w:trPr>
        <w:tc>
          <w:tcPr>
            <w:tcW w:w="1705" w:type="dxa"/>
          </w:tcPr>
          <w:p w14:paraId="57FB7DA6"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Spanish (n=125)</w:t>
            </w:r>
          </w:p>
        </w:tc>
        <w:tc>
          <w:tcPr>
            <w:tcW w:w="900" w:type="dxa"/>
            <w:vAlign w:val="center"/>
          </w:tcPr>
          <w:p w14:paraId="66102EC1" w14:textId="0CF83E3C" w:rsidR="00814C51" w:rsidRPr="001F680D" w:rsidRDefault="00F425F4" w:rsidP="00814C51">
            <w:pPr>
              <w:tabs>
                <w:tab w:val="left" w:pos="972"/>
              </w:tabs>
              <w:jc w:val="center"/>
              <w:rPr>
                <w:rFonts w:ascii="Times New Roman" w:hAnsi="Times New Roman" w:cs="Times New Roman"/>
                <w:b/>
                <w:bCs/>
                <w:iCs/>
                <w:sz w:val="24"/>
                <w:szCs w:val="24"/>
              </w:rPr>
            </w:pPr>
            <w:r w:rsidRPr="001F680D">
              <w:rPr>
                <w:rFonts w:ascii="Times New Roman" w:hAnsi="Times New Roman" w:cs="Times New Roman"/>
                <w:b/>
                <w:bCs/>
                <w:iCs/>
                <w:sz w:val="24"/>
                <w:szCs w:val="24"/>
              </w:rPr>
              <w:t>-</w:t>
            </w:r>
            <w:r w:rsidR="00814C51" w:rsidRPr="001F680D">
              <w:rPr>
                <w:rFonts w:ascii="Times New Roman" w:hAnsi="Times New Roman" w:cs="Times New Roman"/>
                <w:b/>
                <w:bCs/>
                <w:iCs/>
                <w:sz w:val="24"/>
                <w:szCs w:val="24"/>
              </w:rPr>
              <w:t>1.</w:t>
            </w:r>
            <w:r w:rsidRPr="001F680D">
              <w:rPr>
                <w:rFonts w:ascii="Times New Roman" w:hAnsi="Times New Roman" w:cs="Times New Roman"/>
                <w:b/>
                <w:bCs/>
                <w:iCs/>
                <w:sz w:val="24"/>
                <w:szCs w:val="24"/>
              </w:rPr>
              <w:t>73</w:t>
            </w:r>
            <w:r w:rsidRPr="001F680D">
              <w:rPr>
                <w:rFonts w:ascii="Times New Roman" w:hAnsi="Times New Roman" w:cs="Times New Roman"/>
                <w:b/>
                <w:bCs/>
                <w:sz w:val="24"/>
                <w:szCs w:val="24"/>
              </w:rPr>
              <w:t>⸆</w:t>
            </w:r>
          </w:p>
        </w:tc>
        <w:tc>
          <w:tcPr>
            <w:tcW w:w="720" w:type="dxa"/>
            <w:vAlign w:val="center"/>
          </w:tcPr>
          <w:p w14:paraId="15DEA012"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.98</w:t>
            </w:r>
          </w:p>
        </w:tc>
        <w:tc>
          <w:tcPr>
            <w:tcW w:w="720" w:type="dxa"/>
            <w:vAlign w:val="center"/>
          </w:tcPr>
          <w:p w14:paraId="18AF92FB" w14:textId="64BC924B"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.17</w:t>
            </w:r>
          </w:p>
        </w:tc>
        <w:tc>
          <w:tcPr>
            <w:tcW w:w="810" w:type="dxa"/>
            <w:vAlign w:val="center"/>
          </w:tcPr>
          <w:p w14:paraId="22A662C1" w14:textId="1DDBBB42" w:rsidR="00814C51" w:rsidRPr="001F680D" w:rsidRDefault="00814C51" w:rsidP="00814C51">
            <w:pPr>
              <w:tabs>
                <w:tab w:val="left" w:pos="972"/>
              </w:tabs>
              <w:jc w:val="center"/>
              <w:rPr>
                <w:rFonts w:ascii="Times New Roman" w:hAnsi="Times New Roman" w:cs="Times New Roman"/>
                <w:b/>
                <w:bCs/>
                <w:iCs/>
                <w:sz w:val="24"/>
                <w:szCs w:val="24"/>
              </w:rPr>
            </w:pPr>
            <w:r w:rsidRPr="001F680D">
              <w:rPr>
                <w:rFonts w:ascii="Times New Roman" w:hAnsi="Times New Roman" w:cs="Times New Roman"/>
                <w:b/>
                <w:bCs/>
                <w:sz w:val="24"/>
                <w:szCs w:val="24"/>
              </w:rPr>
              <w:t>1.</w:t>
            </w:r>
            <w:r w:rsidR="00F425F4" w:rsidRPr="001F680D">
              <w:rPr>
                <w:rFonts w:ascii="Times New Roman" w:hAnsi="Times New Roman" w:cs="Times New Roman"/>
                <w:b/>
                <w:bCs/>
                <w:sz w:val="24"/>
                <w:szCs w:val="24"/>
              </w:rPr>
              <w:t>42*</w:t>
            </w:r>
          </w:p>
        </w:tc>
        <w:tc>
          <w:tcPr>
            <w:tcW w:w="540" w:type="dxa"/>
            <w:vAlign w:val="center"/>
          </w:tcPr>
          <w:p w14:paraId="64274919"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.76</w:t>
            </w:r>
          </w:p>
        </w:tc>
        <w:tc>
          <w:tcPr>
            <w:tcW w:w="720" w:type="dxa"/>
            <w:vAlign w:val="center"/>
          </w:tcPr>
          <w:p w14:paraId="522C2CC2" w14:textId="30F712DC"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.24</w:t>
            </w:r>
          </w:p>
        </w:tc>
        <w:tc>
          <w:tcPr>
            <w:tcW w:w="900" w:type="dxa"/>
            <w:vAlign w:val="center"/>
          </w:tcPr>
          <w:p w14:paraId="03BDDECE" w14:textId="1BB7C2CD" w:rsidR="00814C51" w:rsidRPr="001F680D" w:rsidRDefault="00F425F4"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814C51" w:rsidRPr="001F680D">
              <w:rPr>
                <w:rFonts w:ascii="Times New Roman" w:hAnsi="Times New Roman" w:cs="Times New Roman"/>
                <w:sz w:val="24"/>
                <w:szCs w:val="24"/>
              </w:rPr>
              <w:t>.</w:t>
            </w:r>
            <w:r w:rsidRPr="001F680D">
              <w:rPr>
                <w:rFonts w:ascii="Times New Roman" w:hAnsi="Times New Roman" w:cs="Times New Roman"/>
                <w:sz w:val="24"/>
                <w:szCs w:val="24"/>
              </w:rPr>
              <w:t>35</w:t>
            </w:r>
          </w:p>
        </w:tc>
        <w:tc>
          <w:tcPr>
            <w:tcW w:w="540" w:type="dxa"/>
            <w:vAlign w:val="center"/>
          </w:tcPr>
          <w:p w14:paraId="26192D86"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.48</w:t>
            </w:r>
          </w:p>
        </w:tc>
        <w:tc>
          <w:tcPr>
            <w:tcW w:w="720" w:type="dxa"/>
            <w:vAlign w:val="center"/>
          </w:tcPr>
          <w:p w14:paraId="2EF4395C" w14:textId="49E6FB19" w:rsidR="00814C51" w:rsidRPr="001F680D" w:rsidRDefault="001F680D"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.67</w:t>
            </w:r>
          </w:p>
        </w:tc>
        <w:tc>
          <w:tcPr>
            <w:tcW w:w="900" w:type="dxa"/>
            <w:vAlign w:val="center"/>
          </w:tcPr>
          <w:p w14:paraId="6A49436E" w14:textId="404E1B63" w:rsidR="00814C51" w:rsidRPr="001F680D" w:rsidRDefault="00F425F4"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-.11</w:t>
            </w:r>
          </w:p>
        </w:tc>
        <w:tc>
          <w:tcPr>
            <w:tcW w:w="630" w:type="dxa"/>
            <w:vAlign w:val="center"/>
          </w:tcPr>
          <w:p w14:paraId="17ACB7F8" w14:textId="4BE5EDEE"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w:t>
            </w:r>
            <w:r w:rsidR="001F680D" w:rsidRPr="001F680D">
              <w:rPr>
                <w:rFonts w:ascii="Times New Roman" w:hAnsi="Times New Roman" w:cs="Times New Roman"/>
                <w:sz w:val="24"/>
                <w:szCs w:val="24"/>
              </w:rPr>
              <w:t>60</w:t>
            </w:r>
          </w:p>
        </w:tc>
        <w:tc>
          <w:tcPr>
            <w:tcW w:w="642" w:type="dxa"/>
            <w:vAlign w:val="center"/>
          </w:tcPr>
          <w:p w14:paraId="581A52E0"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1.51</w:t>
            </w:r>
          </w:p>
        </w:tc>
      </w:tr>
      <w:tr w:rsidR="00814C51" w:rsidRPr="001F680D" w14:paraId="4F2F3B2C" w14:textId="77777777" w:rsidTr="00B57ABD">
        <w:trPr>
          <w:trHeight w:val="268"/>
        </w:trPr>
        <w:tc>
          <w:tcPr>
            <w:tcW w:w="1705" w:type="dxa"/>
          </w:tcPr>
          <w:p w14:paraId="27EE71D1"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 xml:space="preserve">Age </w:t>
            </w:r>
          </w:p>
        </w:tc>
        <w:tc>
          <w:tcPr>
            <w:tcW w:w="900" w:type="dxa"/>
          </w:tcPr>
          <w:p w14:paraId="0191370C" w14:textId="77777777" w:rsidR="00814C51" w:rsidRPr="001F680D" w:rsidRDefault="00814C51" w:rsidP="00814C51">
            <w:pPr>
              <w:tabs>
                <w:tab w:val="left" w:pos="972"/>
              </w:tabs>
              <w:rPr>
                <w:rFonts w:ascii="Times New Roman" w:hAnsi="Times New Roman" w:cs="Times New Roman"/>
                <w:iCs/>
                <w:sz w:val="24"/>
                <w:szCs w:val="24"/>
              </w:rPr>
            </w:pPr>
          </w:p>
        </w:tc>
        <w:tc>
          <w:tcPr>
            <w:tcW w:w="720" w:type="dxa"/>
          </w:tcPr>
          <w:p w14:paraId="3AF96BDA" w14:textId="77777777" w:rsidR="00814C51" w:rsidRPr="001F680D" w:rsidRDefault="00814C51" w:rsidP="00814C51">
            <w:pPr>
              <w:tabs>
                <w:tab w:val="left" w:pos="972"/>
              </w:tabs>
              <w:rPr>
                <w:rFonts w:ascii="Times New Roman" w:hAnsi="Times New Roman" w:cs="Times New Roman"/>
                <w:iCs/>
                <w:sz w:val="24"/>
                <w:szCs w:val="24"/>
              </w:rPr>
            </w:pPr>
          </w:p>
        </w:tc>
        <w:tc>
          <w:tcPr>
            <w:tcW w:w="720" w:type="dxa"/>
          </w:tcPr>
          <w:p w14:paraId="0DAB4F49" w14:textId="77777777" w:rsidR="00814C51" w:rsidRPr="001F680D" w:rsidRDefault="00814C51" w:rsidP="00814C51">
            <w:pPr>
              <w:tabs>
                <w:tab w:val="left" w:pos="972"/>
              </w:tabs>
              <w:rPr>
                <w:rFonts w:ascii="Times New Roman" w:hAnsi="Times New Roman" w:cs="Times New Roman"/>
                <w:iCs/>
                <w:sz w:val="24"/>
                <w:szCs w:val="24"/>
              </w:rPr>
            </w:pPr>
          </w:p>
        </w:tc>
        <w:tc>
          <w:tcPr>
            <w:tcW w:w="810" w:type="dxa"/>
          </w:tcPr>
          <w:p w14:paraId="000D4E3C" w14:textId="77777777" w:rsidR="00814C51" w:rsidRPr="001F680D" w:rsidRDefault="00814C51" w:rsidP="00814C51">
            <w:pPr>
              <w:tabs>
                <w:tab w:val="left" w:pos="972"/>
              </w:tabs>
              <w:rPr>
                <w:rFonts w:ascii="Times New Roman" w:hAnsi="Times New Roman" w:cs="Times New Roman"/>
                <w:iCs/>
                <w:sz w:val="24"/>
                <w:szCs w:val="24"/>
              </w:rPr>
            </w:pPr>
          </w:p>
        </w:tc>
        <w:tc>
          <w:tcPr>
            <w:tcW w:w="540" w:type="dxa"/>
          </w:tcPr>
          <w:p w14:paraId="197EF571" w14:textId="77777777" w:rsidR="00814C51" w:rsidRPr="001F680D" w:rsidRDefault="00814C51" w:rsidP="00814C51">
            <w:pPr>
              <w:tabs>
                <w:tab w:val="left" w:pos="972"/>
              </w:tabs>
              <w:rPr>
                <w:rFonts w:ascii="Times New Roman" w:hAnsi="Times New Roman" w:cs="Times New Roman"/>
                <w:iCs/>
                <w:sz w:val="24"/>
                <w:szCs w:val="24"/>
              </w:rPr>
            </w:pPr>
          </w:p>
        </w:tc>
        <w:tc>
          <w:tcPr>
            <w:tcW w:w="720" w:type="dxa"/>
          </w:tcPr>
          <w:p w14:paraId="369AB8E2" w14:textId="77777777" w:rsidR="00814C51" w:rsidRPr="001F680D" w:rsidRDefault="00814C51" w:rsidP="00814C51">
            <w:pPr>
              <w:tabs>
                <w:tab w:val="left" w:pos="972"/>
              </w:tabs>
              <w:rPr>
                <w:rFonts w:ascii="Times New Roman" w:hAnsi="Times New Roman" w:cs="Times New Roman"/>
                <w:iCs/>
                <w:sz w:val="24"/>
                <w:szCs w:val="24"/>
              </w:rPr>
            </w:pPr>
          </w:p>
        </w:tc>
        <w:tc>
          <w:tcPr>
            <w:tcW w:w="900" w:type="dxa"/>
          </w:tcPr>
          <w:p w14:paraId="68B38C83" w14:textId="77777777" w:rsidR="00814C51" w:rsidRPr="001F680D" w:rsidRDefault="00814C51" w:rsidP="00814C51">
            <w:pPr>
              <w:tabs>
                <w:tab w:val="left" w:pos="972"/>
              </w:tabs>
              <w:rPr>
                <w:rFonts w:ascii="Times New Roman" w:hAnsi="Times New Roman" w:cs="Times New Roman"/>
                <w:iCs/>
                <w:sz w:val="24"/>
                <w:szCs w:val="24"/>
              </w:rPr>
            </w:pPr>
          </w:p>
        </w:tc>
        <w:tc>
          <w:tcPr>
            <w:tcW w:w="540" w:type="dxa"/>
          </w:tcPr>
          <w:p w14:paraId="4B22601F" w14:textId="77777777" w:rsidR="00814C51" w:rsidRPr="001F680D" w:rsidRDefault="00814C51" w:rsidP="00814C51">
            <w:pPr>
              <w:tabs>
                <w:tab w:val="left" w:pos="972"/>
              </w:tabs>
              <w:rPr>
                <w:rFonts w:ascii="Times New Roman" w:hAnsi="Times New Roman" w:cs="Times New Roman"/>
                <w:iCs/>
                <w:sz w:val="24"/>
                <w:szCs w:val="24"/>
              </w:rPr>
            </w:pPr>
          </w:p>
        </w:tc>
        <w:tc>
          <w:tcPr>
            <w:tcW w:w="720" w:type="dxa"/>
          </w:tcPr>
          <w:p w14:paraId="00CE59A3" w14:textId="77777777" w:rsidR="00814C51" w:rsidRPr="001F680D" w:rsidRDefault="00814C51" w:rsidP="00814C51">
            <w:pPr>
              <w:tabs>
                <w:tab w:val="left" w:pos="972"/>
              </w:tabs>
              <w:rPr>
                <w:rFonts w:ascii="Times New Roman" w:hAnsi="Times New Roman" w:cs="Times New Roman"/>
                <w:iCs/>
                <w:sz w:val="24"/>
                <w:szCs w:val="24"/>
              </w:rPr>
            </w:pPr>
          </w:p>
        </w:tc>
        <w:tc>
          <w:tcPr>
            <w:tcW w:w="900" w:type="dxa"/>
          </w:tcPr>
          <w:p w14:paraId="07516390" w14:textId="77777777" w:rsidR="00814C51" w:rsidRPr="001F680D" w:rsidRDefault="00814C51" w:rsidP="00814C51">
            <w:pPr>
              <w:tabs>
                <w:tab w:val="left" w:pos="972"/>
              </w:tabs>
              <w:rPr>
                <w:rFonts w:ascii="Times New Roman" w:hAnsi="Times New Roman" w:cs="Times New Roman"/>
                <w:iCs/>
                <w:sz w:val="24"/>
                <w:szCs w:val="24"/>
              </w:rPr>
            </w:pPr>
          </w:p>
        </w:tc>
        <w:tc>
          <w:tcPr>
            <w:tcW w:w="630" w:type="dxa"/>
          </w:tcPr>
          <w:p w14:paraId="58653845" w14:textId="77777777" w:rsidR="00814C51" w:rsidRPr="001F680D" w:rsidRDefault="00814C51" w:rsidP="00814C51">
            <w:pPr>
              <w:tabs>
                <w:tab w:val="left" w:pos="972"/>
              </w:tabs>
              <w:rPr>
                <w:rFonts w:ascii="Times New Roman" w:hAnsi="Times New Roman" w:cs="Times New Roman"/>
                <w:iCs/>
                <w:sz w:val="24"/>
                <w:szCs w:val="24"/>
              </w:rPr>
            </w:pPr>
          </w:p>
        </w:tc>
        <w:tc>
          <w:tcPr>
            <w:tcW w:w="642" w:type="dxa"/>
          </w:tcPr>
          <w:p w14:paraId="3E2C93CF" w14:textId="77777777" w:rsidR="00814C51" w:rsidRPr="001F680D" w:rsidRDefault="00814C51" w:rsidP="00814C51">
            <w:pPr>
              <w:tabs>
                <w:tab w:val="left" w:pos="972"/>
              </w:tabs>
              <w:rPr>
                <w:rFonts w:ascii="Times New Roman" w:hAnsi="Times New Roman" w:cs="Times New Roman"/>
                <w:iCs/>
                <w:sz w:val="24"/>
                <w:szCs w:val="24"/>
              </w:rPr>
            </w:pPr>
          </w:p>
        </w:tc>
      </w:tr>
      <w:tr w:rsidR="00814C51" w:rsidRPr="001F680D" w14:paraId="4BB80DBE" w14:textId="77777777" w:rsidTr="00B57ABD">
        <w:trPr>
          <w:trHeight w:val="281"/>
        </w:trPr>
        <w:tc>
          <w:tcPr>
            <w:tcW w:w="1705" w:type="dxa"/>
          </w:tcPr>
          <w:p w14:paraId="61FDF20E"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Toddler (n=79)</w:t>
            </w:r>
          </w:p>
        </w:tc>
        <w:tc>
          <w:tcPr>
            <w:tcW w:w="900" w:type="dxa"/>
            <w:vAlign w:val="center"/>
          </w:tcPr>
          <w:p w14:paraId="663BF294"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.33</w:t>
            </w:r>
          </w:p>
        </w:tc>
        <w:tc>
          <w:tcPr>
            <w:tcW w:w="720" w:type="dxa"/>
            <w:vAlign w:val="center"/>
          </w:tcPr>
          <w:p w14:paraId="24D5FC65"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.71</w:t>
            </w:r>
          </w:p>
        </w:tc>
        <w:tc>
          <w:tcPr>
            <w:tcW w:w="720" w:type="dxa"/>
            <w:vAlign w:val="center"/>
          </w:tcPr>
          <w:p w14:paraId="4040865C"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1.38</w:t>
            </w:r>
          </w:p>
        </w:tc>
        <w:tc>
          <w:tcPr>
            <w:tcW w:w="810" w:type="dxa"/>
            <w:vAlign w:val="center"/>
          </w:tcPr>
          <w:p w14:paraId="066F3ED5"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-.97</w:t>
            </w:r>
          </w:p>
        </w:tc>
        <w:tc>
          <w:tcPr>
            <w:tcW w:w="540" w:type="dxa"/>
            <w:vAlign w:val="center"/>
          </w:tcPr>
          <w:p w14:paraId="74CA28D3"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.69</w:t>
            </w:r>
          </w:p>
        </w:tc>
        <w:tc>
          <w:tcPr>
            <w:tcW w:w="720" w:type="dxa"/>
            <w:vAlign w:val="center"/>
          </w:tcPr>
          <w:p w14:paraId="0A8D1061"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.38</w:t>
            </w:r>
          </w:p>
        </w:tc>
        <w:tc>
          <w:tcPr>
            <w:tcW w:w="900" w:type="dxa"/>
            <w:vAlign w:val="center"/>
          </w:tcPr>
          <w:p w14:paraId="60BA181A"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.55</w:t>
            </w:r>
          </w:p>
        </w:tc>
        <w:tc>
          <w:tcPr>
            <w:tcW w:w="540" w:type="dxa"/>
            <w:vAlign w:val="center"/>
          </w:tcPr>
          <w:p w14:paraId="5E3B867E"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.35</w:t>
            </w:r>
          </w:p>
        </w:tc>
        <w:tc>
          <w:tcPr>
            <w:tcW w:w="720" w:type="dxa"/>
            <w:vAlign w:val="center"/>
          </w:tcPr>
          <w:p w14:paraId="2CA382F1"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1.73</w:t>
            </w:r>
          </w:p>
        </w:tc>
        <w:tc>
          <w:tcPr>
            <w:tcW w:w="900" w:type="dxa"/>
            <w:vAlign w:val="center"/>
          </w:tcPr>
          <w:p w14:paraId="17E311FF"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b/>
                <w:bCs/>
                <w:sz w:val="24"/>
                <w:szCs w:val="24"/>
              </w:rPr>
              <w:t>1.10⸆</w:t>
            </w:r>
          </w:p>
        </w:tc>
        <w:tc>
          <w:tcPr>
            <w:tcW w:w="630" w:type="dxa"/>
            <w:vAlign w:val="center"/>
          </w:tcPr>
          <w:p w14:paraId="7D36312F"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.64</w:t>
            </w:r>
          </w:p>
        </w:tc>
        <w:tc>
          <w:tcPr>
            <w:tcW w:w="642" w:type="dxa"/>
            <w:vAlign w:val="center"/>
          </w:tcPr>
          <w:p w14:paraId="2309D834"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3.02</w:t>
            </w:r>
          </w:p>
        </w:tc>
      </w:tr>
      <w:tr w:rsidR="00814C51" w:rsidRPr="001F680D" w14:paraId="108D3B57" w14:textId="77777777" w:rsidTr="00B57ABD">
        <w:trPr>
          <w:trHeight w:val="254"/>
        </w:trPr>
        <w:tc>
          <w:tcPr>
            <w:tcW w:w="1705" w:type="dxa"/>
          </w:tcPr>
          <w:p w14:paraId="6EF41D78" w14:textId="77777777" w:rsidR="00814C51" w:rsidRPr="001F680D" w:rsidRDefault="00814C51" w:rsidP="00814C51">
            <w:pPr>
              <w:tabs>
                <w:tab w:val="left" w:pos="972"/>
              </w:tabs>
              <w:rPr>
                <w:rFonts w:ascii="Times New Roman" w:hAnsi="Times New Roman" w:cs="Times New Roman"/>
                <w:iCs/>
                <w:sz w:val="24"/>
                <w:szCs w:val="24"/>
              </w:rPr>
            </w:pPr>
            <w:r w:rsidRPr="001F680D">
              <w:rPr>
                <w:rFonts w:ascii="Times New Roman" w:hAnsi="Times New Roman" w:cs="Times New Roman"/>
                <w:iCs/>
                <w:sz w:val="24"/>
                <w:szCs w:val="24"/>
              </w:rPr>
              <w:t>3 Years Old (n=115)</w:t>
            </w:r>
          </w:p>
        </w:tc>
        <w:tc>
          <w:tcPr>
            <w:tcW w:w="900" w:type="dxa"/>
            <w:vAlign w:val="center"/>
          </w:tcPr>
          <w:p w14:paraId="261B7091"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iCs/>
                <w:sz w:val="24"/>
                <w:szCs w:val="24"/>
              </w:rPr>
              <w:t>.34</w:t>
            </w:r>
          </w:p>
        </w:tc>
        <w:tc>
          <w:tcPr>
            <w:tcW w:w="720" w:type="dxa"/>
            <w:vAlign w:val="center"/>
          </w:tcPr>
          <w:p w14:paraId="05BA3AC7"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.67</w:t>
            </w:r>
          </w:p>
        </w:tc>
        <w:tc>
          <w:tcPr>
            <w:tcW w:w="720" w:type="dxa"/>
            <w:vAlign w:val="center"/>
          </w:tcPr>
          <w:p w14:paraId="546D9E70"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1.41</w:t>
            </w:r>
          </w:p>
        </w:tc>
        <w:tc>
          <w:tcPr>
            <w:tcW w:w="810" w:type="dxa"/>
            <w:vAlign w:val="center"/>
          </w:tcPr>
          <w:p w14:paraId="0C6406BB"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.06</w:t>
            </w:r>
          </w:p>
        </w:tc>
        <w:tc>
          <w:tcPr>
            <w:tcW w:w="540" w:type="dxa"/>
            <w:vAlign w:val="center"/>
          </w:tcPr>
          <w:p w14:paraId="7462F7D1"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.49</w:t>
            </w:r>
          </w:p>
        </w:tc>
        <w:tc>
          <w:tcPr>
            <w:tcW w:w="720" w:type="dxa"/>
            <w:vAlign w:val="center"/>
          </w:tcPr>
          <w:p w14:paraId="13C9FC7F"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1.07</w:t>
            </w:r>
          </w:p>
        </w:tc>
        <w:tc>
          <w:tcPr>
            <w:tcW w:w="900" w:type="dxa"/>
            <w:vAlign w:val="center"/>
          </w:tcPr>
          <w:p w14:paraId="46E85972" w14:textId="77777777" w:rsidR="00814C51" w:rsidRPr="001F680D" w:rsidRDefault="00814C51" w:rsidP="00814C51">
            <w:pPr>
              <w:tabs>
                <w:tab w:val="left" w:pos="972"/>
              </w:tabs>
              <w:jc w:val="center"/>
              <w:rPr>
                <w:rFonts w:ascii="Times New Roman" w:hAnsi="Times New Roman" w:cs="Times New Roman"/>
                <w:b/>
                <w:bCs/>
                <w:iCs/>
                <w:sz w:val="24"/>
                <w:szCs w:val="24"/>
              </w:rPr>
            </w:pPr>
            <w:r w:rsidRPr="001F680D">
              <w:rPr>
                <w:rFonts w:ascii="Times New Roman" w:hAnsi="Times New Roman" w:cs="Times New Roman"/>
                <w:b/>
                <w:bCs/>
                <w:sz w:val="24"/>
                <w:szCs w:val="24"/>
              </w:rPr>
              <w:t>.83*</w:t>
            </w:r>
          </w:p>
        </w:tc>
        <w:tc>
          <w:tcPr>
            <w:tcW w:w="540" w:type="dxa"/>
            <w:vAlign w:val="center"/>
          </w:tcPr>
          <w:p w14:paraId="5ABC44ED"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.33</w:t>
            </w:r>
          </w:p>
        </w:tc>
        <w:tc>
          <w:tcPr>
            <w:tcW w:w="720" w:type="dxa"/>
            <w:vAlign w:val="center"/>
          </w:tcPr>
          <w:p w14:paraId="03AD2220"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2.29</w:t>
            </w:r>
          </w:p>
        </w:tc>
        <w:tc>
          <w:tcPr>
            <w:tcW w:w="900" w:type="dxa"/>
            <w:vAlign w:val="center"/>
          </w:tcPr>
          <w:p w14:paraId="2402D9ED" w14:textId="77777777" w:rsidR="00814C51" w:rsidRPr="001F680D" w:rsidRDefault="00814C51" w:rsidP="00814C51">
            <w:pPr>
              <w:tabs>
                <w:tab w:val="left" w:pos="972"/>
              </w:tabs>
              <w:jc w:val="center"/>
              <w:rPr>
                <w:rFonts w:ascii="Times New Roman" w:hAnsi="Times New Roman" w:cs="Times New Roman"/>
                <w:b/>
                <w:bCs/>
                <w:iCs/>
                <w:sz w:val="24"/>
                <w:szCs w:val="24"/>
              </w:rPr>
            </w:pPr>
            <w:r w:rsidRPr="001F680D">
              <w:rPr>
                <w:rFonts w:ascii="Times New Roman" w:hAnsi="Times New Roman" w:cs="Times New Roman"/>
                <w:b/>
                <w:bCs/>
                <w:sz w:val="24"/>
                <w:szCs w:val="24"/>
              </w:rPr>
              <w:t>1.27*</w:t>
            </w:r>
          </w:p>
        </w:tc>
        <w:tc>
          <w:tcPr>
            <w:tcW w:w="630" w:type="dxa"/>
            <w:vAlign w:val="center"/>
          </w:tcPr>
          <w:p w14:paraId="1C6F2AB2"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.61</w:t>
            </w:r>
          </w:p>
        </w:tc>
        <w:tc>
          <w:tcPr>
            <w:tcW w:w="642" w:type="dxa"/>
            <w:vAlign w:val="center"/>
          </w:tcPr>
          <w:p w14:paraId="6FC5C115" w14:textId="77777777" w:rsidR="00814C51" w:rsidRPr="001F680D" w:rsidRDefault="00814C51" w:rsidP="00814C51">
            <w:pPr>
              <w:tabs>
                <w:tab w:val="left" w:pos="972"/>
              </w:tabs>
              <w:jc w:val="center"/>
              <w:rPr>
                <w:rFonts w:ascii="Times New Roman" w:hAnsi="Times New Roman" w:cs="Times New Roman"/>
                <w:iCs/>
                <w:sz w:val="24"/>
                <w:szCs w:val="24"/>
              </w:rPr>
            </w:pPr>
            <w:r w:rsidRPr="001F680D">
              <w:rPr>
                <w:rFonts w:ascii="Times New Roman" w:hAnsi="Times New Roman" w:cs="Times New Roman"/>
                <w:sz w:val="24"/>
                <w:szCs w:val="24"/>
              </w:rPr>
              <w:t>3.58</w:t>
            </w:r>
          </w:p>
        </w:tc>
      </w:tr>
    </w:tbl>
    <w:p w14:paraId="3B2C0760" w14:textId="77777777" w:rsidR="00814C51" w:rsidRDefault="00814C51" w:rsidP="003C4D2C">
      <w:pPr>
        <w:tabs>
          <w:tab w:val="left" w:pos="972"/>
        </w:tabs>
        <w:spacing w:after="160" w:line="259" w:lineRule="auto"/>
        <w:rPr>
          <w:iCs/>
        </w:rPr>
      </w:pPr>
      <w:r w:rsidRPr="00367F84">
        <w:rPr>
          <w:iCs/>
        </w:rPr>
        <w:t xml:space="preserve"> </w:t>
      </w:r>
    </w:p>
    <w:p w14:paraId="2DABF4EC" w14:textId="77777777" w:rsidR="00814C51" w:rsidRDefault="00814C51" w:rsidP="003C4D2C">
      <w:pPr>
        <w:tabs>
          <w:tab w:val="left" w:pos="972"/>
        </w:tabs>
        <w:spacing w:after="160" w:line="259" w:lineRule="auto"/>
        <w:rPr>
          <w:iCs/>
        </w:rPr>
      </w:pPr>
    </w:p>
    <w:p w14:paraId="7D9B97B8" w14:textId="77777777" w:rsidR="00814C51" w:rsidRDefault="00814C51" w:rsidP="003C4D2C">
      <w:pPr>
        <w:tabs>
          <w:tab w:val="left" w:pos="972"/>
        </w:tabs>
        <w:spacing w:after="160" w:line="259" w:lineRule="auto"/>
        <w:rPr>
          <w:iCs/>
        </w:rPr>
      </w:pPr>
    </w:p>
    <w:p w14:paraId="252E74F0" w14:textId="77777777" w:rsidR="00814C51" w:rsidRDefault="00814C51" w:rsidP="003C4D2C">
      <w:pPr>
        <w:tabs>
          <w:tab w:val="left" w:pos="972"/>
        </w:tabs>
        <w:spacing w:after="160" w:line="259" w:lineRule="auto"/>
        <w:rPr>
          <w:iCs/>
        </w:rPr>
      </w:pPr>
    </w:p>
    <w:p w14:paraId="426E906A" w14:textId="77777777" w:rsidR="00814C51" w:rsidRDefault="00814C51" w:rsidP="003C4D2C">
      <w:pPr>
        <w:tabs>
          <w:tab w:val="left" w:pos="972"/>
        </w:tabs>
        <w:spacing w:after="160" w:line="259" w:lineRule="auto"/>
        <w:rPr>
          <w:iCs/>
        </w:rPr>
      </w:pPr>
    </w:p>
    <w:p w14:paraId="7326E8C5" w14:textId="77777777" w:rsidR="00814C51" w:rsidRDefault="00814C51" w:rsidP="003C4D2C">
      <w:pPr>
        <w:tabs>
          <w:tab w:val="left" w:pos="972"/>
        </w:tabs>
        <w:spacing w:after="160" w:line="259" w:lineRule="auto"/>
        <w:rPr>
          <w:iCs/>
        </w:rPr>
      </w:pPr>
    </w:p>
    <w:p w14:paraId="01EA2A71" w14:textId="77777777" w:rsidR="00814C51" w:rsidRDefault="00814C51" w:rsidP="003C4D2C">
      <w:pPr>
        <w:tabs>
          <w:tab w:val="left" w:pos="972"/>
        </w:tabs>
        <w:spacing w:after="160" w:line="259" w:lineRule="auto"/>
        <w:rPr>
          <w:iCs/>
        </w:rPr>
      </w:pPr>
    </w:p>
    <w:p w14:paraId="120D4963" w14:textId="77777777" w:rsidR="00814C51" w:rsidRDefault="00814C51" w:rsidP="003C4D2C">
      <w:pPr>
        <w:tabs>
          <w:tab w:val="left" w:pos="972"/>
        </w:tabs>
        <w:spacing w:after="160" w:line="259" w:lineRule="auto"/>
        <w:rPr>
          <w:iCs/>
        </w:rPr>
      </w:pPr>
    </w:p>
    <w:p w14:paraId="7B8BA4F2" w14:textId="77777777" w:rsidR="00814C51" w:rsidRDefault="00814C51" w:rsidP="003C4D2C">
      <w:pPr>
        <w:tabs>
          <w:tab w:val="left" w:pos="972"/>
        </w:tabs>
        <w:spacing w:after="160" w:line="259" w:lineRule="auto"/>
        <w:rPr>
          <w:iCs/>
        </w:rPr>
      </w:pPr>
    </w:p>
    <w:p w14:paraId="3FA75594" w14:textId="77777777" w:rsidR="00814C51" w:rsidRDefault="00814C51" w:rsidP="003C4D2C">
      <w:pPr>
        <w:tabs>
          <w:tab w:val="left" w:pos="972"/>
        </w:tabs>
        <w:spacing w:after="160" w:line="259" w:lineRule="auto"/>
        <w:rPr>
          <w:iCs/>
        </w:rPr>
      </w:pPr>
    </w:p>
    <w:p w14:paraId="1888F9CE" w14:textId="77777777" w:rsidR="00814C51" w:rsidRDefault="00814C51" w:rsidP="003C4D2C">
      <w:pPr>
        <w:tabs>
          <w:tab w:val="left" w:pos="972"/>
        </w:tabs>
        <w:spacing w:after="160" w:line="259" w:lineRule="auto"/>
        <w:rPr>
          <w:iCs/>
        </w:rPr>
      </w:pPr>
    </w:p>
    <w:p w14:paraId="24B866CD" w14:textId="0E61A581" w:rsidR="003C4D2C" w:rsidRPr="009A698F" w:rsidRDefault="003C4D2C" w:rsidP="00814C51">
      <w:pPr>
        <w:tabs>
          <w:tab w:val="left" w:pos="972"/>
        </w:tabs>
        <w:spacing w:after="160" w:line="259" w:lineRule="auto"/>
        <w:ind w:right="2340"/>
        <w:rPr>
          <w:iCs/>
          <w:sz w:val="20"/>
          <w:szCs w:val="20"/>
        </w:rPr>
      </w:pPr>
      <w:r w:rsidRPr="009A698F">
        <w:rPr>
          <w:iCs/>
          <w:sz w:val="20"/>
          <w:szCs w:val="20"/>
        </w:rPr>
        <w:t xml:space="preserve">Note: The regression overall is contrasted with Profile </w:t>
      </w:r>
      <w:r w:rsidR="00F425F4">
        <w:rPr>
          <w:iCs/>
          <w:sz w:val="20"/>
          <w:szCs w:val="20"/>
        </w:rPr>
        <w:t>5</w:t>
      </w:r>
      <w:r w:rsidRPr="009A698F">
        <w:rPr>
          <w:iCs/>
          <w:sz w:val="20"/>
          <w:szCs w:val="20"/>
        </w:rPr>
        <w:t xml:space="preserve">, Positive AtL. The coefficients for ethnic groups are contrasts with </w:t>
      </w:r>
      <w:r w:rsidR="00F425F4">
        <w:rPr>
          <w:iCs/>
          <w:sz w:val="20"/>
          <w:szCs w:val="20"/>
        </w:rPr>
        <w:t>whites</w:t>
      </w:r>
      <w:proofErr w:type="gramStart"/>
      <w:r w:rsidR="00F425F4">
        <w:rPr>
          <w:iCs/>
          <w:sz w:val="20"/>
          <w:szCs w:val="20"/>
        </w:rPr>
        <w:t xml:space="preserve">. </w:t>
      </w:r>
      <w:r w:rsidRPr="009A698F">
        <w:rPr>
          <w:iCs/>
          <w:sz w:val="20"/>
          <w:szCs w:val="20"/>
        </w:rPr>
        <w:t xml:space="preserve"> </w:t>
      </w:r>
      <w:proofErr w:type="gramEnd"/>
      <w:r w:rsidRPr="009A698F">
        <w:rPr>
          <w:iCs/>
          <w:sz w:val="20"/>
          <w:szCs w:val="20"/>
        </w:rPr>
        <w:t xml:space="preserve">The Home language is contrasted with English. The age is contrasted with 4-year </w:t>
      </w:r>
      <w:proofErr w:type="spellStart"/>
      <w:r w:rsidRPr="009A698F">
        <w:rPr>
          <w:iCs/>
          <w:sz w:val="20"/>
          <w:szCs w:val="20"/>
        </w:rPr>
        <w:t>olds</w:t>
      </w:r>
      <w:proofErr w:type="spellEnd"/>
      <w:r w:rsidRPr="009A698F">
        <w:rPr>
          <w:iCs/>
          <w:sz w:val="20"/>
          <w:szCs w:val="20"/>
        </w:rPr>
        <w:t xml:space="preserve">. </w:t>
      </w:r>
      <w:r w:rsidRPr="009A698F">
        <w:rPr>
          <w:sz w:val="20"/>
          <w:szCs w:val="20"/>
        </w:rPr>
        <w:t>⸆p &lt; .10;</w:t>
      </w:r>
      <w:r w:rsidRPr="009A698F">
        <w:rPr>
          <w:iCs/>
          <w:sz w:val="20"/>
          <w:szCs w:val="20"/>
        </w:rPr>
        <w:t xml:space="preserve"> *p &lt; .05; **p &lt;. 01. </w:t>
      </w:r>
    </w:p>
    <w:p w14:paraId="4C06C212" w14:textId="77777777" w:rsidR="00814C51" w:rsidRDefault="00814C51" w:rsidP="003C4D2C">
      <w:pPr>
        <w:contextualSpacing/>
        <w:rPr>
          <w:color w:val="221E1F"/>
        </w:rPr>
        <w:sectPr w:rsidR="00814C51" w:rsidSect="00D86CCC">
          <w:type w:val="continuous"/>
          <w:pgSz w:w="15840" w:h="12240" w:orient="landscape"/>
          <w:pgMar w:top="1440" w:right="1440" w:bottom="1440" w:left="1440" w:header="720" w:footer="720" w:gutter="0"/>
          <w:cols w:space="720"/>
          <w:docGrid w:linePitch="360"/>
        </w:sectPr>
      </w:pPr>
    </w:p>
    <w:p w14:paraId="0BA2F7D0" w14:textId="693171CE" w:rsidR="00814C51" w:rsidRDefault="00814C51" w:rsidP="00814C51">
      <w:pPr>
        <w:pStyle w:val="Caption"/>
      </w:pPr>
      <w:bookmarkStart w:id="112" w:name="_Toc44366131"/>
      <w:r>
        <w:lastRenderedPageBreak/>
        <w:t xml:space="preserve">Table </w:t>
      </w:r>
      <w:fldSimple w:instr=" SEQ Table \* ARABIC ">
        <w:r w:rsidR="002039BE">
          <w:rPr>
            <w:noProof/>
          </w:rPr>
          <w:t>8</w:t>
        </w:r>
        <w:bookmarkEnd w:id="112"/>
      </w:fldSimple>
    </w:p>
    <w:p w14:paraId="618D047B" w14:textId="6C830946" w:rsidR="003C4D2C" w:rsidRPr="0013383A" w:rsidRDefault="005A44C2" w:rsidP="00814C51">
      <w:pPr>
        <w:pStyle w:val="Caption"/>
        <w:rPr>
          <w:i/>
          <w:color w:val="221E1F"/>
        </w:rPr>
      </w:pPr>
      <w:r w:rsidRPr="0013383A">
        <w:rPr>
          <w:b/>
          <w:bCs/>
          <w:noProof/>
          <w:color w:val="221E1F"/>
        </w:rPr>
        <mc:AlternateContent>
          <mc:Choice Requires="wps">
            <w:drawing>
              <wp:anchor distT="45720" distB="45720" distL="114300" distR="114300" simplePos="0" relativeHeight="251686912" behindDoc="0" locked="0" layoutInCell="1" allowOverlap="1" wp14:anchorId="0E312C59" wp14:editId="1B6770EB">
                <wp:simplePos x="0" y="0"/>
                <wp:positionH relativeFrom="margin">
                  <wp:align>left</wp:align>
                </wp:positionH>
                <wp:positionV relativeFrom="paragraph">
                  <wp:posOffset>2977228</wp:posOffset>
                </wp:positionV>
                <wp:extent cx="5969000" cy="1404620"/>
                <wp:effectExtent l="0" t="0" r="0" b="889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404620"/>
                        </a:xfrm>
                        <a:prstGeom prst="rect">
                          <a:avLst/>
                        </a:prstGeom>
                        <a:solidFill>
                          <a:srgbClr val="FFFFFF"/>
                        </a:solidFill>
                        <a:ln w="9525">
                          <a:noFill/>
                          <a:miter lim="800000"/>
                          <a:headEnd/>
                          <a:tailEnd/>
                        </a:ln>
                      </wps:spPr>
                      <wps:txbx>
                        <w:txbxContent>
                          <w:p w14:paraId="20076CB8" w14:textId="798D2C83" w:rsidR="00DE2FE4" w:rsidRPr="0060190A" w:rsidRDefault="00DE2FE4" w:rsidP="003C4D2C">
                            <w:pPr>
                              <w:autoSpaceDE w:val="0"/>
                              <w:autoSpaceDN w:val="0"/>
                              <w:adjustRightInd w:val="0"/>
                              <w:spacing w:line="240" w:lineRule="auto"/>
                              <w:rPr>
                                <w:sz w:val="20"/>
                                <w:szCs w:val="20"/>
                              </w:rPr>
                            </w:pPr>
                            <w:r w:rsidRPr="0060190A">
                              <w:rPr>
                                <w:sz w:val="20"/>
                                <w:szCs w:val="20"/>
                              </w:rPr>
                              <w:t>Note: HTKS = Head Toes Knees and Shoulders. DECA = Devereaux Early Childhood Assessment. Means indicated with a superscript reflect significant differences. A= Difference between 1, 2, B=Difference between 1, 3, C=Difference between 1, 4, D=Difference between 1,5, E=Difference between 2, 3</w:t>
                            </w:r>
                          </w:p>
                          <w:p w14:paraId="57E285EA" w14:textId="77777777" w:rsidR="00DE2FE4" w:rsidRPr="0060190A" w:rsidRDefault="00DE2FE4" w:rsidP="003C4D2C">
                            <w:pPr>
                              <w:autoSpaceDE w:val="0"/>
                              <w:autoSpaceDN w:val="0"/>
                              <w:adjustRightInd w:val="0"/>
                              <w:spacing w:line="240" w:lineRule="auto"/>
                              <w:rPr>
                                <w:sz w:val="20"/>
                                <w:szCs w:val="20"/>
                              </w:rPr>
                            </w:pPr>
                            <w:r w:rsidRPr="0060190A">
                              <w:rPr>
                                <w:sz w:val="20"/>
                                <w:szCs w:val="20"/>
                              </w:rPr>
                              <w:t>F=Difference between 2, 4, G=Difference between 2, 5, H=Difference between 3, 4, I=Difference between 3, 5</w:t>
                            </w:r>
                          </w:p>
                          <w:p w14:paraId="28384F41" w14:textId="77777777" w:rsidR="00DE2FE4" w:rsidRPr="0060190A" w:rsidRDefault="00DE2FE4" w:rsidP="003C4D2C">
                            <w:pPr>
                              <w:autoSpaceDE w:val="0"/>
                              <w:autoSpaceDN w:val="0"/>
                              <w:adjustRightInd w:val="0"/>
                              <w:spacing w:line="240" w:lineRule="auto"/>
                              <w:rPr>
                                <w:sz w:val="20"/>
                                <w:szCs w:val="20"/>
                              </w:rPr>
                            </w:pPr>
                            <w:r w:rsidRPr="0060190A">
                              <w:rPr>
                                <w:sz w:val="20"/>
                                <w:szCs w:val="20"/>
                              </w:rPr>
                              <w:t xml:space="preserve">J=Difference between 4, 5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312C59" id="_x0000_s1030" type="#_x0000_t202" style="position:absolute;margin-left:0;margin-top:234.45pt;width:470pt;height:110.6pt;z-index:2516869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" stroked="f">
                <v:textbox style="mso-fit-shape-to-text:t">
                  <w:txbxContent>
                    <w:p w14:paraId="20076CB8" w14:textId="798D2C83" w:rsidR="00DE2FE4" w:rsidRPr="0060190A" w:rsidRDefault="00DE2FE4" w:rsidP="003C4D2C">
                      <w:pPr>
                        <w:autoSpaceDE w:val="0"/>
                        <w:autoSpaceDN w:val="0"/>
                        <w:adjustRightInd w:val="0"/>
                        <w:spacing w:line="240" w:lineRule="auto"/>
                        <w:rPr>
                          <w:sz w:val="20"/>
                          <w:szCs w:val="20"/>
                        </w:rPr>
                      </w:pPr>
                      <w:r w:rsidRPr="0060190A">
                        <w:rPr>
                          <w:sz w:val="20"/>
                          <w:szCs w:val="20"/>
                        </w:rPr>
                        <w:t>Note: HTKS = Head Toes Knees and Shoulders. DECA = Devereaux Early Childhood Assessment. Means indicated with a superscript reflect significant differences. A= Difference between 1, 2, B=Difference between 1, 3, C=Difference between 1, 4, D=Difference between 1,5, E=Difference between 2, 3</w:t>
                      </w:r>
                    </w:p>
                    <w:p w14:paraId="57E285EA" w14:textId="77777777" w:rsidR="00DE2FE4" w:rsidRPr="0060190A" w:rsidRDefault="00DE2FE4" w:rsidP="003C4D2C">
                      <w:pPr>
                        <w:autoSpaceDE w:val="0"/>
                        <w:autoSpaceDN w:val="0"/>
                        <w:adjustRightInd w:val="0"/>
                        <w:spacing w:line="240" w:lineRule="auto"/>
                        <w:rPr>
                          <w:sz w:val="20"/>
                          <w:szCs w:val="20"/>
                        </w:rPr>
                      </w:pPr>
                      <w:r w:rsidRPr="0060190A">
                        <w:rPr>
                          <w:sz w:val="20"/>
                          <w:szCs w:val="20"/>
                        </w:rPr>
                        <w:t>F=Difference between 2, 4, G=Difference between 2, 5, H=Difference between 3, 4, I=Difference between 3, 5</w:t>
                      </w:r>
                    </w:p>
                    <w:p w14:paraId="28384F41" w14:textId="77777777" w:rsidR="00DE2FE4" w:rsidRPr="0060190A" w:rsidRDefault="00DE2FE4" w:rsidP="003C4D2C">
                      <w:pPr>
                        <w:autoSpaceDE w:val="0"/>
                        <w:autoSpaceDN w:val="0"/>
                        <w:adjustRightInd w:val="0"/>
                        <w:spacing w:line="240" w:lineRule="auto"/>
                        <w:rPr>
                          <w:sz w:val="20"/>
                          <w:szCs w:val="20"/>
                        </w:rPr>
                      </w:pPr>
                      <w:r w:rsidRPr="0060190A">
                        <w:rPr>
                          <w:sz w:val="20"/>
                          <w:szCs w:val="20"/>
                        </w:rPr>
                        <w:t xml:space="preserve">J=Difference between 4, 5 </w:t>
                      </w:r>
                    </w:p>
                  </w:txbxContent>
                </v:textbox>
                <w10:wrap type="square" anchorx="margin"/>
              </v:shape>
            </w:pict>
          </mc:Fallback>
        </mc:AlternateContent>
      </w:r>
      <w:r w:rsidR="003C4D2C" w:rsidRPr="0013383A">
        <w:rPr>
          <w:i/>
          <w:color w:val="221E1F"/>
        </w:rPr>
        <w:t xml:space="preserve">Between-Profile Mean Differences on Concurrent Validation Measures </w:t>
      </w:r>
    </w:p>
    <w:tbl>
      <w:tblPr>
        <w:tblStyle w:val="TableGridLight"/>
        <w:tblpPr w:leftFromText="180" w:rightFromText="180" w:vertAnchor="text" w:horzAnchor="margin" w:tblpY="184"/>
        <w:tblW w:w="5000" w:type="pct"/>
        <w:tblLook w:val="04A0" w:firstRow="1" w:lastRow="0" w:firstColumn="1" w:lastColumn="0" w:noHBand="0" w:noVBand="1"/>
      </w:tblPr>
      <w:tblGrid>
        <w:gridCol w:w="2334"/>
        <w:gridCol w:w="1363"/>
        <w:gridCol w:w="1447"/>
        <w:gridCol w:w="1467"/>
        <w:gridCol w:w="1376"/>
        <w:gridCol w:w="1363"/>
      </w:tblGrid>
      <w:tr w:rsidR="003C4D2C" w:rsidRPr="0013383A" w14:paraId="6ECED332" w14:textId="77777777" w:rsidTr="005A44C2">
        <w:tc>
          <w:tcPr>
            <w:tcW w:w="1277" w:type="pct"/>
            <w:tcBorders>
              <w:top w:val="single" w:sz="4" w:space="0" w:color="auto"/>
              <w:bottom w:val="single" w:sz="4" w:space="0" w:color="auto"/>
            </w:tcBorders>
          </w:tcPr>
          <w:p w14:paraId="79F1DE03" w14:textId="77777777" w:rsidR="003C4D2C" w:rsidRPr="0013383A" w:rsidRDefault="003C4D2C" w:rsidP="003C4D2C">
            <w:pPr>
              <w:contextualSpacing/>
              <w:rPr>
                <w:rFonts w:ascii="Times New Roman" w:hAnsi="Times New Roman" w:cs="Times New Roman"/>
                <w:color w:val="221E1F"/>
                <w:sz w:val="24"/>
                <w:szCs w:val="24"/>
              </w:rPr>
            </w:pPr>
          </w:p>
          <w:p w14:paraId="4EDF188B" w14:textId="77777777" w:rsidR="003C4D2C" w:rsidRPr="0013383A" w:rsidRDefault="003C4D2C" w:rsidP="003C4D2C">
            <w:pPr>
              <w:contextualSpacing/>
              <w:rPr>
                <w:rFonts w:ascii="Times New Roman" w:hAnsi="Times New Roman" w:cs="Times New Roman"/>
                <w:color w:val="221E1F"/>
                <w:sz w:val="24"/>
                <w:szCs w:val="24"/>
              </w:rPr>
            </w:pPr>
          </w:p>
          <w:p w14:paraId="5FBD6549" w14:textId="77777777" w:rsidR="003C4D2C" w:rsidRPr="0013383A" w:rsidRDefault="003C4D2C" w:rsidP="003C4D2C">
            <w:pPr>
              <w:contextualSpacing/>
              <w:rPr>
                <w:rFonts w:ascii="Times New Roman" w:hAnsi="Times New Roman" w:cs="Times New Roman"/>
                <w:iCs/>
                <w:color w:val="221E1F"/>
                <w:sz w:val="24"/>
                <w:szCs w:val="24"/>
              </w:rPr>
            </w:pPr>
          </w:p>
        </w:tc>
        <w:tc>
          <w:tcPr>
            <w:tcW w:w="665" w:type="pct"/>
            <w:tcBorders>
              <w:top w:val="single" w:sz="4" w:space="0" w:color="auto"/>
              <w:bottom w:val="single" w:sz="4" w:space="0" w:color="auto"/>
            </w:tcBorders>
          </w:tcPr>
          <w:p w14:paraId="7FE384B9"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Profile 1</w:t>
            </w:r>
          </w:p>
          <w:p w14:paraId="566799ED"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Low Approaches to Learning</w:t>
            </w:r>
          </w:p>
          <w:p w14:paraId="5F890884" w14:textId="77777777" w:rsidR="003C4D2C" w:rsidRPr="0013383A" w:rsidRDefault="003C4D2C" w:rsidP="003C4D2C">
            <w:pPr>
              <w:contextualSpacing/>
              <w:jc w:val="center"/>
              <w:rPr>
                <w:rFonts w:ascii="Times New Roman" w:hAnsi="Times New Roman" w:cs="Times New Roman"/>
                <w:iCs/>
                <w:color w:val="221E1F"/>
                <w:sz w:val="24"/>
                <w:szCs w:val="24"/>
              </w:rPr>
            </w:pPr>
            <w:r w:rsidRPr="00C95BE5">
              <w:rPr>
                <w:rFonts w:ascii="Times New Roman" w:hAnsi="Times New Roman" w:cs="Times New Roman"/>
                <w:sz w:val="24"/>
                <w:szCs w:val="24"/>
              </w:rPr>
              <w:t>(n=18)</w:t>
            </w:r>
          </w:p>
        </w:tc>
        <w:tc>
          <w:tcPr>
            <w:tcW w:w="802" w:type="pct"/>
            <w:tcBorders>
              <w:top w:val="single" w:sz="4" w:space="0" w:color="auto"/>
              <w:bottom w:val="single" w:sz="4" w:space="0" w:color="auto"/>
            </w:tcBorders>
          </w:tcPr>
          <w:p w14:paraId="27188D9E"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Profile 2</w:t>
            </w:r>
          </w:p>
          <w:p w14:paraId="73FD9BD2"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Social Dependent</w:t>
            </w:r>
          </w:p>
          <w:p w14:paraId="634FB4AF" w14:textId="77777777" w:rsidR="003C4D2C" w:rsidRPr="0013383A" w:rsidRDefault="003C4D2C" w:rsidP="003C4D2C">
            <w:pPr>
              <w:contextualSpacing/>
              <w:jc w:val="center"/>
              <w:rPr>
                <w:rFonts w:ascii="Times New Roman" w:hAnsi="Times New Roman" w:cs="Times New Roman"/>
                <w:iCs/>
                <w:color w:val="221E1F"/>
                <w:sz w:val="24"/>
                <w:szCs w:val="24"/>
              </w:rPr>
            </w:pPr>
            <w:r w:rsidRPr="00C95BE5">
              <w:rPr>
                <w:rFonts w:ascii="Times New Roman" w:hAnsi="Times New Roman" w:cs="Times New Roman"/>
                <w:sz w:val="24"/>
                <w:szCs w:val="24"/>
              </w:rPr>
              <w:t>(n=30)</w:t>
            </w:r>
          </w:p>
        </w:tc>
        <w:tc>
          <w:tcPr>
            <w:tcW w:w="813" w:type="pct"/>
            <w:tcBorders>
              <w:top w:val="single" w:sz="4" w:space="0" w:color="auto"/>
              <w:bottom w:val="single" w:sz="4" w:space="0" w:color="auto"/>
            </w:tcBorders>
          </w:tcPr>
          <w:p w14:paraId="03D37EE9"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Profile 3</w:t>
            </w:r>
          </w:p>
          <w:p w14:paraId="63B8623F"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Middle of the Road</w:t>
            </w:r>
          </w:p>
          <w:p w14:paraId="339DEE2B" w14:textId="77777777" w:rsidR="003C4D2C" w:rsidRPr="0013383A" w:rsidRDefault="003C4D2C" w:rsidP="003C4D2C">
            <w:pPr>
              <w:contextualSpacing/>
              <w:jc w:val="center"/>
              <w:rPr>
                <w:rFonts w:ascii="Times New Roman" w:hAnsi="Times New Roman" w:cs="Times New Roman"/>
                <w:iCs/>
                <w:color w:val="221E1F"/>
                <w:sz w:val="24"/>
                <w:szCs w:val="24"/>
              </w:rPr>
            </w:pPr>
            <w:r w:rsidRPr="00C95BE5">
              <w:rPr>
                <w:rFonts w:ascii="Times New Roman" w:hAnsi="Times New Roman" w:cs="Times New Roman"/>
                <w:sz w:val="24"/>
                <w:szCs w:val="24"/>
              </w:rPr>
              <w:t>(n=164)</w:t>
            </w:r>
          </w:p>
        </w:tc>
        <w:tc>
          <w:tcPr>
            <w:tcW w:w="764" w:type="pct"/>
            <w:tcBorders>
              <w:top w:val="single" w:sz="4" w:space="0" w:color="auto"/>
              <w:bottom w:val="single" w:sz="4" w:space="0" w:color="auto"/>
            </w:tcBorders>
          </w:tcPr>
          <w:p w14:paraId="4CC6B4F2"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Profile 4</w:t>
            </w:r>
          </w:p>
          <w:p w14:paraId="7E189322" w14:textId="77777777" w:rsidR="003C4D2C" w:rsidRPr="00C95BE5" w:rsidRDefault="003C4D2C" w:rsidP="003C4D2C">
            <w:pPr>
              <w:contextualSpacing/>
              <w:jc w:val="center"/>
              <w:rPr>
                <w:rFonts w:ascii="Times New Roman" w:hAnsi="Times New Roman" w:cs="Times New Roman"/>
                <w:sz w:val="24"/>
                <w:szCs w:val="24"/>
              </w:rPr>
            </w:pPr>
            <w:r>
              <w:rPr>
                <w:rFonts w:ascii="Times New Roman" w:hAnsi="Times New Roman" w:cs="Times New Roman"/>
                <w:sz w:val="24"/>
                <w:szCs w:val="24"/>
              </w:rPr>
              <w:t>Low Teacher Ratings</w:t>
            </w:r>
          </w:p>
          <w:p w14:paraId="0FD17CC9" w14:textId="77777777" w:rsidR="003C4D2C" w:rsidRPr="0013383A" w:rsidRDefault="003C4D2C" w:rsidP="003C4D2C">
            <w:pPr>
              <w:contextualSpacing/>
              <w:jc w:val="center"/>
              <w:rPr>
                <w:rFonts w:ascii="Times New Roman" w:hAnsi="Times New Roman" w:cs="Times New Roman"/>
                <w:iCs/>
                <w:color w:val="221E1F"/>
                <w:sz w:val="24"/>
                <w:szCs w:val="24"/>
              </w:rPr>
            </w:pPr>
            <w:r w:rsidRPr="00C95BE5">
              <w:rPr>
                <w:rFonts w:ascii="Times New Roman" w:hAnsi="Times New Roman" w:cs="Times New Roman"/>
                <w:sz w:val="24"/>
                <w:szCs w:val="24"/>
              </w:rPr>
              <w:t>(n=26)</w:t>
            </w:r>
          </w:p>
        </w:tc>
        <w:tc>
          <w:tcPr>
            <w:tcW w:w="680" w:type="pct"/>
            <w:tcBorders>
              <w:top w:val="single" w:sz="4" w:space="0" w:color="auto"/>
              <w:bottom w:val="single" w:sz="4" w:space="0" w:color="auto"/>
            </w:tcBorders>
          </w:tcPr>
          <w:p w14:paraId="72ACE131"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Profile 5</w:t>
            </w:r>
          </w:p>
          <w:p w14:paraId="6D47FB27" w14:textId="77777777" w:rsidR="003C4D2C" w:rsidRPr="00C95BE5" w:rsidRDefault="003C4D2C" w:rsidP="003C4D2C">
            <w:pPr>
              <w:contextualSpacing/>
              <w:jc w:val="center"/>
              <w:rPr>
                <w:rFonts w:ascii="Times New Roman" w:hAnsi="Times New Roman" w:cs="Times New Roman"/>
                <w:sz w:val="24"/>
                <w:szCs w:val="24"/>
              </w:rPr>
            </w:pPr>
            <w:r w:rsidRPr="00C95BE5">
              <w:rPr>
                <w:rFonts w:ascii="Times New Roman" w:hAnsi="Times New Roman" w:cs="Times New Roman"/>
                <w:sz w:val="24"/>
                <w:szCs w:val="24"/>
              </w:rPr>
              <w:t>Positive Approaches to Learning</w:t>
            </w:r>
          </w:p>
          <w:p w14:paraId="7D7AE5CD" w14:textId="77777777" w:rsidR="003C4D2C" w:rsidRPr="0013383A" w:rsidRDefault="003C4D2C" w:rsidP="003C4D2C">
            <w:pPr>
              <w:contextualSpacing/>
              <w:jc w:val="center"/>
              <w:rPr>
                <w:rFonts w:ascii="Times New Roman" w:hAnsi="Times New Roman" w:cs="Times New Roman"/>
                <w:iCs/>
                <w:color w:val="221E1F"/>
                <w:sz w:val="24"/>
                <w:szCs w:val="24"/>
              </w:rPr>
            </w:pPr>
            <w:r w:rsidRPr="00C95BE5">
              <w:rPr>
                <w:rFonts w:ascii="Times New Roman" w:hAnsi="Times New Roman" w:cs="Times New Roman"/>
                <w:sz w:val="24"/>
                <w:szCs w:val="24"/>
              </w:rPr>
              <w:t>(n=117)</w:t>
            </w:r>
          </w:p>
        </w:tc>
      </w:tr>
      <w:tr w:rsidR="003C4D2C" w:rsidRPr="0013383A" w14:paraId="6D3940E8" w14:textId="77777777" w:rsidTr="005A44C2">
        <w:tc>
          <w:tcPr>
            <w:tcW w:w="4320" w:type="pct"/>
            <w:gridSpan w:val="5"/>
            <w:tcBorders>
              <w:bottom w:val="single" w:sz="4" w:space="0" w:color="auto"/>
            </w:tcBorders>
          </w:tcPr>
          <w:p w14:paraId="0F890A65" w14:textId="77777777" w:rsidR="003C4D2C" w:rsidRPr="0013383A" w:rsidRDefault="003C4D2C" w:rsidP="003C4D2C">
            <w:pPr>
              <w:contextualSpacing/>
              <w:rPr>
                <w:rFonts w:ascii="Times New Roman" w:hAnsi="Times New Roman" w:cs="Times New Roman"/>
                <w:iCs/>
                <w:color w:val="221E1F"/>
                <w:sz w:val="24"/>
                <w:szCs w:val="24"/>
              </w:rPr>
            </w:pPr>
            <w:r w:rsidRPr="0013383A">
              <w:rPr>
                <w:rFonts w:ascii="Times New Roman" w:hAnsi="Times New Roman" w:cs="Times New Roman"/>
                <w:color w:val="221E1F"/>
                <w:sz w:val="24"/>
                <w:szCs w:val="24"/>
              </w:rPr>
              <w:t>Executive Function Measures</w:t>
            </w:r>
          </w:p>
        </w:tc>
        <w:tc>
          <w:tcPr>
            <w:tcW w:w="680" w:type="pct"/>
            <w:tcBorders>
              <w:bottom w:val="single" w:sz="4" w:space="0" w:color="auto"/>
            </w:tcBorders>
          </w:tcPr>
          <w:p w14:paraId="17608775" w14:textId="77777777" w:rsidR="003C4D2C" w:rsidRPr="0013383A" w:rsidRDefault="003C4D2C" w:rsidP="003C4D2C">
            <w:pPr>
              <w:contextualSpacing/>
              <w:rPr>
                <w:rFonts w:ascii="Times New Roman" w:hAnsi="Times New Roman" w:cs="Times New Roman"/>
                <w:color w:val="221E1F"/>
                <w:sz w:val="24"/>
                <w:szCs w:val="24"/>
              </w:rPr>
            </w:pPr>
          </w:p>
        </w:tc>
      </w:tr>
      <w:tr w:rsidR="003C4D2C" w:rsidRPr="0013383A" w14:paraId="23C16B06" w14:textId="77777777" w:rsidTr="005A44C2">
        <w:tc>
          <w:tcPr>
            <w:tcW w:w="1277" w:type="pct"/>
            <w:tcBorders>
              <w:top w:val="single" w:sz="4" w:space="0" w:color="auto"/>
            </w:tcBorders>
          </w:tcPr>
          <w:p w14:paraId="487C0755" w14:textId="77777777" w:rsidR="003C4D2C" w:rsidRPr="0013383A" w:rsidRDefault="003C4D2C" w:rsidP="003C4D2C">
            <w:pPr>
              <w:contextualSpacing/>
              <w:rPr>
                <w:rFonts w:ascii="Times New Roman" w:hAnsi="Times New Roman" w:cs="Times New Roman"/>
                <w:color w:val="221E1F"/>
                <w:sz w:val="24"/>
                <w:szCs w:val="24"/>
              </w:rPr>
            </w:pPr>
            <w:r w:rsidRPr="0013383A">
              <w:rPr>
                <w:rFonts w:ascii="Times New Roman" w:hAnsi="Times New Roman" w:cs="Times New Roman"/>
                <w:color w:val="221E1F"/>
                <w:sz w:val="24"/>
                <w:szCs w:val="24"/>
              </w:rPr>
              <w:t xml:space="preserve">Digit Span </w:t>
            </w:r>
          </w:p>
        </w:tc>
        <w:tc>
          <w:tcPr>
            <w:tcW w:w="665" w:type="pct"/>
            <w:tcBorders>
              <w:top w:val="single" w:sz="4" w:space="0" w:color="auto"/>
            </w:tcBorders>
          </w:tcPr>
          <w:p w14:paraId="593215E1"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1.64</w:t>
            </w:r>
            <w:r w:rsidRPr="0013383A">
              <w:rPr>
                <w:rFonts w:ascii="Times New Roman" w:hAnsi="Times New Roman" w:cs="Times New Roman"/>
                <w:color w:val="221E1F"/>
                <w:sz w:val="24"/>
                <w:szCs w:val="24"/>
                <w:vertAlign w:val="superscript"/>
              </w:rPr>
              <w:t>bd</w:t>
            </w:r>
          </w:p>
        </w:tc>
        <w:tc>
          <w:tcPr>
            <w:tcW w:w="802" w:type="pct"/>
            <w:tcBorders>
              <w:top w:val="single" w:sz="4" w:space="0" w:color="auto"/>
            </w:tcBorders>
          </w:tcPr>
          <w:p w14:paraId="717E35F2"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3.00</w:t>
            </w:r>
            <w:r w:rsidRPr="0013383A">
              <w:rPr>
                <w:rFonts w:ascii="Times New Roman" w:hAnsi="Times New Roman" w:cs="Times New Roman"/>
                <w:color w:val="221E1F"/>
                <w:sz w:val="24"/>
                <w:szCs w:val="24"/>
                <w:vertAlign w:val="superscript"/>
              </w:rPr>
              <w:t>g</w:t>
            </w:r>
          </w:p>
        </w:tc>
        <w:tc>
          <w:tcPr>
            <w:tcW w:w="813" w:type="pct"/>
            <w:tcBorders>
              <w:top w:val="single" w:sz="4" w:space="0" w:color="auto"/>
            </w:tcBorders>
          </w:tcPr>
          <w:p w14:paraId="11E8839F"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3.47</w:t>
            </w:r>
            <w:r w:rsidRPr="0013383A">
              <w:rPr>
                <w:rFonts w:ascii="Times New Roman" w:hAnsi="Times New Roman" w:cs="Times New Roman"/>
                <w:color w:val="221E1F"/>
                <w:sz w:val="24"/>
                <w:szCs w:val="24"/>
                <w:vertAlign w:val="superscript"/>
              </w:rPr>
              <w:t>i</w:t>
            </w:r>
          </w:p>
        </w:tc>
        <w:tc>
          <w:tcPr>
            <w:tcW w:w="764" w:type="pct"/>
            <w:tcBorders>
              <w:top w:val="single" w:sz="4" w:space="0" w:color="auto"/>
            </w:tcBorders>
          </w:tcPr>
          <w:p w14:paraId="200E243C"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2.00</w:t>
            </w:r>
            <w:r w:rsidRPr="0013383A">
              <w:rPr>
                <w:rFonts w:ascii="Times New Roman" w:hAnsi="Times New Roman" w:cs="Times New Roman"/>
                <w:color w:val="221E1F"/>
                <w:sz w:val="24"/>
                <w:szCs w:val="24"/>
                <w:vertAlign w:val="superscript"/>
              </w:rPr>
              <w:t>j</w:t>
            </w:r>
          </w:p>
        </w:tc>
        <w:tc>
          <w:tcPr>
            <w:tcW w:w="680" w:type="pct"/>
            <w:tcBorders>
              <w:top w:val="single" w:sz="4" w:space="0" w:color="auto"/>
            </w:tcBorders>
          </w:tcPr>
          <w:p w14:paraId="5990D17C" w14:textId="77777777" w:rsidR="003C4D2C" w:rsidRPr="0013383A" w:rsidRDefault="003C4D2C" w:rsidP="003C4D2C">
            <w:pPr>
              <w:contextualSpacing/>
              <w:jc w:val="center"/>
              <w:rPr>
                <w:rFonts w:ascii="Times New Roman" w:hAnsi="Times New Roman" w:cs="Times New Roman"/>
                <w:color w:val="221E1F"/>
                <w:sz w:val="24"/>
                <w:szCs w:val="24"/>
              </w:rPr>
            </w:pPr>
            <w:r w:rsidRPr="0013383A">
              <w:rPr>
                <w:rFonts w:ascii="Times New Roman" w:hAnsi="Times New Roman" w:cs="Times New Roman"/>
                <w:color w:val="221E1F"/>
                <w:sz w:val="24"/>
                <w:szCs w:val="24"/>
              </w:rPr>
              <w:t>4.41</w:t>
            </w:r>
          </w:p>
        </w:tc>
      </w:tr>
      <w:tr w:rsidR="003C4D2C" w:rsidRPr="0013383A" w14:paraId="7B06367E" w14:textId="77777777" w:rsidTr="005A44C2">
        <w:tc>
          <w:tcPr>
            <w:tcW w:w="1277" w:type="pct"/>
          </w:tcPr>
          <w:p w14:paraId="4E338B03" w14:textId="22B2EAC1" w:rsidR="003C4D2C" w:rsidRPr="0013383A" w:rsidRDefault="0060190A" w:rsidP="003C4D2C">
            <w:pPr>
              <w:contextualSpacing/>
              <w:rPr>
                <w:rFonts w:ascii="Times New Roman" w:hAnsi="Times New Roman" w:cs="Times New Roman"/>
                <w:color w:val="221E1F"/>
                <w:sz w:val="24"/>
                <w:szCs w:val="24"/>
              </w:rPr>
            </w:pPr>
            <w:r>
              <w:rPr>
                <w:rFonts w:ascii="Times New Roman" w:hAnsi="Times New Roman" w:cs="Times New Roman"/>
                <w:color w:val="221E1F"/>
                <w:sz w:val="24"/>
                <w:szCs w:val="24"/>
              </w:rPr>
              <w:t xml:space="preserve">HTKS </w:t>
            </w:r>
          </w:p>
        </w:tc>
        <w:tc>
          <w:tcPr>
            <w:tcW w:w="665" w:type="pct"/>
          </w:tcPr>
          <w:p w14:paraId="2A68D705"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iCs/>
                <w:color w:val="221E1F"/>
                <w:sz w:val="24"/>
                <w:szCs w:val="24"/>
              </w:rPr>
              <w:t>.13</w:t>
            </w:r>
            <w:r w:rsidRPr="0013383A">
              <w:rPr>
                <w:rFonts w:ascii="Times New Roman" w:hAnsi="Times New Roman" w:cs="Times New Roman"/>
                <w:iCs/>
                <w:color w:val="221E1F"/>
                <w:sz w:val="24"/>
                <w:szCs w:val="24"/>
                <w:vertAlign w:val="superscript"/>
              </w:rPr>
              <w:t>d</w:t>
            </w:r>
          </w:p>
        </w:tc>
        <w:tc>
          <w:tcPr>
            <w:tcW w:w="802" w:type="pct"/>
          </w:tcPr>
          <w:p w14:paraId="130DA7FF" w14:textId="77777777" w:rsidR="003C4D2C" w:rsidRPr="0013383A" w:rsidRDefault="003C4D2C" w:rsidP="003C4D2C">
            <w:pPr>
              <w:contextualSpacing/>
              <w:jc w:val="center"/>
              <w:rPr>
                <w:rFonts w:ascii="Times New Roman" w:hAnsi="Times New Roman" w:cs="Times New Roman"/>
                <w:iCs/>
                <w:color w:val="221E1F"/>
                <w:sz w:val="24"/>
                <w:szCs w:val="24"/>
              </w:rPr>
            </w:pPr>
            <w:r w:rsidRPr="0013383A">
              <w:rPr>
                <w:rFonts w:ascii="Times New Roman" w:hAnsi="Times New Roman" w:cs="Times New Roman"/>
                <w:color w:val="221E1F"/>
                <w:sz w:val="24"/>
                <w:szCs w:val="24"/>
              </w:rPr>
              <w:t>2.20</w:t>
            </w:r>
          </w:p>
        </w:tc>
        <w:tc>
          <w:tcPr>
            <w:tcW w:w="813" w:type="pct"/>
          </w:tcPr>
          <w:p w14:paraId="0DF29890"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2.73</w:t>
            </w:r>
            <w:r w:rsidRPr="0013383A">
              <w:rPr>
                <w:rFonts w:ascii="Times New Roman" w:hAnsi="Times New Roman" w:cs="Times New Roman"/>
                <w:color w:val="221E1F"/>
                <w:sz w:val="24"/>
                <w:szCs w:val="24"/>
                <w:vertAlign w:val="superscript"/>
              </w:rPr>
              <w:t>i</w:t>
            </w:r>
          </w:p>
        </w:tc>
        <w:tc>
          <w:tcPr>
            <w:tcW w:w="764" w:type="pct"/>
          </w:tcPr>
          <w:p w14:paraId="2ED38542" w14:textId="77777777" w:rsidR="003C4D2C" w:rsidRPr="0013383A" w:rsidRDefault="003C4D2C" w:rsidP="003C4D2C">
            <w:pPr>
              <w:contextualSpacing/>
              <w:jc w:val="center"/>
              <w:rPr>
                <w:rFonts w:ascii="Times New Roman" w:hAnsi="Times New Roman" w:cs="Times New Roman"/>
                <w:iCs/>
                <w:color w:val="221E1F"/>
                <w:sz w:val="24"/>
                <w:szCs w:val="24"/>
              </w:rPr>
            </w:pPr>
            <w:r w:rsidRPr="0013383A">
              <w:rPr>
                <w:rFonts w:ascii="Times New Roman" w:hAnsi="Times New Roman" w:cs="Times New Roman"/>
                <w:color w:val="221E1F"/>
                <w:sz w:val="24"/>
                <w:szCs w:val="24"/>
              </w:rPr>
              <w:t>1.65</w:t>
            </w:r>
          </w:p>
        </w:tc>
        <w:tc>
          <w:tcPr>
            <w:tcW w:w="680" w:type="pct"/>
          </w:tcPr>
          <w:p w14:paraId="03AC109E" w14:textId="77777777" w:rsidR="003C4D2C" w:rsidRPr="0013383A" w:rsidRDefault="003C4D2C" w:rsidP="003C4D2C">
            <w:pPr>
              <w:contextualSpacing/>
              <w:jc w:val="center"/>
              <w:rPr>
                <w:rFonts w:ascii="Times New Roman" w:hAnsi="Times New Roman" w:cs="Times New Roman"/>
                <w:color w:val="221E1F"/>
                <w:sz w:val="24"/>
                <w:szCs w:val="24"/>
              </w:rPr>
            </w:pPr>
            <w:r w:rsidRPr="0013383A">
              <w:rPr>
                <w:rFonts w:ascii="Times New Roman" w:hAnsi="Times New Roman" w:cs="Times New Roman"/>
                <w:color w:val="221E1F"/>
                <w:sz w:val="24"/>
                <w:szCs w:val="24"/>
              </w:rPr>
              <w:t>5.58</w:t>
            </w:r>
          </w:p>
        </w:tc>
      </w:tr>
      <w:tr w:rsidR="003C4D2C" w:rsidRPr="0013383A" w14:paraId="708AFBA9" w14:textId="77777777" w:rsidTr="005A44C2">
        <w:tc>
          <w:tcPr>
            <w:tcW w:w="1277" w:type="pct"/>
            <w:tcBorders>
              <w:bottom w:val="single" w:sz="4" w:space="0" w:color="BFBFBF" w:themeColor="background1" w:themeShade="BF"/>
            </w:tcBorders>
          </w:tcPr>
          <w:p w14:paraId="38656959" w14:textId="47187941" w:rsidR="003C4D2C" w:rsidRPr="0013383A" w:rsidRDefault="003C4D2C" w:rsidP="003C4D2C">
            <w:pPr>
              <w:contextualSpacing/>
              <w:rPr>
                <w:rFonts w:ascii="Times New Roman" w:hAnsi="Times New Roman" w:cs="Times New Roman"/>
                <w:color w:val="221E1F"/>
                <w:sz w:val="24"/>
                <w:szCs w:val="24"/>
              </w:rPr>
            </w:pPr>
            <w:r w:rsidRPr="0013383A">
              <w:rPr>
                <w:rFonts w:ascii="Times New Roman" w:hAnsi="Times New Roman" w:cs="Times New Roman"/>
                <w:color w:val="221E1F"/>
                <w:sz w:val="24"/>
                <w:szCs w:val="24"/>
              </w:rPr>
              <w:t>Pencil Tap</w:t>
            </w:r>
            <w:r w:rsidR="007C1CBE">
              <w:rPr>
                <w:rFonts w:ascii="Times New Roman" w:hAnsi="Times New Roman" w:cs="Times New Roman"/>
                <w:color w:val="221E1F"/>
                <w:sz w:val="24"/>
                <w:szCs w:val="24"/>
              </w:rPr>
              <w:t xml:space="preserve"> </w:t>
            </w:r>
          </w:p>
        </w:tc>
        <w:tc>
          <w:tcPr>
            <w:tcW w:w="665" w:type="pct"/>
            <w:tcBorders>
              <w:bottom w:val="single" w:sz="4" w:space="0" w:color="BFBFBF" w:themeColor="background1" w:themeShade="BF"/>
            </w:tcBorders>
          </w:tcPr>
          <w:p w14:paraId="258752A0" w14:textId="77777777" w:rsidR="003C4D2C" w:rsidRPr="0013383A" w:rsidRDefault="003C4D2C" w:rsidP="003C4D2C">
            <w:pPr>
              <w:contextualSpacing/>
              <w:jc w:val="center"/>
              <w:rPr>
                <w:rFonts w:ascii="Times New Roman" w:hAnsi="Times New Roman" w:cs="Times New Roman"/>
                <w:iCs/>
                <w:color w:val="221E1F"/>
                <w:sz w:val="24"/>
                <w:szCs w:val="24"/>
              </w:rPr>
            </w:pPr>
            <w:r w:rsidRPr="0013383A">
              <w:rPr>
                <w:rFonts w:ascii="Times New Roman" w:hAnsi="Times New Roman" w:cs="Times New Roman"/>
                <w:color w:val="221E1F"/>
                <w:sz w:val="24"/>
                <w:szCs w:val="24"/>
              </w:rPr>
              <w:t>3.20</w:t>
            </w:r>
          </w:p>
        </w:tc>
        <w:tc>
          <w:tcPr>
            <w:tcW w:w="802" w:type="pct"/>
            <w:tcBorders>
              <w:bottom w:val="single" w:sz="4" w:space="0" w:color="BFBFBF" w:themeColor="background1" w:themeShade="BF"/>
            </w:tcBorders>
          </w:tcPr>
          <w:p w14:paraId="53798F0D" w14:textId="77777777" w:rsidR="003C4D2C" w:rsidRPr="0013383A" w:rsidRDefault="003C4D2C" w:rsidP="003C4D2C">
            <w:pPr>
              <w:contextualSpacing/>
              <w:jc w:val="center"/>
              <w:rPr>
                <w:rFonts w:ascii="Times New Roman" w:hAnsi="Times New Roman" w:cs="Times New Roman"/>
                <w:iCs/>
                <w:color w:val="221E1F"/>
                <w:sz w:val="24"/>
                <w:szCs w:val="24"/>
              </w:rPr>
            </w:pPr>
            <w:r w:rsidRPr="0013383A">
              <w:rPr>
                <w:rFonts w:ascii="Times New Roman" w:hAnsi="Times New Roman" w:cs="Times New Roman"/>
                <w:color w:val="221E1F"/>
                <w:sz w:val="24"/>
                <w:szCs w:val="24"/>
              </w:rPr>
              <w:t>7.08</w:t>
            </w:r>
          </w:p>
        </w:tc>
        <w:tc>
          <w:tcPr>
            <w:tcW w:w="813" w:type="pct"/>
            <w:tcBorders>
              <w:bottom w:val="single" w:sz="4" w:space="0" w:color="BFBFBF" w:themeColor="background1" w:themeShade="BF"/>
            </w:tcBorders>
          </w:tcPr>
          <w:p w14:paraId="7971D823"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7.03</w:t>
            </w:r>
          </w:p>
        </w:tc>
        <w:tc>
          <w:tcPr>
            <w:tcW w:w="764" w:type="pct"/>
            <w:tcBorders>
              <w:bottom w:val="single" w:sz="4" w:space="0" w:color="BFBFBF" w:themeColor="background1" w:themeShade="BF"/>
            </w:tcBorders>
          </w:tcPr>
          <w:p w14:paraId="1F7D9E91"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5.43</w:t>
            </w:r>
          </w:p>
        </w:tc>
        <w:tc>
          <w:tcPr>
            <w:tcW w:w="680" w:type="pct"/>
            <w:tcBorders>
              <w:bottom w:val="single" w:sz="4" w:space="0" w:color="BFBFBF" w:themeColor="background1" w:themeShade="BF"/>
            </w:tcBorders>
          </w:tcPr>
          <w:p w14:paraId="3138F13A" w14:textId="77777777" w:rsidR="003C4D2C" w:rsidRPr="0013383A" w:rsidRDefault="003C4D2C" w:rsidP="003C4D2C">
            <w:pPr>
              <w:contextualSpacing/>
              <w:jc w:val="center"/>
              <w:rPr>
                <w:rFonts w:ascii="Times New Roman" w:hAnsi="Times New Roman" w:cs="Times New Roman"/>
                <w:color w:val="221E1F"/>
                <w:sz w:val="24"/>
                <w:szCs w:val="24"/>
              </w:rPr>
            </w:pPr>
            <w:r w:rsidRPr="0013383A">
              <w:rPr>
                <w:rFonts w:ascii="Times New Roman" w:hAnsi="Times New Roman" w:cs="Times New Roman"/>
                <w:color w:val="221E1F"/>
                <w:sz w:val="24"/>
                <w:szCs w:val="24"/>
              </w:rPr>
              <w:t>8.97</w:t>
            </w:r>
          </w:p>
        </w:tc>
      </w:tr>
      <w:tr w:rsidR="003C4D2C" w:rsidRPr="0013383A" w14:paraId="793E7E93" w14:textId="77777777" w:rsidTr="005A44C2">
        <w:tc>
          <w:tcPr>
            <w:tcW w:w="4320" w:type="pct"/>
            <w:gridSpan w:val="5"/>
            <w:tcBorders>
              <w:bottom w:val="single" w:sz="4" w:space="0" w:color="auto"/>
            </w:tcBorders>
          </w:tcPr>
          <w:p w14:paraId="1EE56813" w14:textId="77777777" w:rsidR="003C4D2C" w:rsidRPr="0013383A" w:rsidRDefault="003C4D2C" w:rsidP="003C4D2C">
            <w:pPr>
              <w:contextualSpacing/>
              <w:rPr>
                <w:rFonts w:ascii="Times New Roman" w:hAnsi="Times New Roman" w:cs="Times New Roman"/>
                <w:iCs/>
                <w:color w:val="221E1F"/>
                <w:sz w:val="24"/>
                <w:szCs w:val="24"/>
              </w:rPr>
            </w:pPr>
            <w:r>
              <w:rPr>
                <w:rFonts w:ascii="Times New Roman" w:hAnsi="Times New Roman" w:cs="Times New Roman"/>
                <w:color w:val="221E1F"/>
                <w:sz w:val="24"/>
                <w:szCs w:val="24"/>
              </w:rPr>
              <w:t xml:space="preserve">Social Development Measures </w:t>
            </w:r>
          </w:p>
        </w:tc>
        <w:tc>
          <w:tcPr>
            <w:tcW w:w="680" w:type="pct"/>
            <w:tcBorders>
              <w:bottom w:val="single" w:sz="4" w:space="0" w:color="auto"/>
            </w:tcBorders>
          </w:tcPr>
          <w:p w14:paraId="61D6671C" w14:textId="77777777" w:rsidR="003C4D2C" w:rsidRPr="0013383A" w:rsidRDefault="003C4D2C" w:rsidP="003C4D2C">
            <w:pPr>
              <w:contextualSpacing/>
              <w:jc w:val="center"/>
              <w:rPr>
                <w:rFonts w:ascii="Times New Roman" w:hAnsi="Times New Roman" w:cs="Times New Roman"/>
                <w:color w:val="221E1F"/>
                <w:sz w:val="24"/>
                <w:szCs w:val="24"/>
              </w:rPr>
            </w:pPr>
          </w:p>
        </w:tc>
      </w:tr>
      <w:tr w:rsidR="003C4D2C" w:rsidRPr="0013383A" w14:paraId="2C2D0C26" w14:textId="77777777" w:rsidTr="005A44C2">
        <w:tc>
          <w:tcPr>
            <w:tcW w:w="1277" w:type="pct"/>
            <w:tcBorders>
              <w:top w:val="single" w:sz="4" w:space="0" w:color="auto"/>
            </w:tcBorders>
          </w:tcPr>
          <w:p w14:paraId="6D8AD2B3" w14:textId="77777777" w:rsidR="003C4D2C" w:rsidRPr="0013383A" w:rsidRDefault="003C4D2C" w:rsidP="003C4D2C">
            <w:pPr>
              <w:contextualSpacing/>
              <w:rPr>
                <w:rFonts w:ascii="Times New Roman" w:hAnsi="Times New Roman" w:cs="Times New Roman"/>
                <w:color w:val="221E1F"/>
                <w:sz w:val="24"/>
                <w:szCs w:val="24"/>
              </w:rPr>
            </w:pPr>
            <w:r w:rsidRPr="0013383A">
              <w:rPr>
                <w:rFonts w:ascii="Times New Roman" w:hAnsi="Times New Roman" w:cs="Times New Roman"/>
                <w:color w:val="221E1F"/>
                <w:sz w:val="24"/>
                <w:szCs w:val="24"/>
              </w:rPr>
              <w:t>DECA Behavioral Concerns</w:t>
            </w:r>
          </w:p>
        </w:tc>
        <w:tc>
          <w:tcPr>
            <w:tcW w:w="665" w:type="pct"/>
            <w:tcBorders>
              <w:top w:val="single" w:sz="4" w:space="0" w:color="auto"/>
            </w:tcBorders>
          </w:tcPr>
          <w:p w14:paraId="01C1FC44"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57.69</w:t>
            </w:r>
            <w:r w:rsidRPr="0013383A">
              <w:rPr>
                <w:rFonts w:ascii="Times New Roman" w:hAnsi="Times New Roman" w:cs="Times New Roman"/>
                <w:color w:val="221E1F"/>
                <w:sz w:val="24"/>
                <w:szCs w:val="24"/>
                <w:vertAlign w:val="superscript"/>
              </w:rPr>
              <w:t>d</w:t>
            </w:r>
          </w:p>
        </w:tc>
        <w:tc>
          <w:tcPr>
            <w:tcW w:w="802" w:type="pct"/>
            <w:tcBorders>
              <w:top w:val="single" w:sz="4" w:space="0" w:color="auto"/>
            </w:tcBorders>
          </w:tcPr>
          <w:p w14:paraId="09F76B16"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51.33</w:t>
            </w:r>
            <w:r w:rsidRPr="0013383A">
              <w:rPr>
                <w:rFonts w:ascii="Times New Roman" w:hAnsi="Times New Roman" w:cs="Times New Roman"/>
                <w:color w:val="221E1F"/>
                <w:sz w:val="24"/>
                <w:szCs w:val="24"/>
                <w:vertAlign w:val="superscript"/>
              </w:rPr>
              <w:t>fg</w:t>
            </w:r>
          </w:p>
        </w:tc>
        <w:tc>
          <w:tcPr>
            <w:tcW w:w="813" w:type="pct"/>
            <w:tcBorders>
              <w:top w:val="single" w:sz="4" w:space="0" w:color="auto"/>
            </w:tcBorders>
          </w:tcPr>
          <w:p w14:paraId="73D3EF2D"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51.20</w:t>
            </w:r>
            <w:r w:rsidRPr="0013383A">
              <w:rPr>
                <w:rFonts w:ascii="Times New Roman" w:hAnsi="Times New Roman" w:cs="Times New Roman"/>
                <w:color w:val="221E1F"/>
                <w:sz w:val="24"/>
                <w:szCs w:val="24"/>
                <w:vertAlign w:val="superscript"/>
              </w:rPr>
              <w:t>hi</w:t>
            </w:r>
          </w:p>
        </w:tc>
        <w:tc>
          <w:tcPr>
            <w:tcW w:w="764" w:type="pct"/>
            <w:tcBorders>
              <w:top w:val="single" w:sz="4" w:space="0" w:color="auto"/>
            </w:tcBorders>
          </w:tcPr>
          <w:p w14:paraId="248B8D6C"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60.71</w:t>
            </w:r>
            <w:r w:rsidRPr="0013383A">
              <w:rPr>
                <w:rFonts w:ascii="Times New Roman" w:hAnsi="Times New Roman" w:cs="Times New Roman"/>
                <w:color w:val="221E1F"/>
                <w:sz w:val="24"/>
                <w:szCs w:val="24"/>
                <w:vertAlign w:val="superscript"/>
              </w:rPr>
              <w:t>j</w:t>
            </w:r>
          </w:p>
        </w:tc>
        <w:tc>
          <w:tcPr>
            <w:tcW w:w="680" w:type="pct"/>
          </w:tcPr>
          <w:p w14:paraId="18BD2B26" w14:textId="77777777" w:rsidR="003C4D2C" w:rsidRPr="0013383A" w:rsidRDefault="003C4D2C" w:rsidP="003C4D2C">
            <w:pPr>
              <w:contextualSpacing/>
              <w:jc w:val="center"/>
              <w:rPr>
                <w:rFonts w:ascii="Times New Roman" w:hAnsi="Times New Roman" w:cs="Times New Roman"/>
                <w:color w:val="221E1F"/>
                <w:sz w:val="24"/>
                <w:szCs w:val="24"/>
              </w:rPr>
            </w:pPr>
            <w:r w:rsidRPr="0013383A">
              <w:rPr>
                <w:rFonts w:ascii="Times New Roman" w:hAnsi="Times New Roman" w:cs="Times New Roman"/>
                <w:color w:val="221E1F"/>
                <w:sz w:val="24"/>
                <w:szCs w:val="24"/>
              </w:rPr>
              <w:t>43.07</w:t>
            </w:r>
          </w:p>
        </w:tc>
      </w:tr>
      <w:tr w:rsidR="003C4D2C" w:rsidRPr="0013383A" w14:paraId="53648C1C" w14:textId="77777777" w:rsidTr="005A44C2">
        <w:trPr>
          <w:trHeight w:val="50"/>
        </w:trPr>
        <w:tc>
          <w:tcPr>
            <w:tcW w:w="1277" w:type="pct"/>
          </w:tcPr>
          <w:p w14:paraId="5737E23F" w14:textId="77777777" w:rsidR="003C4D2C" w:rsidRPr="0013383A" w:rsidRDefault="003C4D2C" w:rsidP="003C4D2C">
            <w:pPr>
              <w:contextualSpacing/>
              <w:rPr>
                <w:rFonts w:ascii="Times New Roman" w:hAnsi="Times New Roman" w:cs="Times New Roman"/>
                <w:color w:val="221E1F"/>
                <w:sz w:val="24"/>
                <w:szCs w:val="24"/>
              </w:rPr>
            </w:pPr>
            <w:r w:rsidRPr="0013383A">
              <w:rPr>
                <w:rFonts w:ascii="Times New Roman" w:hAnsi="Times New Roman" w:cs="Times New Roman"/>
                <w:color w:val="221E1F"/>
                <w:sz w:val="24"/>
                <w:szCs w:val="24"/>
              </w:rPr>
              <w:t xml:space="preserve">inCLASS Peer Sociability </w:t>
            </w:r>
          </w:p>
        </w:tc>
        <w:tc>
          <w:tcPr>
            <w:tcW w:w="665" w:type="pct"/>
          </w:tcPr>
          <w:p w14:paraId="15EF7FED"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2.46</w:t>
            </w:r>
            <w:r w:rsidRPr="0013383A">
              <w:rPr>
                <w:rFonts w:ascii="Times New Roman" w:hAnsi="Times New Roman" w:cs="Times New Roman"/>
                <w:color w:val="221E1F"/>
                <w:sz w:val="24"/>
                <w:szCs w:val="24"/>
                <w:vertAlign w:val="superscript"/>
              </w:rPr>
              <w:t>d</w:t>
            </w:r>
          </w:p>
        </w:tc>
        <w:tc>
          <w:tcPr>
            <w:tcW w:w="802" w:type="pct"/>
          </w:tcPr>
          <w:p w14:paraId="200B764D" w14:textId="77777777" w:rsidR="003C4D2C" w:rsidRPr="0013383A" w:rsidRDefault="003C4D2C" w:rsidP="003C4D2C">
            <w:pPr>
              <w:contextualSpacing/>
              <w:jc w:val="center"/>
              <w:rPr>
                <w:rFonts w:ascii="Times New Roman" w:hAnsi="Times New Roman" w:cs="Times New Roman"/>
                <w:iCs/>
                <w:color w:val="221E1F"/>
                <w:sz w:val="24"/>
                <w:szCs w:val="24"/>
              </w:rPr>
            </w:pPr>
            <w:r w:rsidRPr="0013383A">
              <w:rPr>
                <w:rFonts w:ascii="Times New Roman" w:hAnsi="Times New Roman" w:cs="Times New Roman"/>
                <w:color w:val="221E1F"/>
                <w:sz w:val="24"/>
                <w:szCs w:val="24"/>
              </w:rPr>
              <w:t>3.22</w:t>
            </w:r>
          </w:p>
        </w:tc>
        <w:tc>
          <w:tcPr>
            <w:tcW w:w="813" w:type="pct"/>
          </w:tcPr>
          <w:p w14:paraId="72C61B39"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2.84</w:t>
            </w:r>
            <w:r w:rsidRPr="0013383A">
              <w:rPr>
                <w:rFonts w:ascii="Times New Roman" w:hAnsi="Times New Roman" w:cs="Times New Roman"/>
                <w:color w:val="221E1F"/>
                <w:sz w:val="24"/>
                <w:szCs w:val="24"/>
                <w:vertAlign w:val="superscript"/>
              </w:rPr>
              <w:t>h</w:t>
            </w:r>
          </w:p>
        </w:tc>
        <w:tc>
          <w:tcPr>
            <w:tcW w:w="764" w:type="pct"/>
          </w:tcPr>
          <w:p w14:paraId="350F3CD7" w14:textId="77777777" w:rsidR="003C4D2C" w:rsidRPr="0013383A" w:rsidRDefault="003C4D2C" w:rsidP="003C4D2C">
            <w:pPr>
              <w:contextualSpacing/>
              <w:jc w:val="center"/>
              <w:rPr>
                <w:rFonts w:ascii="Times New Roman" w:hAnsi="Times New Roman" w:cs="Times New Roman"/>
                <w:iCs/>
                <w:color w:val="221E1F"/>
                <w:sz w:val="24"/>
                <w:szCs w:val="24"/>
                <w:vertAlign w:val="superscript"/>
              </w:rPr>
            </w:pPr>
            <w:r w:rsidRPr="0013383A">
              <w:rPr>
                <w:rFonts w:ascii="Times New Roman" w:hAnsi="Times New Roman" w:cs="Times New Roman"/>
                <w:color w:val="221E1F"/>
                <w:sz w:val="24"/>
                <w:szCs w:val="24"/>
              </w:rPr>
              <w:t>2.34</w:t>
            </w:r>
            <w:r w:rsidRPr="0013383A">
              <w:rPr>
                <w:rFonts w:ascii="Times New Roman" w:hAnsi="Times New Roman" w:cs="Times New Roman"/>
                <w:color w:val="221E1F"/>
                <w:sz w:val="24"/>
                <w:szCs w:val="24"/>
                <w:vertAlign w:val="superscript"/>
              </w:rPr>
              <w:t xml:space="preserve"> j</w:t>
            </w:r>
          </w:p>
        </w:tc>
        <w:tc>
          <w:tcPr>
            <w:tcW w:w="680" w:type="pct"/>
          </w:tcPr>
          <w:p w14:paraId="249DC392" w14:textId="77777777" w:rsidR="003C4D2C" w:rsidRPr="0013383A" w:rsidRDefault="003C4D2C" w:rsidP="003C4D2C">
            <w:pPr>
              <w:contextualSpacing/>
              <w:jc w:val="center"/>
              <w:rPr>
                <w:rFonts w:ascii="Times New Roman" w:hAnsi="Times New Roman" w:cs="Times New Roman"/>
                <w:color w:val="221E1F"/>
                <w:sz w:val="24"/>
                <w:szCs w:val="24"/>
              </w:rPr>
            </w:pPr>
            <w:r w:rsidRPr="0013383A">
              <w:rPr>
                <w:rFonts w:ascii="Times New Roman" w:hAnsi="Times New Roman" w:cs="Times New Roman"/>
                <w:color w:val="221E1F"/>
                <w:sz w:val="24"/>
                <w:szCs w:val="24"/>
              </w:rPr>
              <w:t>3.60</w:t>
            </w:r>
          </w:p>
        </w:tc>
      </w:tr>
    </w:tbl>
    <w:p w14:paraId="0F3E73B5" w14:textId="77777777" w:rsidR="002039BE" w:rsidRDefault="002039BE" w:rsidP="005A44C2">
      <w:pPr>
        <w:pStyle w:val="Caption"/>
      </w:pPr>
      <w:bookmarkStart w:id="113" w:name="_Toc44346053"/>
    </w:p>
    <w:p w14:paraId="29FC1724" w14:textId="48877273" w:rsidR="005A44C2" w:rsidRDefault="00E875F6" w:rsidP="005A44C2">
      <w:pPr>
        <w:pStyle w:val="Caption"/>
        <w:rPr>
          <w:noProof/>
        </w:rPr>
      </w:pPr>
      <w:r>
        <w:t xml:space="preserve">Figure </w:t>
      </w:r>
      <w:fldSimple w:instr=" SEQ Figure \* ARABIC ">
        <w:r w:rsidR="002039BE">
          <w:rPr>
            <w:noProof/>
          </w:rPr>
          <w:t>2</w:t>
        </w:r>
        <w:bookmarkEnd w:id="113"/>
      </w:fldSimple>
      <w:bookmarkStart w:id="114" w:name="_Hlk43073758"/>
    </w:p>
    <w:p w14:paraId="390F6D77" w14:textId="59F99713" w:rsidR="003C4D2C" w:rsidRPr="005A44C2" w:rsidRDefault="003C4D2C" w:rsidP="005A44C2">
      <w:pPr>
        <w:pStyle w:val="Caption"/>
        <w:rPr>
          <w:i/>
          <w:iCs w:val="0"/>
          <w:color w:val="221E1F"/>
        </w:rPr>
      </w:pPr>
      <w:r w:rsidRPr="005A44C2">
        <w:rPr>
          <w:i/>
          <w:iCs w:val="0"/>
          <w:color w:val="221E1F"/>
        </w:rPr>
        <w:t xml:space="preserve">Validation Measures Across Profiles </w:t>
      </w:r>
    </w:p>
    <w:p w14:paraId="1FE74706" w14:textId="77777777" w:rsidR="003C4D2C" w:rsidRDefault="003C4D2C" w:rsidP="003C4D2C">
      <w:pPr>
        <w:contextualSpacing/>
        <w:rPr>
          <w:b/>
          <w:bCs/>
          <w:color w:val="221E1F"/>
        </w:rPr>
      </w:pPr>
    </w:p>
    <w:p w14:paraId="069C6E06" w14:textId="3851FB7C" w:rsidR="003C4D2C" w:rsidRDefault="003C4D2C" w:rsidP="003C4D2C">
      <w:pPr>
        <w:contextualSpacing/>
        <w:rPr>
          <w:b/>
          <w:bCs/>
          <w:color w:val="221E1F"/>
        </w:rPr>
      </w:pPr>
    </w:p>
    <w:p w14:paraId="3A35A28A" w14:textId="79386E24" w:rsidR="003C4D2C" w:rsidRDefault="003C4D2C" w:rsidP="003C4D2C">
      <w:pPr>
        <w:contextualSpacing/>
        <w:rPr>
          <w:b/>
          <w:bCs/>
          <w:color w:val="221E1F"/>
        </w:rPr>
      </w:pPr>
    </w:p>
    <w:p w14:paraId="36A9511D" w14:textId="5725A365" w:rsidR="003C4D2C" w:rsidRDefault="005A44C2" w:rsidP="003C4D2C">
      <w:pPr>
        <w:contextualSpacing/>
        <w:rPr>
          <w:b/>
          <w:bCs/>
          <w:color w:val="221E1F"/>
        </w:rPr>
      </w:pPr>
      <w:r>
        <w:rPr>
          <w:iCs/>
          <w:noProof/>
          <w:sz w:val="14"/>
          <w:szCs w:val="12"/>
        </w:rPr>
        <w:drawing>
          <wp:anchor distT="0" distB="0" distL="114300" distR="114300" simplePos="0" relativeHeight="251698176" behindDoc="1" locked="0" layoutInCell="1" allowOverlap="1" wp14:anchorId="18565921" wp14:editId="59FA3E52">
            <wp:simplePos x="0" y="0"/>
            <wp:positionH relativeFrom="margin">
              <wp:align>left</wp:align>
            </wp:positionH>
            <wp:positionV relativeFrom="paragraph">
              <wp:posOffset>-1178488</wp:posOffset>
            </wp:positionV>
            <wp:extent cx="4830445" cy="1978660"/>
            <wp:effectExtent l="0" t="0" r="8255" b="2540"/>
            <wp:wrapTight wrapText="bothSides">
              <wp:wrapPolygon edited="0">
                <wp:start x="0" y="0"/>
                <wp:lineTo x="0" y="21420"/>
                <wp:lineTo x="21552" y="21420"/>
                <wp:lineTo x="21552" y="0"/>
                <wp:lineTo x="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18999C3B" w14:textId="77777777" w:rsidR="003C4D2C" w:rsidRDefault="003C4D2C" w:rsidP="003C4D2C">
      <w:pPr>
        <w:contextualSpacing/>
        <w:rPr>
          <w:b/>
          <w:bCs/>
          <w:color w:val="221E1F"/>
        </w:rPr>
      </w:pPr>
    </w:p>
    <w:p w14:paraId="580B3CFA" w14:textId="77777777" w:rsidR="003C4D2C" w:rsidRDefault="003C4D2C" w:rsidP="003C4D2C">
      <w:pPr>
        <w:contextualSpacing/>
        <w:rPr>
          <w:b/>
          <w:bCs/>
          <w:color w:val="221E1F"/>
        </w:rPr>
      </w:pPr>
    </w:p>
    <w:p w14:paraId="422F2FD7" w14:textId="77777777" w:rsidR="003C4D2C" w:rsidRDefault="003C4D2C" w:rsidP="00E57231">
      <w:pPr>
        <w:pStyle w:val="Heading2"/>
      </w:pPr>
      <w:bookmarkStart w:id="115" w:name="_Toc46265522"/>
      <w:r>
        <w:t>Predicting Children’s Academic Outcomes from Profile Membership</w:t>
      </w:r>
      <w:bookmarkEnd w:id="115"/>
      <w:r>
        <w:t xml:space="preserve"> </w:t>
      </w:r>
    </w:p>
    <w:p w14:paraId="274B2FF6" w14:textId="5E92A861" w:rsidR="003C4D2C" w:rsidRDefault="003C4D2C" w:rsidP="003C4D2C">
      <w:pPr>
        <w:contextualSpacing/>
        <w:rPr>
          <w:color w:val="221E1F"/>
        </w:rPr>
      </w:pPr>
      <w:r>
        <w:rPr>
          <w:b/>
          <w:bCs/>
          <w:color w:val="221E1F"/>
        </w:rPr>
        <w:lastRenderedPageBreak/>
        <w:tab/>
      </w:r>
      <w:r>
        <w:rPr>
          <w:color w:val="221E1F"/>
        </w:rPr>
        <w:t xml:space="preserve">In the final step of </w:t>
      </w:r>
      <w:r w:rsidR="00EB092E">
        <w:rPr>
          <w:color w:val="221E1F"/>
        </w:rPr>
        <w:t xml:space="preserve">the </w:t>
      </w:r>
      <w:r>
        <w:rPr>
          <w:color w:val="221E1F"/>
        </w:rPr>
        <w:t>analysis, a series of regression models were conducted to examine whether profile membership predicted children’s spring academic outcomes (see Table</w:t>
      </w:r>
      <w:r w:rsidR="002039BE">
        <w:rPr>
          <w:color w:val="221E1F"/>
        </w:rPr>
        <w:t xml:space="preserve"> 9</w:t>
      </w:r>
      <w:r>
        <w:rPr>
          <w:color w:val="221E1F"/>
        </w:rPr>
        <w:t xml:space="preserve">). All models controlled for child gender, fall academic achievement, and home language. Given the previous literature that AtL was associated with positive academic outcomes, it was expected that the profile with high AtL would also have high academic achievement. Profile 1, those with low approaches to learning, had the lowest academic achievement across the profiles, while profile 5, those with high approaches to learning, had the highest academic achievement across measures. </w:t>
      </w:r>
    </w:p>
    <w:p w14:paraId="19279795" w14:textId="1EBBDBB9" w:rsidR="0060190A" w:rsidRPr="00175852" w:rsidRDefault="003C4D2C" w:rsidP="0060190A">
      <w:pPr>
        <w:contextualSpacing/>
        <w:rPr>
          <w:color w:val="221E1F"/>
        </w:rPr>
      </w:pPr>
      <w:r>
        <w:rPr>
          <w:color w:val="221E1F"/>
        </w:rPr>
        <w:tab/>
        <w:t>In terms of vocabulary, Profile 2, social/dependent, had significantly lower expressive vocabulary scores compared to the other profiles. For math achievement, profile 1, low AtL, and profile 2, social/dependent, and profile 4, low teacher ratings, had significantly lower math scores than the high AtL profile. Boys also had higher math scores than girls (</w:t>
      </w:r>
      <w:r>
        <w:rPr>
          <w:i/>
          <w:iCs/>
          <w:color w:val="221E1F"/>
        </w:rPr>
        <w:t>β = 1.14, p &lt;.01)</w:t>
      </w:r>
      <w:r w:rsidR="00EB092E">
        <w:rPr>
          <w:i/>
          <w:iCs/>
          <w:color w:val="221E1F"/>
        </w:rPr>
        <w:t xml:space="preserve">, </w:t>
      </w:r>
      <w:r w:rsidR="00EB092E">
        <w:rPr>
          <w:color w:val="221E1F"/>
        </w:rPr>
        <w:t xml:space="preserve">which </w:t>
      </w:r>
      <w:r>
        <w:rPr>
          <w:color w:val="221E1F"/>
        </w:rPr>
        <w:t>was the only significant gender differen</w:t>
      </w:r>
      <w:r w:rsidR="00EB092E">
        <w:rPr>
          <w:color w:val="221E1F"/>
        </w:rPr>
        <w:t>ce</w:t>
      </w:r>
      <w:r>
        <w:rPr>
          <w:color w:val="221E1F"/>
        </w:rPr>
        <w:t xml:space="preserve">. The Bracken, which is an overall measure of children’s school readiness, including letters, shapes, colors, and numbers was significantly </w:t>
      </w:r>
      <w:r w:rsidR="0060190A">
        <w:rPr>
          <w:color w:val="221E1F"/>
        </w:rPr>
        <w:t>lower for profile 1 (</w:t>
      </w:r>
      <w:r w:rsidR="0060190A">
        <w:rPr>
          <w:i/>
          <w:iCs/>
          <w:color w:val="221E1F"/>
        </w:rPr>
        <w:t xml:space="preserve">p &lt;.01) </w:t>
      </w:r>
      <w:r w:rsidR="0060190A">
        <w:rPr>
          <w:color w:val="221E1F"/>
        </w:rPr>
        <w:t xml:space="preserve">than the other profiles. </w:t>
      </w:r>
      <w:r w:rsidR="002039BE">
        <w:rPr>
          <w:color w:val="221E1F"/>
        </w:rPr>
        <w:t xml:space="preserve">Children whose home language was Spanish had </w:t>
      </w:r>
      <w:r w:rsidR="0060190A">
        <w:rPr>
          <w:color w:val="221E1F"/>
        </w:rPr>
        <w:t>significantly higher Bracken scores (</w:t>
      </w:r>
      <w:r w:rsidR="0060190A">
        <w:rPr>
          <w:i/>
          <w:iCs/>
          <w:color w:val="221E1F"/>
        </w:rPr>
        <w:t xml:space="preserve">β = 2.49, p &lt;.05). </w:t>
      </w:r>
      <w:r w:rsidR="0060190A">
        <w:rPr>
          <w:color w:val="221E1F"/>
        </w:rPr>
        <w:t>Finally, letter identification, class 2, social/dependent, had significantly lower letter identification compared to the other classes (</w:t>
      </w:r>
      <w:r w:rsidR="0060190A">
        <w:rPr>
          <w:i/>
          <w:iCs/>
          <w:color w:val="221E1F"/>
        </w:rPr>
        <w:t xml:space="preserve">p=.01). </w:t>
      </w:r>
    </w:p>
    <w:p w14:paraId="0A7BB694" w14:textId="1EEEF318" w:rsidR="003C4D2C" w:rsidRDefault="003C4D2C" w:rsidP="003C4D2C">
      <w:pPr>
        <w:contextualSpacing/>
        <w:rPr>
          <w:color w:val="221E1F"/>
        </w:rPr>
      </w:pPr>
    </w:p>
    <w:p w14:paraId="0B709589" w14:textId="77777777" w:rsidR="005A44C2" w:rsidRDefault="005A44C2" w:rsidP="00814C51">
      <w:pPr>
        <w:pStyle w:val="Caption"/>
      </w:pPr>
    </w:p>
    <w:p w14:paraId="273FC65B" w14:textId="77777777" w:rsidR="005A44C2" w:rsidRDefault="005A44C2" w:rsidP="00814C51">
      <w:pPr>
        <w:pStyle w:val="Caption"/>
      </w:pPr>
    </w:p>
    <w:p w14:paraId="01125B44" w14:textId="77777777" w:rsidR="005A44C2" w:rsidRDefault="005A44C2" w:rsidP="00814C51">
      <w:pPr>
        <w:pStyle w:val="Caption"/>
      </w:pPr>
    </w:p>
    <w:p w14:paraId="239B28F4" w14:textId="77777777" w:rsidR="005A44C2" w:rsidRDefault="005A44C2" w:rsidP="00814C51">
      <w:pPr>
        <w:pStyle w:val="Caption"/>
      </w:pPr>
    </w:p>
    <w:p w14:paraId="1D34217A" w14:textId="77777777" w:rsidR="002039BE" w:rsidRDefault="002039BE" w:rsidP="002039BE">
      <w:pPr>
        <w:pStyle w:val="Caption"/>
      </w:pPr>
      <w:bookmarkStart w:id="116" w:name="_Toc44366132"/>
      <w:r>
        <w:lastRenderedPageBreak/>
        <w:t xml:space="preserve">Table </w:t>
      </w:r>
      <w:fldSimple w:instr=" SEQ Table \* ARABIC ">
        <w:r>
          <w:rPr>
            <w:noProof/>
          </w:rPr>
          <w:t>9</w:t>
        </w:r>
        <w:bookmarkEnd w:id="116"/>
      </w:fldSimple>
    </w:p>
    <w:p w14:paraId="73F4F4E6" w14:textId="77777777" w:rsidR="002039BE" w:rsidRPr="00B65911" w:rsidRDefault="002039BE" w:rsidP="002039BE">
      <w:pPr>
        <w:pStyle w:val="Caption"/>
        <w:rPr>
          <w:i/>
          <w:iCs w:val="0"/>
          <w:color w:val="221E1F"/>
        </w:rPr>
      </w:pPr>
      <w:r>
        <w:rPr>
          <w:i/>
          <w:iCs w:val="0"/>
          <w:color w:val="221E1F"/>
        </w:rPr>
        <w:t xml:space="preserve">Regression Models Predicting Academic Outcomes </w:t>
      </w:r>
      <w:r w:rsidRPr="00B65911">
        <w:rPr>
          <w:i/>
          <w:iCs w:val="0"/>
          <w:color w:val="221E1F"/>
        </w:rPr>
        <w:t xml:space="preserve">from Profiles </w:t>
      </w:r>
    </w:p>
    <w:p w14:paraId="70FEECC8" w14:textId="6389DD22" w:rsidR="002039BE" w:rsidRDefault="003C4D2C" w:rsidP="0060190A">
      <w:pPr>
        <w:tabs>
          <w:tab w:val="left" w:pos="972"/>
        </w:tabs>
        <w:spacing w:line="240" w:lineRule="auto"/>
        <w:contextualSpacing/>
        <w:rPr>
          <w:iCs/>
          <w:sz w:val="20"/>
          <w:szCs w:val="20"/>
        </w:rPr>
      </w:pPr>
      <w:r w:rsidRPr="0060190A">
        <w:rPr>
          <w:iCs/>
          <w:sz w:val="20"/>
          <w:szCs w:val="20"/>
        </w:rPr>
        <w:t xml:space="preserve">Note: </w:t>
      </w:r>
      <w:r w:rsidR="0060190A" w:rsidRPr="0060190A">
        <w:rPr>
          <w:sz w:val="20"/>
          <w:szCs w:val="20"/>
        </w:rPr>
        <w:t>WJ = Woodcock Johnson. EOWPVT=Expressive One</w:t>
      </w:r>
      <w:r w:rsidR="00EB092E">
        <w:rPr>
          <w:sz w:val="20"/>
          <w:szCs w:val="20"/>
        </w:rPr>
        <w:t>-</w:t>
      </w:r>
      <w:r w:rsidR="0060190A" w:rsidRPr="0060190A">
        <w:rPr>
          <w:sz w:val="20"/>
          <w:szCs w:val="20"/>
        </w:rPr>
        <w:t xml:space="preserve">Word Picture Vocabulary Test. </w:t>
      </w:r>
      <w:r w:rsidRPr="0060190A">
        <w:rPr>
          <w:iCs/>
          <w:sz w:val="20"/>
          <w:szCs w:val="20"/>
        </w:rPr>
        <w:t xml:space="preserve">All models control </w:t>
      </w:r>
    </w:p>
    <w:p w14:paraId="06268184" w14:textId="3AF55112" w:rsidR="003C4D2C" w:rsidRPr="0060190A" w:rsidRDefault="003C4D2C" w:rsidP="0060190A">
      <w:pPr>
        <w:tabs>
          <w:tab w:val="left" w:pos="972"/>
        </w:tabs>
        <w:spacing w:line="240" w:lineRule="auto"/>
        <w:contextualSpacing/>
        <w:rPr>
          <w:iCs/>
          <w:sz w:val="20"/>
          <w:szCs w:val="20"/>
        </w:rPr>
      </w:pPr>
      <w:r w:rsidRPr="0060190A">
        <w:rPr>
          <w:iCs/>
          <w:sz w:val="20"/>
          <w:szCs w:val="20"/>
        </w:rPr>
        <w:t>for nesting within classroom</w:t>
      </w:r>
      <w:r w:rsidR="00EB092E">
        <w:rPr>
          <w:iCs/>
          <w:sz w:val="20"/>
          <w:szCs w:val="20"/>
        </w:rPr>
        <w:t>s</w:t>
      </w:r>
      <w:r w:rsidRPr="0060190A">
        <w:rPr>
          <w:iCs/>
          <w:sz w:val="20"/>
          <w:szCs w:val="20"/>
        </w:rPr>
        <w:t>. Class 5, Females, and English Speaking are reference groups; ** p&lt;.01, *p &lt;.05, ⸆ p &lt;.10</w:t>
      </w:r>
    </w:p>
    <w:p w14:paraId="0E434C72" w14:textId="77777777" w:rsidR="003C4D2C" w:rsidRDefault="003C4D2C" w:rsidP="003C4D2C">
      <w:pPr>
        <w:contextualSpacing/>
        <w:rPr>
          <w:color w:val="221E1F"/>
        </w:rPr>
      </w:pPr>
    </w:p>
    <w:tbl>
      <w:tblPr>
        <w:tblStyle w:val="TableGridLight2"/>
        <w:tblpPr w:leftFromText="180" w:rightFromText="180" w:vertAnchor="page" w:horzAnchor="margin" w:tblpY="2289"/>
        <w:tblW w:w="4910" w:type="pct"/>
        <w:tblLook w:val="04A0" w:firstRow="1" w:lastRow="0" w:firstColumn="1" w:lastColumn="0" w:noHBand="0" w:noVBand="1"/>
      </w:tblPr>
      <w:tblGrid>
        <w:gridCol w:w="1621"/>
        <w:gridCol w:w="953"/>
        <w:gridCol w:w="861"/>
        <w:gridCol w:w="1240"/>
        <w:gridCol w:w="769"/>
        <w:gridCol w:w="1049"/>
        <w:gridCol w:w="858"/>
        <w:gridCol w:w="1043"/>
        <w:gridCol w:w="788"/>
      </w:tblGrid>
      <w:tr w:rsidR="003C4D2C" w:rsidRPr="00367F84" w14:paraId="38F44CBC" w14:textId="77777777" w:rsidTr="002039BE">
        <w:trPr>
          <w:trHeight w:val="751"/>
        </w:trPr>
        <w:tc>
          <w:tcPr>
            <w:tcW w:w="883" w:type="pct"/>
            <w:tcBorders>
              <w:top w:val="single" w:sz="4" w:space="0" w:color="auto"/>
              <w:bottom w:val="nil"/>
            </w:tcBorders>
          </w:tcPr>
          <w:p w14:paraId="46D85A53"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p>
        </w:tc>
        <w:tc>
          <w:tcPr>
            <w:tcW w:w="988" w:type="pct"/>
            <w:gridSpan w:val="2"/>
            <w:tcBorders>
              <w:top w:val="single" w:sz="4" w:space="0" w:color="auto"/>
              <w:bottom w:val="single" w:sz="4" w:space="0" w:color="auto"/>
            </w:tcBorders>
            <w:vAlign w:val="center"/>
          </w:tcPr>
          <w:p w14:paraId="750E02BB" w14:textId="1B4E971E" w:rsidR="003C4D2C" w:rsidRPr="00367F84" w:rsidRDefault="003C4D2C" w:rsidP="002039BE">
            <w:pPr>
              <w:tabs>
                <w:tab w:val="left" w:pos="972"/>
              </w:tabs>
              <w:spacing w:after="160"/>
              <w:contextualSpacing/>
              <w:jc w:val="center"/>
              <w:rPr>
                <w:rFonts w:ascii="Times New Roman" w:hAnsi="Times New Roman" w:cs="Times New Roman"/>
                <w:iCs/>
                <w:sz w:val="24"/>
                <w:szCs w:val="24"/>
              </w:rPr>
            </w:pPr>
            <w:r w:rsidRPr="00367F84">
              <w:rPr>
                <w:rFonts w:ascii="Times New Roman" w:hAnsi="Times New Roman" w:cs="Times New Roman"/>
                <w:iCs/>
                <w:sz w:val="24"/>
                <w:szCs w:val="24"/>
              </w:rPr>
              <w:t>EOW</w:t>
            </w:r>
            <w:r w:rsidR="0060190A">
              <w:rPr>
                <w:rFonts w:ascii="Times New Roman" w:hAnsi="Times New Roman" w:cs="Times New Roman"/>
                <w:iCs/>
                <w:sz w:val="24"/>
                <w:szCs w:val="24"/>
              </w:rPr>
              <w:t>PVT</w:t>
            </w:r>
          </w:p>
        </w:tc>
        <w:tc>
          <w:tcPr>
            <w:tcW w:w="1094" w:type="pct"/>
            <w:gridSpan w:val="2"/>
            <w:tcBorders>
              <w:top w:val="single" w:sz="4" w:space="0" w:color="auto"/>
              <w:bottom w:val="single" w:sz="4" w:space="0" w:color="auto"/>
            </w:tcBorders>
            <w:vAlign w:val="center"/>
          </w:tcPr>
          <w:p w14:paraId="2145BBE3" w14:textId="51624145" w:rsidR="0060190A" w:rsidRDefault="0060190A" w:rsidP="002039BE">
            <w:pPr>
              <w:tabs>
                <w:tab w:val="left" w:pos="972"/>
              </w:tabs>
              <w:spacing w:after="160"/>
              <w:contextualSpacing/>
              <w:jc w:val="center"/>
              <w:rPr>
                <w:rFonts w:ascii="Times New Roman" w:hAnsi="Times New Roman" w:cs="Times New Roman"/>
                <w:iCs/>
                <w:sz w:val="24"/>
                <w:szCs w:val="24"/>
              </w:rPr>
            </w:pPr>
            <w:r>
              <w:rPr>
                <w:rFonts w:ascii="Times New Roman" w:hAnsi="Times New Roman" w:cs="Times New Roman"/>
                <w:iCs/>
                <w:sz w:val="24"/>
                <w:szCs w:val="24"/>
              </w:rPr>
              <w:t>WJ</w:t>
            </w:r>
          </w:p>
          <w:p w14:paraId="358BC54F" w14:textId="31082A26" w:rsidR="003C4D2C" w:rsidRPr="00367F84" w:rsidRDefault="003C4D2C" w:rsidP="002039BE">
            <w:pPr>
              <w:tabs>
                <w:tab w:val="left" w:pos="972"/>
              </w:tabs>
              <w:spacing w:after="160"/>
              <w:contextualSpacing/>
              <w:jc w:val="center"/>
              <w:rPr>
                <w:rFonts w:ascii="Times New Roman" w:hAnsi="Times New Roman" w:cs="Times New Roman"/>
                <w:iCs/>
                <w:sz w:val="24"/>
                <w:szCs w:val="24"/>
              </w:rPr>
            </w:pPr>
            <w:r w:rsidRPr="00367F84">
              <w:rPr>
                <w:rFonts w:ascii="Times New Roman" w:hAnsi="Times New Roman" w:cs="Times New Roman"/>
                <w:iCs/>
                <w:sz w:val="24"/>
                <w:szCs w:val="24"/>
              </w:rPr>
              <w:t>Applied Problems</w:t>
            </w:r>
          </w:p>
        </w:tc>
        <w:tc>
          <w:tcPr>
            <w:tcW w:w="1038" w:type="pct"/>
            <w:gridSpan w:val="2"/>
            <w:tcBorders>
              <w:top w:val="single" w:sz="4" w:space="0" w:color="auto"/>
              <w:bottom w:val="single" w:sz="4" w:space="0" w:color="auto"/>
            </w:tcBorders>
            <w:vAlign w:val="center"/>
          </w:tcPr>
          <w:p w14:paraId="4E1D2776" w14:textId="416EE07D" w:rsidR="003C4D2C" w:rsidRPr="00367F84" w:rsidRDefault="003C4D2C" w:rsidP="002039BE">
            <w:pPr>
              <w:tabs>
                <w:tab w:val="left" w:pos="972"/>
              </w:tabs>
              <w:spacing w:after="160"/>
              <w:contextualSpacing/>
              <w:jc w:val="center"/>
              <w:rPr>
                <w:rFonts w:ascii="Times New Roman" w:hAnsi="Times New Roman" w:cs="Times New Roman"/>
                <w:iCs/>
                <w:sz w:val="24"/>
                <w:szCs w:val="24"/>
              </w:rPr>
            </w:pPr>
            <w:r w:rsidRPr="00367F84">
              <w:rPr>
                <w:rFonts w:ascii="Times New Roman" w:hAnsi="Times New Roman" w:cs="Times New Roman"/>
                <w:iCs/>
                <w:sz w:val="24"/>
                <w:szCs w:val="24"/>
              </w:rPr>
              <w:t>Bracken</w:t>
            </w:r>
          </w:p>
        </w:tc>
        <w:tc>
          <w:tcPr>
            <w:tcW w:w="997" w:type="pct"/>
            <w:gridSpan w:val="2"/>
            <w:tcBorders>
              <w:top w:val="single" w:sz="4" w:space="0" w:color="auto"/>
              <w:bottom w:val="single" w:sz="4" w:space="0" w:color="auto"/>
            </w:tcBorders>
            <w:vAlign w:val="center"/>
          </w:tcPr>
          <w:p w14:paraId="746DF246" w14:textId="55A6EEE1" w:rsidR="003C4D2C" w:rsidRPr="00367F84" w:rsidRDefault="0060190A" w:rsidP="002039BE">
            <w:pPr>
              <w:tabs>
                <w:tab w:val="left" w:pos="972"/>
              </w:tabs>
              <w:spacing w:after="160"/>
              <w:contextualSpacing/>
              <w:jc w:val="center"/>
              <w:rPr>
                <w:rFonts w:ascii="Times New Roman" w:hAnsi="Times New Roman" w:cs="Times New Roman"/>
                <w:iCs/>
                <w:sz w:val="24"/>
                <w:szCs w:val="24"/>
              </w:rPr>
            </w:pPr>
            <w:r>
              <w:rPr>
                <w:rFonts w:ascii="Times New Roman" w:hAnsi="Times New Roman" w:cs="Times New Roman"/>
                <w:iCs/>
                <w:sz w:val="24"/>
                <w:szCs w:val="24"/>
              </w:rPr>
              <w:t xml:space="preserve">WJ </w:t>
            </w:r>
            <w:r w:rsidR="003C4D2C" w:rsidRPr="00367F84">
              <w:rPr>
                <w:rFonts w:ascii="Times New Roman" w:hAnsi="Times New Roman" w:cs="Times New Roman"/>
                <w:iCs/>
                <w:sz w:val="24"/>
                <w:szCs w:val="24"/>
              </w:rPr>
              <w:t>Letter</w:t>
            </w:r>
            <w:r>
              <w:rPr>
                <w:rFonts w:ascii="Times New Roman" w:hAnsi="Times New Roman" w:cs="Times New Roman"/>
                <w:iCs/>
                <w:sz w:val="24"/>
                <w:szCs w:val="24"/>
              </w:rPr>
              <w:t xml:space="preserve"> Word ID</w:t>
            </w:r>
          </w:p>
        </w:tc>
      </w:tr>
      <w:tr w:rsidR="003C4D2C" w:rsidRPr="00367F84" w14:paraId="146EC128" w14:textId="77777777" w:rsidTr="002039BE">
        <w:trPr>
          <w:trHeight w:val="381"/>
        </w:trPr>
        <w:tc>
          <w:tcPr>
            <w:tcW w:w="883" w:type="pct"/>
            <w:tcBorders>
              <w:top w:val="nil"/>
            </w:tcBorders>
          </w:tcPr>
          <w:p w14:paraId="0F3091F4"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p>
        </w:tc>
        <w:tc>
          <w:tcPr>
            <w:tcW w:w="519" w:type="pct"/>
            <w:tcBorders>
              <w:top w:val="single" w:sz="4" w:space="0" w:color="auto"/>
              <w:bottom w:val="single" w:sz="4" w:space="0" w:color="auto"/>
            </w:tcBorders>
          </w:tcPr>
          <w:p w14:paraId="555C0652"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β</w:t>
            </w:r>
          </w:p>
        </w:tc>
        <w:tc>
          <w:tcPr>
            <w:tcW w:w="468" w:type="pct"/>
            <w:tcBorders>
              <w:top w:val="single" w:sz="4" w:space="0" w:color="auto"/>
              <w:bottom w:val="single" w:sz="4" w:space="0" w:color="auto"/>
            </w:tcBorders>
          </w:tcPr>
          <w:p w14:paraId="466B58F9"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
                <w:sz w:val="24"/>
                <w:szCs w:val="24"/>
              </w:rPr>
              <w:t>SE</w:t>
            </w:r>
          </w:p>
        </w:tc>
        <w:tc>
          <w:tcPr>
            <w:tcW w:w="675" w:type="pct"/>
            <w:tcBorders>
              <w:top w:val="single" w:sz="4" w:space="0" w:color="auto"/>
              <w:bottom w:val="single" w:sz="4" w:space="0" w:color="auto"/>
            </w:tcBorders>
          </w:tcPr>
          <w:p w14:paraId="1F41127D"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β</w:t>
            </w:r>
          </w:p>
        </w:tc>
        <w:tc>
          <w:tcPr>
            <w:tcW w:w="419" w:type="pct"/>
            <w:tcBorders>
              <w:top w:val="single" w:sz="4" w:space="0" w:color="auto"/>
              <w:bottom w:val="single" w:sz="4" w:space="0" w:color="auto"/>
            </w:tcBorders>
          </w:tcPr>
          <w:p w14:paraId="1E6F0A92"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
                <w:sz w:val="24"/>
                <w:szCs w:val="24"/>
              </w:rPr>
              <w:t>SE</w:t>
            </w:r>
          </w:p>
        </w:tc>
        <w:tc>
          <w:tcPr>
            <w:tcW w:w="571" w:type="pct"/>
            <w:tcBorders>
              <w:top w:val="single" w:sz="4" w:space="0" w:color="auto"/>
              <w:bottom w:val="single" w:sz="4" w:space="0" w:color="auto"/>
            </w:tcBorders>
          </w:tcPr>
          <w:p w14:paraId="24F54F9E" w14:textId="3281BDED" w:rsidR="003C4D2C" w:rsidRPr="00367F84" w:rsidRDefault="005D7B14"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Β</w:t>
            </w:r>
          </w:p>
        </w:tc>
        <w:tc>
          <w:tcPr>
            <w:tcW w:w="467" w:type="pct"/>
            <w:tcBorders>
              <w:top w:val="single" w:sz="4" w:space="0" w:color="auto"/>
              <w:bottom w:val="single" w:sz="4" w:space="0" w:color="auto"/>
            </w:tcBorders>
          </w:tcPr>
          <w:p w14:paraId="71FC2C4C"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
                <w:sz w:val="24"/>
                <w:szCs w:val="24"/>
              </w:rPr>
              <w:t>SE</w:t>
            </w:r>
          </w:p>
        </w:tc>
        <w:tc>
          <w:tcPr>
            <w:tcW w:w="568" w:type="pct"/>
            <w:tcBorders>
              <w:top w:val="single" w:sz="4" w:space="0" w:color="auto"/>
              <w:bottom w:val="single" w:sz="4" w:space="0" w:color="auto"/>
            </w:tcBorders>
          </w:tcPr>
          <w:p w14:paraId="723C5FE2"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β</w:t>
            </w:r>
          </w:p>
        </w:tc>
        <w:tc>
          <w:tcPr>
            <w:tcW w:w="429" w:type="pct"/>
            <w:tcBorders>
              <w:top w:val="single" w:sz="4" w:space="0" w:color="auto"/>
              <w:bottom w:val="single" w:sz="4" w:space="0" w:color="auto"/>
            </w:tcBorders>
          </w:tcPr>
          <w:p w14:paraId="1137601C"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
                <w:sz w:val="24"/>
                <w:szCs w:val="24"/>
              </w:rPr>
              <w:t>SE</w:t>
            </w:r>
          </w:p>
        </w:tc>
      </w:tr>
      <w:tr w:rsidR="003C4D2C" w:rsidRPr="00367F84" w14:paraId="25A92D1B" w14:textId="77777777" w:rsidTr="002039BE">
        <w:trPr>
          <w:trHeight w:val="530"/>
        </w:trPr>
        <w:tc>
          <w:tcPr>
            <w:tcW w:w="883" w:type="pct"/>
          </w:tcPr>
          <w:p w14:paraId="77F4CABC"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 xml:space="preserve">Profile 1 </w:t>
            </w:r>
          </w:p>
          <w:p w14:paraId="051278C6"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Low AtL</w:t>
            </w:r>
          </w:p>
        </w:tc>
        <w:tc>
          <w:tcPr>
            <w:tcW w:w="519" w:type="pct"/>
            <w:tcBorders>
              <w:top w:val="single" w:sz="4" w:space="0" w:color="auto"/>
            </w:tcBorders>
          </w:tcPr>
          <w:p w14:paraId="30AFFBC1"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-.86</w:t>
            </w:r>
          </w:p>
        </w:tc>
        <w:tc>
          <w:tcPr>
            <w:tcW w:w="468" w:type="pct"/>
            <w:tcBorders>
              <w:top w:val="single" w:sz="4" w:space="0" w:color="auto"/>
            </w:tcBorders>
          </w:tcPr>
          <w:p w14:paraId="6A59DAF3"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2.95</w:t>
            </w:r>
          </w:p>
        </w:tc>
        <w:tc>
          <w:tcPr>
            <w:tcW w:w="675" w:type="pct"/>
            <w:tcBorders>
              <w:top w:val="single" w:sz="4" w:space="0" w:color="auto"/>
            </w:tcBorders>
          </w:tcPr>
          <w:p w14:paraId="14319331" w14:textId="77777777" w:rsidR="003C4D2C" w:rsidRPr="00B65911" w:rsidRDefault="003C4D2C" w:rsidP="002039BE">
            <w:pPr>
              <w:tabs>
                <w:tab w:val="left" w:pos="972"/>
              </w:tabs>
              <w:spacing w:after="160"/>
              <w:contextualSpacing/>
              <w:rPr>
                <w:rFonts w:ascii="Times New Roman" w:hAnsi="Times New Roman" w:cs="Times New Roman"/>
                <w:b/>
                <w:bCs/>
                <w:iCs/>
                <w:sz w:val="24"/>
                <w:szCs w:val="24"/>
              </w:rPr>
            </w:pPr>
            <w:r w:rsidRPr="00B65911">
              <w:rPr>
                <w:rFonts w:ascii="Times New Roman" w:hAnsi="Times New Roman" w:cs="Times New Roman"/>
                <w:b/>
                <w:bCs/>
                <w:iCs/>
                <w:sz w:val="24"/>
                <w:szCs w:val="24"/>
              </w:rPr>
              <w:t>-10.71**</w:t>
            </w:r>
          </w:p>
        </w:tc>
        <w:tc>
          <w:tcPr>
            <w:tcW w:w="419" w:type="pct"/>
            <w:tcBorders>
              <w:top w:val="single" w:sz="4" w:space="0" w:color="auto"/>
            </w:tcBorders>
          </w:tcPr>
          <w:p w14:paraId="4CE87C64"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9.06</w:t>
            </w:r>
          </w:p>
        </w:tc>
        <w:tc>
          <w:tcPr>
            <w:tcW w:w="571" w:type="pct"/>
            <w:tcBorders>
              <w:top w:val="single" w:sz="4" w:space="0" w:color="auto"/>
            </w:tcBorders>
          </w:tcPr>
          <w:p w14:paraId="0DF8EE02" w14:textId="77777777" w:rsidR="003C4D2C" w:rsidRPr="00B65911" w:rsidRDefault="003C4D2C" w:rsidP="002039BE">
            <w:pPr>
              <w:tabs>
                <w:tab w:val="left" w:pos="972"/>
              </w:tabs>
              <w:spacing w:after="160"/>
              <w:contextualSpacing/>
              <w:rPr>
                <w:rFonts w:ascii="Times New Roman" w:hAnsi="Times New Roman" w:cs="Times New Roman"/>
                <w:b/>
                <w:bCs/>
                <w:iCs/>
                <w:sz w:val="24"/>
                <w:szCs w:val="24"/>
              </w:rPr>
            </w:pPr>
            <w:r w:rsidRPr="00B65911">
              <w:rPr>
                <w:rFonts w:ascii="Times New Roman" w:hAnsi="Times New Roman" w:cs="Times New Roman"/>
                <w:b/>
                <w:bCs/>
                <w:iCs/>
                <w:sz w:val="24"/>
                <w:szCs w:val="24"/>
              </w:rPr>
              <w:t>-7.91*</w:t>
            </w:r>
          </w:p>
        </w:tc>
        <w:tc>
          <w:tcPr>
            <w:tcW w:w="467" w:type="pct"/>
            <w:tcBorders>
              <w:top w:val="single" w:sz="4" w:space="0" w:color="auto"/>
            </w:tcBorders>
          </w:tcPr>
          <w:p w14:paraId="21CF88DD"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2.16</w:t>
            </w:r>
          </w:p>
        </w:tc>
        <w:tc>
          <w:tcPr>
            <w:tcW w:w="568" w:type="pct"/>
            <w:tcBorders>
              <w:top w:val="single" w:sz="4" w:space="0" w:color="auto"/>
            </w:tcBorders>
          </w:tcPr>
          <w:p w14:paraId="31C23A5D"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-3.78</w:t>
            </w:r>
          </w:p>
        </w:tc>
        <w:tc>
          <w:tcPr>
            <w:tcW w:w="429" w:type="pct"/>
            <w:tcBorders>
              <w:top w:val="single" w:sz="4" w:space="0" w:color="auto"/>
            </w:tcBorders>
          </w:tcPr>
          <w:p w14:paraId="0345BE7B"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-1.3</w:t>
            </w:r>
          </w:p>
        </w:tc>
      </w:tr>
      <w:tr w:rsidR="003C4D2C" w:rsidRPr="00367F84" w14:paraId="608C8063" w14:textId="77777777" w:rsidTr="002039BE">
        <w:trPr>
          <w:trHeight w:val="485"/>
        </w:trPr>
        <w:tc>
          <w:tcPr>
            <w:tcW w:w="883" w:type="pct"/>
          </w:tcPr>
          <w:p w14:paraId="66343608" w14:textId="58AB161C" w:rsidR="003C4D2C" w:rsidRPr="00367F84" w:rsidRDefault="002563E5" w:rsidP="002039BE">
            <w:pPr>
              <w:tabs>
                <w:tab w:val="left" w:pos="972"/>
              </w:tabs>
              <w:spacing w:after="160"/>
              <w:contextualSpacing/>
              <w:rPr>
                <w:rFonts w:ascii="Times New Roman" w:hAnsi="Times New Roman" w:cs="Times New Roman"/>
                <w:iCs/>
                <w:sz w:val="24"/>
                <w:szCs w:val="24"/>
              </w:rPr>
            </w:pPr>
            <w:r>
              <w:rPr>
                <w:rFonts w:ascii="Times New Roman" w:hAnsi="Times New Roman" w:cs="Times New Roman"/>
                <w:iCs/>
                <w:sz w:val="24"/>
                <w:szCs w:val="24"/>
              </w:rPr>
              <w:t>Profile 2</w:t>
            </w:r>
          </w:p>
          <w:p w14:paraId="7C09BDD9"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 xml:space="preserve">Social/Dep. </w:t>
            </w:r>
          </w:p>
        </w:tc>
        <w:tc>
          <w:tcPr>
            <w:tcW w:w="519" w:type="pct"/>
          </w:tcPr>
          <w:p w14:paraId="1CC53215" w14:textId="77777777" w:rsidR="003C4D2C" w:rsidRPr="00B65911" w:rsidRDefault="003C4D2C" w:rsidP="002039BE">
            <w:pPr>
              <w:tabs>
                <w:tab w:val="left" w:pos="972"/>
              </w:tabs>
              <w:spacing w:after="160"/>
              <w:contextualSpacing/>
              <w:rPr>
                <w:rFonts w:ascii="Times New Roman" w:hAnsi="Times New Roman" w:cs="Times New Roman"/>
                <w:b/>
                <w:bCs/>
                <w:iCs/>
                <w:sz w:val="24"/>
                <w:szCs w:val="24"/>
              </w:rPr>
            </w:pPr>
            <w:r w:rsidRPr="00B65911">
              <w:rPr>
                <w:rFonts w:ascii="Times New Roman" w:hAnsi="Times New Roman" w:cs="Times New Roman"/>
                <w:b/>
                <w:bCs/>
                <w:iCs/>
                <w:sz w:val="24"/>
                <w:szCs w:val="24"/>
              </w:rPr>
              <w:t>-4.06*</w:t>
            </w:r>
          </w:p>
        </w:tc>
        <w:tc>
          <w:tcPr>
            <w:tcW w:w="468" w:type="pct"/>
          </w:tcPr>
          <w:p w14:paraId="541F1A08"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1.77</w:t>
            </w:r>
          </w:p>
        </w:tc>
        <w:tc>
          <w:tcPr>
            <w:tcW w:w="675" w:type="pct"/>
          </w:tcPr>
          <w:p w14:paraId="48368CE8"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w:t>
            </w:r>
            <w:r w:rsidRPr="00B65911">
              <w:rPr>
                <w:rFonts w:ascii="Times New Roman" w:hAnsi="Times New Roman" w:cs="Times New Roman"/>
                <w:b/>
                <w:bCs/>
                <w:iCs/>
                <w:sz w:val="24"/>
                <w:szCs w:val="24"/>
              </w:rPr>
              <w:t>3.70⸆</w:t>
            </w:r>
          </w:p>
        </w:tc>
        <w:tc>
          <w:tcPr>
            <w:tcW w:w="419" w:type="pct"/>
          </w:tcPr>
          <w:p w14:paraId="6FC87E9D"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4.16</w:t>
            </w:r>
          </w:p>
        </w:tc>
        <w:tc>
          <w:tcPr>
            <w:tcW w:w="571" w:type="pct"/>
          </w:tcPr>
          <w:p w14:paraId="79AE412C"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-2.06</w:t>
            </w:r>
          </w:p>
        </w:tc>
        <w:tc>
          <w:tcPr>
            <w:tcW w:w="467" w:type="pct"/>
          </w:tcPr>
          <w:p w14:paraId="2D0723CE"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-1.10</w:t>
            </w:r>
          </w:p>
        </w:tc>
        <w:tc>
          <w:tcPr>
            <w:tcW w:w="568" w:type="pct"/>
          </w:tcPr>
          <w:p w14:paraId="05F56231" w14:textId="77777777" w:rsidR="003C4D2C" w:rsidRPr="00B65911" w:rsidRDefault="003C4D2C" w:rsidP="002039BE">
            <w:pPr>
              <w:tabs>
                <w:tab w:val="left" w:pos="972"/>
              </w:tabs>
              <w:spacing w:after="160"/>
              <w:contextualSpacing/>
              <w:rPr>
                <w:rFonts w:ascii="Times New Roman" w:hAnsi="Times New Roman" w:cs="Times New Roman"/>
                <w:b/>
                <w:bCs/>
                <w:iCs/>
                <w:sz w:val="24"/>
                <w:szCs w:val="24"/>
              </w:rPr>
            </w:pPr>
            <w:r w:rsidRPr="00B65911">
              <w:rPr>
                <w:rFonts w:ascii="Times New Roman" w:hAnsi="Times New Roman" w:cs="Times New Roman"/>
                <w:b/>
                <w:bCs/>
                <w:iCs/>
                <w:sz w:val="24"/>
                <w:szCs w:val="24"/>
              </w:rPr>
              <w:t>-5.93**</w:t>
            </w:r>
          </w:p>
        </w:tc>
        <w:tc>
          <w:tcPr>
            <w:tcW w:w="429" w:type="pct"/>
          </w:tcPr>
          <w:p w14:paraId="31C4A8CD"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-3.28</w:t>
            </w:r>
          </w:p>
        </w:tc>
      </w:tr>
      <w:tr w:rsidR="003C4D2C" w:rsidRPr="00367F84" w14:paraId="34A7EF6C" w14:textId="77777777" w:rsidTr="002039BE">
        <w:trPr>
          <w:trHeight w:val="764"/>
        </w:trPr>
        <w:tc>
          <w:tcPr>
            <w:tcW w:w="883" w:type="pct"/>
          </w:tcPr>
          <w:p w14:paraId="09262D7C" w14:textId="3A4DDB63" w:rsidR="003C4D2C" w:rsidRPr="00367F84" w:rsidRDefault="002563E5" w:rsidP="002039BE">
            <w:pPr>
              <w:tabs>
                <w:tab w:val="left" w:pos="972"/>
              </w:tabs>
              <w:spacing w:after="160"/>
              <w:contextualSpacing/>
              <w:rPr>
                <w:rFonts w:ascii="Times New Roman" w:hAnsi="Times New Roman" w:cs="Times New Roman"/>
                <w:iCs/>
                <w:sz w:val="24"/>
                <w:szCs w:val="24"/>
              </w:rPr>
            </w:pPr>
            <w:r>
              <w:rPr>
                <w:rFonts w:ascii="Times New Roman" w:hAnsi="Times New Roman" w:cs="Times New Roman"/>
                <w:iCs/>
                <w:sz w:val="24"/>
                <w:szCs w:val="24"/>
              </w:rPr>
              <w:t>Profile 3</w:t>
            </w:r>
          </w:p>
          <w:p w14:paraId="18ABA785"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Middle of the Road</w:t>
            </w:r>
          </w:p>
        </w:tc>
        <w:tc>
          <w:tcPr>
            <w:tcW w:w="519" w:type="pct"/>
          </w:tcPr>
          <w:p w14:paraId="0C465902"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-1.19</w:t>
            </w:r>
          </w:p>
        </w:tc>
        <w:tc>
          <w:tcPr>
            <w:tcW w:w="468" w:type="pct"/>
          </w:tcPr>
          <w:p w14:paraId="01D16458"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1.26</w:t>
            </w:r>
          </w:p>
        </w:tc>
        <w:tc>
          <w:tcPr>
            <w:tcW w:w="675" w:type="pct"/>
          </w:tcPr>
          <w:p w14:paraId="59032370"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-1.54</w:t>
            </w:r>
          </w:p>
        </w:tc>
        <w:tc>
          <w:tcPr>
            <w:tcW w:w="419" w:type="pct"/>
          </w:tcPr>
          <w:p w14:paraId="6873649E"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3.30</w:t>
            </w:r>
          </w:p>
        </w:tc>
        <w:tc>
          <w:tcPr>
            <w:tcW w:w="571" w:type="pct"/>
          </w:tcPr>
          <w:p w14:paraId="2DE7E594"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-.73</w:t>
            </w:r>
          </w:p>
        </w:tc>
        <w:tc>
          <w:tcPr>
            <w:tcW w:w="467" w:type="pct"/>
          </w:tcPr>
          <w:p w14:paraId="345F32FC"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-.50</w:t>
            </w:r>
          </w:p>
        </w:tc>
        <w:tc>
          <w:tcPr>
            <w:tcW w:w="568" w:type="pct"/>
          </w:tcPr>
          <w:p w14:paraId="4333CDAE"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-1.65</w:t>
            </w:r>
          </w:p>
        </w:tc>
        <w:tc>
          <w:tcPr>
            <w:tcW w:w="429" w:type="pct"/>
          </w:tcPr>
          <w:p w14:paraId="356667C6"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-.87</w:t>
            </w:r>
          </w:p>
        </w:tc>
      </w:tr>
      <w:tr w:rsidR="003C4D2C" w:rsidRPr="00367F84" w14:paraId="72F8B71C" w14:textId="77777777" w:rsidTr="002039BE">
        <w:trPr>
          <w:trHeight w:val="818"/>
        </w:trPr>
        <w:tc>
          <w:tcPr>
            <w:tcW w:w="883" w:type="pct"/>
          </w:tcPr>
          <w:p w14:paraId="2998C991" w14:textId="5E3CCA10" w:rsidR="003C4D2C" w:rsidRPr="00367F84" w:rsidRDefault="002563E5" w:rsidP="002039BE">
            <w:pPr>
              <w:tabs>
                <w:tab w:val="left" w:pos="972"/>
              </w:tabs>
              <w:spacing w:after="160"/>
              <w:contextualSpacing/>
              <w:rPr>
                <w:rFonts w:ascii="Times New Roman" w:hAnsi="Times New Roman" w:cs="Times New Roman"/>
                <w:iCs/>
                <w:sz w:val="24"/>
                <w:szCs w:val="24"/>
              </w:rPr>
            </w:pPr>
            <w:r>
              <w:rPr>
                <w:rFonts w:ascii="Times New Roman" w:hAnsi="Times New Roman" w:cs="Times New Roman"/>
                <w:iCs/>
                <w:sz w:val="24"/>
                <w:szCs w:val="24"/>
              </w:rPr>
              <w:t>Profile 4</w:t>
            </w:r>
          </w:p>
          <w:p w14:paraId="65799684"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Low Teacher Ratings</w:t>
            </w:r>
          </w:p>
        </w:tc>
        <w:tc>
          <w:tcPr>
            <w:tcW w:w="519" w:type="pct"/>
          </w:tcPr>
          <w:p w14:paraId="049033CD"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-.88</w:t>
            </w:r>
          </w:p>
        </w:tc>
        <w:tc>
          <w:tcPr>
            <w:tcW w:w="468" w:type="pct"/>
          </w:tcPr>
          <w:p w14:paraId="2B1FFDE4"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3.67</w:t>
            </w:r>
          </w:p>
        </w:tc>
        <w:tc>
          <w:tcPr>
            <w:tcW w:w="675" w:type="pct"/>
          </w:tcPr>
          <w:p w14:paraId="055BD312" w14:textId="77777777" w:rsidR="003C4D2C" w:rsidRPr="00B65911" w:rsidRDefault="003C4D2C" w:rsidP="002039BE">
            <w:pPr>
              <w:tabs>
                <w:tab w:val="left" w:pos="972"/>
              </w:tabs>
              <w:spacing w:after="160"/>
              <w:contextualSpacing/>
              <w:rPr>
                <w:rFonts w:ascii="Times New Roman" w:hAnsi="Times New Roman" w:cs="Times New Roman"/>
                <w:b/>
                <w:bCs/>
                <w:iCs/>
                <w:sz w:val="24"/>
                <w:szCs w:val="24"/>
              </w:rPr>
            </w:pPr>
            <w:r w:rsidRPr="00B65911">
              <w:rPr>
                <w:rFonts w:ascii="Times New Roman" w:hAnsi="Times New Roman" w:cs="Times New Roman"/>
                <w:b/>
                <w:bCs/>
                <w:iCs/>
                <w:sz w:val="24"/>
                <w:szCs w:val="24"/>
              </w:rPr>
              <w:t>-7.04*</w:t>
            </w:r>
          </w:p>
        </w:tc>
        <w:tc>
          <w:tcPr>
            <w:tcW w:w="419" w:type="pct"/>
          </w:tcPr>
          <w:p w14:paraId="2EBD18B4"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8.89</w:t>
            </w:r>
          </w:p>
        </w:tc>
        <w:tc>
          <w:tcPr>
            <w:tcW w:w="571" w:type="pct"/>
          </w:tcPr>
          <w:p w14:paraId="27698FF4"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-1.31</w:t>
            </w:r>
          </w:p>
        </w:tc>
        <w:tc>
          <w:tcPr>
            <w:tcW w:w="467" w:type="pct"/>
          </w:tcPr>
          <w:p w14:paraId="17C43FF6"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-.62</w:t>
            </w:r>
          </w:p>
        </w:tc>
        <w:tc>
          <w:tcPr>
            <w:tcW w:w="568" w:type="pct"/>
          </w:tcPr>
          <w:p w14:paraId="5ED67C4F"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-3.53</w:t>
            </w:r>
          </w:p>
        </w:tc>
        <w:tc>
          <w:tcPr>
            <w:tcW w:w="429" w:type="pct"/>
          </w:tcPr>
          <w:p w14:paraId="656BC886"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-.99</w:t>
            </w:r>
          </w:p>
        </w:tc>
      </w:tr>
      <w:tr w:rsidR="003C4D2C" w:rsidRPr="00367F84" w14:paraId="255ABA10" w14:textId="77777777" w:rsidTr="002039BE">
        <w:trPr>
          <w:trHeight w:val="369"/>
        </w:trPr>
        <w:tc>
          <w:tcPr>
            <w:tcW w:w="883" w:type="pct"/>
            <w:tcBorders>
              <w:bottom w:val="single" w:sz="4" w:space="0" w:color="BFBFBF" w:themeColor="background1" w:themeShade="BF"/>
            </w:tcBorders>
          </w:tcPr>
          <w:p w14:paraId="4A95A5BB"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Boys</w:t>
            </w:r>
          </w:p>
        </w:tc>
        <w:tc>
          <w:tcPr>
            <w:tcW w:w="519" w:type="pct"/>
            <w:tcBorders>
              <w:bottom w:val="single" w:sz="4" w:space="0" w:color="BFBFBF" w:themeColor="background1" w:themeShade="BF"/>
            </w:tcBorders>
          </w:tcPr>
          <w:p w14:paraId="6A03DAD0"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.76</w:t>
            </w:r>
          </w:p>
        </w:tc>
        <w:tc>
          <w:tcPr>
            <w:tcW w:w="468" w:type="pct"/>
            <w:tcBorders>
              <w:bottom w:val="single" w:sz="4" w:space="0" w:color="BFBFBF" w:themeColor="background1" w:themeShade="BF"/>
            </w:tcBorders>
          </w:tcPr>
          <w:p w14:paraId="30EE3C46"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.98</w:t>
            </w:r>
          </w:p>
        </w:tc>
        <w:tc>
          <w:tcPr>
            <w:tcW w:w="675" w:type="pct"/>
            <w:tcBorders>
              <w:bottom w:val="single" w:sz="4" w:space="0" w:color="BFBFBF" w:themeColor="background1" w:themeShade="BF"/>
            </w:tcBorders>
          </w:tcPr>
          <w:p w14:paraId="3E8B13AF" w14:textId="77777777" w:rsidR="003C4D2C" w:rsidRPr="00B65911" w:rsidRDefault="003C4D2C" w:rsidP="002039BE">
            <w:pPr>
              <w:tabs>
                <w:tab w:val="left" w:pos="972"/>
              </w:tabs>
              <w:spacing w:after="160"/>
              <w:contextualSpacing/>
              <w:rPr>
                <w:rFonts w:ascii="Times New Roman" w:hAnsi="Times New Roman" w:cs="Times New Roman"/>
                <w:b/>
                <w:bCs/>
                <w:iCs/>
                <w:sz w:val="24"/>
                <w:szCs w:val="24"/>
              </w:rPr>
            </w:pPr>
            <w:r w:rsidRPr="00B65911">
              <w:rPr>
                <w:rFonts w:ascii="Times New Roman" w:hAnsi="Times New Roman" w:cs="Times New Roman"/>
                <w:b/>
                <w:bCs/>
                <w:iCs/>
                <w:sz w:val="24"/>
                <w:szCs w:val="24"/>
              </w:rPr>
              <w:t>1.14**</w:t>
            </w:r>
          </w:p>
        </w:tc>
        <w:tc>
          <w:tcPr>
            <w:tcW w:w="419" w:type="pct"/>
            <w:tcBorders>
              <w:bottom w:val="single" w:sz="4" w:space="0" w:color="BFBFBF" w:themeColor="background1" w:themeShade="BF"/>
            </w:tcBorders>
          </w:tcPr>
          <w:p w14:paraId="787EFAA3"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3.97</w:t>
            </w:r>
          </w:p>
        </w:tc>
        <w:tc>
          <w:tcPr>
            <w:tcW w:w="571" w:type="pct"/>
            <w:tcBorders>
              <w:bottom w:val="single" w:sz="4" w:space="0" w:color="BFBFBF" w:themeColor="background1" w:themeShade="BF"/>
            </w:tcBorders>
          </w:tcPr>
          <w:p w14:paraId="3A6225CB"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-1.19</w:t>
            </w:r>
          </w:p>
        </w:tc>
        <w:tc>
          <w:tcPr>
            <w:tcW w:w="467" w:type="pct"/>
            <w:tcBorders>
              <w:bottom w:val="single" w:sz="4" w:space="0" w:color="BFBFBF" w:themeColor="background1" w:themeShade="BF"/>
            </w:tcBorders>
          </w:tcPr>
          <w:p w14:paraId="6250A9D8"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-.97</w:t>
            </w:r>
          </w:p>
        </w:tc>
        <w:tc>
          <w:tcPr>
            <w:tcW w:w="568" w:type="pct"/>
            <w:tcBorders>
              <w:bottom w:val="single" w:sz="4" w:space="0" w:color="BFBFBF" w:themeColor="background1" w:themeShade="BF"/>
            </w:tcBorders>
          </w:tcPr>
          <w:p w14:paraId="4B90C026"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.97</w:t>
            </w:r>
          </w:p>
        </w:tc>
        <w:tc>
          <w:tcPr>
            <w:tcW w:w="429" w:type="pct"/>
            <w:tcBorders>
              <w:bottom w:val="single" w:sz="4" w:space="0" w:color="BFBFBF" w:themeColor="background1" w:themeShade="BF"/>
            </w:tcBorders>
          </w:tcPr>
          <w:p w14:paraId="0B28553D"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.64</w:t>
            </w:r>
          </w:p>
        </w:tc>
      </w:tr>
      <w:tr w:rsidR="003C4D2C" w:rsidRPr="00367F84" w14:paraId="2A2553D2" w14:textId="77777777" w:rsidTr="002039BE">
        <w:trPr>
          <w:trHeight w:val="381"/>
        </w:trPr>
        <w:tc>
          <w:tcPr>
            <w:tcW w:w="883" w:type="pct"/>
            <w:tcBorders>
              <w:bottom w:val="single" w:sz="4" w:space="0" w:color="auto"/>
            </w:tcBorders>
          </w:tcPr>
          <w:p w14:paraId="24A0B46E" w14:textId="34365A22" w:rsidR="003C4D2C" w:rsidRPr="00367F84" w:rsidRDefault="002E682E" w:rsidP="002039BE">
            <w:pPr>
              <w:tabs>
                <w:tab w:val="left" w:pos="972"/>
              </w:tabs>
              <w:spacing w:after="160"/>
              <w:contextualSpacing/>
              <w:rPr>
                <w:rFonts w:ascii="Times New Roman" w:hAnsi="Times New Roman" w:cs="Times New Roman"/>
                <w:iCs/>
                <w:sz w:val="24"/>
                <w:szCs w:val="24"/>
              </w:rPr>
            </w:pPr>
            <w:r>
              <w:rPr>
                <w:rFonts w:ascii="Times New Roman" w:hAnsi="Times New Roman" w:cs="Times New Roman"/>
                <w:iCs/>
                <w:sz w:val="24"/>
                <w:szCs w:val="24"/>
              </w:rPr>
              <w:t xml:space="preserve">Spanish Speaking </w:t>
            </w:r>
          </w:p>
        </w:tc>
        <w:tc>
          <w:tcPr>
            <w:tcW w:w="519" w:type="pct"/>
            <w:tcBorders>
              <w:bottom w:val="single" w:sz="4" w:space="0" w:color="auto"/>
            </w:tcBorders>
          </w:tcPr>
          <w:p w14:paraId="4436B7C7"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-.57</w:t>
            </w:r>
          </w:p>
        </w:tc>
        <w:tc>
          <w:tcPr>
            <w:tcW w:w="468" w:type="pct"/>
            <w:tcBorders>
              <w:bottom w:val="single" w:sz="4" w:space="0" w:color="auto"/>
            </w:tcBorders>
          </w:tcPr>
          <w:p w14:paraId="023522A4"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1.17</w:t>
            </w:r>
          </w:p>
        </w:tc>
        <w:tc>
          <w:tcPr>
            <w:tcW w:w="675" w:type="pct"/>
            <w:tcBorders>
              <w:bottom w:val="single" w:sz="4" w:space="0" w:color="auto"/>
            </w:tcBorders>
          </w:tcPr>
          <w:p w14:paraId="4B7E9CC8"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3.00</w:t>
            </w:r>
          </w:p>
        </w:tc>
        <w:tc>
          <w:tcPr>
            <w:tcW w:w="419" w:type="pct"/>
            <w:tcBorders>
              <w:bottom w:val="single" w:sz="4" w:space="0" w:color="auto"/>
            </w:tcBorders>
          </w:tcPr>
          <w:p w14:paraId="53518F21"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5.96</w:t>
            </w:r>
          </w:p>
        </w:tc>
        <w:tc>
          <w:tcPr>
            <w:tcW w:w="571" w:type="pct"/>
            <w:tcBorders>
              <w:bottom w:val="single" w:sz="4" w:space="0" w:color="auto"/>
            </w:tcBorders>
          </w:tcPr>
          <w:p w14:paraId="7AECDA19"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2.49*</w:t>
            </w:r>
          </w:p>
        </w:tc>
        <w:tc>
          <w:tcPr>
            <w:tcW w:w="467" w:type="pct"/>
            <w:tcBorders>
              <w:bottom w:val="single" w:sz="4" w:space="0" w:color="auto"/>
            </w:tcBorders>
          </w:tcPr>
          <w:p w14:paraId="6B77ED9C"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2.16</w:t>
            </w:r>
          </w:p>
        </w:tc>
        <w:tc>
          <w:tcPr>
            <w:tcW w:w="568" w:type="pct"/>
            <w:tcBorders>
              <w:bottom w:val="single" w:sz="4" w:space="0" w:color="auto"/>
            </w:tcBorders>
          </w:tcPr>
          <w:p w14:paraId="72E375AD" w14:textId="77777777" w:rsidR="003C4D2C" w:rsidRPr="00B65911" w:rsidRDefault="003C4D2C" w:rsidP="002039BE">
            <w:pPr>
              <w:tabs>
                <w:tab w:val="left" w:pos="972"/>
              </w:tabs>
              <w:spacing w:after="160"/>
              <w:contextualSpacing/>
              <w:rPr>
                <w:rFonts w:ascii="Times New Roman" w:hAnsi="Times New Roman" w:cs="Times New Roman"/>
                <w:b/>
                <w:bCs/>
                <w:iCs/>
                <w:sz w:val="24"/>
                <w:szCs w:val="24"/>
              </w:rPr>
            </w:pPr>
            <w:r w:rsidRPr="00B65911">
              <w:rPr>
                <w:rFonts w:ascii="Times New Roman" w:hAnsi="Times New Roman" w:cs="Times New Roman"/>
                <w:b/>
                <w:bCs/>
                <w:iCs/>
                <w:sz w:val="24"/>
                <w:szCs w:val="24"/>
              </w:rPr>
              <w:t>3.27*</w:t>
            </w:r>
          </w:p>
        </w:tc>
        <w:tc>
          <w:tcPr>
            <w:tcW w:w="429" w:type="pct"/>
            <w:tcBorders>
              <w:bottom w:val="single" w:sz="4" w:space="0" w:color="auto"/>
            </w:tcBorders>
          </w:tcPr>
          <w:p w14:paraId="1B265F5E" w14:textId="77777777" w:rsidR="003C4D2C" w:rsidRPr="00367F84" w:rsidRDefault="003C4D2C" w:rsidP="002039BE">
            <w:pPr>
              <w:tabs>
                <w:tab w:val="left" w:pos="972"/>
              </w:tabs>
              <w:spacing w:after="160"/>
              <w:contextualSpacing/>
              <w:rPr>
                <w:rFonts w:ascii="Times New Roman" w:hAnsi="Times New Roman" w:cs="Times New Roman"/>
                <w:iCs/>
                <w:sz w:val="24"/>
                <w:szCs w:val="24"/>
              </w:rPr>
            </w:pPr>
            <w:r w:rsidRPr="00367F84">
              <w:rPr>
                <w:rFonts w:ascii="Times New Roman" w:hAnsi="Times New Roman" w:cs="Times New Roman"/>
                <w:iCs/>
                <w:sz w:val="24"/>
                <w:szCs w:val="24"/>
              </w:rPr>
              <w:t>1.96</w:t>
            </w:r>
          </w:p>
        </w:tc>
      </w:tr>
    </w:tbl>
    <w:p w14:paraId="1C778C01" w14:textId="77777777" w:rsidR="003C4D2C" w:rsidRDefault="003C4D2C" w:rsidP="00814C51">
      <w:pPr>
        <w:pStyle w:val="Heading1"/>
      </w:pPr>
      <w:bookmarkStart w:id="117" w:name="_Toc46265523"/>
      <w:r>
        <w:t>Discussion</w:t>
      </w:r>
      <w:bookmarkEnd w:id="117"/>
    </w:p>
    <w:p w14:paraId="3142CE44" w14:textId="0B1EB1AC" w:rsidR="003C4D2C" w:rsidRDefault="008B73CB" w:rsidP="008B73CB">
      <w:pPr>
        <w:ind w:firstLine="720"/>
        <w:contextualSpacing/>
        <w:rPr>
          <w:color w:val="221E1F"/>
        </w:rPr>
      </w:pPr>
      <w:r>
        <w:rPr>
          <w:color w:val="221E1F"/>
        </w:rPr>
        <w:t>AtL represents adaptive responses to the learning environment</w:t>
      </w:r>
      <w:r w:rsidR="00DC489E">
        <w:rPr>
          <w:color w:val="221E1F"/>
        </w:rPr>
        <w:t>,</w:t>
      </w:r>
      <w:r>
        <w:rPr>
          <w:color w:val="221E1F"/>
        </w:rPr>
        <w:t xml:space="preserve"> and associations with child outcomes have been identified as a topic of interest </w:t>
      </w:r>
      <w:r w:rsidRPr="009A6864">
        <w:t>(Domínguez et al., 2010; Kagan et al., 1995)</w:t>
      </w:r>
      <w:r>
        <w:rPr>
          <w:color w:val="221E1F"/>
        </w:rPr>
        <w:t>.</w:t>
      </w:r>
      <w:r w:rsidR="003C4D2C">
        <w:rPr>
          <w:color w:val="221E1F"/>
        </w:rPr>
        <w:tab/>
        <w:t xml:space="preserve">The purpose of this study was to explore whether </w:t>
      </w:r>
      <w:r w:rsidR="00AF7902">
        <w:rPr>
          <w:color w:val="221E1F"/>
        </w:rPr>
        <w:t xml:space="preserve">children demonstrate distinct profiles of AtL and the potential relationship between profiles and various academic and social outcomes. </w:t>
      </w:r>
      <w:r w:rsidR="003C4D2C">
        <w:rPr>
          <w:color w:val="221E1F"/>
        </w:rPr>
        <w:t xml:space="preserve">This person-centered approach revealed meaningful subgroups of children with distinct profiles of AtL, including profiles of positive, negative, and low AtL. These profiles differed in their academic achievement and executive function, highlighting the importance of person-centered approaches in explaining different profiles of children’s adjustment. </w:t>
      </w:r>
    </w:p>
    <w:p w14:paraId="6AEFE09D" w14:textId="32073AD8" w:rsidR="003C4D2C" w:rsidRDefault="003C4D2C" w:rsidP="003C4D2C">
      <w:pPr>
        <w:contextualSpacing/>
        <w:rPr>
          <w:color w:val="221E1F"/>
        </w:rPr>
      </w:pPr>
      <w:r>
        <w:rPr>
          <w:color w:val="221E1F"/>
        </w:rPr>
        <w:tab/>
        <w:t xml:space="preserve">In many ways, AtL represents the positive aspect of children’s adjustment </w:t>
      </w:r>
      <w:r w:rsidR="009A6864" w:rsidRPr="009A6864">
        <w:t>(George &amp; Greenfield, 2005)</w:t>
      </w:r>
      <w:r>
        <w:rPr>
          <w:color w:val="221E1F"/>
        </w:rPr>
        <w:t xml:space="preserve">. How children go about learning in the classroom can include concentrating, </w:t>
      </w:r>
      <w:r>
        <w:rPr>
          <w:color w:val="221E1F"/>
        </w:rPr>
        <w:lastRenderedPageBreak/>
        <w:t>persist</w:t>
      </w:r>
      <w:r w:rsidR="00AF6B8D">
        <w:rPr>
          <w:color w:val="221E1F"/>
        </w:rPr>
        <w:t>ing</w:t>
      </w:r>
      <w:r>
        <w:rPr>
          <w:color w:val="221E1F"/>
        </w:rPr>
        <w:t>, cooperatin</w:t>
      </w:r>
      <w:r w:rsidR="00AF6B8D">
        <w:rPr>
          <w:color w:val="221E1F"/>
        </w:rPr>
        <w:t>g</w:t>
      </w:r>
      <w:r>
        <w:rPr>
          <w:color w:val="221E1F"/>
        </w:rPr>
        <w:t xml:space="preserve">, managing frustration, following rules, and trying new things </w:t>
      </w:r>
      <w:r w:rsidRPr="008F2777">
        <w:t>(</w:t>
      </w:r>
      <w:proofErr w:type="spellStart"/>
      <w:r w:rsidRPr="008F2777">
        <w:t>Barbu</w:t>
      </w:r>
      <w:proofErr w:type="spellEnd"/>
      <w:r w:rsidRPr="008F2777">
        <w:t xml:space="preserve"> et al., 2015; Brock et al., 2009; Li-</w:t>
      </w:r>
      <w:proofErr w:type="spellStart"/>
      <w:r w:rsidRPr="008F2777">
        <w:t>Grining</w:t>
      </w:r>
      <w:proofErr w:type="spellEnd"/>
      <w:r w:rsidRPr="008F2777">
        <w:t xml:space="preserve"> et al., 2010; Sasser et al., 2015)</w:t>
      </w:r>
      <w:r>
        <w:rPr>
          <w:color w:val="221E1F"/>
        </w:rPr>
        <w:t xml:space="preserve">. AtL may serve as a strength-based protective factor for children who are at risk, as studies have shown that children who are higher in AtL had better academic achievement </w:t>
      </w:r>
      <w:r w:rsidR="009A6864" w:rsidRPr="009A6864">
        <w:t>(McWayne &amp; Cheung, 2009; Nesbitt et al., 2015)</w:t>
      </w:r>
      <w:r>
        <w:rPr>
          <w:color w:val="221E1F"/>
        </w:rPr>
        <w:t xml:space="preserve">. This study included a profile of children who demonstrated high AtL across multiple </w:t>
      </w:r>
      <w:r w:rsidR="00AF6B8D">
        <w:rPr>
          <w:color w:val="221E1F"/>
        </w:rPr>
        <w:t>perspectives</w:t>
      </w:r>
      <w:r>
        <w:rPr>
          <w:color w:val="221E1F"/>
        </w:rPr>
        <w:t>—teacher report, classroom observation, and one-on-one assessment</w:t>
      </w:r>
      <w:r w:rsidR="00AF6B8D">
        <w:rPr>
          <w:color w:val="221E1F"/>
        </w:rPr>
        <w:t>s</w:t>
      </w:r>
      <w:r>
        <w:rPr>
          <w:color w:val="221E1F"/>
        </w:rPr>
        <w:t xml:space="preserve">. These were children who demonstrated initiative, curiosity, focus, </w:t>
      </w:r>
      <w:r w:rsidR="00EB092E">
        <w:rPr>
          <w:color w:val="221E1F"/>
        </w:rPr>
        <w:t xml:space="preserve">and </w:t>
      </w:r>
      <w:r>
        <w:rPr>
          <w:color w:val="221E1F"/>
        </w:rPr>
        <w:t>independence</w:t>
      </w:r>
      <w:r w:rsidR="00EB092E">
        <w:rPr>
          <w:color w:val="221E1F"/>
        </w:rPr>
        <w:t xml:space="preserve">. </w:t>
      </w:r>
      <w:r>
        <w:rPr>
          <w:color w:val="221E1F"/>
        </w:rPr>
        <w:t>In addition, the children in this profile also had the highest academic achievement, lending support to the notion that AtL is vital in providing children foundational learning skills</w:t>
      </w:r>
      <w:r w:rsidR="00EB092E">
        <w:rPr>
          <w:color w:val="221E1F"/>
        </w:rPr>
        <w:t xml:space="preserve"> (Li-Grinning et al., 2010</w:t>
      </w:r>
      <w:r w:rsidR="00A7166B">
        <w:rPr>
          <w:color w:val="221E1F"/>
        </w:rPr>
        <w:t xml:space="preserve">; Sung &amp; </w:t>
      </w:r>
      <w:proofErr w:type="spellStart"/>
      <w:r w:rsidR="00A7166B">
        <w:rPr>
          <w:color w:val="221E1F"/>
        </w:rPr>
        <w:t>Wickrama</w:t>
      </w:r>
      <w:proofErr w:type="spellEnd"/>
      <w:r w:rsidR="00A7166B">
        <w:rPr>
          <w:color w:val="221E1F"/>
        </w:rPr>
        <w:t>, 2018</w:t>
      </w:r>
      <w:r w:rsidR="00EB092E">
        <w:rPr>
          <w:color w:val="221E1F"/>
        </w:rPr>
        <w:t xml:space="preserve">). </w:t>
      </w:r>
    </w:p>
    <w:p w14:paraId="25B7D216" w14:textId="69FAD80E" w:rsidR="00EB092E" w:rsidRDefault="00EB092E" w:rsidP="003C4D2C">
      <w:pPr>
        <w:contextualSpacing/>
        <w:rPr>
          <w:color w:val="221E1F"/>
        </w:rPr>
      </w:pPr>
      <w:r>
        <w:rPr>
          <w:color w:val="221E1F"/>
        </w:rPr>
        <w:tab/>
      </w:r>
      <w:r w:rsidR="00CA4BD3">
        <w:rPr>
          <w:color w:val="221E1F"/>
        </w:rPr>
        <w:t>This study revealed several different patterns among children’s demographic characteristics and adaptive responses. For example, Pr</w:t>
      </w:r>
      <w:r>
        <w:rPr>
          <w:color w:val="221E1F"/>
        </w:rPr>
        <w:t>ofile 5</w:t>
      </w:r>
      <w:r w:rsidR="00CA4BD3">
        <w:rPr>
          <w:color w:val="221E1F"/>
        </w:rPr>
        <w:t xml:space="preserve">, </w:t>
      </w:r>
      <w:r w:rsidR="00CA4BD3">
        <w:rPr>
          <w:i/>
          <w:iCs/>
          <w:color w:val="221E1F"/>
        </w:rPr>
        <w:t xml:space="preserve">high AtL, </w:t>
      </w:r>
      <w:r>
        <w:rPr>
          <w:color w:val="221E1F"/>
        </w:rPr>
        <w:t xml:space="preserve">included significantly more girls. Li-Grinning et al. (2010) </w:t>
      </w:r>
      <w:r w:rsidR="00A7166B">
        <w:rPr>
          <w:color w:val="221E1F"/>
        </w:rPr>
        <w:t xml:space="preserve">and </w:t>
      </w:r>
      <w:proofErr w:type="spellStart"/>
      <w:r w:rsidR="00A7166B">
        <w:rPr>
          <w:color w:val="221E1F"/>
        </w:rPr>
        <w:t>Bodovski</w:t>
      </w:r>
      <w:proofErr w:type="spellEnd"/>
      <w:r w:rsidR="00A7166B">
        <w:rPr>
          <w:color w:val="221E1F"/>
        </w:rPr>
        <w:t xml:space="preserve"> and </w:t>
      </w:r>
      <w:proofErr w:type="spellStart"/>
      <w:r w:rsidR="00A7166B">
        <w:rPr>
          <w:color w:val="221E1F"/>
        </w:rPr>
        <w:t>Youn</w:t>
      </w:r>
      <w:proofErr w:type="spellEnd"/>
      <w:r w:rsidR="00A7166B">
        <w:rPr>
          <w:color w:val="221E1F"/>
        </w:rPr>
        <w:t xml:space="preserve"> (2011) </w:t>
      </w:r>
      <w:r>
        <w:rPr>
          <w:color w:val="221E1F"/>
        </w:rPr>
        <w:t xml:space="preserve">also found evidence that early AtL was more beneficial for girls’ academic growth. In this study, girls with more positive AtL in the fall were able to sustain more positive interactions with teachers and peers and seek out more opportunities to learn, which was associated with increased academic achievement. </w:t>
      </w:r>
    </w:p>
    <w:p w14:paraId="1FFC2501" w14:textId="60975439" w:rsidR="004325CF" w:rsidRDefault="004325CF" w:rsidP="003C4D2C">
      <w:pPr>
        <w:contextualSpacing/>
        <w:rPr>
          <w:color w:val="221E1F"/>
        </w:rPr>
      </w:pPr>
      <w:r>
        <w:rPr>
          <w:color w:val="221E1F"/>
        </w:rPr>
        <w:tab/>
        <w:t xml:space="preserve">In the opposite vein, boys were more likely to be in profiles 1 and profiles 4, demonstrating either low AtL or more negative patterns of engagement. Matthew, </w:t>
      </w:r>
      <w:proofErr w:type="spellStart"/>
      <w:r>
        <w:rPr>
          <w:color w:val="221E1F"/>
        </w:rPr>
        <w:t>Ponitz</w:t>
      </w:r>
      <w:proofErr w:type="spellEnd"/>
      <w:r>
        <w:rPr>
          <w:color w:val="221E1F"/>
        </w:rPr>
        <w:t xml:space="preserve">, and Morrison (2009) describe the “boy crisis,” wherein boys experience higher rates of suspension alongside higher rates of retention or referral for special services. One possible explanatory factor for these gender differences is that girls have stronger behavioral self-regulation abilities. Another possible factor may be due to observer bias, wherein teachers rate boys lower on achievement and behavior (Beaman, </w:t>
      </w:r>
      <w:proofErr w:type="spellStart"/>
      <w:r>
        <w:rPr>
          <w:color w:val="221E1F"/>
        </w:rPr>
        <w:t>Wheldall</w:t>
      </w:r>
      <w:proofErr w:type="spellEnd"/>
      <w:r>
        <w:rPr>
          <w:color w:val="221E1F"/>
        </w:rPr>
        <w:t xml:space="preserve">, &amp; Kemp, 2006). In this study, children in profiles </w:t>
      </w:r>
      <w:r>
        <w:rPr>
          <w:color w:val="221E1F"/>
        </w:rPr>
        <w:lastRenderedPageBreak/>
        <w:t>1 and 4 were rated lower on teacher-based assessments and observation-based assessments, lending support to possible gender differences in AtL</w:t>
      </w:r>
      <w:r w:rsidR="009F429D">
        <w:rPr>
          <w:color w:val="221E1F"/>
        </w:rPr>
        <w:t xml:space="preserve"> </w:t>
      </w:r>
      <w:proofErr w:type="gramStart"/>
      <w:r w:rsidR="009F429D">
        <w:rPr>
          <w:color w:val="221E1F"/>
        </w:rPr>
        <w:t>similar to</w:t>
      </w:r>
      <w:proofErr w:type="gramEnd"/>
      <w:r w:rsidR="009F429D">
        <w:rPr>
          <w:color w:val="221E1F"/>
        </w:rPr>
        <w:t xml:space="preserve"> other research findings (</w:t>
      </w:r>
      <w:proofErr w:type="spellStart"/>
      <w:r w:rsidR="009F429D">
        <w:rPr>
          <w:color w:val="221E1F"/>
        </w:rPr>
        <w:t>Fantuzzo</w:t>
      </w:r>
      <w:proofErr w:type="spellEnd"/>
      <w:r w:rsidR="009F429D">
        <w:rPr>
          <w:color w:val="221E1F"/>
        </w:rPr>
        <w:t xml:space="preserve"> et al., 2007; McWayne et al.,2004). </w:t>
      </w:r>
      <w:r>
        <w:rPr>
          <w:color w:val="221E1F"/>
        </w:rPr>
        <w:t xml:space="preserve"> </w:t>
      </w:r>
      <w:r w:rsidR="009F429D">
        <w:rPr>
          <w:color w:val="221E1F"/>
        </w:rPr>
        <w:t xml:space="preserve">However, Ready, </w:t>
      </w:r>
      <w:proofErr w:type="spellStart"/>
      <w:r w:rsidR="009F429D">
        <w:rPr>
          <w:color w:val="221E1F"/>
        </w:rPr>
        <w:t>LoGergo</w:t>
      </w:r>
      <w:proofErr w:type="spellEnd"/>
      <w:r w:rsidR="009F429D">
        <w:rPr>
          <w:color w:val="221E1F"/>
        </w:rPr>
        <w:t xml:space="preserve">, </w:t>
      </w:r>
      <w:proofErr w:type="spellStart"/>
      <w:r w:rsidR="009F429D">
        <w:rPr>
          <w:color w:val="221E1F"/>
        </w:rPr>
        <w:t>Burkam</w:t>
      </w:r>
      <w:proofErr w:type="spellEnd"/>
      <w:r w:rsidR="009F429D">
        <w:rPr>
          <w:color w:val="221E1F"/>
        </w:rPr>
        <w:t>, and Lee (2005) point out that girls</w:t>
      </w:r>
      <w:r w:rsidR="00DC489E">
        <w:rPr>
          <w:color w:val="221E1F"/>
        </w:rPr>
        <w:t>’</w:t>
      </w:r>
      <w:r w:rsidR="009F429D">
        <w:rPr>
          <w:color w:val="221E1F"/>
        </w:rPr>
        <w:t xml:space="preserve"> positive AtL that was more predictive of </w:t>
      </w:r>
      <w:r w:rsidR="00DC489E">
        <w:rPr>
          <w:color w:val="221E1F"/>
        </w:rPr>
        <w:t xml:space="preserve">their </w:t>
      </w:r>
      <w:r w:rsidR="009F429D">
        <w:rPr>
          <w:color w:val="221E1F"/>
        </w:rPr>
        <w:t>academic achievement rather than boys externalizing or problem behavior</w:t>
      </w:r>
      <w:r w:rsidR="00DC489E">
        <w:rPr>
          <w:color w:val="221E1F"/>
        </w:rPr>
        <w:t xml:space="preserve"> predicting theirs</w:t>
      </w:r>
      <w:r w:rsidR="009F429D">
        <w:rPr>
          <w:color w:val="221E1F"/>
        </w:rPr>
        <w:t xml:space="preserve">. This may help account, in part, for the fact that boys in profile 4 had lower AtL, higher problem behaviors, and higher academic achievement; problem behaviors for boys was not associated with academic achievement. </w:t>
      </w:r>
    </w:p>
    <w:p w14:paraId="7F4136D6" w14:textId="57884CB4" w:rsidR="00A7166B" w:rsidRDefault="003C4D2C" w:rsidP="003C4D2C">
      <w:pPr>
        <w:contextualSpacing/>
        <w:rPr>
          <w:color w:val="221E1F"/>
        </w:rPr>
      </w:pPr>
      <w:r>
        <w:rPr>
          <w:color w:val="221E1F"/>
        </w:rPr>
        <w:tab/>
      </w:r>
      <w:r w:rsidR="00A7166B">
        <w:rPr>
          <w:color w:val="221E1F"/>
        </w:rPr>
        <w:t xml:space="preserve">Previous studies have had mixed findings related to AtL, academic achievement, and differences in race/ethnicity, </w:t>
      </w:r>
      <w:r w:rsidR="00DC489E">
        <w:rPr>
          <w:color w:val="221E1F"/>
        </w:rPr>
        <w:t xml:space="preserve">which are </w:t>
      </w:r>
      <w:r w:rsidR="00A7166B">
        <w:rPr>
          <w:color w:val="221E1F"/>
        </w:rPr>
        <w:t>often attributable to the rater (</w:t>
      </w:r>
      <w:proofErr w:type="spellStart"/>
      <w:r w:rsidR="00A7166B">
        <w:rPr>
          <w:color w:val="221E1F"/>
        </w:rPr>
        <w:t>Bodovski</w:t>
      </w:r>
      <w:proofErr w:type="spellEnd"/>
      <w:r w:rsidR="00A7166B">
        <w:rPr>
          <w:color w:val="221E1F"/>
        </w:rPr>
        <w:t xml:space="preserve"> &amp; </w:t>
      </w:r>
      <w:proofErr w:type="spellStart"/>
      <w:r w:rsidR="00A7166B">
        <w:rPr>
          <w:color w:val="221E1F"/>
        </w:rPr>
        <w:t>Youn</w:t>
      </w:r>
      <w:proofErr w:type="spellEnd"/>
      <w:r w:rsidR="00A7166B">
        <w:rPr>
          <w:color w:val="221E1F"/>
        </w:rPr>
        <w:t>, 2011). When studies have found associations, AtL serves as a protective factor for Black or Hispanic children (</w:t>
      </w:r>
      <w:proofErr w:type="spellStart"/>
      <w:r w:rsidR="00A7166B">
        <w:rPr>
          <w:color w:val="221E1F"/>
        </w:rPr>
        <w:t>Bodovski</w:t>
      </w:r>
      <w:proofErr w:type="spellEnd"/>
      <w:r w:rsidR="00A7166B">
        <w:rPr>
          <w:color w:val="221E1F"/>
        </w:rPr>
        <w:t xml:space="preserve"> &amp; </w:t>
      </w:r>
      <w:proofErr w:type="spellStart"/>
      <w:r w:rsidR="00A7166B">
        <w:rPr>
          <w:color w:val="221E1F"/>
        </w:rPr>
        <w:t>Youn</w:t>
      </w:r>
      <w:proofErr w:type="spellEnd"/>
      <w:r w:rsidR="00A7166B">
        <w:rPr>
          <w:color w:val="221E1F"/>
        </w:rPr>
        <w:t xml:space="preserve">, 2011; </w:t>
      </w:r>
      <w:proofErr w:type="spellStart"/>
      <w:r w:rsidR="00A7166B">
        <w:rPr>
          <w:color w:val="221E1F"/>
        </w:rPr>
        <w:t>Bustamente</w:t>
      </w:r>
      <w:proofErr w:type="spellEnd"/>
      <w:r w:rsidR="00A7166B">
        <w:rPr>
          <w:color w:val="221E1F"/>
        </w:rPr>
        <w:t xml:space="preserve"> </w:t>
      </w:r>
      <w:r w:rsidR="003757C3">
        <w:rPr>
          <w:color w:val="221E1F"/>
        </w:rPr>
        <w:t xml:space="preserve">&amp; Hindman, </w:t>
      </w:r>
      <w:r w:rsidR="00A7166B">
        <w:rPr>
          <w:color w:val="221E1F"/>
        </w:rPr>
        <w:t>20</w:t>
      </w:r>
      <w:r w:rsidR="003757C3">
        <w:rPr>
          <w:color w:val="221E1F"/>
        </w:rPr>
        <w:t>20</w:t>
      </w:r>
      <w:r w:rsidR="00A7166B">
        <w:rPr>
          <w:color w:val="221E1F"/>
        </w:rPr>
        <w:t xml:space="preserve">). </w:t>
      </w:r>
      <w:proofErr w:type="gramStart"/>
      <w:r w:rsidR="003757C3">
        <w:rPr>
          <w:color w:val="221E1F"/>
        </w:rPr>
        <w:t xml:space="preserve">In particular, </w:t>
      </w:r>
      <w:r w:rsidR="00216517">
        <w:rPr>
          <w:color w:val="221E1F"/>
        </w:rPr>
        <w:t>Latino</w:t>
      </w:r>
      <w:proofErr w:type="gramEnd"/>
      <w:r w:rsidR="00216517">
        <w:rPr>
          <w:color w:val="221E1F"/>
        </w:rPr>
        <w:t xml:space="preserve"> </w:t>
      </w:r>
      <w:r w:rsidR="003757C3">
        <w:rPr>
          <w:color w:val="221E1F"/>
        </w:rPr>
        <w:t>children have demonstrated increased social-emotional skills, which may in turn, support their academic achievement (</w:t>
      </w:r>
      <w:proofErr w:type="spellStart"/>
      <w:r w:rsidR="003757C3">
        <w:rPr>
          <w:color w:val="221E1F"/>
        </w:rPr>
        <w:t>Crosnoe</w:t>
      </w:r>
      <w:proofErr w:type="spellEnd"/>
      <w:r w:rsidR="003757C3">
        <w:rPr>
          <w:color w:val="221E1F"/>
        </w:rPr>
        <w:t xml:space="preserve">, 2007). </w:t>
      </w:r>
      <w:proofErr w:type="spellStart"/>
      <w:r w:rsidR="00216517">
        <w:rPr>
          <w:color w:val="221E1F"/>
        </w:rPr>
        <w:t>Galdino</w:t>
      </w:r>
      <w:proofErr w:type="spellEnd"/>
      <w:r w:rsidR="00216517">
        <w:rPr>
          <w:color w:val="221E1F"/>
        </w:rPr>
        <w:t xml:space="preserve"> and Fuller (2010) found that Latino children had higher AtL than other ethnic groups and that AtL was the strongest predictor of growth in children’s math scores. Similarly, Latino children in this study were more likely to be in Profile 5, the profile with the highest academic achievement. AtL represents an adaptive, strength-based profile that Latino children possess (Bustamante &amp; Hindman, 2020). </w:t>
      </w:r>
    </w:p>
    <w:p w14:paraId="11EDE2FB" w14:textId="76D6FB62" w:rsidR="003C4D2C" w:rsidRDefault="00CA4BD3" w:rsidP="00A7166B">
      <w:pPr>
        <w:ind w:firstLine="720"/>
        <w:contextualSpacing/>
        <w:rPr>
          <w:color w:val="221E1F"/>
        </w:rPr>
      </w:pPr>
      <w:r>
        <w:rPr>
          <w:color w:val="221E1F"/>
        </w:rPr>
        <w:t>LPA has been used in previous studies to detect mixed profiles of adaptive responses--</w:t>
      </w:r>
      <w:r w:rsidR="003C4D2C">
        <w:rPr>
          <w:color w:val="221E1F"/>
        </w:rPr>
        <w:t>children whose distinctiveness may otherwise be lost when comparing across groups</w:t>
      </w:r>
      <w:r>
        <w:rPr>
          <w:color w:val="221E1F"/>
        </w:rPr>
        <w:t xml:space="preserve">(Hair et al., 2006; </w:t>
      </w:r>
      <w:proofErr w:type="spellStart"/>
      <w:r>
        <w:rPr>
          <w:color w:val="221E1F"/>
        </w:rPr>
        <w:t>Litkowski</w:t>
      </w:r>
      <w:proofErr w:type="spellEnd"/>
      <w:r>
        <w:rPr>
          <w:color w:val="221E1F"/>
        </w:rPr>
        <w:t xml:space="preserve"> et al, 2020). </w:t>
      </w:r>
      <w:r w:rsidR="003C4D2C">
        <w:rPr>
          <w:color w:val="221E1F"/>
        </w:rPr>
        <w:t xml:space="preserve">Indeed, this study was able to differentiate between children who had low AtL (profile 1) and children who </w:t>
      </w:r>
      <w:r w:rsidR="00AF6B8D">
        <w:rPr>
          <w:color w:val="221E1F"/>
        </w:rPr>
        <w:t xml:space="preserve">demonstrate characteristics that define </w:t>
      </w:r>
      <w:r w:rsidR="003C4D2C">
        <w:rPr>
          <w:color w:val="221E1F"/>
        </w:rPr>
        <w:t xml:space="preserve">negative AtL (profile 4). </w:t>
      </w:r>
      <w:r w:rsidR="00AF6B8D">
        <w:rPr>
          <w:color w:val="221E1F"/>
        </w:rPr>
        <w:t xml:space="preserve">Profile 4, </w:t>
      </w:r>
      <w:r w:rsidR="002563E5" w:rsidRPr="002563E5">
        <w:rPr>
          <w:i/>
          <w:iCs/>
          <w:color w:val="221E1F"/>
        </w:rPr>
        <w:t>low teacher ratings</w:t>
      </w:r>
      <w:r w:rsidR="002563E5">
        <w:rPr>
          <w:color w:val="221E1F"/>
        </w:rPr>
        <w:t xml:space="preserve">, </w:t>
      </w:r>
      <w:r w:rsidR="003C4D2C">
        <w:rPr>
          <w:color w:val="221E1F"/>
        </w:rPr>
        <w:t xml:space="preserve">had higher teacher-reported behavioral concerns </w:t>
      </w:r>
      <w:r w:rsidR="003C4D2C">
        <w:rPr>
          <w:color w:val="221E1F"/>
        </w:rPr>
        <w:lastRenderedPageBreak/>
        <w:t>alongside poor social skills. However, this group of children did not have the lowest academic</w:t>
      </w:r>
      <w:r w:rsidR="00AF6B8D">
        <w:rPr>
          <w:color w:val="221E1F"/>
        </w:rPr>
        <w:t xml:space="preserve"> performance</w:t>
      </w:r>
      <w:r w:rsidR="003C4D2C">
        <w:rPr>
          <w:color w:val="221E1F"/>
        </w:rPr>
        <w:t xml:space="preserve">, </w:t>
      </w:r>
      <w:r w:rsidR="002563E5">
        <w:rPr>
          <w:color w:val="221E1F"/>
        </w:rPr>
        <w:t xml:space="preserve">that was </w:t>
      </w:r>
      <w:r w:rsidR="003C4D2C">
        <w:rPr>
          <w:color w:val="221E1F"/>
        </w:rPr>
        <w:t>profile 1</w:t>
      </w:r>
      <w:r w:rsidR="00AF6B8D">
        <w:rPr>
          <w:color w:val="221E1F"/>
        </w:rPr>
        <w:t xml:space="preserve">, </w:t>
      </w:r>
      <w:r w:rsidR="00AF6B8D">
        <w:rPr>
          <w:i/>
          <w:iCs/>
          <w:color w:val="221E1F"/>
        </w:rPr>
        <w:t xml:space="preserve">low AtL. </w:t>
      </w:r>
      <w:r w:rsidR="00AF6B8D">
        <w:rPr>
          <w:color w:val="221E1F"/>
        </w:rPr>
        <w:t xml:space="preserve">Aligned with an explanation offered by </w:t>
      </w:r>
      <w:proofErr w:type="spellStart"/>
      <w:r w:rsidR="003C4D2C">
        <w:rPr>
          <w:color w:val="221E1F"/>
        </w:rPr>
        <w:t>Abenavoli</w:t>
      </w:r>
      <w:proofErr w:type="spellEnd"/>
      <w:r w:rsidR="003C4D2C">
        <w:rPr>
          <w:color w:val="221E1F"/>
        </w:rPr>
        <w:t xml:space="preserve"> et al. </w:t>
      </w:r>
      <w:r w:rsidR="009A6864" w:rsidRPr="009A6864">
        <w:t>(2017)</w:t>
      </w:r>
      <w:r w:rsidR="003C4D2C">
        <w:rPr>
          <w:color w:val="221E1F"/>
        </w:rPr>
        <w:t xml:space="preserve">, it may be possible that </w:t>
      </w:r>
      <w:r w:rsidR="00AF6B8D">
        <w:rPr>
          <w:color w:val="221E1F"/>
        </w:rPr>
        <w:t xml:space="preserve">children in </w:t>
      </w:r>
      <w:r w:rsidR="003C4D2C">
        <w:rPr>
          <w:color w:val="221E1F"/>
        </w:rPr>
        <w:t xml:space="preserve">profile 1 </w:t>
      </w:r>
      <w:r w:rsidR="00AF6B8D">
        <w:rPr>
          <w:color w:val="221E1F"/>
        </w:rPr>
        <w:t>are</w:t>
      </w:r>
      <w:r w:rsidR="003C4D2C">
        <w:rPr>
          <w:color w:val="221E1F"/>
        </w:rPr>
        <w:t xml:space="preserve"> not able to engage in the classroom, do not seek opportunities to learn, and ha</w:t>
      </w:r>
      <w:r w:rsidR="00AF6B8D">
        <w:rPr>
          <w:color w:val="221E1F"/>
        </w:rPr>
        <w:t>ve</w:t>
      </w:r>
      <w:r w:rsidR="003C4D2C">
        <w:rPr>
          <w:color w:val="221E1F"/>
        </w:rPr>
        <w:t xml:space="preserve"> trouble engaging in tasks independently. On the other hand, profile 4</w:t>
      </w:r>
      <w:r w:rsidR="00AF6B8D">
        <w:rPr>
          <w:color w:val="221E1F"/>
        </w:rPr>
        <w:t xml:space="preserve">, </w:t>
      </w:r>
      <w:r w:rsidR="002563E5" w:rsidRPr="002563E5">
        <w:rPr>
          <w:i/>
          <w:iCs/>
          <w:color w:val="221E1F"/>
        </w:rPr>
        <w:t>low teacher ratings</w:t>
      </w:r>
      <w:r w:rsidR="00AF6B8D">
        <w:rPr>
          <w:i/>
          <w:iCs/>
          <w:color w:val="221E1F"/>
        </w:rPr>
        <w:t xml:space="preserve">, </w:t>
      </w:r>
      <w:r w:rsidR="003C4D2C">
        <w:rPr>
          <w:color w:val="221E1F"/>
        </w:rPr>
        <w:t xml:space="preserve">may be able to leverage their attention/focus on tasks for learning, despite having more teacher-rated behavioral concerns and more negative interactions with peers. </w:t>
      </w:r>
      <w:r w:rsidR="00AF6B8D">
        <w:rPr>
          <w:color w:val="221E1F"/>
        </w:rPr>
        <w:t>Past research sho</w:t>
      </w:r>
      <w:r w:rsidR="002B341F">
        <w:rPr>
          <w:color w:val="221E1F"/>
        </w:rPr>
        <w:t>w</w:t>
      </w:r>
      <w:r w:rsidR="00AF6B8D">
        <w:rPr>
          <w:color w:val="221E1F"/>
        </w:rPr>
        <w:t>s that</w:t>
      </w:r>
      <w:r w:rsidR="002563E5">
        <w:rPr>
          <w:color w:val="221E1F"/>
        </w:rPr>
        <w:t xml:space="preserve"> </w:t>
      </w:r>
      <w:r w:rsidR="000872B0">
        <w:rPr>
          <w:color w:val="221E1F"/>
        </w:rPr>
        <w:t>when children’s</w:t>
      </w:r>
      <w:r w:rsidR="003C4D2C">
        <w:rPr>
          <w:color w:val="221E1F"/>
        </w:rPr>
        <w:t xml:space="preserve"> approach to learning includes positive interaction</w:t>
      </w:r>
      <w:r w:rsidR="002563E5">
        <w:rPr>
          <w:color w:val="221E1F"/>
        </w:rPr>
        <w:t>, it is associated with increased academic achievement because it helps i</w:t>
      </w:r>
      <w:r w:rsidR="003C4D2C">
        <w:rPr>
          <w:color w:val="221E1F"/>
        </w:rPr>
        <w:t>ncrease children’s opportunities to engage with materials and tasks</w:t>
      </w:r>
      <w:r w:rsidR="002563E5">
        <w:rPr>
          <w:color w:val="221E1F"/>
        </w:rPr>
        <w:t xml:space="preserve"> </w:t>
      </w:r>
      <w:r w:rsidR="009A6864" w:rsidRPr="009A6864">
        <w:t>(</w:t>
      </w:r>
      <w:proofErr w:type="spellStart"/>
      <w:r w:rsidR="009A6864" w:rsidRPr="009A6864">
        <w:t>DiPerna</w:t>
      </w:r>
      <w:proofErr w:type="spellEnd"/>
      <w:r w:rsidR="009A6864" w:rsidRPr="009A6864">
        <w:t xml:space="preserve"> et al., 2002)</w:t>
      </w:r>
      <w:r w:rsidR="003C4D2C">
        <w:rPr>
          <w:color w:val="221E1F"/>
        </w:rPr>
        <w:t>. It may be that negative engagement in profile 4 is more beneficial for learning outcomes than no engagement</w:t>
      </w:r>
      <w:r w:rsidR="007C1CBE">
        <w:rPr>
          <w:color w:val="221E1F"/>
        </w:rPr>
        <w:t xml:space="preserve"> </w:t>
      </w:r>
      <w:r w:rsidR="009A6864" w:rsidRPr="009A6864">
        <w:t>(</w:t>
      </w:r>
      <w:proofErr w:type="spellStart"/>
      <w:r w:rsidR="009A6864" w:rsidRPr="009A6864">
        <w:t>Bulotsky</w:t>
      </w:r>
      <w:proofErr w:type="spellEnd"/>
      <w:r w:rsidR="009A6864" w:rsidRPr="009A6864">
        <w:t>-Shearer, Bell, &amp; Domínguez, 2012)</w:t>
      </w:r>
      <w:r w:rsidR="003C4D2C">
        <w:rPr>
          <w:color w:val="221E1F"/>
        </w:rPr>
        <w:t>.</w:t>
      </w:r>
      <w:r w:rsidR="007C1CBE">
        <w:rPr>
          <w:color w:val="221E1F"/>
        </w:rPr>
        <w:t xml:space="preserve"> </w:t>
      </w:r>
    </w:p>
    <w:p w14:paraId="6E296663" w14:textId="1FDAFC91" w:rsidR="003C4D2C" w:rsidRDefault="00CA4BD3" w:rsidP="00CA4BD3">
      <w:pPr>
        <w:ind w:firstLine="720"/>
        <w:contextualSpacing/>
        <w:rPr>
          <w:color w:val="221E1F"/>
        </w:rPr>
      </w:pPr>
      <w:r>
        <w:rPr>
          <w:color w:val="221E1F"/>
        </w:rPr>
        <w:t xml:space="preserve">Finally, LPA has been used in previous research to examine smaller groups of children who may </w:t>
      </w:r>
      <w:proofErr w:type="gramStart"/>
      <w:r>
        <w:rPr>
          <w:color w:val="221E1F"/>
        </w:rPr>
        <w:t>be in need of</w:t>
      </w:r>
      <w:proofErr w:type="gramEnd"/>
      <w:r>
        <w:rPr>
          <w:color w:val="221E1F"/>
        </w:rPr>
        <w:t xml:space="preserve"> interventions </w:t>
      </w:r>
      <w:r w:rsidR="009A6864" w:rsidRPr="009A6864">
        <w:t>(</w:t>
      </w:r>
      <w:proofErr w:type="spellStart"/>
      <w:r w:rsidR="009A6864" w:rsidRPr="009A6864">
        <w:t>Racz</w:t>
      </w:r>
      <w:proofErr w:type="spellEnd"/>
      <w:r w:rsidR="009A6864" w:rsidRPr="009A6864">
        <w:t xml:space="preserve"> et al., 2016)</w:t>
      </w:r>
      <w:r w:rsidR="003C4D2C">
        <w:rPr>
          <w:color w:val="221E1F"/>
        </w:rPr>
        <w:t xml:space="preserve">. In this case, profile 2 emerged as a possible profile with attention/concentration problems. While this profile did not have particularly low academic achievement, the low attention of these children should be further explored. This profile </w:t>
      </w:r>
      <w:r w:rsidR="00E058BC">
        <w:rPr>
          <w:color w:val="221E1F"/>
        </w:rPr>
        <w:t>was</w:t>
      </w:r>
      <w:r w:rsidR="003C4D2C">
        <w:rPr>
          <w:color w:val="221E1F"/>
        </w:rPr>
        <w:t xml:space="preserve"> characterized by </w:t>
      </w:r>
      <w:r w:rsidR="00E058BC">
        <w:rPr>
          <w:color w:val="221E1F"/>
        </w:rPr>
        <w:t xml:space="preserve">a slightly </w:t>
      </w:r>
      <w:r w:rsidR="003C4D2C">
        <w:rPr>
          <w:color w:val="221E1F"/>
        </w:rPr>
        <w:t xml:space="preserve">higher proportion of children </w:t>
      </w:r>
      <w:r w:rsidR="00E058BC">
        <w:rPr>
          <w:color w:val="221E1F"/>
        </w:rPr>
        <w:t xml:space="preserve">who </w:t>
      </w:r>
      <w:r w:rsidR="002D1175">
        <w:rPr>
          <w:color w:val="221E1F"/>
        </w:rPr>
        <w:t>were</w:t>
      </w:r>
      <w:r w:rsidR="00E058BC">
        <w:rPr>
          <w:color w:val="221E1F"/>
        </w:rPr>
        <w:t xml:space="preserve"> Hispanic and </w:t>
      </w:r>
      <w:r w:rsidR="003C4D2C">
        <w:rPr>
          <w:color w:val="221E1F"/>
        </w:rPr>
        <w:t xml:space="preserve">who may be Dual Language Learners. It is possible that what may seem to be inattentive behavior may </w:t>
      </w:r>
      <w:r w:rsidR="00E058BC">
        <w:rPr>
          <w:color w:val="221E1F"/>
        </w:rPr>
        <w:t>be</w:t>
      </w:r>
      <w:r w:rsidR="003C4D2C">
        <w:rPr>
          <w:color w:val="221E1F"/>
        </w:rPr>
        <w:t xml:space="preserve"> children who are working through multiple languages or who are slow to process information </w:t>
      </w:r>
      <w:r w:rsidR="009A6864" w:rsidRPr="009A6864">
        <w:t>(</w:t>
      </w:r>
      <w:proofErr w:type="spellStart"/>
      <w:r w:rsidR="009A6864" w:rsidRPr="009A6864">
        <w:t>Wanless</w:t>
      </w:r>
      <w:proofErr w:type="spellEnd"/>
      <w:r w:rsidR="009A6864" w:rsidRPr="009A6864">
        <w:t xml:space="preserve"> et al., 2011)</w:t>
      </w:r>
      <w:r w:rsidR="003C4D2C">
        <w:rPr>
          <w:color w:val="221E1F"/>
        </w:rPr>
        <w:t>.</w:t>
      </w:r>
      <w:r w:rsidR="007C1CBE">
        <w:rPr>
          <w:color w:val="221E1F"/>
        </w:rPr>
        <w:t xml:space="preserve"> </w:t>
      </w:r>
    </w:p>
    <w:p w14:paraId="3AB49343" w14:textId="1A312A0C" w:rsidR="00770311" w:rsidRDefault="00770311" w:rsidP="00770311">
      <w:pPr>
        <w:pStyle w:val="Heading1"/>
      </w:pPr>
      <w:bookmarkStart w:id="118" w:name="_Toc46265524"/>
      <w:r>
        <w:t>Implications</w:t>
      </w:r>
      <w:bookmarkEnd w:id="118"/>
      <w:r>
        <w:t xml:space="preserve"> </w:t>
      </w:r>
    </w:p>
    <w:p w14:paraId="6B26CD99" w14:textId="18643FE5" w:rsidR="00770311" w:rsidRPr="00770311" w:rsidRDefault="00770311" w:rsidP="00770311">
      <w:r>
        <w:tab/>
        <w:t xml:space="preserve">AtL represents children’s various ways in which children navigate the learning environment by testing out a new idea, working collaboratively with adults, problem-solving at the blocks center, or sustaining focus while attempting to complete a puzzle (McDermott et al., </w:t>
      </w:r>
      <w:r>
        <w:lastRenderedPageBreak/>
        <w:t>2014). This study demonstrated the existence of distinct profiles of learning representing the individual ways in which children adapt to the classroom. Kagan et al. (1995) warn that “perhaps no other dimension is so subject to individual variation as approaches toward learning” (p.27). While the American education system has traditional</w:t>
      </w:r>
      <w:r w:rsidR="00DD2E33">
        <w:t>ly</w:t>
      </w:r>
      <w:r>
        <w:t xml:space="preserve"> valued certain learning styles over others, future work should identify a continuum of AtL; this has important implication for both researchers and teachers.</w:t>
      </w:r>
    </w:p>
    <w:p w14:paraId="4549CE70" w14:textId="41F221FE" w:rsidR="003C4D2C" w:rsidRDefault="00770311" w:rsidP="003C4D2C">
      <w:pPr>
        <w:ind w:firstLine="720"/>
        <w:contextualSpacing/>
        <w:rPr>
          <w:color w:val="221E1F"/>
        </w:rPr>
      </w:pPr>
      <w:r>
        <w:rPr>
          <w:color w:val="221E1F"/>
        </w:rPr>
        <w:t xml:space="preserve">The existence of multiple profiles and the association between AtL and academic achievement </w:t>
      </w:r>
      <w:r w:rsidR="003C4D2C">
        <w:rPr>
          <w:color w:val="221E1F"/>
        </w:rPr>
        <w:t xml:space="preserve">highlight the critical role of AtL as a possible source of intervention. AtL represents a malleable construct that is teachable throughout the school day </w:t>
      </w:r>
      <w:r w:rsidR="009A6864" w:rsidRPr="009A6864">
        <w:t>(Chen &amp; McNamee, 2011)</w:t>
      </w:r>
      <w:r w:rsidR="003C4D2C">
        <w:rPr>
          <w:color w:val="221E1F"/>
        </w:rPr>
        <w:t xml:space="preserve">. </w:t>
      </w:r>
      <w:r w:rsidR="002A797D">
        <w:rPr>
          <w:color w:val="221E1F"/>
        </w:rPr>
        <w:t xml:space="preserve">Offering </w:t>
      </w:r>
      <w:r w:rsidR="003C4D2C">
        <w:rPr>
          <w:color w:val="221E1F"/>
        </w:rPr>
        <w:t xml:space="preserve">purposeful play materials, time for focused exploration, and </w:t>
      </w:r>
      <w:r w:rsidR="002A797D">
        <w:rPr>
          <w:color w:val="221E1F"/>
        </w:rPr>
        <w:t xml:space="preserve">a consistent schedule </w:t>
      </w:r>
      <w:r w:rsidR="003C4D2C">
        <w:rPr>
          <w:color w:val="221E1F"/>
        </w:rPr>
        <w:t xml:space="preserve">can help children develop curiosity, independence, collaboration, and persistence </w:t>
      </w:r>
      <w:r w:rsidR="009A6864" w:rsidRPr="009A6864">
        <w:t>(Sun, Zhang, Chen, Lau, &amp; Rao, 2018)</w:t>
      </w:r>
      <w:r w:rsidR="003C4D2C">
        <w:rPr>
          <w:color w:val="221E1F"/>
        </w:rPr>
        <w:t xml:space="preserve">. </w:t>
      </w:r>
      <w:r>
        <w:rPr>
          <w:color w:val="221E1F"/>
        </w:rPr>
        <w:t xml:space="preserve">Providing explicit instructions/directions about what paying attention or listening to directions looks like/sounds like can help children develop behaviors that support learning </w:t>
      </w:r>
      <w:r w:rsidRPr="009A6864">
        <w:t>(Ansari &amp; Gershoff, 2015)</w:t>
      </w:r>
      <w:r>
        <w:rPr>
          <w:color w:val="221E1F"/>
        </w:rPr>
        <w:t>.</w:t>
      </w:r>
      <w:r w:rsidR="002A797D">
        <w:rPr>
          <w:color w:val="221E1F"/>
        </w:rPr>
        <w:t xml:space="preserve"> Teachers can also develop close relationships with students and model enthusiasm for learning and persistence (Hyson, 2008). </w:t>
      </w:r>
    </w:p>
    <w:p w14:paraId="010ED7D5" w14:textId="6D747C39" w:rsidR="002A797D" w:rsidRPr="002A797D" w:rsidRDefault="002A797D" w:rsidP="003C4D2C">
      <w:pPr>
        <w:ind w:firstLine="720"/>
        <w:contextualSpacing/>
        <w:rPr>
          <w:color w:val="221E1F"/>
        </w:rPr>
      </w:pPr>
      <w:r>
        <w:rPr>
          <w:color w:val="221E1F"/>
        </w:rPr>
        <w:t xml:space="preserve">Researchers can work to measure and describe profiles of AtL in a more ecologically valid way (Bustamante &amp; Hindman, 2020). As reviewed by Beisly (2020), AtL has been described and measured widely </w:t>
      </w:r>
      <w:proofErr w:type="gramStart"/>
      <w:r>
        <w:rPr>
          <w:color w:val="221E1F"/>
        </w:rPr>
        <w:t>in an attempt to</w:t>
      </w:r>
      <w:proofErr w:type="gramEnd"/>
      <w:r>
        <w:rPr>
          <w:color w:val="221E1F"/>
        </w:rPr>
        <w:t xml:space="preserve"> adequately capture elements of cognitive, social, and emotional development. However, equally important to capturing what skills or dispositions children are developing is </w:t>
      </w:r>
      <w:r>
        <w:rPr>
          <w:i/>
          <w:iCs/>
          <w:color w:val="221E1F"/>
        </w:rPr>
        <w:t>how</w:t>
      </w:r>
      <w:r w:rsidR="004A125A">
        <w:rPr>
          <w:i/>
          <w:iCs/>
          <w:color w:val="221E1F"/>
        </w:rPr>
        <w:t xml:space="preserve">, </w:t>
      </w:r>
      <w:r>
        <w:rPr>
          <w:i/>
          <w:iCs/>
          <w:color w:val="221E1F"/>
        </w:rPr>
        <w:t xml:space="preserve">in what contexts </w:t>
      </w:r>
      <w:r w:rsidR="004A125A">
        <w:rPr>
          <w:color w:val="221E1F"/>
        </w:rPr>
        <w:t xml:space="preserve">or with </w:t>
      </w:r>
      <w:r w:rsidR="004A125A">
        <w:rPr>
          <w:i/>
          <w:iCs/>
          <w:color w:val="221E1F"/>
        </w:rPr>
        <w:t xml:space="preserve">whom </w:t>
      </w:r>
      <w:r>
        <w:rPr>
          <w:color w:val="221E1F"/>
        </w:rPr>
        <w:t>these skills develop</w:t>
      </w:r>
      <w:r w:rsidR="00380EA4">
        <w:rPr>
          <w:color w:val="221E1F"/>
        </w:rPr>
        <w:t xml:space="preserve"> (Chen &amp; McNamee, 2011). </w:t>
      </w:r>
      <w:r w:rsidR="00590913">
        <w:rPr>
          <w:color w:val="221E1F"/>
        </w:rPr>
        <w:t xml:space="preserve">Each classroom represents a distinctive learning context with unique child, teacher, and classroom characteristics that can influence the expression of children’s AtL. </w:t>
      </w:r>
      <w:r w:rsidR="00590913">
        <w:rPr>
          <w:color w:val="221E1F"/>
        </w:rPr>
        <w:lastRenderedPageBreak/>
        <w:t xml:space="preserve">Researchers must go beyond examining child characteristics </w:t>
      </w:r>
      <w:proofErr w:type="gramStart"/>
      <w:r w:rsidR="00590913">
        <w:rPr>
          <w:color w:val="221E1F"/>
        </w:rPr>
        <w:t>in order to</w:t>
      </w:r>
      <w:proofErr w:type="gramEnd"/>
      <w:r w:rsidR="00590913">
        <w:rPr>
          <w:color w:val="221E1F"/>
        </w:rPr>
        <w:t xml:space="preserve"> contextualize children’s AtL, which may require measurements of AtL beyond teacher report or classroom observation. </w:t>
      </w:r>
    </w:p>
    <w:p w14:paraId="3B817CDF" w14:textId="1C8B320C" w:rsidR="003C4D2C" w:rsidRDefault="003C4D2C" w:rsidP="00814C51">
      <w:pPr>
        <w:pStyle w:val="Heading1"/>
      </w:pPr>
      <w:bookmarkStart w:id="119" w:name="_Toc46265525"/>
      <w:bookmarkEnd w:id="114"/>
      <w:r>
        <w:t>Limitations and Directions for Future Research</w:t>
      </w:r>
      <w:bookmarkEnd w:id="119"/>
      <w:r>
        <w:t xml:space="preserve"> </w:t>
      </w:r>
    </w:p>
    <w:p w14:paraId="71A05D36" w14:textId="45141DC3" w:rsidR="003C4D2C" w:rsidRDefault="003C4D2C" w:rsidP="003C4D2C">
      <w:pPr>
        <w:ind w:firstLine="360"/>
        <w:rPr>
          <w:color w:val="221E1F"/>
        </w:rPr>
      </w:pPr>
      <w:r>
        <w:rPr>
          <w:color w:val="221E1F"/>
        </w:rPr>
        <w:t>This study had several limitations. First, the DECA</w:t>
      </w:r>
      <w:r w:rsidR="007023D4">
        <w:rPr>
          <w:color w:val="221E1F"/>
        </w:rPr>
        <w:t>,</w:t>
      </w:r>
      <w:r>
        <w:rPr>
          <w:color w:val="221E1F"/>
        </w:rPr>
        <w:t xml:space="preserve"> as a measure of AtL </w:t>
      </w:r>
      <w:r w:rsidR="00AF6B8D">
        <w:rPr>
          <w:color w:val="221E1F"/>
        </w:rPr>
        <w:t xml:space="preserve">presented </w:t>
      </w:r>
      <w:r>
        <w:rPr>
          <w:color w:val="221E1F"/>
        </w:rPr>
        <w:t xml:space="preserve">some measurement issues. Some of the item-level data were kurtotic, indicating that teachers tended to rate children as either high or low with little variability. The individual items were also highly correlated, which presented difficulties in trying to separate variables in the LPA. Finally, some of the items within the DECA lack concrete descriptors that </w:t>
      </w:r>
      <w:r w:rsidR="00AF6B8D">
        <w:rPr>
          <w:color w:val="221E1F"/>
        </w:rPr>
        <w:t xml:space="preserve">may lead to </w:t>
      </w:r>
      <w:r>
        <w:rPr>
          <w:color w:val="221E1F"/>
        </w:rPr>
        <w:t>different interpretations</w:t>
      </w:r>
      <w:r w:rsidR="00AF6B8D">
        <w:rPr>
          <w:color w:val="221E1F"/>
        </w:rPr>
        <w:t xml:space="preserve"> by different raters</w:t>
      </w:r>
      <w:r>
        <w:rPr>
          <w:color w:val="221E1F"/>
        </w:rPr>
        <w:t xml:space="preserve">. One example is the item, </w:t>
      </w:r>
      <w:r w:rsidR="00AF6B8D">
        <w:rPr>
          <w:color w:val="221E1F"/>
        </w:rPr>
        <w:t>‘</w:t>
      </w:r>
      <w:r>
        <w:rPr>
          <w:color w:val="221E1F"/>
        </w:rPr>
        <w:t>appears happy when playing with others.</w:t>
      </w:r>
      <w:r w:rsidR="00AF6B8D">
        <w:rPr>
          <w:color w:val="221E1F"/>
        </w:rPr>
        <w:t>’</w:t>
      </w:r>
      <w:r>
        <w:rPr>
          <w:color w:val="221E1F"/>
        </w:rPr>
        <w:t xml:space="preserve"> Teachers may disagree over </w:t>
      </w:r>
      <w:r w:rsidR="00AF6B8D">
        <w:rPr>
          <w:color w:val="221E1F"/>
        </w:rPr>
        <w:t xml:space="preserve">how children demonstrate happiness, </w:t>
      </w:r>
      <w:r>
        <w:rPr>
          <w:color w:val="221E1F"/>
        </w:rPr>
        <w:t>and individual children may not display positive emotions similarly.</w:t>
      </w:r>
    </w:p>
    <w:p w14:paraId="3024D788" w14:textId="736E7B70" w:rsidR="003C4D2C" w:rsidRDefault="003C4D2C" w:rsidP="003C4D2C">
      <w:pPr>
        <w:ind w:firstLine="360"/>
        <w:rPr>
          <w:color w:val="221E1F"/>
        </w:rPr>
      </w:pPr>
      <w:r>
        <w:rPr>
          <w:color w:val="221E1F"/>
        </w:rPr>
        <w:tab/>
        <w:t xml:space="preserve">This study used three different sources of data—teacher report, assessor report, and classroom observation. On the one hand, these multiple methods help to lessen shared method variance, where items appear </w:t>
      </w:r>
      <w:r w:rsidR="000872B0">
        <w:rPr>
          <w:color w:val="221E1F"/>
        </w:rPr>
        <w:t xml:space="preserve">related but are only so </w:t>
      </w:r>
      <w:r>
        <w:rPr>
          <w:color w:val="221E1F"/>
        </w:rPr>
        <w:t xml:space="preserve">because they are rated by the same person. In this study, however, there were strong correlations within measurement type. The DECA items were highly correlated, as were the inCLASS items. It is possible that what may appear to be differences in profiles </w:t>
      </w:r>
      <w:r w:rsidR="007023D4">
        <w:rPr>
          <w:color w:val="221E1F"/>
        </w:rPr>
        <w:t>is</w:t>
      </w:r>
      <w:r>
        <w:rPr>
          <w:color w:val="221E1F"/>
        </w:rPr>
        <w:t xml:space="preserve"> an artifact of method variance. For example, the children in profile 2 were rated highly by their teacher but lower by the assessor, leading one to wonder whether this represents a unique difference in children or the result of different raters.</w:t>
      </w:r>
      <w:r w:rsidR="007C1CBE">
        <w:rPr>
          <w:color w:val="221E1F"/>
        </w:rPr>
        <w:t xml:space="preserve"> </w:t>
      </w:r>
    </w:p>
    <w:p w14:paraId="106D3A13" w14:textId="4E4C1F5D" w:rsidR="003C4D2C" w:rsidRDefault="003C4D2C" w:rsidP="003C4D2C">
      <w:pPr>
        <w:rPr>
          <w:color w:val="221E1F"/>
        </w:rPr>
      </w:pPr>
      <w:r>
        <w:rPr>
          <w:color w:val="221E1F"/>
        </w:rPr>
        <w:tab/>
        <w:t xml:space="preserve">One final limitation is in the sample size. Although the sample size overall was sufficient for the LPA, there were smaller numbers of children within groups, which led to less power to detect differences. </w:t>
      </w:r>
      <w:r w:rsidR="007023D4">
        <w:rPr>
          <w:color w:val="221E1F"/>
        </w:rPr>
        <w:t>The s</w:t>
      </w:r>
      <w:r>
        <w:rPr>
          <w:color w:val="221E1F"/>
        </w:rPr>
        <w:t xml:space="preserve">mall group size was particularly evident in profiles 1 and 4. </w:t>
      </w:r>
      <w:r w:rsidR="007023D4">
        <w:rPr>
          <w:color w:val="221E1F"/>
        </w:rPr>
        <w:t>L</w:t>
      </w:r>
      <w:r>
        <w:rPr>
          <w:color w:val="221E1F"/>
        </w:rPr>
        <w:t xml:space="preserve">arger sample size could have allowed greater power to find statistically significant differences between </w:t>
      </w:r>
      <w:r>
        <w:rPr>
          <w:color w:val="221E1F"/>
        </w:rPr>
        <w:lastRenderedPageBreak/>
        <w:t xml:space="preserve">these groups. Also, this sample represents one Head start program in one geographic area. Although the sample was randomly selected </w:t>
      </w:r>
      <w:r w:rsidR="00AF6B8D">
        <w:rPr>
          <w:color w:val="221E1F"/>
        </w:rPr>
        <w:t xml:space="preserve">from the </w:t>
      </w:r>
      <w:r w:rsidR="007023D4">
        <w:rPr>
          <w:color w:val="221E1F"/>
        </w:rPr>
        <w:t>broad</w:t>
      </w:r>
      <w:r w:rsidR="00AF6B8D">
        <w:rPr>
          <w:color w:val="221E1F"/>
        </w:rPr>
        <w:t xml:space="preserve">er program enrollees, </w:t>
      </w:r>
      <w:r>
        <w:rPr>
          <w:color w:val="221E1F"/>
        </w:rPr>
        <w:t>it is not representative of the national population. Extending the study to multiple cities or Head Start programs will be necessary</w:t>
      </w:r>
      <w:r w:rsidR="00232B4D">
        <w:rPr>
          <w:color w:val="221E1F"/>
        </w:rPr>
        <w:t xml:space="preserve"> next step to </w:t>
      </w:r>
      <w:r w:rsidR="007023D4">
        <w:rPr>
          <w:color w:val="221E1F"/>
        </w:rPr>
        <w:t>extend these findings confidently</w:t>
      </w:r>
      <w:r w:rsidR="00232B4D">
        <w:rPr>
          <w:color w:val="221E1F"/>
        </w:rPr>
        <w:t xml:space="preserve">. </w:t>
      </w:r>
    </w:p>
    <w:p w14:paraId="4959B12F" w14:textId="0F4D54FB" w:rsidR="003C4D2C" w:rsidRDefault="003C4D2C" w:rsidP="003C4D2C">
      <w:pPr>
        <w:rPr>
          <w:color w:val="221E1F"/>
        </w:rPr>
      </w:pPr>
      <w:r>
        <w:rPr>
          <w:b/>
          <w:bCs/>
          <w:color w:val="221E1F"/>
        </w:rPr>
        <w:tab/>
      </w:r>
      <w:r>
        <w:rPr>
          <w:color w:val="221E1F"/>
        </w:rPr>
        <w:t>Despite these limitations, this study has several strengths. This study utilized a wide range of AtL measures to capture children’s adaptions across multiple contexts</w:t>
      </w:r>
      <w:r w:rsidR="00232B4D">
        <w:rPr>
          <w:color w:val="221E1F"/>
        </w:rPr>
        <w:t xml:space="preserve"> and reporters.</w:t>
      </w:r>
      <w:r>
        <w:rPr>
          <w:color w:val="221E1F"/>
        </w:rPr>
        <w:t xml:space="preserve"> This research also is the first study to </w:t>
      </w:r>
      <w:r w:rsidR="00232B4D">
        <w:rPr>
          <w:color w:val="221E1F"/>
        </w:rPr>
        <w:t xml:space="preserve">investigate </w:t>
      </w:r>
      <w:r>
        <w:rPr>
          <w:color w:val="221E1F"/>
        </w:rPr>
        <w:t>AtL using profile analysis. This person-centered approach demonstrated that children do indeed have unique profiles of AtL, including a distinction between low and negative AtL. Finally, this study used a sample that included children from low-income families, many of whom are Hispanic. This demographic</w:t>
      </w:r>
      <w:r w:rsidR="00232B4D">
        <w:rPr>
          <w:color w:val="221E1F"/>
        </w:rPr>
        <w:t xml:space="preserve"> group</w:t>
      </w:r>
      <w:r>
        <w:rPr>
          <w:color w:val="221E1F"/>
        </w:rPr>
        <w:t xml:space="preserve"> is often understudied</w:t>
      </w:r>
      <w:r w:rsidR="00232B4D">
        <w:rPr>
          <w:color w:val="221E1F"/>
        </w:rPr>
        <w:t xml:space="preserve">, and </w:t>
      </w:r>
      <w:r>
        <w:rPr>
          <w:color w:val="221E1F"/>
        </w:rPr>
        <w:t xml:space="preserve">more research is needed to shed light on the normative adaptations of this </w:t>
      </w:r>
      <w:r w:rsidR="00232B4D">
        <w:rPr>
          <w:color w:val="221E1F"/>
        </w:rPr>
        <w:t xml:space="preserve">growing group of young children </w:t>
      </w:r>
      <w:r w:rsidR="009A6864" w:rsidRPr="009A6864">
        <w:t>(Bustamante &amp; Hindman, 2018)</w:t>
      </w:r>
      <w:r>
        <w:rPr>
          <w:color w:val="221E1F"/>
        </w:rPr>
        <w:t xml:space="preserve">. </w:t>
      </w:r>
    </w:p>
    <w:p w14:paraId="10EF4074" w14:textId="3358987C" w:rsidR="003C4D2C" w:rsidRDefault="003C4D2C" w:rsidP="003C4D2C">
      <w:pPr>
        <w:rPr>
          <w:color w:val="221E1F"/>
        </w:rPr>
      </w:pPr>
      <w:r>
        <w:rPr>
          <w:color w:val="221E1F"/>
        </w:rPr>
        <w:tab/>
        <w:t>There are several directions for future research based on this study. One of the most pressing needs is to examine the relationship between high, low, and negative AtL. For example, in what ways are negative AtL distinct from externalizing behaviors and low AtL distinct from internalizing behaviors? While classroom observations are an essential pat</w:t>
      </w:r>
      <w:r w:rsidR="00232B4D">
        <w:rPr>
          <w:color w:val="221E1F"/>
        </w:rPr>
        <w:t>h</w:t>
      </w:r>
      <w:r>
        <w:rPr>
          <w:color w:val="221E1F"/>
        </w:rPr>
        <w:t xml:space="preserve"> </w:t>
      </w:r>
      <w:r w:rsidR="00232B4D">
        <w:rPr>
          <w:color w:val="221E1F"/>
        </w:rPr>
        <w:t xml:space="preserve">to answer </w:t>
      </w:r>
      <w:r>
        <w:rPr>
          <w:color w:val="221E1F"/>
        </w:rPr>
        <w:t xml:space="preserve">this question, more research may be needed that explores young children’s AtL at home. How do children go about positively or negatively seeking out opportunities for informal learning? This may provide an additional contextual layer to examine the development of AtL. </w:t>
      </w:r>
    </w:p>
    <w:p w14:paraId="45885697" w14:textId="46C0BF41" w:rsidR="003C4D2C" w:rsidRPr="004E7139" w:rsidRDefault="003C4D2C" w:rsidP="003C4D2C">
      <w:pPr>
        <w:rPr>
          <w:color w:val="221E1F"/>
        </w:rPr>
      </w:pPr>
      <w:r>
        <w:rPr>
          <w:color w:val="221E1F"/>
        </w:rPr>
        <w:tab/>
        <w:t>Additionally, more research is needed to explore contextual variables related to AtL. For example, this study demonstrated gender differences in the profiles of AtL. Are boys less eager to seek out opportunities to learn? Are girls rated more compliant and so see</w:t>
      </w:r>
      <w:r w:rsidR="00232B4D">
        <w:rPr>
          <w:color w:val="221E1F"/>
        </w:rPr>
        <w:t xml:space="preserve">m </w:t>
      </w:r>
      <w:r>
        <w:rPr>
          <w:color w:val="221E1F"/>
        </w:rPr>
        <w:t xml:space="preserve">to have better AtL? It will be vital to examine the environmental influences that shape children’s expression of </w:t>
      </w:r>
      <w:r>
        <w:rPr>
          <w:color w:val="221E1F"/>
        </w:rPr>
        <w:lastRenderedPageBreak/>
        <w:t>AtL</w:t>
      </w:r>
      <w:r w:rsidR="007023D4">
        <w:rPr>
          <w:color w:val="221E1F"/>
        </w:rPr>
        <w:t xml:space="preserve">, which </w:t>
      </w:r>
      <w:r>
        <w:rPr>
          <w:color w:val="221E1F"/>
        </w:rPr>
        <w:t xml:space="preserve">could include exploring how teacher-directed or child-directed curricula are associated with children’s expression of AtL. As classrooms </w:t>
      </w:r>
      <w:r w:rsidR="00232B4D">
        <w:rPr>
          <w:color w:val="221E1F"/>
        </w:rPr>
        <w:t xml:space="preserve">have </w:t>
      </w:r>
      <w:r>
        <w:rPr>
          <w:color w:val="221E1F"/>
        </w:rPr>
        <w:t xml:space="preserve">become more academically focused, it will become </w:t>
      </w:r>
      <w:r w:rsidR="007023D4">
        <w:rPr>
          <w:color w:val="221E1F"/>
        </w:rPr>
        <w:t>essential</w:t>
      </w:r>
      <w:r>
        <w:rPr>
          <w:color w:val="221E1F"/>
        </w:rPr>
        <w:t xml:space="preserve"> to understand how children will continue to demonstrate curiosity, flexibility</w:t>
      </w:r>
      <w:r w:rsidR="007023D4">
        <w:rPr>
          <w:color w:val="221E1F"/>
        </w:rPr>
        <w:t>,</w:t>
      </w:r>
      <w:r>
        <w:rPr>
          <w:color w:val="221E1F"/>
        </w:rPr>
        <w:t xml:space="preserve"> and problem</w:t>
      </w:r>
      <w:r w:rsidR="007023D4">
        <w:rPr>
          <w:color w:val="221E1F"/>
        </w:rPr>
        <w:t>-</w:t>
      </w:r>
      <w:r>
        <w:rPr>
          <w:color w:val="221E1F"/>
        </w:rPr>
        <w:t>solving</w:t>
      </w:r>
      <w:r w:rsidR="00232B4D">
        <w:rPr>
          <w:color w:val="221E1F"/>
        </w:rPr>
        <w:t xml:space="preserve"> </w:t>
      </w:r>
      <w:r w:rsidR="009A6864" w:rsidRPr="009A6864">
        <w:t>(</w:t>
      </w:r>
      <w:proofErr w:type="spellStart"/>
      <w:r w:rsidR="009A6864" w:rsidRPr="009A6864">
        <w:t>Graue</w:t>
      </w:r>
      <w:proofErr w:type="spellEnd"/>
      <w:r w:rsidR="009A6864" w:rsidRPr="009A6864">
        <w:t xml:space="preserve">, Ryan, Nocera, Northey, &amp; </w:t>
      </w:r>
      <w:proofErr w:type="spellStart"/>
      <w:r w:rsidR="009A6864" w:rsidRPr="009A6864">
        <w:t>Wilinski</w:t>
      </w:r>
      <w:proofErr w:type="spellEnd"/>
      <w:r w:rsidR="009A6864" w:rsidRPr="009A6864">
        <w:t>, 2017)</w:t>
      </w:r>
      <w:r>
        <w:rPr>
          <w:color w:val="221E1F"/>
        </w:rPr>
        <w:t xml:space="preserve">. </w:t>
      </w:r>
    </w:p>
    <w:p w14:paraId="1A6EBE64" w14:textId="517C6B57" w:rsidR="003C4D2C" w:rsidRDefault="003C4D2C" w:rsidP="003C4D2C">
      <w:pPr>
        <w:contextualSpacing/>
        <w:rPr>
          <w:color w:val="221E1F"/>
        </w:rPr>
      </w:pPr>
      <w:r>
        <w:rPr>
          <w:color w:val="221E1F"/>
        </w:rPr>
        <w:tab/>
        <w:t xml:space="preserve">Finally, AtL is a broad, umbrella construct that overlaps with similar constructs in different disciplines. AtL represents a more </w:t>
      </w:r>
      <w:r w:rsidR="004A125A">
        <w:rPr>
          <w:color w:val="221E1F"/>
        </w:rPr>
        <w:t>educationally focused</w:t>
      </w:r>
      <w:r>
        <w:rPr>
          <w:color w:val="221E1F"/>
        </w:rPr>
        <w:t xml:space="preserve"> description of children’s adaptions to the classroom environment. However, social work </w:t>
      </w:r>
      <w:r w:rsidR="004A125A">
        <w:rPr>
          <w:color w:val="221E1F"/>
        </w:rPr>
        <w:t xml:space="preserve">focuses more holistically on positive mental health, a term which shares overlap with AtL, but which also includes more positive adaptions to the environment outside education. One possible direction is looking at </w:t>
      </w:r>
      <w:r w:rsidR="007023D4">
        <w:rPr>
          <w:color w:val="221E1F"/>
        </w:rPr>
        <w:t>how</w:t>
      </w:r>
      <w:r w:rsidR="004A125A">
        <w:rPr>
          <w:color w:val="221E1F"/>
        </w:rPr>
        <w:t xml:space="preserve"> attachment </w:t>
      </w:r>
      <w:r w:rsidR="007023D4">
        <w:rPr>
          <w:color w:val="221E1F"/>
        </w:rPr>
        <w:t>is</w:t>
      </w:r>
      <w:r w:rsidR="004A125A">
        <w:rPr>
          <w:color w:val="221E1F"/>
        </w:rPr>
        <w:t xml:space="preserve"> related to children’s AtL, based on the notion that children need a positive, secure attachment before feeling confident enough to seek out opportunities to learn. Interdisciplinary research can bring to light the ways in which AtL operates in the classroom and the home environment, and </w:t>
      </w:r>
      <w:r w:rsidR="007023D4">
        <w:rPr>
          <w:color w:val="221E1F"/>
        </w:rPr>
        <w:t>how</w:t>
      </w:r>
      <w:r w:rsidR="004A125A">
        <w:rPr>
          <w:color w:val="221E1F"/>
        </w:rPr>
        <w:t xml:space="preserve"> parents and teachers can help develop children’s AtL. </w:t>
      </w:r>
    </w:p>
    <w:p w14:paraId="258ACC82" w14:textId="60837113" w:rsidR="003C4D2C" w:rsidRDefault="003C4D2C" w:rsidP="00814C51">
      <w:pPr>
        <w:pStyle w:val="Heading1"/>
      </w:pPr>
      <w:bookmarkStart w:id="120" w:name="_Toc46265526"/>
      <w:r>
        <w:t>Conclusion</w:t>
      </w:r>
      <w:bookmarkEnd w:id="120"/>
      <w:r>
        <w:t xml:space="preserve"> </w:t>
      </w:r>
    </w:p>
    <w:p w14:paraId="4E009ADA" w14:textId="2D2EB9AE" w:rsidR="00232B4D" w:rsidRDefault="003C4D2C" w:rsidP="00232B4D">
      <w:pPr>
        <w:contextualSpacing/>
        <w:rPr>
          <w:color w:val="221E1F"/>
        </w:rPr>
      </w:pPr>
      <w:r>
        <w:rPr>
          <w:color w:val="221E1F"/>
        </w:rPr>
        <w:tab/>
      </w:r>
      <w:proofErr w:type="spellStart"/>
      <w:r>
        <w:rPr>
          <w:color w:val="221E1F"/>
        </w:rPr>
        <w:t>Masten</w:t>
      </w:r>
      <w:proofErr w:type="spellEnd"/>
      <w:r>
        <w:rPr>
          <w:color w:val="221E1F"/>
        </w:rPr>
        <w:t xml:space="preserve"> </w:t>
      </w:r>
      <w:r w:rsidR="009A6864" w:rsidRPr="009A6864">
        <w:t>(2001)</w:t>
      </w:r>
      <w:r>
        <w:rPr>
          <w:color w:val="221E1F"/>
        </w:rPr>
        <w:t xml:space="preserve"> used the term </w:t>
      </w:r>
      <w:r w:rsidRPr="00DC5F1E">
        <w:rPr>
          <w:i/>
          <w:iCs/>
          <w:color w:val="221E1F"/>
        </w:rPr>
        <w:t>ordinary magic</w:t>
      </w:r>
      <w:r>
        <w:rPr>
          <w:color w:val="221E1F"/>
        </w:rPr>
        <w:t xml:space="preserve"> to describe children’s adaptions to the world around them. These adaptations were ordinary because they were a normative response to the environment, yet magical perhaps because not all children respond the same way to adversity. As children enter school settings, they interact with unfamiliar adults and peers, and many children learn to follow the rules, share toys, and manage the frustration of puzzle pieces that may not fit </w:t>
      </w:r>
      <w:r w:rsidR="009A6864" w:rsidRPr="009A6864">
        <w:t>(McDermott et al., 2014)</w:t>
      </w:r>
      <w:r>
        <w:rPr>
          <w:color w:val="221E1F"/>
        </w:rPr>
        <w:t xml:space="preserve">. </w:t>
      </w:r>
      <w:r w:rsidR="00232B4D">
        <w:rPr>
          <w:color w:val="221E1F"/>
        </w:rPr>
        <w:t>They</w:t>
      </w:r>
      <w:r>
        <w:rPr>
          <w:color w:val="221E1F"/>
        </w:rPr>
        <w:t xml:space="preserve"> go from center to center, exploring materials, building towers with their friends, and having conversation</w:t>
      </w:r>
      <w:r w:rsidR="00232B4D">
        <w:rPr>
          <w:color w:val="221E1F"/>
        </w:rPr>
        <w:t>s</w:t>
      </w:r>
      <w:r>
        <w:rPr>
          <w:color w:val="221E1F"/>
        </w:rPr>
        <w:t xml:space="preserve"> with their teacher</w:t>
      </w:r>
      <w:r w:rsidR="00232B4D">
        <w:rPr>
          <w:color w:val="221E1F"/>
        </w:rPr>
        <w:t>, each time increasing their opportunities to learn</w:t>
      </w:r>
      <w:r>
        <w:rPr>
          <w:color w:val="221E1F"/>
        </w:rPr>
        <w:t xml:space="preserve"> </w:t>
      </w:r>
      <w:r w:rsidR="009A6864" w:rsidRPr="009A6864">
        <w:t>(Chen &amp; McNamee, 2011)</w:t>
      </w:r>
      <w:r>
        <w:rPr>
          <w:color w:val="221E1F"/>
        </w:rPr>
        <w:t xml:space="preserve">. </w:t>
      </w:r>
      <w:r w:rsidR="00232B4D">
        <w:rPr>
          <w:color w:val="221E1F"/>
        </w:rPr>
        <w:t xml:space="preserve">Children who can successfully navigate across </w:t>
      </w:r>
      <w:r w:rsidR="00232B4D">
        <w:rPr>
          <w:color w:val="221E1F"/>
        </w:rPr>
        <w:lastRenderedPageBreak/>
        <w:t>multiple contexts are demonstrating adaptive magic. In this study, a large portion of children, i.e.</w:t>
      </w:r>
      <w:r w:rsidR="007023D4">
        <w:rPr>
          <w:color w:val="221E1F"/>
        </w:rPr>
        <w:t>,</w:t>
      </w:r>
      <w:r w:rsidR="00232B4D">
        <w:rPr>
          <w:color w:val="221E1F"/>
        </w:rPr>
        <w:t xml:space="preserve"> those in Profile 5, </w:t>
      </w:r>
      <w:r w:rsidR="00232B4D">
        <w:rPr>
          <w:i/>
          <w:iCs/>
          <w:color w:val="221E1F"/>
        </w:rPr>
        <w:t xml:space="preserve">high AtL, </w:t>
      </w:r>
      <w:r w:rsidR="00232B4D">
        <w:rPr>
          <w:color w:val="221E1F"/>
        </w:rPr>
        <w:t xml:space="preserve">had this adaptive magic </w:t>
      </w:r>
      <w:r w:rsidR="007A1107">
        <w:rPr>
          <w:color w:val="221E1F"/>
        </w:rPr>
        <w:t>and</w:t>
      </w:r>
      <w:r w:rsidR="00232B4D">
        <w:rPr>
          <w:color w:val="221E1F"/>
        </w:rPr>
        <w:t xml:space="preserve"> had high academic achievement. </w:t>
      </w:r>
    </w:p>
    <w:p w14:paraId="0560ED74" w14:textId="3BF8FD2D" w:rsidR="00232B4D" w:rsidRDefault="00232B4D" w:rsidP="00232B4D">
      <w:pPr>
        <w:ind w:firstLine="720"/>
        <w:contextualSpacing/>
        <w:rPr>
          <w:color w:val="221E1F"/>
        </w:rPr>
      </w:pPr>
      <w:r>
        <w:rPr>
          <w:color w:val="221E1F"/>
        </w:rPr>
        <w:t xml:space="preserve">Person-centered approaches </w:t>
      </w:r>
      <w:r w:rsidR="007A1107">
        <w:rPr>
          <w:color w:val="221E1F"/>
        </w:rPr>
        <w:t>can</w:t>
      </w:r>
      <w:r>
        <w:rPr>
          <w:color w:val="221E1F"/>
        </w:rPr>
        <w:t xml:space="preserve"> bring out different patterns of adjustment. One pattern includes children who have difficulty interacting with their teachers or peers, which</w:t>
      </w:r>
      <w:r w:rsidR="007023D4">
        <w:rPr>
          <w:color w:val="221E1F"/>
        </w:rPr>
        <w:t>,</w:t>
      </w:r>
      <w:r>
        <w:rPr>
          <w:color w:val="221E1F"/>
        </w:rPr>
        <w:t xml:space="preserve"> in turn, limits their opportunities to engage in learning </w:t>
      </w:r>
      <w:r w:rsidR="009A6864" w:rsidRPr="009A6864">
        <w:t>(</w:t>
      </w:r>
      <w:proofErr w:type="spellStart"/>
      <w:r w:rsidR="009A6864" w:rsidRPr="009A6864">
        <w:t>Bulotsky</w:t>
      </w:r>
      <w:proofErr w:type="spellEnd"/>
      <w:r w:rsidR="009A6864" w:rsidRPr="009A6864">
        <w:t>-Shearer, Bell, et al., 2012)</w:t>
      </w:r>
      <w:r>
        <w:rPr>
          <w:color w:val="221E1F"/>
        </w:rPr>
        <w:t xml:space="preserve">. However, in this study, LPA identified a small group of children, </w:t>
      </w:r>
      <w:r w:rsidR="007A1107" w:rsidRPr="007A1107">
        <w:rPr>
          <w:i/>
          <w:iCs/>
          <w:color w:val="221E1F"/>
        </w:rPr>
        <w:t>low teacher ratings</w:t>
      </w:r>
      <w:r>
        <w:rPr>
          <w:i/>
          <w:iCs/>
          <w:color w:val="221E1F"/>
        </w:rPr>
        <w:t xml:space="preserve">, </w:t>
      </w:r>
      <w:r w:rsidR="008707B4">
        <w:rPr>
          <w:color w:val="221E1F"/>
        </w:rPr>
        <w:t xml:space="preserve">who were </w:t>
      </w:r>
      <w:r>
        <w:rPr>
          <w:color w:val="221E1F"/>
        </w:rPr>
        <w:t xml:space="preserve">able to learn </w:t>
      </w:r>
      <w:r w:rsidR="007A1107">
        <w:rPr>
          <w:color w:val="221E1F"/>
        </w:rPr>
        <w:t>despite</w:t>
      </w:r>
      <w:r>
        <w:rPr>
          <w:color w:val="221E1F"/>
        </w:rPr>
        <w:t xml:space="preserve"> their social struggles. Another pattern was seen in </w:t>
      </w:r>
      <w:r w:rsidR="007023D4">
        <w:rPr>
          <w:color w:val="221E1F"/>
        </w:rPr>
        <w:t xml:space="preserve">a </w:t>
      </w:r>
      <w:r>
        <w:rPr>
          <w:color w:val="221E1F"/>
        </w:rPr>
        <w:t xml:space="preserve">group of children, </w:t>
      </w:r>
      <w:r>
        <w:rPr>
          <w:i/>
          <w:iCs/>
          <w:color w:val="221E1F"/>
        </w:rPr>
        <w:t>social/dependent</w:t>
      </w:r>
      <w:r w:rsidR="008707B4">
        <w:rPr>
          <w:color w:val="221E1F"/>
        </w:rPr>
        <w:t xml:space="preserve">, who were </w:t>
      </w:r>
      <w:r>
        <w:rPr>
          <w:color w:val="221E1F"/>
        </w:rPr>
        <w:t>able to interact well with others but struggle to maintain their attention</w:t>
      </w:r>
      <w:r w:rsidR="002B341F">
        <w:rPr>
          <w:color w:val="221E1F"/>
        </w:rPr>
        <w:t xml:space="preserve"> (Hair et al., 2006). </w:t>
      </w:r>
      <w:r>
        <w:rPr>
          <w:color w:val="221E1F"/>
        </w:rPr>
        <w:t xml:space="preserve">Both groups were able to make gains in their academic achievement, as both relied on distinctive ways of adjusting to the classroom. </w:t>
      </w:r>
    </w:p>
    <w:p w14:paraId="06715E84" w14:textId="5A15701A" w:rsidR="00232B4D" w:rsidRDefault="00232B4D" w:rsidP="00232B4D">
      <w:pPr>
        <w:ind w:firstLine="720"/>
        <w:contextualSpacing/>
        <w:rPr>
          <w:color w:val="221E1F"/>
        </w:rPr>
      </w:pPr>
      <w:r>
        <w:rPr>
          <w:color w:val="221E1F"/>
        </w:rPr>
        <w:t xml:space="preserve">Whatever the patterns of adjustment, teachers can help all children develop adaptive learning behaviors by providing them with strategies to manage frustration, </w:t>
      </w:r>
      <w:r w:rsidR="000F2876">
        <w:rPr>
          <w:color w:val="221E1F"/>
        </w:rPr>
        <w:t xml:space="preserve">modeling </w:t>
      </w:r>
      <w:r>
        <w:rPr>
          <w:color w:val="221E1F"/>
        </w:rPr>
        <w:t xml:space="preserve">language about how to share and get along with peers, or steps for active listening </w:t>
      </w:r>
      <w:r w:rsidR="009A6864" w:rsidRPr="009A6864">
        <w:t>(Ansari &amp; Gershoff, 2015)</w:t>
      </w:r>
      <w:r>
        <w:rPr>
          <w:color w:val="221E1F"/>
        </w:rPr>
        <w:t>. These strategies help develop foundational learning skills that will support children’s successful adaption to the classroom and academic achievement. Teachers can nurture these patterns of ordinary magic by supporting the wide diversity of children’s strategies in the classroom</w:t>
      </w:r>
      <w:r w:rsidR="007023D4">
        <w:rPr>
          <w:color w:val="221E1F"/>
        </w:rPr>
        <w:t>,</w:t>
      </w:r>
      <w:r>
        <w:rPr>
          <w:color w:val="221E1F"/>
        </w:rPr>
        <w:t xml:space="preserve"> coupled with teaching new ones. </w:t>
      </w:r>
    </w:p>
    <w:p w14:paraId="5808A610" w14:textId="77777777" w:rsidR="003C4D2C" w:rsidRPr="00B2208C" w:rsidRDefault="003C4D2C" w:rsidP="003C4D2C">
      <w:pPr>
        <w:contextualSpacing/>
        <w:jc w:val="center"/>
        <w:rPr>
          <w:b/>
          <w:bCs/>
          <w:color w:val="221E1F"/>
        </w:rPr>
      </w:pPr>
    </w:p>
    <w:p w14:paraId="5ED786AE" w14:textId="77777777" w:rsidR="003C4D2C" w:rsidRDefault="003C4D2C" w:rsidP="003C4D2C">
      <w:pPr>
        <w:contextualSpacing/>
        <w:rPr>
          <w:color w:val="221E1F"/>
        </w:rPr>
      </w:pPr>
    </w:p>
    <w:bookmarkEnd w:id="56"/>
    <w:bookmarkEnd w:id="57"/>
    <w:p w14:paraId="0D56BD5F" w14:textId="77777777" w:rsidR="003C4D2C" w:rsidRDefault="003C4D2C" w:rsidP="003C4D2C">
      <w:pPr>
        <w:contextualSpacing/>
        <w:rPr>
          <w:color w:val="221E1F"/>
        </w:rPr>
      </w:pPr>
    </w:p>
    <w:p w14:paraId="53AB982A" w14:textId="57BDAE91" w:rsidR="003C4D2C" w:rsidRDefault="003C4D2C" w:rsidP="003C4D2C">
      <w:pPr>
        <w:contextualSpacing/>
        <w:rPr>
          <w:color w:val="221E1F"/>
        </w:rPr>
      </w:pPr>
    </w:p>
    <w:p w14:paraId="22DEDDEC" w14:textId="5AF47A21" w:rsidR="00380EA4" w:rsidRDefault="00380EA4" w:rsidP="003C4D2C">
      <w:pPr>
        <w:contextualSpacing/>
        <w:rPr>
          <w:color w:val="221E1F"/>
        </w:rPr>
      </w:pPr>
    </w:p>
    <w:p w14:paraId="17B143B5" w14:textId="77777777" w:rsidR="00DD2E33" w:rsidRDefault="00DD2E33" w:rsidP="00E57231">
      <w:pPr>
        <w:pStyle w:val="Heading1"/>
        <w:rPr>
          <w:b w:val="0"/>
          <w:bCs/>
        </w:rPr>
      </w:pPr>
      <w:bookmarkStart w:id="121" w:name="_Toc46265527"/>
    </w:p>
    <w:p w14:paraId="50B05709" w14:textId="28CE9184" w:rsidR="003C4D2C" w:rsidRPr="00E57231" w:rsidRDefault="003C4D2C" w:rsidP="00E57231">
      <w:pPr>
        <w:pStyle w:val="Heading1"/>
        <w:rPr>
          <w:b w:val="0"/>
          <w:bCs/>
        </w:rPr>
      </w:pPr>
      <w:r w:rsidRPr="00E57231">
        <w:rPr>
          <w:b w:val="0"/>
          <w:bCs/>
        </w:rPr>
        <w:lastRenderedPageBreak/>
        <w:t>References</w:t>
      </w:r>
      <w:bookmarkEnd w:id="121"/>
      <w:r w:rsidRPr="00E57231">
        <w:rPr>
          <w:b w:val="0"/>
          <w:bCs/>
        </w:rPr>
        <w:t xml:space="preserve"> </w:t>
      </w:r>
    </w:p>
    <w:p w14:paraId="7FC1E744" w14:textId="77777777" w:rsidR="00275487" w:rsidRDefault="00275487" w:rsidP="00275487">
      <w:pPr>
        <w:pStyle w:val="Bibliography"/>
      </w:pPr>
      <w:proofErr w:type="spellStart"/>
      <w:r>
        <w:t>Abenavoli</w:t>
      </w:r>
      <w:proofErr w:type="spellEnd"/>
      <w:r>
        <w:t xml:space="preserve">, R. M., Greenberg, M. T., &amp; Bierman, K. L. (2017). Identification and validation of school readiness profiles among high-risk kindergartners. </w:t>
      </w:r>
      <w:r>
        <w:rPr>
          <w:i/>
          <w:iCs/>
        </w:rPr>
        <w:t>Early Childhood Research Quarterly</w:t>
      </w:r>
      <w:r>
        <w:t xml:space="preserve">, </w:t>
      </w:r>
      <w:r>
        <w:rPr>
          <w:i/>
          <w:iCs/>
        </w:rPr>
        <w:t>38</w:t>
      </w:r>
      <w:r>
        <w:t xml:space="preserve">, 33–43. </w:t>
      </w:r>
      <w:proofErr w:type="spellStart"/>
      <w:r>
        <w:t>doi</w:t>
      </w:r>
      <w:proofErr w:type="spellEnd"/>
      <w:r>
        <w:t>: 10.1016/j.ecresq.2016.09.001</w:t>
      </w:r>
    </w:p>
    <w:p w14:paraId="4CD2111E" w14:textId="77777777" w:rsidR="00275487" w:rsidRDefault="00275487" w:rsidP="00275487">
      <w:pPr>
        <w:pStyle w:val="Bibliography"/>
      </w:pPr>
      <w:r>
        <w:t xml:space="preserve">Ansari, A., &amp; Gershoff, E. (2015). Learning-related social skills as a mediator between teacher instruction and child achievement in Head Start: Learning-related social skills and teacher instruction. </w:t>
      </w:r>
      <w:r>
        <w:rPr>
          <w:i/>
          <w:iCs/>
        </w:rPr>
        <w:t>Social Development</w:t>
      </w:r>
      <w:r>
        <w:t xml:space="preserve">, </w:t>
      </w:r>
      <w:r>
        <w:rPr>
          <w:i/>
          <w:iCs/>
        </w:rPr>
        <w:t>24</w:t>
      </w:r>
      <w:r>
        <w:t xml:space="preserve">(4), 699–715. </w:t>
      </w:r>
      <w:proofErr w:type="spellStart"/>
      <w:r>
        <w:t>doi</w:t>
      </w:r>
      <w:proofErr w:type="spellEnd"/>
      <w:r>
        <w:t>: 10.1111/sode.12124</w:t>
      </w:r>
    </w:p>
    <w:p w14:paraId="31E777A7" w14:textId="77777777" w:rsidR="00275487" w:rsidRDefault="00275487" w:rsidP="00275487">
      <w:pPr>
        <w:pStyle w:val="Bibliography"/>
      </w:pPr>
      <w:r>
        <w:t xml:space="preserve">Arnold, D. H., </w:t>
      </w:r>
      <w:proofErr w:type="spellStart"/>
      <w:r>
        <w:t>Kupersmidt</w:t>
      </w:r>
      <w:proofErr w:type="spellEnd"/>
      <w:r>
        <w:t xml:space="preserve">, J. B., </w:t>
      </w:r>
      <w:proofErr w:type="spellStart"/>
      <w:r>
        <w:t>Voegler</w:t>
      </w:r>
      <w:proofErr w:type="spellEnd"/>
      <w:r>
        <w:t xml:space="preserve">-Lee, M. E., &amp; Marshall, N. A. (2012). The association between preschool children’s social functioning and their emergent academic skills. </w:t>
      </w:r>
      <w:r>
        <w:rPr>
          <w:i/>
          <w:iCs/>
        </w:rPr>
        <w:t>Early Childhood Research Quarterly</w:t>
      </w:r>
      <w:r>
        <w:t xml:space="preserve">, </w:t>
      </w:r>
      <w:r>
        <w:rPr>
          <w:i/>
          <w:iCs/>
        </w:rPr>
        <w:t>27</w:t>
      </w:r>
      <w:r>
        <w:t xml:space="preserve">(3), 376–386. </w:t>
      </w:r>
      <w:proofErr w:type="spellStart"/>
      <w:r>
        <w:t>doi</w:t>
      </w:r>
      <w:proofErr w:type="spellEnd"/>
      <w:r>
        <w:t>: 10.1016/j.ecresq.2011.12.009</w:t>
      </w:r>
    </w:p>
    <w:p w14:paraId="17E60DA6" w14:textId="47CDDC93" w:rsidR="00275487" w:rsidRDefault="00275487" w:rsidP="00275487">
      <w:pPr>
        <w:pStyle w:val="Bibliography"/>
      </w:pPr>
      <w:proofErr w:type="spellStart"/>
      <w:r>
        <w:t>Asparouhov</w:t>
      </w:r>
      <w:proofErr w:type="spellEnd"/>
      <w:r>
        <w:t xml:space="preserve">, T., &amp; </w:t>
      </w:r>
      <w:proofErr w:type="spellStart"/>
      <w:r>
        <w:t>Muthén</w:t>
      </w:r>
      <w:proofErr w:type="spellEnd"/>
      <w:r>
        <w:t xml:space="preserve">, B. (2014). Auxiliary variables in mixture modeling: Three-step approaches using M plus. </w:t>
      </w:r>
      <w:r>
        <w:rPr>
          <w:i/>
          <w:iCs/>
        </w:rPr>
        <w:t>Structural Equation Modeling: A Multidisciplinary Journal</w:t>
      </w:r>
      <w:r>
        <w:t xml:space="preserve">, </w:t>
      </w:r>
      <w:r>
        <w:rPr>
          <w:i/>
          <w:iCs/>
        </w:rPr>
        <w:t>21</w:t>
      </w:r>
      <w:r>
        <w:t>(3), 329–341.</w:t>
      </w:r>
      <w:r w:rsidR="00F30083">
        <w:t xml:space="preserve"> </w:t>
      </w:r>
      <w:proofErr w:type="spellStart"/>
      <w:r w:rsidR="00F30083">
        <w:t>doi</w:t>
      </w:r>
      <w:proofErr w:type="spellEnd"/>
      <w:r w:rsidR="00F30083">
        <w:t>:</w:t>
      </w:r>
      <w:r w:rsidR="00F30083" w:rsidRPr="00F30083">
        <w:t xml:space="preserve"> 10.1080/10705511.2014.915181</w:t>
      </w:r>
    </w:p>
    <w:p w14:paraId="6FA653D2" w14:textId="4291335F" w:rsidR="00275487" w:rsidRDefault="00275487" w:rsidP="00275487">
      <w:pPr>
        <w:pStyle w:val="Bibliography"/>
      </w:pPr>
      <w:proofErr w:type="spellStart"/>
      <w:r>
        <w:t>Barbu</w:t>
      </w:r>
      <w:proofErr w:type="spellEnd"/>
      <w:r>
        <w:t>, O. C., Levine-</w:t>
      </w:r>
      <w:proofErr w:type="spellStart"/>
      <w:r>
        <w:t>Donnerstein</w:t>
      </w:r>
      <w:proofErr w:type="spellEnd"/>
      <w:r>
        <w:t xml:space="preserve">, D., Marx, R. W., &amp; </w:t>
      </w:r>
      <w:proofErr w:type="spellStart"/>
      <w:r>
        <w:t>Yaden</w:t>
      </w:r>
      <w:proofErr w:type="spellEnd"/>
      <w:r>
        <w:t xml:space="preserve"> Jr, D. B. (2013). Reliability and validity of the Devereux Early Childhood Assessment (DECA) as a function of parent and teacher ratings. </w:t>
      </w:r>
      <w:r>
        <w:rPr>
          <w:i/>
          <w:iCs/>
        </w:rPr>
        <w:t>Journal of Psychoeducational Assessment</w:t>
      </w:r>
      <w:r>
        <w:t xml:space="preserve">, </w:t>
      </w:r>
      <w:r>
        <w:rPr>
          <w:i/>
          <w:iCs/>
        </w:rPr>
        <w:t>31</w:t>
      </w:r>
      <w:r>
        <w:t>(5), 469–481.</w:t>
      </w:r>
      <w:r w:rsidR="00F30083">
        <w:t xml:space="preserve"> doi:</w:t>
      </w:r>
      <w:r w:rsidR="00F30083" w:rsidRPr="00F30083">
        <w:t>10.1177/0734282912467758</w:t>
      </w:r>
      <w:r w:rsidR="00F30083">
        <w:t>:</w:t>
      </w:r>
    </w:p>
    <w:p w14:paraId="5AEA9A2C" w14:textId="77777777" w:rsidR="00275487" w:rsidRDefault="00275487" w:rsidP="00275487">
      <w:pPr>
        <w:pStyle w:val="Bibliography"/>
      </w:pPr>
      <w:proofErr w:type="spellStart"/>
      <w:r>
        <w:t>Barbu</w:t>
      </w:r>
      <w:proofErr w:type="spellEnd"/>
      <w:r>
        <w:t xml:space="preserve">, O. C., </w:t>
      </w:r>
      <w:proofErr w:type="spellStart"/>
      <w:r>
        <w:t>Yaden</w:t>
      </w:r>
      <w:proofErr w:type="spellEnd"/>
      <w:r>
        <w:t>, D. B., Levine-</w:t>
      </w:r>
      <w:proofErr w:type="spellStart"/>
      <w:r>
        <w:t>Donnerstein</w:t>
      </w:r>
      <w:proofErr w:type="spellEnd"/>
      <w:r>
        <w:t xml:space="preserve">, D., &amp; Marx, R. W. (2015). Assessing approaches to learning in school readiness: Comparing the Devereux Early Childhood Assessment to an early learning standards-based measure. </w:t>
      </w:r>
      <w:r>
        <w:rPr>
          <w:i/>
          <w:iCs/>
        </w:rPr>
        <w:t>AERA Open</w:t>
      </w:r>
      <w:r>
        <w:t xml:space="preserve">, </w:t>
      </w:r>
      <w:r>
        <w:rPr>
          <w:i/>
          <w:iCs/>
        </w:rPr>
        <w:t>1</w:t>
      </w:r>
      <w:r>
        <w:t xml:space="preserve">(3), 1–15. </w:t>
      </w:r>
      <w:proofErr w:type="spellStart"/>
      <w:r>
        <w:t>doi</w:t>
      </w:r>
      <w:proofErr w:type="spellEnd"/>
      <w:r>
        <w:t>: 10.1177/2332858415593923</w:t>
      </w:r>
    </w:p>
    <w:p w14:paraId="3DF48324" w14:textId="767B2803" w:rsidR="00BB7649" w:rsidRDefault="00BB7649" w:rsidP="00BB7649">
      <w:pPr>
        <w:pStyle w:val="Bibliography"/>
      </w:pPr>
      <w:r w:rsidRPr="004325CF">
        <w:t>Beaman,</w:t>
      </w:r>
      <w:r>
        <w:t xml:space="preserve"> R., </w:t>
      </w:r>
      <w:proofErr w:type="spellStart"/>
      <w:r w:rsidRPr="004325CF">
        <w:t>Wheldall</w:t>
      </w:r>
      <w:proofErr w:type="spellEnd"/>
      <w:r>
        <w:t xml:space="preserve"> K., </w:t>
      </w:r>
      <w:r w:rsidRPr="004325CF">
        <w:t>&amp; Kemp </w:t>
      </w:r>
      <w:r>
        <w:t xml:space="preserve">C. </w:t>
      </w:r>
      <w:r w:rsidRPr="004325CF">
        <w:t>(2006)</w:t>
      </w:r>
      <w:r>
        <w:t xml:space="preserve">. </w:t>
      </w:r>
      <w:r w:rsidRPr="004325CF">
        <w:t>Differential teacher attention to boys and girls in the classroom</w:t>
      </w:r>
      <w:proofErr w:type="gramStart"/>
      <w:r>
        <w:t xml:space="preserve">. </w:t>
      </w:r>
      <w:r w:rsidRPr="004325CF">
        <w:t> </w:t>
      </w:r>
      <w:proofErr w:type="gramEnd"/>
      <w:r w:rsidRPr="004325CF">
        <w:rPr>
          <w:i/>
          <w:iCs/>
        </w:rPr>
        <w:t>Educational Review</w:t>
      </w:r>
      <w:r>
        <w:t>,</w:t>
      </w:r>
      <w:r w:rsidRPr="004325CF">
        <w:rPr>
          <w:i/>
          <w:iCs/>
        </w:rPr>
        <w:t xml:space="preserve"> 53</w:t>
      </w:r>
      <w:r>
        <w:t>(</w:t>
      </w:r>
      <w:r w:rsidRPr="004325CF">
        <w:t>3</w:t>
      </w:r>
      <w:r>
        <w:t>)</w:t>
      </w:r>
      <w:r w:rsidRPr="004325CF">
        <w:t>, 339-366</w:t>
      </w:r>
      <w:r>
        <w:t xml:space="preserve">. </w:t>
      </w:r>
      <w:proofErr w:type="spellStart"/>
      <w:r>
        <w:t>doi</w:t>
      </w:r>
      <w:proofErr w:type="spellEnd"/>
      <w:r>
        <w:t>: 1</w:t>
      </w:r>
      <w:r w:rsidRPr="004325CF">
        <w:t>0.1080/00131910600748406</w:t>
      </w:r>
    </w:p>
    <w:p w14:paraId="600AD6C4" w14:textId="5BC32B1E" w:rsidR="00B7065A" w:rsidRDefault="00B7065A" w:rsidP="00B7065A">
      <w:pPr>
        <w:pStyle w:val="Bibliography"/>
        <w:ind w:right="90"/>
      </w:pPr>
      <w:r>
        <w:t>Beisly, A.H. (2020). Approaches to Learning: Conceptualization and measurement of a key school readiness indicator. (Unpublished doctoral dissertation). University of Oklahoma</w:t>
      </w:r>
    </w:p>
    <w:p w14:paraId="75295FA0" w14:textId="5012105E" w:rsidR="00275487" w:rsidRDefault="00275487" w:rsidP="00275487">
      <w:pPr>
        <w:pStyle w:val="Bibliography"/>
      </w:pPr>
      <w:r>
        <w:t xml:space="preserve">Bierman, K. L., Torres, M. M., </w:t>
      </w:r>
      <w:proofErr w:type="spellStart"/>
      <w:r>
        <w:t>Domitrovich</w:t>
      </w:r>
      <w:proofErr w:type="spellEnd"/>
      <w:r>
        <w:t xml:space="preserve">, C. E., Welsh, J. A., &amp; Gest, S. D. (2009). Behavioral and cognitive readiness for school: Cross-domain associations for children attending Head Start. </w:t>
      </w:r>
      <w:r>
        <w:rPr>
          <w:i/>
          <w:iCs/>
        </w:rPr>
        <w:t>Social Development</w:t>
      </w:r>
      <w:r>
        <w:t xml:space="preserve">, </w:t>
      </w:r>
      <w:r>
        <w:rPr>
          <w:i/>
          <w:iCs/>
        </w:rPr>
        <w:t>18</w:t>
      </w:r>
      <w:r>
        <w:t xml:space="preserve">(2), 305–323. </w:t>
      </w:r>
      <w:proofErr w:type="spellStart"/>
      <w:r>
        <w:t>doi</w:t>
      </w:r>
      <w:proofErr w:type="spellEnd"/>
      <w:r>
        <w:t>: 10.1111/j.1467-9507.2008.00490.x</w:t>
      </w:r>
    </w:p>
    <w:p w14:paraId="4F466E91" w14:textId="77777777" w:rsidR="00275487" w:rsidRDefault="00275487" w:rsidP="00275487">
      <w:pPr>
        <w:pStyle w:val="Bibliography"/>
      </w:pPr>
      <w:r>
        <w:t xml:space="preserve">Blair, C. (2002). School readiness: Integrating cognition and emotion in a neurobiological conceptualization of children’s functioning at school entry. </w:t>
      </w:r>
      <w:r>
        <w:rPr>
          <w:i/>
          <w:iCs/>
        </w:rPr>
        <w:t>American Psychologist</w:t>
      </w:r>
      <w:r>
        <w:t xml:space="preserve">, </w:t>
      </w:r>
      <w:r>
        <w:rPr>
          <w:i/>
          <w:iCs/>
        </w:rPr>
        <w:t>57</w:t>
      </w:r>
      <w:r>
        <w:t xml:space="preserve">(2), 111–127. </w:t>
      </w:r>
      <w:proofErr w:type="spellStart"/>
      <w:r>
        <w:t>doi</w:t>
      </w:r>
      <w:proofErr w:type="spellEnd"/>
      <w:r>
        <w:t>: 10.1037//0003-066X.57.2.111</w:t>
      </w:r>
    </w:p>
    <w:p w14:paraId="5C0C8AD0" w14:textId="77777777" w:rsidR="00275487" w:rsidRDefault="00275487" w:rsidP="00275487">
      <w:pPr>
        <w:pStyle w:val="Bibliography"/>
      </w:pPr>
      <w:r>
        <w:t xml:space="preserve">Blair, C., &amp; </w:t>
      </w:r>
      <w:proofErr w:type="spellStart"/>
      <w:r>
        <w:t>Razza</w:t>
      </w:r>
      <w:proofErr w:type="spellEnd"/>
      <w:r>
        <w:t xml:space="preserve">, R. P. (2007). Relating effortful control, executive function, and false belief understanding to emerging math and literacy ability in kindergarten. </w:t>
      </w:r>
      <w:r>
        <w:rPr>
          <w:i/>
          <w:iCs/>
        </w:rPr>
        <w:t>Child Development</w:t>
      </w:r>
      <w:r>
        <w:t xml:space="preserve">, </w:t>
      </w:r>
      <w:r>
        <w:rPr>
          <w:i/>
          <w:iCs/>
        </w:rPr>
        <w:t>78</w:t>
      </w:r>
      <w:r>
        <w:t xml:space="preserve">(2), 647–663. </w:t>
      </w:r>
      <w:proofErr w:type="spellStart"/>
      <w:r>
        <w:t>doi</w:t>
      </w:r>
      <w:proofErr w:type="spellEnd"/>
      <w:r>
        <w:t>: 10.1111/j.1467-8624.2007.01019.x</w:t>
      </w:r>
    </w:p>
    <w:p w14:paraId="04636B6C" w14:textId="77777777" w:rsidR="00A7166B" w:rsidRDefault="00A7166B" w:rsidP="00275487">
      <w:pPr>
        <w:pStyle w:val="Bibliography"/>
      </w:pPr>
    </w:p>
    <w:p w14:paraId="69014EA7" w14:textId="7DECCF15" w:rsidR="00A7166B" w:rsidRDefault="00A7166B" w:rsidP="00275487">
      <w:pPr>
        <w:pStyle w:val="Bibliography"/>
      </w:pPr>
      <w:proofErr w:type="spellStart"/>
      <w:r w:rsidRPr="00A7166B">
        <w:lastRenderedPageBreak/>
        <w:t>Bodovski</w:t>
      </w:r>
      <w:proofErr w:type="spellEnd"/>
      <w:r w:rsidRPr="00A7166B">
        <w:t xml:space="preserve">, K., &amp; </w:t>
      </w:r>
      <w:proofErr w:type="spellStart"/>
      <w:r w:rsidRPr="00A7166B">
        <w:t>Youn</w:t>
      </w:r>
      <w:proofErr w:type="spellEnd"/>
      <w:r w:rsidRPr="00A7166B">
        <w:t xml:space="preserve">, M. J. (2011). The </w:t>
      </w:r>
      <w:proofErr w:type="gramStart"/>
      <w:r w:rsidRPr="00A7166B">
        <w:t>long term</w:t>
      </w:r>
      <w:proofErr w:type="gramEnd"/>
      <w:r w:rsidRPr="00A7166B">
        <w:t xml:space="preserve"> effects of early acquired skills and behaviors on young children’s achievement in literacy and mathematics. </w:t>
      </w:r>
      <w:r w:rsidRPr="00A7166B">
        <w:rPr>
          <w:i/>
          <w:iCs/>
        </w:rPr>
        <w:t>Journal of Early Childhood Research</w:t>
      </w:r>
      <w:r w:rsidRPr="00A7166B">
        <w:t>, </w:t>
      </w:r>
      <w:r w:rsidRPr="00A7166B">
        <w:rPr>
          <w:i/>
          <w:iCs/>
        </w:rPr>
        <w:t>9</w:t>
      </w:r>
      <w:r w:rsidRPr="00A7166B">
        <w:t>(1), 4-19.</w:t>
      </w:r>
      <w:r>
        <w:t xml:space="preserve"> </w:t>
      </w:r>
      <w:proofErr w:type="spellStart"/>
      <w:r>
        <w:t>doi</w:t>
      </w:r>
      <w:proofErr w:type="spellEnd"/>
      <w:r>
        <w:t xml:space="preserve">: </w:t>
      </w:r>
      <w:r w:rsidRPr="00A7166B">
        <w:t>10.1177/1476718X10366727</w:t>
      </w:r>
    </w:p>
    <w:p w14:paraId="68363B1B" w14:textId="751CB2B9" w:rsidR="00275487" w:rsidRDefault="00275487" w:rsidP="00275487">
      <w:pPr>
        <w:pStyle w:val="Bibliography"/>
      </w:pPr>
      <w:proofErr w:type="spellStart"/>
      <w:r>
        <w:t>Bohlmann</w:t>
      </w:r>
      <w:proofErr w:type="spellEnd"/>
      <w:r>
        <w:t xml:space="preserve">, N. L., Downer, J. T., Williford, A. P., Maier, M. F., </w:t>
      </w:r>
      <w:proofErr w:type="spellStart"/>
      <w:r>
        <w:t>Booren</w:t>
      </w:r>
      <w:proofErr w:type="spellEnd"/>
      <w:r>
        <w:t xml:space="preserve">, L. M., &amp; Howes, C. (2019). Observing children’s engagement: Examining factorial validity of the inCLASS across demographic groups. </w:t>
      </w:r>
      <w:r>
        <w:rPr>
          <w:i/>
          <w:iCs/>
        </w:rPr>
        <w:t>Journal of Applied Developmental Psychology</w:t>
      </w:r>
      <w:r>
        <w:t xml:space="preserve">, </w:t>
      </w:r>
      <w:r>
        <w:rPr>
          <w:i/>
          <w:iCs/>
        </w:rPr>
        <w:t>60</w:t>
      </w:r>
      <w:r>
        <w:t xml:space="preserve">, 166–176. </w:t>
      </w:r>
      <w:proofErr w:type="spellStart"/>
      <w:r>
        <w:t>doi</w:t>
      </w:r>
      <w:proofErr w:type="spellEnd"/>
      <w:r>
        <w:t>: 10.1016/j.appdev.2018.08.007</w:t>
      </w:r>
    </w:p>
    <w:p w14:paraId="03866A15" w14:textId="77777777" w:rsidR="00275487" w:rsidRDefault="00275487" w:rsidP="00275487">
      <w:pPr>
        <w:pStyle w:val="Bibliography"/>
      </w:pPr>
      <w:proofErr w:type="spellStart"/>
      <w:r>
        <w:t>Booren</w:t>
      </w:r>
      <w:proofErr w:type="spellEnd"/>
      <w:r>
        <w:t xml:space="preserve">, L. M., Downer, J. T., &amp; </w:t>
      </w:r>
      <w:proofErr w:type="spellStart"/>
      <w:r>
        <w:t>Vitiello</w:t>
      </w:r>
      <w:proofErr w:type="spellEnd"/>
      <w:r>
        <w:t xml:space="preserve">, V. E. (2012). Observations of children’s interactions with teachers, peers, and tasks across preschool classroom activity settings. </w:t>
      </w:r>
      <w:r>
        <w:rPr>
          <w:i/>
          <w:iCs/>
        </w:rPr>
        <w:t>Early Education and Development</w:t>
      </w:r>
      <w:r>
        <w:t xml:space="preserve">, </w:t>
      </w:r>
      <w:r>
        <w:rPr>
          <w:i/>
          <w:iCs/>
        </w:rPr>
        <w:t>23</w:t>
      </w:r>
      <w:r>
        <w:t xml:space="preserve">(4), 517–538. </w:t>
      </w:r>
      <w:proofErr w:type="spellStart"/>
      <w:r>
        <w:t>doi</w:t>
      </w:r>
      <w:proofErr w:type="spellEnd"/>
      <w:r>
        <w:t>: 10.1080/10409289.2010.548767</w:t>
      </w:r>
    </w:p>
    <w:p w14:paraId="56A050FD" w14:textId="77777777" w:rsidR="00275487" w:rsidRDefault="00275487" w:rsidP="00275487">
      <w:pPr>
        <w:pStyle w:val="Bibliography"/>
      </w:pPr>
      <w:r>
        <w:t xml:space="preserve">Bracken, B. A. (2007). </w:t>
      </w:r>
      <w:r>
        <w:rPr>
          <w:i/>
          <w:iCs/>
        </w:rPr>
        <w:t xml:space="preserve">Bracken basic concept </w:t>
      </w:r>
      <w:proofErr w:type="gramStart"/>
      <w:r>
        <w:rPr>
          <w:i/>
          <w:iCs/>
        </w:rPr>
        <w:t>scale-revised</w:t>
      </w:r>
      <w:proofErr w:type="gramEnd"/>
      <w:r>
        <w:rPr>
          <w:i/>
          <w:iCs/>
        </w:rPr>
        <w:t>.</w:t>
      </w:r>
      <w:r>
        <w:t xml:space="preserve"> (3rd ed.). San Antonio, TX: Psychological Corporation.</w:t>
      </w:r>
    </w:p>
    <w:p w14:paraId="5F4FDDF0" w14:textId="77777777" w:rsidR="00275487" w:rsidRDefault="00275487" w:rsidP="00275487">
      <w:pPr>
        <w:pStyle w:val="Bibliography"/>
      </w:pPr>
      <w:r>
        <w:t xml:space="preserve">Brock, L. L., </w:t>
      </w:r>
      <w:proofErr w:type="spellStart"/>
      <w:r>
        <w:t>Rimm</w:t>
      </w:r>
      <w:proofErr w:type="spellEnd"/>
      <w:r>
        <w:t xml:space="preserve">-Kaufman, S. E., Nathanson, L., &amp; Grimm, K. J. (2009). The contributions of ‘hot’ and ‘cool’ executive function to children’s academic achievement, learning-related behaviors, and engagement in kindergarten. </w:t>
      </w:r>
      <w:r>
        <w:rPr>
          <w:i/>
          <w:iCs/>
        </w:rPr>
        <w:t>Early Childhood Research Quarterly</w:t>
      </w:r>
      <w:r>
        <w:t xml:space="preserve">, </w:t>
      </w:r>
      <w:r>
        <w:rPr>
          <w:i/>
          <w:iCs/>
        </w:rPr>
        <w:t>24</w:t>
      </w:r>
      <w:r>
        <w:t xml:space="preserve">(3), 337–349. </w:t>
      </w:r>
      <w:proofErr w:type="spellStart"/>
      <w:r>
        <w:t>doi</w:t>
      </w:r>
      <w:proofErr w:type="spellEnd"/>
      <w:r>
        <w:t>: 10.1016/j.ecresq.2009.06.001</w:t>
      </w:r>
    </w:p>
    <w:p w14:paraId="16022CD6" w14:textId="77777777" w:rsidR="00275487" w:rsidRDefault="00275487" w:rsidP="00275487">
      <w:pPr>
        <w:pStyle w:val="Bibliography"/>
      </w:pPr>
      <w:r>
        <w:t xml:space="preserve">Bull, R., Espy, K. A., &amp; </w:t>
      </w:r>
      <w:proofErr w:type="spellStart"/>
      <w:r>
        <w:t>Senn</w:t>
      </w:r>
      <w:proofErr w:type="spellEnd"/>
      <w:r>
        <w:t xml:space="preserve">, T. E. (2004). A comparison of performance on the Towers of London and Hanoi in young children. </w:t>
      </w:r>
      <w:r>
        <w:rPr>
          <w:i/>
          <w:iCs/>
        </w:rPr>
        <w:t>Journal of Child Psychology and Psychiatry</w:t>
      </w:r>
      <w:r>
        <w:t xml:space="preserve">, </w:t>
      </w:r>
      <w:r>
        <w:rPr>
          <w:i/>
          <w:iCs/>
        </w:rPr>
        <w:t>45</w:t>
      </w:r>
      <w:r>
        <w:t xml:space="preserve">(4), 743–754. </w:t>
      </w:r>
      <w:proofErr w:type="spellStart"/>
      <w:r>
        <w:t>doi</w:t>
      </w:r>
      <w:proofErr w:type="spellEnd"/>
      <w:r>
        <w:t>: 10.1111/j.1469-7610.2004.00268.x</w:t>
      </w:r>
    </w:p>
    <w:p w14:paraId="6C7ECFC0" w14:textId="77777777" w:rsidR="00275487" w:rsidRDefault="00275487" w:rsidP="00275487">
      <w:pPr>
        <w:pStyle w:val="Bibliography"/>
      </w:pPr>
      <w:proofErr w:type="spellStart"/>
      <w:r>
        <w:t>Bulotsky</w:t>
      </w:r>
      <w:proofErr w:type="spellEnd"/>
      <w:r>
        <w:t xml:space="preserve">-Shearer, R., Bell, E. R., &amp; Domínguez, X. (2012). Latent profiles of problem behavior within learning, peer, and teacher contexts: Identifying subgroups of children at academic risk across the preschool year. </w:t>
      </w:r>
      <w:r>
        <w:rPr>
          <w:i/>
          <w:iCs/>
        </w:rPr>
        <w:t>Journal of School Psychology</w:t>
      </w:r>
      <w:r>
        <w:t xml:space="preserve">, </w:t>
      </w:r>
      <w:r>
        <w:rPr>
          <w:i/>
          <w:iCs/>
        </w:rPr>
        <w:t>50</w:t>
      </w:r>
      <w:r>
        <w:t xml:space="preserve">(6), 775–798. </w:t>
      </w:r>
      <w:proofErr w:type="spellStart"/>
      <w:r>
        <w:t>doi</w:t>
      </w:r>
      <w:proofErr w:type="spellEnd"/>
      <w:r>
        <w:t>: 10.1016/j.jsp.2012.08.001</w:t>
      </w:r>
    </w:p>
    <w:p w14:paraId="57F4F9ED" w14:textId="77777777" w:rsidR="00275487" w:rsidRDefault="00275487" w:rsidP="00275487">
      <w:pPr>
        <w:pStyle w:val="Bibliography"/>
      </w:pPr>
      <w:proofErr w:type="spellStart"/>
      <w:r>
        <w:t>Bulotsky</w:t>
      </w:r>
      <w:proofErr w:type="spellEnd"/>
      <w:r>
        <w:t xml:space="preserve">-Shearer, R., Dominguez, X., &amp; Bell, E. R. (2012). Preschool classroom behavioral context and school readiness outcomes for low-income children: A multilevel examination of child- and classroom-level influences. </w:t>
      </w:r>
      <w:r>
        <w:rPr>
          <w:i/>
          <w:iCs/>
        </w:rPr>
        <w:t>Journal of Educational Psychology</w:t>
      </w:r>
      <w:r>
        <w:t xml:space="preserve">, </w:t>
      </w:r>
      <w:r>
        <w:rPr>
          <w:i/>
          <w:iCs/>
        </w:rPr>
        <w:t>104</w:t>
      </w:r>
      <w:r>
        <w:t xml:space="preserve">(2), 421–438. </w:t>
      </w:r>
      <w:proofErr w:type="spellStart"/>
      <w:r>
        <w:t>doi</w:t>
      </w:r>
      <w:proofErr w:type="spellEnd"/>
      <w:r>
        <w:t>: http://dx.doi.org.ezproxy.lib.ou.edu/10.1037/a0026301</w:t>
      </w:r>
    </w:p>
    <w:p w14:paraId="6C24D8A1" w14:textId="77777777" w:rsidR="00275487" w:rsidRDefault="00275487" w:rsidP="00275487">
      <w:pPr>
        <w:pStyle w:val="Bibliography"/>
      </w:pPr>
      <w:proofErr w:type="spellStart"/>
      <w:r>
        <w:t>Bulotsky</w:t>
      </w:r>
      <w:proofErr w:type="spellEnd"/>
      <w:r>
        <w:t xml:space="preserve">-Shearer, R., &amp; </w:t>
      </w:r>
      <w:proofErr w:type="spellStart"/>
      <w:r>
        <w:t>Fantuzzo</w:t>
      </w:r>
      <w:proofErr w:type="spellEnd"/>
      <w:r>
        <w:t xml:space="preserve">, J. W. (2011). Preschool behavior problems in classroom learning situations and literacy outcomes in kindergarten and first grade. </w:t>
      </w:r>
      <w:r>
        <w:rPr>
          <w:i/>
          <w:iCs/>
        </w:rPr>
        <w:t>Early Childhood Research Quarterly</w:t>
      </w:r>
      <w:r>
        <w:t xml:space="preserve">, </w:t>
      </w:r>
      <w:r>
        <w:rPr>
          <w:i/>
          <w:iCs/>
        </w:rPr>
        <w:t>26</w:t>
      </w:r>
      <w:r>
        <w:t xml:space="preserve">(1), 61–73. </w:t>
      </w:r>
      <w:proofErr w:type="spellStart"/>
      <w:r>
        <w:t>doi</w:t>
      </w:r>
      <w:proofErr w:type="spellEnd"/>
      <w:r>
        <w:t>: 10.1016/j.ecresq.2010.04.004</w:t>
      </w:r>
    </w:p>
    <w:p w14:paraId="5C978907" w14:textId="77777777" w:rsidR="00275487" w:rsidRDefault="00275487" w:rsidP="00275487">
      <w:pPr>
        <w:pStyle w:val="Bibliography"/>
      </w:pPr>
      <w:proofErr w:type="spellStart"/>
      <w:r>
        <w:t>Bulotsky</w:t>
      </w:r>
      <w:proofErr w:type="spellEnd"/>
      <w:r>
        <w:t xml:space="preserve">-Shearer, R., Fernandez, V., Dominguez, X., &amp; Rouse, H. L. (2011). Behavioral problems in learning activities and social interaction in Head Start classrooms and early reading math and approaches to learning. </w:t>
      </w:r>
      <w:r>
        <w:rPr>
          <w:i/>
          <w:iCs/>
        </w:rPr>
        <w:t>School Psychology Review</w:t>
      </w:r>
      <w:r>
        <w:t xml:space="preserve">, </w:t>
      </w:r>
      <w:r>
        <w:rPr>
          <w:i/>
          <w:iCs/>
        </w:rPr>
        <w:t>40</w:t>
      </w:r>
      <w:r>
        <w:t xml:space="preserve">(1), 39–56. </w:t>
      </w:r>
      <w:proofErr w:type="spellStart"/>
      <w:r>
        <w:t>doi</w:t>
      </w:r>
      <w:proofErr w:type="spellEnd"/>
      <w:r>
        <w:t>: 10.1080/02796015.2011.12087727</w:t>
      </w:r>
    </w:p>
    <w:p w14:paraId="3C70CB27" w14:textId="77777777" w:rsidR="00275487" w:rsidRDefault="00275487" w:rsidP="00275487">
      <w:pPr>
        <w:pStyle w:val="Bibliography"/>
      </w:pPr>
      <w:r>
        <w:lastRenderedPageBreak/>
        <w:t xml:space="preserve">Bustamante, A. S., &amp; Hindman, A. H. (2018). </w:t>
      </w:r>
      <w:proofErr w:type="spellStart"/>
      <w:r>
        <w:t>Construyendo</w:t>
      </w:r>
      <w:proofErr w:type="spellEnd"/>
      <w:r>
        <w:t xml:space="preserve"> </w:t>
      </w:r>
      <w:proofErr w:type="spellStart"/>
      <w:r>
        <w:t>en</w:t>
      </w:r>
      <w:proofErr w:type="spellEnd"/>
      <w:r>
        <w:t xml:space="preserve"> la </w:t>
      </w:r>
      <w:proofErr w:type="spellStart"/>
      <w:r>
        <w:t>Fuerza</w:t>
      </w:r>
      <w:proofErr w:type="spellEnd"/>
      <w:r>
        <w:t xml:space="preserve">: Approaches to learning and school readiness gains in Latino children served by Head Start. </w:t>
      </w:r>
      <w:r>
        <w:rPr>
          <w:i/>
          <w:iCs/>
        </w:rPr>
        <w:t>Early Childhood Research Quarterly</w:t>
      </w:r>
      <w:r>
        <w:t xml:space="preserve">. </w:t>
      </w:r>
      <w:proofErr w:type="spellStart"/>
      <w:r>
        <w:t>doi</w:t>
      </w:r>
      <w:proofErr w:type="spellEnd"/>
      <w:r>
        <w:t>: 10.1016/j.ecresq.2018.06.003</w:t>
      </w:r>
    </w:p>
    <w:p w14:paraId="4E2E6970" w14:textId="77777777" w:rsidR="00275487" w:rsidRDefault="00275487" w:rsidP="00275487">
      <w:pPr>
        <w:pStyle w:val="Bibliography"/>
      </w:pPr>
      <w:r>
        <w:t xml:space="preserve">Bustamante, A. S., White, L. J., &amp; Greenfield, D. B. (2018). Approaches to learning and science education in Head Start: Examining bidirectionality. </w:t>
      </w:r>
      <w:r>
        <w:rPr>
          <w:i/>
          <w:iCs/>
        </w:rPr>
        <w:t>Early Childhood Research Quarterly</w:t>
      </w:r>
      <w:r>
        <w:t xml:space="preserve">, </w:t>
      </w:r>
      <w:r>
        <w:rPr>
          <w:i/>
          <w:iCs/>
        </w:rPr>
        <w:t>44</w:t>
      </w:r>
      <w:r>
        <w:t xml:space="preserve">, 34–42. </w:t>
      </w:r>
      <w:proofErr w:type="spellStart"/>
      <w:r>
        <w:t>doi</w:t>
      </w:r>
      <w:proofErr w:type="spellEnd"/>
      <w:r>
        <w:t>: 10.1016/j.ecresq.2018.02.013</w:t>
      </w:r>
    </w:p>
    <w:p w14:paraId="658FD875" w14:textId="77777777" w:rsidR="00275487" w:rsidRDefault="00275487" w:rsidP="00275487">
      <w:pPr>
        <w:pStyle w:val="Bibliography"/>
      </w:pPr>
      <w:r>
        <w:t xml:space="preserve">Campbell, S. B., &amp; von </w:t>
      </w:r>
      <w:proofErr w:type="spellStart"/>
      <w:r>
        <w:t>Stauffenberg</w:t>
      </w:r>
      <w:proofErr w:type="spellEnd"/>
      <w:r>
        <w:t xml:space="preserve">, C. (2008). Child characteristics and family processes that predict behavioral readiness for school. In A. Booth &amp; A. </w:t>
      </w:r>
      <w:proofErr w:type="spellStart"/>
      <w:r>
        <w:t>Crouter</w:t>
      </w:r>
      <w:proofErr w:type="spellEnd"/>
      <w:r>
        <w:t xml:space="preserve"> (Eds.), </w:t>
      </w:r>
      <w:r>
        <w:rPr>
          <w:i/>
          <w:iCs/>
        </w:rPr>
        <w:t>Early disparities in school readiness: How families contribute to transitions into school</w:t>
      </w:r>
      <w:r>
        <w:t xml:space="preserve"> (pp. 225–258). New York: Lawrence Erlbaum Associates, Inc.</w:t>
      </w:r>
    </w:p>
    <w:p w14:paraId="5A6FFA7C" w14:textId="0630CDF6" w:rsidR="00275487" w:rsidRDefault="00275487" w:rsidP="00275487">
      <w:pPr>
        <w:pStyle w:val="Bibliography"/>
      </w:pPr>
      <w:r>
        <w:t xml:space="preserve">Cantor, P., </w:t>
      </w:r>
      <w:proofErr w:type="spellStart"/>
      <w:r>
        <w:t>Osher</w:t>
      </w:r>
      <w:proofErr w:type="spellEnd"/>
      <w:r>
        <w:t xml:space="preserve">, D., Berg, J., Steyer, L., &amp; Rose, T. (2019). Malleability, plasticity, and individuality: How children learn and develop in context. </w:t>
      </w:r>
      <w:r>
        <w:rPr>
          <w:i/>
          <w:iCs/>
        </w:rPr>
        <w:t>Applied Developmental Science</w:t>
      </w:r>
      <w:r>
        <w:t xml:space="preserve">, </w:t>
      </w:r>
      <w:r>
        <w:rPr>
          <w:i/>
          <w:iCs/>
        </w:rPr>
        <w:t>23</w:t>
      </w:r>
      <w:r>
        <w:t xml:space="preserve">(4), 307–337. </w:t>
      </w:r>
      <w:proofErr w:type="spellStart"/>
      <w:r>
        <w:t>doi</w:t>
      </w:r>
      <w:proofErr w:type="spellEnd"/>
      <w:r>
        <w:t>: 10.1080/10888691.2017.1398649</w:t>
      </w:r>
    </w:p>
    <w:p w14:paraId="14E95C2A" w14:textId="77777777" w:rsidR="00275487" w:rsidRDefault="00275487" w:rsidP="00275487">
      <w:pPr>
        <w:pStyle w:val="Bibliography"/>
      </w:pPr>
      <w:proofErr w:type="spellStart"/>
      <w:r>
        <w:t>Caughy</w:t>
      </w:r>
      <w:proofErr w:type="spellEnd"/>
      <w:r>
        <w:t xml:space="preserve">, M. O., &amp; Owen, M. T. (2015). Cultural socialization and school readiness of African American and Latino preschoolers. </w:t>
      </w:r>
      <w:r>
        <w:rPr>
          <w:i/>
          <w:iCs/>
        </w:rPr>
        <w:t>Cultural Diversity &amp; Ethnic Minority Psychology</w:t>
      </w:r>
      <w:r>
        <w:t xml:space="preserve">, </w:t>
      </w:r>
      <w:r>
        <w:rPr>
          <w:i/>
          <w:iCs/>
        </w:rPr>
        <w:t>21</w:t>
      </w:r>
      <w:r>
        <w:t xml:space="preserve">(3), 391–399. </w:t>
      </w:r>
      <w:proofErr w:type="spellStart"/>
      <w:r>
        <w:t>doi</w:t>
      </w:r>
      <w:proofErr w:type="spellEnd"/>
      <w:r>
        <w:t>: 10.1037/a0037928</w:t>
      </w:r>
    </w:p>
    <w:p w14:paraId="57816710" w14:textId="06194755" w:rsidR="00275487" w:rsidRDefault="00275487" w:rsidP="00275487">
      <w:pPr>
        <w:pStyle w:val="Bibliography"/>
      </w:pPr>
      <w:proofErr w:type="spellStart"/>
      <w:r>
        <w:t>Celeux</w:t>
      </w:r>
      <w:proofErr w:type="spellEnd"/>
      <w:r>
        <w:t xml:space="preserve">, G., &amp; </w:t>
      </w:r>
      <w:proofErr w:type="spellStart"/>
      <w:r>
        <w:t>Soromenho</w:t>
      </w:r>
      <w:proofErr w:type="spellEnd"/>
      <w:r>
        <w:t xml:space="preserve">, G. (1996). An entropy criterion for assessing the number of clusters in a mixture model. </w:t>
      </w:r>
      <w:r>
        <w:rPr>
          <w:i/>
          <w:iCs/>
        </w:rPr>
        <w:t>Journal of Classification</w:t>
      </w:r>
      <w:r>
        <w:t xml:space="preserve">, </w:t>
      </w:r>
      <w:r>
        <w:rPr>
          <w:i/>
          <w:iCs/>
        </w:rPr>
        <w:t>13</w:t>
      </w:r>
      <w:r>
        <w:t>(2), 195–212.</w:t>
      </w:r>
      <w:r w:rsidR="00F30083" w:rsidRPr="00F30083">
        <w:t xml:space="preserve"> https://www-springer-com.ezproxy.lib.ou.edu/journal/357</w:t>
      </w:r>
    </w:p>
    <w:p w14:paraId="1A5BA64F" w14:textId="77777777" w:rsidR="00275487" w:rsidRDefault="00275487" w:rsidP="00275487">
      <w:pPr>
        <w:pStyle w:val="Bibliography"/>
      </w:pPr>
      <w:r>
        <w:t xml:space="preserve">Cerda, C. A., Im, M. H., &amp; Hughes, J. N. (2014). Learning-related skills and academic achievement in academically at-risk first graders. </w:t>
      </w:r>
      <w:r>
        <w:rPr>
          <w:i/>
          <w:iCs/>
        </w:rPr>
        <w:t>Journal of Applied Developmental Psychology</w:t>
      </w:r>
      <w:r>
        <w:t xml:space="preserve">, </w:t>
      </w:r>
      <w:r>
        <w:rPr>
          <w:i/>
          <w:iCs/>
        </w:rPr>
        <w:t>35</w:t>
      </w:r>
      <w:r>
        <w:t xml:space="preserve">(5), 433–443. </w:t>
      </w:r>
      <w:proofErr w:type="spellStart"/>
      <w:r>
        <w:t>doi</w:t>
      </w:r>
      <w:proofErr w:type="spellEnd"/>
      <w:r>
        <w:t>: 10.1016/j.appdev.2014.08.001</w:t>
      </w:r>
    </w:p>
    <w:p w14:paraId="4907E1D7" w14:textId="77777777" w:rsidR="00275487" w:rsidRDefault="00275487" w:rsidP="00275487">
      <w:pPr>
        <w:pStyle w:val="Bibliography"/>
      </w:pPr>
      <w:r>
        <w:t xml:space="preserve">Chen, J.-Q., Masur, A., &amp; McNamee, G. (2011). Young children’s approaches to learning: A sociocultural perspective. </w:t>
      </w:r>
      <w:r>
        <w:rPr>
          <w:i/>
          <w:iCs/>
        </w:rPr>
        <w:t>Early Child Development and Care</w:t>
      </w:r>
      <w:r>
        <w:t xml:space="preserve">, </w:t>
      </w:r>
      <w:r>
        <w:rPr>
          <w:i/>
          <w:iCs/>
        </w:rPr>
        <w:t>181</w:t>
      </w:r>
      <w:r>
        <w:t xml:space="preserve">(8), 1137–1152. </w:t>
      </w:r>
      <w:proofErr w:type="spellStart"/>
      <w:r>
        <w:t>doi</w:t>
      </w:r>
      <w:proofErr w:type="spellEnd"/>
      <w:r>
        <w:t>: 10.1080/03004430.2010.520160</w:t>
      </w:r>
    </w:p>
    <w:p w14:paraId="4E6FD756" w14:textId="77777777" w:rsidR="00275487" w:rsidRDefault="00275487" w:rsidP="00275487">
      <w:pPr>
        <w:pStyle w:val="Bibliography"/>
      </w:pPr>
      <w:r>
        <w:t xml:space="preserve">Chen, J.-Q., &amp; McNamee, G. D. (2011). Positive approaches to learning in the context of preschool classroom activities. </w:t>
      </w:r>
      <w:r>
        <w:rPr>
          <w:i/>
          <w:iCs/>
        </w:rPr>
        <w:t>Early Childhood Education Journal</w:t>
      </w:r>
      <w:r>
        <w:t xml:space="preserve">, </w:t>
      </w:r>
      <w:r>
        <w:rPr>
          <w:i/>
          <w:iCs/>
        </w:rPr>
        <w:t>39</w:t>
      </w:r>
      <w:r>
        <w:t xml:space="preserve">(1), 71–78. </w:t>
      </w:r>
      <w:proofErr w:type="spellStart"/>
      <w:r>
        <w:t>doi</w:t>
      </w:r>
      <w:proofErr w:type="spellEnd"/>
      <w:r>
        <w:t>: 10.1007/s10643-010-0441-x</w:t>
      </w:r>
    </w:p>
    <w:p w14:paraId="33A4DD1A" w14:textId="25E2C7BE" w:rsidR="00275487" w:rsidRDefault="00275487" w:rsidP="00275487">
      <w:pPr>
        <w:pStyle w:val="Bibliography"/>
      </w:pPr>
      <w:r>
        <w:t xml:space="preserve">Collie, R. J., Martin, A. J., Nassar, N., &amp; Roberts, C. L. (2019). Social and emotional behavioral profiles in kindergarten: A population-based latent profile analysis of links to socio-educational characteristics and later achievement. </w:t>
      </w:r>
      <w:r>
        <w:rPr>
          <w:i/>
          <w:iCs/>
        </w:rPr>
        <w:t>Journal of Educational Psychology</w:t>
      </w:r>
      <w:r>
        <w:t xml:space="preserve">, </w:t>
      </w:r>
      <w:r>
        <w:rPr>
          <w:i/>
          <w:iCs/>
        </w:rPr>
        <w:t>111</w:t>
      </w:r>
      <w:r>
        <w:t xml:space="preserve">(1), 170–187. </w:t>
      </w:r>
      <w:proofErr w:type="spellStart"/>
      <w:r>
        <w:t>doi</w:t>
      </w:r>
      <w:proofErr w:type="spellEnd"/>
      <w:r>
        <w:t>: 10.1037/edu0000262</w:t>
      </w:r>
    </w:p>
    <w:p w14:paraId="56C306A3" w14:textId="77777777" w:rsidR="00275487" w:rsidRDefault="00275487" w:rsidP="00275487">
      <w:pPr>
        <w:pStyle w:val="Bibliography"/>
      </w:pPr>
      <w:r>
        <w:t xml:space="preserve">Crane, J., </w:t>
      </w:r>
      <w:proofErr w:type="spellStart"/>
      <w:r>
        <w:t>Mincic</w:t>
      </w:r>
      <w:proofErr w:type="spellEnd"/>
      <w:r>
        <w:t xml:space="preserve">, M. S., &amp; </w:t>
      </w:r>
      <w:proofErr w:type="spellStart"/>
      <w:r>
        <w:t>Winsler</w:t>
      </w:r>
      <w:proofErr w:type="spellEnd"/>
      <w:r>
        <w:t xml:space="preserve">, A. (2011). Parent–teacher agreement and reliability on the Devereux Early Childhood Assessment (DECA) in English and Spanish for ethnically diverse children living in poverty. </w:t>
      </w:r>
      <w:r>
        <w:rPr>
          <w:i/>
          <w:iCs/>
        </w:rPr>
        <w:t>Early Education and Development</w:t>
      </w:r>
      <w:r>
        <w:t xml:space="preserve">, </w:t>
      </w:r>
      <w:r>
        <w:rPr>
          <w:i/>
          <w:iCs/>
        </w:rPr>
        <w:t>22</w:t>
      </w:r>
      <w:r>
        <w:t xml:space="preserve">(3), 520–547. </w:t>
      </w:r>
      <w:proofErr w:type="spellStart"/>
      <w:r>
        <w:t>doi</w:t>
      </w:r>
      <w:proofErr w:type="spellEnd"/>
      <w:r>
        <w:t>: 10.1080/10409289.2011.565722</w:t>
      </w:r>
    </w:p>
    <w:p w14:paraId="706AF250" w14:textId="0B92DC39" w:rsidR="003757C3" w:rsidRDefault="003757C3" w:rsidP="00275487">
      <w:pPr>
        <w:pStyle w:val="Bibliography"/>
      </w:pPr>
      <w:proofErr w:type="spellStart"/>
      <w:r w:rsidRPr="003757C3">
        <w:lastRenderedPageBreak/>
        <w:t>Crosnoe</w:t>
      </w:r>
      <w:proofErr w:type="spellEnd"/>
      <w:r w:rsidRPr="003757C3">
        <w:t xml:space="preserve">, R. (2006). </w:t>
      </w:r>
      <w:r w:rsidRPr="003757C3">
        <w:rPr>
          <w:i/>
          <w:iCs/>
        </w:rPr>
        <w:t xml:space="preserve">Mexican roots, American schools: Helping Mexican immigrant children succeed. </w:t>
      </w:r>
      <w:r w:rsidRPr="003757C3">
        <w:t>Stanford,</w:t>
      </w:r>
      <w:r>
        <w:t xml:space="preserve"> CA: </w:t>
      </w:r>
      <w:r w:rsidRPr="003757C3">
        <w:t>Stanford University Press.</w:t>
      </w:r>
      <w:r>
        <w:t xml:space="preserve"> </w:t>
      </w:r>
    </w:p>
    <w:p w14:paraId="12E26D0A" w14:textId="5DC88388" w:rsidR="00275487" w:rsidRDefault="00275487" w:rsidP="00275487">
      <w:pPr>
        <w:pStyle w:val="Bibliography"/>
      </w:pPr>
      <w:r>
        <w:t xml:space="preserve">Denham, S., Bassett, H. H., </w:t>
      </w:r>
      <w:proofErr w:type="spellStart"/>
      <w:r>
        <w:t>Mincic</w:t>
      </w:r>
      <w:proofErr w:type="spellEnd"/>
      <w:r>
        <w:t xml:space="preserve">, M., Kalb, S., Way, E., Wyatt, T., &amp; Segal, Y. (2012). Social-emotional learning profiles of preschoolers’ early school success: A person-centered approach. </w:t>
      </w:r>
      <w:r>
        <w:rPr>
          <w:i/>
          <w:iCs/>
        </w:rPr>
        <w:t>Learning and Individual Differences</w:t>
      </w:r>
      <w:r>
        <w:t xml:space="preserve">, </w:t>
      </w:r>
      <w:r>
        <w:rPr>
          <w:i/>
          <w:iCs/>
        </w:rPr>
        <w:t>22</w:t>
      </w:r>
      <w:r>
        <w:t xml:space="preserve">(2), 178–189. </w:t>
      </w:r>
      <w:proofErr w:type="spellStart"/>
      <w:r>
        <w:t>doi</w:t>
      </w:r>
      <w:proofErr w:type="spellEnd"/>
      <w:r>
        <w:t>: 10.1016/j.lindif.2011.05.001</w:t>
      </w:r>
    </w:p>
    <w:p w14:paraId="137DD999" w14:textId="77777777" w:rsidR="00275487" w:rsidRDefault="00275487" w:rsidP="00275487">
      <w:pPr>
        <w:pStyle w:val="Bibliography"/>
      </w:pPr>
      <w:r>
        <w:t xml:space="preserve">Denham, S., Bassett, H. H., Way, E., </w:t>
      </w:r>
      <w:proofErr w:type="spellStart"/>
      <w:r>
        <w:t>Mincic</w:t>
      </w:r>
      <w:proofErr w:type="spellEnd"/>
      <w:r>
        <w:t xml:space="preserve">, M., Zinsser, K., &amp; </w:t>
      </w:r>
      <w:proofErr w:type="spellStart"/>
      <w:r>
        <w:t>Graling</w:t>
      </w:r>
      <w:proofErr w:type="spellEnd"/>
      <w:r>
        <w:t xml:space="preserve">, K. (2012). Preschoolers’ emotion knowledge: Self-regulatory foundations, and predictions of early school success. </w:t>
      </w:r>
      <w:r>
        <w:rPr>
          <w:i/>
          <w:iCs/>
        </w:rPr>
        <w:t>Cognition &amp; Emotion</w:t>
      </w:r>
      <w:r>
        <w:t xml:space="preserve">, </w:t>
      </w:r>
      <w:r>
        <w:rPr>
          <w:i/>
          <w:iCs/>
        </w:rPr>
        <w:t>26</w:t>
      </w:r>
      <w:r>
        <w:t xml:space="preserve">(4), 667–679. </w:t>
      </w:r>
      <w:proofErr w:type="spellStart"/>
      <w:r>
        <w:t>doi</w:t>
      </w:r>
      <w:proofErr w:type="spellEnd"/>
      <w:r>
        <w:t>: 10.1080/02699931.2011.602049</w:t>
      </w:r>
    </w:p>
    <w:p w14:paraId="5E118890" w14:textId="77917A56" w:rsidR="00275487" w:rsidRDefault="00275487" w:rsidP="00275487">
      <w:pPr>
        <w:pStyle w:val="Bibliography"/>
      </w:pPr>
      <w:proofErr w:type="spellStart"/>
      <w:r>
        <w:t>DiPerna</w:t>
      </w:r>
      <w:proofErr w:type="spellEnd"/>
      <w:r>
        <w:t xml:space="preserve">, J. C., Volpe, R. J., &amp; Elliott, S. N. (2002). A model of academic enablers and elementary reading/language arts achievement. </w:t>
      </w:r>
      <w:r>
        <w:rPr>
          <w:i/>
          <w:iCs/>
        </w:rPr>
        <w:t>School Psychology Review</w:t>
      </w:r>
      <w:r>
        <w:t xml:space="preserve">, </w:t>
      </w:r>
      <w:r>
        <w:rPr>
          <w:i/>
          <w:iCs/>
        </w:rPr>
        <w:t>31</w:t>
      </w:r>
      <w:r>
        <w:t>(3), 298–312.</w:t>
      </w:r>
      <w:r w:rsidR="00F30083">
        <w:t xml:space="preserve"> </w:t>
      </w:r>
      <w:r w:rsidR="00F30083" w:rsidRPr="00F30083">
        <w:t>https://www-tandfonline-com.ezproxy.lib.ou.edu/toc/uspr20/current</w:t>
      </w:r>
    </w:p>
    <w:p w14:paraId="61B0EF2D" w14:textId="77777777" w:rsidR="00275487" w:rsidRDefault="00275487" w:rsidP="00275487">
      <w:pPr>
        <w:pStyle w:val="Bibliography"/>
      </w:pPr>
      <w:r>
        <w:t xml:space="preserve">Dobbs, J., Doctoroff, G. L., Fisher, P. H., &amp; Arnold, D. H. (2006). The association between preschool children’s socio-emotional functioning and their mathematical skills. </w:t>
      </w:r>
      <w:r>
        <w:rPr>
          <w:i/>
          <w:iCs/>
        </w:rPr>
        <w:t>Journal of Applied Developmental Psychology</w:t>
      </w:r>
      <w:r>
        <w:t xml:space="preserve">, </w:t>
      </w:r>
      <w:r>
        <w:rPr>
          <w:i/>
          <w:iCs/>
        </w:rPr>
        <w:t>27</w:t>
      </w:r>
      <w:r>
        <w:t xml:space="preserve">(2), 97–108. </w:t>
      </w:r>
      <w:proofErr w:type="spellStart"/>
      <w:r>
        <w:t>doi</w:t>
      </w:r>
      <w:proofErr w:type="spellEnd"/>
      <w:r>
        <w:t>: 10.1016/j.appdev.2005.12.008</w:t>
      </w:r>
    </w:p>
    <w:p w14:paraId="5BD47CA5" w14:textId="77777777" w:rsidR="00275487" w:rsidRDefault="00275487" w:rsidP="00275487">
      <w:pPr>
        <w:pStyle w:val="Bibliography"/>
      </w:pPr>
      <w:r>
        <w:t xml:space="preserve">Domínguez, X., </w:t>
      </w:r>
      <w:proofErr w:type="spellStart"/>
      <w:r>
        <w:t>Vitiello</w:t>
      </w:r>
      <w:proofErr w:type="spellEnd"/>
      <w:r>
        <w:t xml:space="preserve">, V. E., </w:t>
      </w:r>
      <w:proofErr w:type="spellStart"/>
      <w:r>
        <w:t>Fuccillo</w:t>
      </w:r>
      <w:proofErr w:type="spellEnd"/>
      <w:r>
        <w:t xml:space="preserve">, J. M., Greenfield, D. B., &amp; </w:t>
      </w:r>
      <w:proofErr w:type="spellStart"/>
      <w:r>
        <w:t>Bulotsky</w:t>
      </w:r>
      <w:proofErr w:type="spellEnd"/>
      <w:r>
        <w:t xml:space="preserve">-Shearer, R. (2011). The role of context in preschool learning: A multilevel examination of the contribution of context-specific problem behaviors and classroom process quality to low-income children’s approaches to learning. </w:t>
      </w:r>
      <w:r>
        <w:rPr>
          <w:i/>
          <w:iCs/>
        </w:rPr>
        <w:t>Journal of School Psychology</w:t>
      </w:r>
      <w:r>
        <w:t xml:space="preserve">, </w:t>
      </w:r>
      <w:r>
        <w:rPr>
          <w:i/>
          <w:iCs/>
        </w:rPr>
        <w:t>49</w:t>
      </w:r>
      <w:r>
        <w:t xml:space="preserve">(2), 175–195. </w:t>
      </w:r>
      <w:proofErr w:type="spellStart"/>
      <w:r>
        <w:t>doi</w:t>
      </w:r>
      <w:proofErr w:type="spellEnd"/>
      <w:r>
        <w:t>: 10.1016/j.jsp.2010.11.002</w:t>
      </w:r>
    </w:p>
    <w:p w14:paraId="01BEA3FB" w14:textId="77777777" w:rsidR="00275487" w:rsidRDefault="00275487" w:rsidP="00275487">
      <w:pPr>
        <w:pStyle w:val="Bibliography"/>
      </w:pPr>
      <w:r>
        <w:t xml:space="preserve">Domínguez, X., </w:t>
      </w:r>
      <w:proofErr w:type="spellStart"/>
      <w:r>
        <w:t>Vitiello</w:t>
      </w:r>
      <w:proofErr w:type="spellEnd"/>
      <w:r>
        <w:t xml:space="preserve">, V. E., Maier, M. F., &amp; Greenfield, D. B. (2010). A Longitudinal Examination of Young Children’s Learning Behavior: Child-Level and Classroom-Level Predictors of Change Throughout the Preschool Year. </w:t>
      </w:r>
      <w:r>
        <w:rPr>
          <w:i/>
          <w:iCs/>
        </w:rPr>
        <w:t>School Psychology Review</w:t>
      </w:r>
      <w:r>
        <w:t xml:space="preserve">, </w:t>
      </w:r>
      <w:r>
        <w:rPr>
          <w:i/>
          <w:iCs/>
        </w:rPr>
        <w:t>39</w:t>
      </w:r>
      <w:r>
        <w:t xml:space="preserve">(1), 29–47. </w:t>
      </w:r>
      <w:proofErr w:type="spellStart"/>
      <w:r>
        <w:t>doi</w:t>
      </w:r>
      <w:proofErr w:type="spellEnd"/>
      <w:r>
        <w:t>: 10.1080/02796015.2010.12087788</w:t>
      </w:r>
    </w:p>
    <w:p w14:paraId="09A58617" w14:textId="77777777" w:rsidR="00275487" w:rsidRDefault="00275487" w:rsidP="00275487">
      <w:pPr>
        <w:pStyle w:val="Bibliography"/>
      </w:pPr>
      <w:r>
        <w:t xml:space="preserve">Downer, J., </w:t>
      </w:r>
      <w:proofErr w:type="spellStart"/>
      <w:r>
        <w:t>Booren</w:t>
      </w:r>
      <w:proofErr w:type="spellEnd"/>
      <w:r>
        <w:t xml:space="preserve">, L. M., Hamre, B., </w:t>
      </w:r>
      <w:proofErr w:type="spellStart"/>
      <w:r>
        <w:t>Pianta</w:t>
      </w:r>
      <w:proofErr w:type="spellEnd"/>
      <w:r>
        <w:t xml:space="preserve">, R., &amp; Williford, A. P. (2012). </w:t>
      </w:r>
      <w:r>
        <w:rPr>
          <w:i/>
          <w:iCs/>
        </w:rPr>
        <w:t>The Individualized Classroom Assessment Scoring System (</w:t>
      </w:r>
      <w:proofErr w:type="spellStart"/>
      <w:r>
        <w:rPr>
          <w:i/>
          <w:iCs/>
        </w:rPr>
        <w:t>inClass</w:t>
      </w:r>
      <w:proofErr w:type="spellEnd"/>
      <w:r>
        <w:rPr>
          <w:i/>
          <w:iCs/>
        </w:rPr>
        <w:t>): PreK coding manual</w:t>
      </w:r>
      <w:r>
        <w:t>. Charlottesville, VA: Center for Advanced Study of Teaching and Learning.</w:t>
      </w:r>
    </w:p>
    <w:p w14:paraId="2E15D2C9" w14:textId="77777777" w:rsidR="00275487" w:rsidRDefault="00275487" w:rsidP="00275487">
      <w:pPr>
        <w:pStyle w:val="Bibliography"/>
      </w:pPr>
      <w:r>
        <w:t xml:space="preserve">Downer, J. T., </w:t>
      </w:r>
      <w:proofErr w:type="spellStart"/>
      <w:r>
        <w:t>Booren</w:t>
      </w:r>
      <w:proofErr w:type="spellEnd"/>
      <w:r>
        <w:t xml:space="preserve">, L. M., Lima, O. K., </w:t>
      </w:r>
      <w:proofErr w:type="spellStart"/>
      <w:r>
        <w:t>Luckner</w:t>
      </w:r>
      <w:proofErr w:type="spellEnd"/>
      <w:r>
        <w:t xml:space="preserve">, A. E., &amp; </w:t>
      </w:r>
      <w:proofErr w:type="spellStart"/>
      <w:r>
        <w:t>Pianta</w:t>
      </w:r>
      <w:proofErr w:type="spellEnd"/>
      <w:r>
        <w:t xml:space="preserve">, R. C. (2010). The Individualized Classroom Assessment Scoring System (inCLASS): Preliminary reliability and validity of a system for observing preschoolers’ competence in classroom interactions. </w:t>
      </w:r>
      <w:r>
        <w:rPr>
          <w:i/>
          <w:iCs/>
        </w:rPr>
        <w:t>Early Childhood Research Quarterly</w:t>
      </w:r>
      <w:r>
        <w:t xml:space="preserve">, </w:t>
      </w:r>
      <w:r>
        <w:rPr>
          <w:i/>
          <w:iCs/>
        </w:rPr>
        <w:t>25</w:t>
      </w:r>
      <w:r>
        <w:t xml:space="preserve">(1), 1–16. </w:t>
      </w:r>
      <w:proofErr w:type="spellStart"/>
      <w:r>
        <w:t>doi</w:t>
      </w:r>
      <w:proofErr w:type="spellEnd"/>
      <w:r>
        <w:t>: 10.1016/j.ecresq.2009.08.004</w:t>
      </w:r>
    </w:p>
    <w:p w14:paraId="16443CDC" w14:textId="3DE690DE" w:rsidR="00275487" w:rsidRDefault="00275487" w:rsidP="00275487">
      <w:pPr>
        <w:pStyle w:val="Bibliography"/>
      </w:pPr>
      <w:r>
        <w:t xml:space="preserve">Downer, J. T., &amp; </w:t>
      </w:r>
      <w:proofErr w:type="spellStart"/>
      <w:r>
        <w:t>Pianta</w:t>
      </w:r>
      <w:proofErr w:type="spellEnd"/>
      <w:r>
        <w:t xml:space="preserve">, R. C. (2006). Academic and cognitive functioning in first grade: Associations with earlier home and </w:t>
      </w:r>
      <w:proofErr w:type="gramStart"/>
      <w:r>
        <w:t>child care</w:t>
      </w:r>
      <w:proofErr w:type="gramEnd"/>
      <w:r>
        <w:t xml:space="preserve"> predictors and with concurrent home and classroom experiences. </w:t>
      </w:r>
      <w:r>
        <w:rPr>
          <w:i/>
          <w:iCs/>
        </w:rPr>
        <w:t>School Psychology Review</w:t>
      </w:r>
      <w:r>
        <w:t xml:space="preserve">, </w:t>
      </w:r>
      <w:r>
        <w:rPr>
          <w:i/>
          <w:iCs/>
        </w:rPr>
        <w:t>35</w:t>
      </w:r>
      <w:r>
        <w:t>(1), 11–30.</w:t>
      </w:r>
      <w:r w:rsidR="00F30083">
        <w:t xml:space="preserve"> </w:t>
      </w:r>
      <w:r w:rsidR="00F30083" w:rsidRPr="00F30083">
        <w:t>https://www-tandfonline-com.ezproxy.lib.ou.edu/toc/uspr20/current</w:t>
      </w:r>
    </w:p>
    <w:p w14:paraId="52DF71F7" w14:textId="77777777" w:rsidR="00275487" w:rsidRDefault="00275487" w:rsidP="00275487">
      <w:pPr>
        <w:pStyle w:val="Bibliography"/>
      </w:pPr>
      <w:r>
        <w:lastRenderedPageBreak/>
        <w:t xml:space="preserve">Elliott, L. (2019). Profiles of academic, cognitive, and behavioral development from kindergarten to third grade. </w:t>
      </w:r>
      <w:r>
        <w:rPr>
          <w:i/>
          <w:iCs/>
        </w:rPr>
        <w:t>Learning and Individual Differences</w:t>
      </w:r>
      <w:r>
        <w:t xml:space="preserve">, </w:t>
      </w:r>
      <w:r>
        <w:rPr>
          <w:i/>
          <w:iCs/>
        </w:rPr>
        <w:t>70</w:t>
      </w:r>
      <w:r>
        <w:t xml:space="preserve">, 109–120. </w:t>
      </w:r>
      <w:proofErr w:type="spellStart"/>
      <w:r>
        <w:t>doi</w:t>
      </w:r>
      <w:proofErr w:type="spellEnd"/>
      <w:r>
        <w:t>: 10.1016/j.lindif.2019.01.010</w:t>
      </w:r>
    </w:p>
    <w:p w14:paraId="6123EF1A" w14:textId="77777777" w:rsidR="00275487" w:rsidRDefault="00275487" w:rsidP="00275487">
      <w:pPr>
        <w:pStyle w:val="Bibliography"/>
      </w:pPr>
      <w:proofErr w:type="spellStart"/>
      <w:r>
        <w:t>Fantuzzo</w:t>
      </w:r>
      <w:proofErr w:type="spellEnd"/>
      <w:r>
        <w:t xml:space="preserve">, J., </w:t>
      </w:r>
      <w:proofErr w:type="spellStart"/>
      <w:r>
        <w:t>Bulotsky</w:t>
      </w:r>
      <w:proofErr w:type="spellEnd"/>
      <w:r>
        <w:t xml:space="preserve">-Shearer, R., Fusco, R. A., &amp; McWayne, C. (2005). An investigation of preschool classroom behavioral adjustment problems and social–emotional school readiness competencies. </w:t>
      </w:r>
      <w:r>
        <w:rPr>
          <w:i/>
          <w:iCs/>
        </w:rPr>
        <w:t>Early Childhood Research Quarterly</w:t>
      </w:r>
      <w:r>
        <w:t xml:space="preserve">, </w:t>
      </w:r>
      <w:r>
        <w:rPr>
          <w:i/>
          <w:iCs/>
        </w:rPr>
        <w:t>20</w:t>
      </w:r>
      <w:r>
        <w:t xml:space="preserve">(3), 259–275. </w:t>
      </w:r>
      <w:proofErr w:type="spellStart"/>
      <w:r>
        <w:t>doi</w:t>
      </w:r>
      <w:proofErr w:type="spellEnd"/>
      <w:r>
        <w:t>: 10.1016/j.ecresq.2005.07.001</w:t>
      </w:r>
    </w:p>
    <w:p w14:paraId="3A989CDA" w14:textId="77777777" w:rsidR="00275487" w:rsidRDefault="00275487" w:rsidP="00275487">
      <w:pPr>
        <w:pStyle w:val="Bibliography"/>
      </w:pPr>
      <w:proofErr w:type="spellStart"/>
      <w:r>
        <w:t>Fantuzzo</w:t>
      </w:r>
      <w:proofErr w:type="spellEnd"/>
      <w:r>
        <w:t xml:space="preserve">, J., </w:t>
      </w:r>
      <w:proofErr w:type="spellStart"/>
      <w:r>
        <w:t>Bulotsky</w:t>
      </w:r>
      <w:proofErr w:type="spellEnd"/>
      <w:r>
        <w:t xml:space="preserve">-Shearer, R., McDermott, P., McWayne, C., Frye, D., &amp; Perlman, S. (2007). Investigation of dimensions of social-emotional classroom behavior and school readiness for low-income urban preschool children. </w:t>
      </w:r>
      <w:r>
        <w:rPr>
          <w:i/>
          <w:iCs/>
        </w:rPr>
        <w:t>School Psychology Review</w:t>
      </w:r>
      <w:r>
        <w:t xml:space="preserve">, </w:t>
      </w:r>
      <w:r>
        <w:rPr>
          <w:i/>
          <w:iCs/>
        </w:rPr>
        <w:t>36</w:t>
      </w:r>
      <w:r>
        <w:t>(1), 44–62. Retrieved from https://naspjournals.org/loi/spsr</w:t>
      </w:r>
    </w:p>
    <w:p w14:paraId="0BC619F6" w14:textId="77777777" w:rsidR="00275487" w:rsidRDefault="00275487" w:rsidP="00275487">
      <w:pPr>
        <w:pStyle w:val="Bibliography"/>
      </w:pPr>
      <w:proofErr w:type="spellStart"/>
      <w:r>
        <w:t>Fantuzzo</w:t>
      </w:r>
      <w:proofErr w:type="spellEnd"/>
      <w:r>
        <w:t xml:space="preserve">, J., Perry, M. A., &amp; McDermott, P. (2004). Preschool approaches to learning and their relationship to other relevant classroom competencies for low-income children. </w:t>
      </w:r>
      <w:r>
        <w:rPr>
          <w:i/>
          <w:iCs/>
        </w:rPr>
        <w:t>School Psychology Quarterly</w:t>
      </w:r>
      <w:r>
        <w:t xml:space="preserve">, </w:t>
      </w:r>
      <w:r>
        <w:rPr>
          <w:i/>
          <w:iCs/>
        </w:rPr>
        <w:t>19</w:t>
      </w:r>
      <w:r>
        <w:t xml:space="preserve">(3), 212–230. </w:t>
      </w:r>
      <w:proofErr w:type="spellStart"/>
      <w:r>
        <w:t>doi</w:t>
      </w:r>
      <w:proofErr w:type="spellEnd"/>
      <w:r>
        <w:t>: 10.1521/scpq.19.3.212.40276</w:t>
      </w:r>
    </w:p>
    <w:p w14:paraId="49DE9FC6" w14:textId="1AF3265B" w:rsidR="00275487" w:rsidRDefault="00275487" w:rsidP="00275487">
      <w:pPr>
        <w:pStyle w:val="Bibliography"/>
      </w:pPr>
      <w:r>
        <w:t xml:space="preserve">Ferguson, S. L., G. Moore, E. W., &amp; Hull, D. M. (2019). Finding latent groups in observed data: A primer on latent profile analysis in </w:t>
      </w:r>
      <w:proofErr w:type="spellStart"/>
      <w:r>
        <w:t>Mplus</w:t>
      </w:r>
      <w:proofErr w:type="spellEnd"/>
      <w:r>
        <w:t xml:space="preserve"> for applied researchers. </w:t>
      </w:r>
      <w:r>
        <w:rPr>
          <w:i/>
          <w:iCs/>
        </w:rPr>
        <w:t>International Journal of Behavioral Development</w:t>
      </w:r>
      <w:r>
        <w:t xml:space="preserve">, </w:t>
      </w:r>
      <w:r w:rsidR="00F30083">
        <w:t>1-11</w:t>
      </w:r>
      <w:r>
        <w:t>.</w:t>
      </w:r>
      <w:r w:rsidR="00F30083">
        <w:t xml:space="preserve"> </w:t>
      </w:r>
      <w:proofErr w:type="spellStart"/>
      <w:r w:rsidR="00F30083">
        <w:t>doi</w:t>
      </w:r>
      <w:proofErr w:type="spellEnd"/>
      <w:r w:rsidR="00F30083">
        <w:t>:</w:t>
      </w:r>
      <w:r w:rsidR="00F30083" w:rsidRPr="00F30083">
        <w:t xml:space="preserve"> 10.1177/0165025419881721</w:t>
      </w:r>
    </w:p>
    <w:p w14:paraId="7CA44B9D" w14:textId="77777777" w:rsidR="00275487" w:rsidRDefault="00275487" w:rsidP="00275487">
      <w:pPr>
        <w:pStyle w:val="Bibliography"/>
      </w:pPr>
      <w:r>
        <w:t xml:space="preserve">Fitzpatrick, C., &amp; Pagani, L. S. (2013). Task-oriented kindergarten behavior pays off in later childhood. </w:t>
      </w:r>
      <w:r>
        <w:rPr>
          <w:i/>
          <w:iCs/>
        </w:rPr>
        <w:t>Journal of Developmental &amp; Behavioral Pediatrics</w:t>
      </w:r>
      <w:r>
        <w:t xml:space="preserve">, </w:t>
      </w:r>
      <w:r>
        <w:rPr>
          <w:i/>
          <w:iCs/>
        </w:rPr>
        <w:t>34</w:t>
      </w:r>
      <w:r>
        <w:t xml:space="preserve">(2), 94–101. </w:t>
      </w:r>
      <w:proofErr w:type="spellStart"/>
      <w:r>
        <w:t>doi</w:t>
      </w:r>
      <w:proofErr w:type="spellEnd"/>
      <w:r>
        <w:t>: 10.1097/DBP.0b013e31827a3779</w:t>
      </w:r>
    </w:p>
    <w:p w14:paraId="45F5BA53" w14:textId="77777777" w:rsidR="00275487" w:rsidRDefault="00275487" w:rsidP="00275487">
      <w:pPr>
        <w:pStyle w:val="Bibliography"/>
      </w:pPr>
      <w:proofErr w:type="spellStart"/>
      <w:r>
        <w:t>Fuhs</w:t>
      </w:r>
      <w:proofErr w:type="spellEnd"/>
      <w:r>
        <w:t xml:space="preserve">, M., </w:t>
      </w:r>
      <w:proofErr w:type="spellStart"/>
      <w:r>
        <w:t>Farran</w:t>
      </w:r>
      <w:proofErr w:type="spellEnd"/>
      <w:r>
        <w:t xml:space="preserve">, D. C., &amp; Nesbitt, K. T. (2015). Prekindergarten children’s executive functioning skills and achievement gains: The utility of direct assessments and teacher ratings. </w:t>
      </w:r>
      <w:r>
        <w:rPr>
          <w:i/>
          <w:iCs/>
        </w:rPr>
        <w:t>Journal of Educational Psychology</w:t>
      </w:r>
      <w:r>
        <w:t xml:space="preserve">, </w:t>
      </w:r>
      <w:r>
        <w:rPr>
          <w:i/>
          <w:iCs/>
        </w:rPr>
        <w:t>107</w:t>
      </w:r>
      <w:r>
        <w:t xml:space="preserve">(1), 207–221. </w:t>
      </w:r>
      <w:proofErr w:type="spellStart"/>
      <w:r>
        <w:t>doi</w:t>
      </w:r>
      <w:proofErr w:type="spellEnd"/>
      <w:r>
        <w:t>: http://dx.doi.org.ezproxy.lib.ou.edu/10.1037/a0037366</w:t>
      </w:r>
    </w:p>
    <w:p w14:paraId="7EF9D864" w14:textId="49374C03" w:rsidR="00275487" w:rsidRDefault="00275487" w:rsidP="00275487">
      <w:pPr>
        <w:pStyle w:val="Bibliography"/>
      </w:pPr>
      <w:r>
        <w:t xml:space="preserve">Gardner, M. F. (1990). </w:t>
      </w:r>
      <w:r>
        <w:rPr>
          <w:i/>
          <w:iCs/>
        </w:rPr>
        <w:t>EOWPVT-R: Expressive One-word Picture Vocabulary Test, Revised</w:t>
      </w:r>
      <w:r>
        <w:t xml:space="preserve">. </w:t>
      </w:r>
      <w:r w:rsidR="00F30083">
        <w:t xml:space="preserve">Novato, CA: </w:t>
      </w:r>
      <w:r>
        <w:t>Academic Therapy Publications.</w:t>
      </w:r>
    </w:p>
    <w:p w14:paraId="51EF7727" w14:textId="77777777" w:rsidR="00275487" w:rsidRDefault="00275487" w:rsidP="00275487">
      <w:pPr>
        <w:pStyle w:val="Bibliography"/>
      </w:pPr>
      <w:r>
        <w:t xml:space="preserve">Gathercole, S. E., &amp; Pickering, S. J. (2000). Working memory deficits in children with low achievements in the national curriculum at 7 years of age. </w:t>
      </w:r>
      <w:r>
        <w:rPr>
          <w:i/>
          <w:iCs/>
        </w:rPr>
        <w:t>British Journal of Educational Psychology</w:t>
      </w:r>
      <w:r>
        <w:t xml:space="preserve">, </w:t>
      </w:r>
      <w:r>
        <w:rPr>
          <w:i/>
          <w:iCs/>
        </w:rPr>
        <w:t>70</w:t>
      </w:r>
      <w:r>
        <w:t xml:space="preserve">(2), 177–194. </w:t>
      </w:r>
      <w:proofErr w:type="spellStart"/>
      <w:r>
        <w:t>doi</w:t>
      </w:r>
      <w:proofErr w:type="spellEnd"/>
      <w:r>
        <w:t>: 10.1348/000709900158047</w:t>
      </w:r>
    </w:p>
    <w:p w14:paraId="6ABAF2B3" w14:textId="77777777" w:rsidR="00275487" w:rsidRDefault="00275487" w:rsidP="00275487">
      <w:pPr>
        <w:pStyle w:val="Bibliography"/>
      </w:pPr>
      <w:r>
        <w:t xml:space="preserve">George, J., &amp; Greenfield, D. B. (2005). Examination of a structured problem-solving flexibility task for assessing approaches to learning in young children: Relation to teacher ratings and children’s achievement. </w:t>
      </w:r>
      <w:r>
        <w:rPr>
          <w:i/>
          <w:iCs/>
        </w:rPr>
        <w:t>Journal of Applied Developmental Psychology</w:t>
      </w:r>
      <w:r>
        <w:t xml:space="preserve">, </w:t>
      </w:r>
      <w:r>
        <w:rPr>
          <w:i/>
          <w:iCs/>
        </w:rPr>
        <w:t>26</w:t>
      </w:r>
      <w:r>
        <w:t xml:space="preserve">(1), 69–84. </w:t>
      </w:r>
      <w:proofErr w:type="spellStart"/>
      <w:r>
        <w:t>doi</w:t>
      </w:r>
      <w:proofErr w:type="spellEnd"/>
      <w:r>
        <w:t>: 10.1016/j.appdev.2004.10.006</w:t>
      </w:r>
    </w:p>
    <w:p w14:paraId="20FDAD92" w14:textId="77777777" w:rsidR="00275487" w:rsidRDefault="00275487" w:rsidP="00275487">
      <w:pPr>
        <w:pStyle w:val="Bibliography"/>
      </w:pPr>
      <w:proofErr w:type="spellStart"/>
      <w:r>
        <w:t>Graue</w:t>
      </w:r>
      <w:proofErr w:type="spellEnd"/>
      <w:r>
        <w:t xml:space="preserve">, M. E., Ryan, S., Nocera, A., Northey, K., &amp; </w:t>
      </w:r>
      <w:proofErr w:type="spellStart"/>
      <w:r>
        <w:t>Wilinski</w:t>
      </w:r>
      <w:proofErr w:type="spellEnd"/>
      <w:r>
        <w:t xml:space="preserve">, B. (2017). Pulling </w:t>
      </w:r>
      <w:proofErr w:type="spellStart"/>
      <w:r>
        <w:t>preK</w:t>
      </w:r>
      <w:proofErr w:type="spellEnd"/>
      <w:r>
        <w:t xml:space="preserve"> into a K-12 orbit: The evolution of </w:t>
      </w:r>
      <w:proofErr w:type="spellStart"/>
      <w:r>
        <w:t>preK</w:t>
      </w:r>
      <w:proofErr w:type="spellEnd"/>
      <w:r>
        <w:t xml:space="preserve"> in the age of standards. </w:t>
      </w:r>
      <w:r>
        <w:rPr>
          <w:i/>
          <w:iCs/>
        </w:rPr>
        <w:t>Early Years</w:t>
      </w:r>
      <w:r>
        <w:t xml:space="preserve">, </w:t>
      </w:r>
      <w:r>
        <w:rPr>
          <w:i/>
          <w:iCs/>
        </w:rPr>
        <w:t>37</w:t>
      </w:r>
      <w:r>
        <w:t xml:space="preserve">(1), 108–122. </w:t>
      </w:r>
      <w:proofErr w:type="spellStart"/>
      <w:r>
        <w:t>doi</w:t>
      </w:r>
      <w:proofErr w:type="spellEnd"/>
      <w:r>
        <w:t>: 10.1080/09575146.2016.1220925</w:t>
      </w:r>
    </w:p>
    <w:p w14:paraId="3EF88D23" w14:textId="77777777" w:rsidR="00275487" w:rsidRDefault="00275487" w:rsidP="00275487">
      <w:pPr>
        <w:pStyle w:val="Bibliography"/>
      </w:pPr>
      <w:r>
        <w:lastRenderedPageBreak/>
        <w:t xml:space="preserve">Graziano, P. A., &amp; Hart, K. (2016). Beyond behavior modification: Benefits of social–emotional/self-regulation training for preschoolers with behavior problems. </w:t>
      </w:r>
      <w:r>
        <w:rPr>
          <w:i/>
          <w:iCs/>
        </w:rPr>
        <w:t>Journal of School Psychology</w:t>
      </w:r>
      <w:r>
        <w:t xml:space="preserve">, </w:t>
      </w:r>
      <w:r>
        <w:rPr>
          <w:i/>
          <w:iCs/>
        </w:rPr>
        <w:t>58</w:t>
      </w:r>
      <w:r>
        <w:t xml:space="preserve">, 91–111. </w:t>
      </w:r>
      <w:proofErr w:type="spellStart"/>
      <w:r>
        <w:t>doi</w:t>
      </w:r>
      <w:proofErr w:type="spellEnd"/>
      <w:r>
        <w:t>: 10.1016/j.jsp.2016.07.004</w:t>
      </w:r>
    </w:p>
    <w:p w14:paraId="604B3C0C" w14:textId="77777777" w:rsidR="00275487" w:rsidRDefault="00275487" w:rsidP="00275487">
      <w:pPr>
        <w:pStyle w:val="Bibliography"/>
      </w:pPr>
      <w:r>
        <w:t xml:space="preserve">Graziano, P. A., </w:t>
      </w:r>
      <w:proofErr w:type="spellStart"/>
      <w:r>
        <w:t>Slavec</w:t>
      </w:r>
      <w:proofErr w:type="spellEnd"/>
      <w:r>
        <w:t xml:space="preserve">, J., Hart, K., Garcia, A., &amp; Pelham, W. E. (2014). Improving school readiness in preschoolers with behavior problems: Results from a summer treatment program. </w:t>
      </w:r>
      <w:r>
        <w:rPr>
          <w:i/>
          <w:iCs/>
        </w:rPr>
        <w:t>Journal of Psychopathology and Behavioral Assessment</w:t>
      </w:r>
      <w:r>
        <w:t xml:space="preserve">, </w:t>
      </w:r>
      <w:r>
        <w:rPr>
          <w:i/>
          <w:iCs/>
        </w:rPr>
        <w:t>36</w:t>
      </w:r>
      <w:r>
        <w:t xml:space="preserve">(4), 555–569. </w:t>
      </w:r>
      <w:proofErr w:type="spellStart"/>
      <w:r>
        <w:t>doi</w:t>
      </w:r>
      <w:proofErr w:type="spellEnd"/>
      <w:r>
        <w:t>: 10.1007/s10862-014-9418-1</w:t>
      </w:r>
    </w:p>
    <w:p w14:paraId="414B8B60" w14:textId="77777777" w:rsidR="00275487" w:rsidRDefault="00275487" w:rsidP="00275487">
      <w:pPr>
        <w:pStyle w:val="Bibliography"/>
      </w:pPr>
      <w:r>
        <w:t>Hair, E., Halle, T., Terry-</w:t>
      </w:r>
      <w:proofErr w:type="spellStart"/>
      <w:r>
        <w:t>Humen</w:t>
      </w:r>
      <w:proofErr w:type="spellEnd"/>
      <w:r>
        <w:t xml:space="preserve">, E., Lavelle, B., &amp; Calkins, J. (2006). Children’s school readiness in the ECLS-K: Predictions to academic, health, and social outcomes in first grade. </w:t>
      </w:r>
      <w:r>
        <w:rPr>
          <w:i/>
          <w:iCs/>
        </w:rPr>
        <w:t>Early Childhood Research Quarterly</w:t>
      </w:r>
      <w:r>
        <w:t xml:space="preserve">, </w:t>
      </w:r>
      <w:r>
        <w:rPr>
          <w:i/>
          <w:iCs/>
        </w:rPr>
        <w:t>21</w:t>
      </w:r>
      <w:r>
        <w:t xml:space="preserve">(4), 431–454. </w:t>
      </w:r>
      <w:proofErr w:type="spellStart"/>
      <w:r>
        <w:t>doi</w:t>
      </w:r>
      <w:proofErr w:type="spellEnd"/>
      <w:r>
        <w:t>: 10.1016/j.ecresq.2006.09.005</w:t>
      </w:r>
    </w:p>
    <w:p w14:paraId="0A2EB4C0" w14:textId="2905545F" w:rsidR="00275487" w:rsidRDefault="00275487" w:rsidP="00275487">
      <w:pPr>
        <w:pStyle w:val="Bibliography"/>
      </w:pPr>
      <w:r>
        <w:t xml:space="preserve">Hoff, E., &amp; </w:t>
      </w:r>
      <w:proofErr w:type="spellStart"/>
      <w:r>
        <w:t>Ribot</w:t>
      </w:r>
      <w:proofErr w:type="spellEnd"/>
      <w:r>
        <w:t xml:space="preserve">, K. M. (2017). Language </w:t>
      </w:r>
      <w:r w:rsidR="00573A55">
        <w:t>gr</w:t>
      </w:r>
      <w:r>
        <w:t xml:space="preserve">owth in English </w:t>
      </w:r>
      <w:r w:rsidR="00573A55">
        <w:t>m</w:t>
      </w:r>
      <w:r>
        <w:t xml:space="preserve">onolingual and Spanish-English </w:t>
      </w:r>
      <w:r w:rsidR="00573A55">
        <w:t>b</w:t>
      </w:r>
      <w:r>
        <w:t xml:space="preserve">ilingual </w:t>
      </w:r>
      <w:r w:rsidR="00573A55">
        <w:t>c</w:t>
      </w:r>
      <w:r>
        <w:t xml:space="preserve">hildren from 2.5 to 5 </w:t>
      </w:r>
      <w:r w:rsidR="00573A55">
        <w:t>y</w:t>
      </w:r>
      <w:r>
        <w:t xml:space="preserve">ears. </w:t>
      </w:r>
      <w:r>
        <w:rPr>
          <w:i/>
          <w:iCs/>
        </w:rPr>
        <w:t>The Journal of Pediatrics</w:t>
      </w:r>
      <w:r>
        <w:t xml:space="preserve">, </w:t>
      </w:r>
      <w:r>
        <w:rPr>
          <w:i/>
          <w:iCs/>
        </w:rPr>
        <w:t>190</w:t>
      </w:r>
      <w:r>
        <w:t xml:space="preserve">, 241-245.e1. </w:t>
      </w:r>
      <w:proofErr w:type="spellStart"/>
      <w:r>
        <w:t>doi</w:t>
      </w:r>
      <w:proofErr w:type="spellEnd"/>
      <w:r>
        <w:t>: 10.1016/j.jpeds.2017.06.071</w:t>
      </w:r>
    </w:p>
    <w:p w14:paraId="3CD8D92E" w14:textId="77777777" w:rsidR="00275487" w:rsidRDefault="00275487" w:rsidP="00275487">
      <w:pPr>
        <w:pStyle w:val="Bibliography"/>
      </w:pPr>
      <w:r>
        <w:t xml:space="preserve">Hooper, S. R., Roberts, J., Sideris, J., </w:t>
      </w:r>
      <w:proofErr w:type="spellStart"/>
      <w:r>
        <w:t>Burchinal</w:t>
      </w:r>
      <w:proofErr w:type="spellEnd"/>
      <w:r>
        <w:t xml:space="preserve">, M., &amp; Zeisel, S. (2010). Longitudinal predictors of reading and math trajectories through middle school for African American versus Caucasian students across two samples. </w:t>
      </w:r>
      <w:r>
        <w:rPr>
          <w:i/>
          <w:iCs/>
        </w:rPr>
        <w:t>Developmental Psychology</w:t>
      </w:r>
      <w:r>
        <w:t xml:space="preserve">, </w:t>
      </w:r>
      <w:r>
        <w:rPr>
          <w:i/>
          <w:iCs/>
        </w:rPr>
        <w:t>46</w:t>
      </w:r>
      <w:r>
        <w:t xml:space="preserve">(5), 1018–1029. </w:t>
      </w:r>
      <w:proofErr w:type="spellStart"/>
      <w:r>
        <w:t>doi</w:t>
      </w:r>
      <w:proofErr w:type="spellEnd"/>
      <w:r>
        <w:t>: 10.1037/a0018877</w:t>
      </w:r>
    </w:p>
    <w:p w14:paraId="661092B9" w14:textId="77777777" w:rsidR="00275487" w:rsidRDefault="00275487" w:rsidP="00275487">
      <w:pPr>
        <w:pStyle w:val="Bibliography"/>
      </w:pPr>
      <w:r>
        <w:t xml:space="preserve">Howard, M. C., &amp; Hoffman, M. E. (2018). Variable-Centered, Person-Centered, and Person-Specific Approaches: Where Theory Meets the Method. </w:t>
      </w:r>
      <w:r>
        <w:rPr>
          <w:i/>
          <w:iCs/>
        </w:rPr>
        <w:t>Organizational Research Methods</w:t>
      </w:r>
      <w:r>
        <w:t xml:space="preserve">, </w:t>
      </w:r>
      <w:r>
        <w:rPr>
          <w:i/>
          <w:iCs/>
        </w:rPr>
        <w:t>21</w:t>
      </w:r>
      <w:r>
        <w:t xml:space="preserve">(4), 846–876. </w:t>
      </w:r>
      <w:proofErr w:type="spellStart"/>
      <w:r>
        <w:t>doi</w:t>
      </w:r>
      <w:proofErr w:type="spellEnd"/>
      <w:r>
        <w:t>: 10.1177/1094428117744021</w:t>
      </w:r>
    </w:p>
    <w:p w14:paraId="24D9BB52" w14:textId="77777777" w:rsidR="00275487" w:rsidRDefault="00275487" w:rsidP="00275487">
      <w:pPr>
        <w:pStyle w:val="Bibliography"/>
      </w:pPr>
      <w:r>
        <w:t xml:space="preserve">Hyson, M. (2008). </w:t>
      </w:r>
      <w:r>
        <w:rPr>
          <w:i/>
          <w:iCs/>
        </w:rPr>
        <w:t>Enthusiastic and engaged learners</w:t>
      </w:r>
      <w:r>
        <w:t>. New York, NY: Teachers College Press.</w:t>
      </w:r>
    </w:p>
    <w:p w14:paraId="4FF3F2C8" w14:textId="77777777" w:rsidR="00275487" w:rsidRDefault="00275487" w:rsidP="00275487">
      <w:pPr>
        <w:pStyle w:val="Bibliography"/>
      </w:pPr>
      <w:r>
        <w:t xml:space="preserve">Kagan, S., Moore, E., &amp; Bredekamp, S. (1995). </w:t>
      </w:r>
      <w:r>
        <w:rPr>
          <w:i/>
          <w:iCs/>
        </w:rPr>
        <w:t>Reconsidering children’s early learning and development: Toward common views and vocabulary</w:t>
      </w:r>
      <w:r>
        <w:t>. Washington, DC: National Education Goals Panel.</w:t>
      </w:r>
    </w:p>
    <w:p w14:paraId="5CB5D31F" w14:textId="6CCDCDA9" w:rsidR="00275487" w:rsidRDefault="00275487" w:rsidP="00275487">
      <w:pPr>
        <w:pStyle w:val="Bibliography"/>
      </w:pPr>
      <w:r>
        <w:t xml:space="preserve">Kim, H.-Y. (2015). Statistical notes for clinical researchers: Post-hoc multiple comparisons. </w:t>
      </w:r>
      <w:r>
        <w:rPr>
          <w:i/>
          <w:iCs/>
        </w:rPr>
        <w:t>Restorative Dentistry &amp; Endodontics</w:t>
      </w:r>
      <w:r>
        <w:t xml:space="preserve">, </w:t>
      </w:r>
      <w:r>
        <w:rPr>
          <w:i/>
          <w:iCs/>
        </w:rPr>
        <w:t>40</w:t>
      </w:r>
      <w:r>
        <w:t>(2), 172–176.</w:t>
      </w:r>
      <w:r w:rsidR="00573A55">
        <w:t xml:space="preserve"> </w:t>
      </w:r>
      <w:proofErr w:type="spellStart"/>
      <w:r w:rsidR="00573A55">
        <w:t>doi</w:t>
      </w:r>
      <w:proofErr w:type="spellEnd"/>
      <w:r w:rsidR="00573A55">
        <w:t>:</w:t>
      </w:r>
      <w:r w:rsidR="00573A55" w:rsidRPr="00573A55">
        <w:t xml:space="preserve"> 10.5395/rde.2015.40.2.172</w:t>
      </w:r>
    </w:p>
    <w:p w14:paraId="46713EC1" w14:textId="77777777" w:rsidR="00275487" w:rsidRDefault="00275487" w:rsidP="00275487">
      <w:pPr>
        <w:pStyle w:val="Bibliography"/>
      </w:pPr>
      <w:r>
        <w:t xml:space="preserve">King, B., Eastman, A. L., Grinnell-Davis, C., &amp; Aparicio, E. (2019). Early childbirth among foster youth: A latent class analysis to determine subgroups at increased risk. </w:t>
      </w:r>
      <w:r>
        <w:rPr>
          <w:i/>
          <w:iCs/>
        </w:rPr>
        <w:t>Perspectives on Sexual and Reproductive Health</w:t>
      </w:r>
      <w:r>
        <w:t xml:space="preserve">, </w:t>
      </w:r>
      <w:r>
        <w:rPr>
          <w:i/>
          <w:iCs/>
        </w:rPr>
        <w:t>51</w:t>
      </w:r>
      <w:r>
        <w:t>(4), 229–238. Retrieved from https://doi-org.ezproxy.lib.ou.edu/10.1363/psrh.12124</w:t>
      </w:r>
    </w:p>
    <w:p w14:paraId="01813A93" w14:textId="77777777" w:rsidR="00275487" w:rsidRDefault="00275487" w:rsidP="00275487">
      <w:pPr>
        <w:pStyle w:val="Bibliography"/>
      </w:pPr>
      <w:proofErr w:type="spellStart"/>
      <w:r>
        <w:t>Konold</w:t>
      </w:r>
      <w:proofErr w:type="spellEnd"/>
      <w:r>
        <w:t xml:space="preserve">, T. R., &amp; </w:t>
      </w:r>
      <w:proofErr w:type="spellStart"/>
      <w:r>
        <w:t>Pianta</w:t>
      </w:r>
      <w:proofErr w:type="spellEnd"/>
      <w:r>
        <w:t xml:space="preserve">, R. C. (2005). </w:t>
      </w:r>
      <w:proofErr w:type="gramStart"/>
      <w:r>
        <w:t>Empirically-derived</w:t>
      </w:r>
      <w:proofErr w:type="gramEnd"/>
      <w:r>
        <w:t xml:space="preserve">, person-oriented patterns of school readiness in typically-developing children: Description and prediction to first-grade achievement. </w:t>
      </w:r>
      <w:r>
        <w:rPr>
          <w:i/>
          <w:iCs/>
        </w:rPr>
        <w:t>Applied Developmental Science</w:t>
      </w:r>
      <w:r>
        <w:t xml:space="preserve">, </w:t>
      </w:r>
      <w:r>
        <w:rPr>
          <w:i/>
          <w:iCs/>
        </w:rPr>
        <w:t>9</w:t>
      </w:r>
      <w:r>
        <w:t xml:space="preserve">(4), 174–187. </w:t>
      </w:r>
      <w:proofErr w:type="spellStart"/>
      <w:r>
        <w:t>doi</w:t>
      </w:r>
      <w:proofErr w:type="spellEnd"/>
      <w:r>
        <w:t>: 10.1207/s1532480xads0904_1</w:t>
      </w:r>
    </w:p>
    <w:p w14:paraId="55B0BF51" w14:textId="77777777" w:rsidR="00275487" w:rsidRDefault="00275487" w:rsidP="00275487">
      <w:pPr>
        <w:pStyle w:val="Bibliography"/>
      </w:pPr>
      <w:proofErr w:type="spellStart"/>
      <w:r>
        <w:t>Kontos</w:t>
      </w:r>
      <w:proofErr w:type="spellEnd"/>
      <w:r>
        <w:t xml:space="preserve">, S., &amp; Keyes, L. (1999). An </w:t>
      </w:r>
      <w:proofErr w:type="spellStart"/>
      <w:r>
        <w:t>ecobehavioral</w:t>
      </w:r>
      <w:proofErr w:type="spellEnd"/>
      <w:r>
        <w:t xml:space="preserve"> analysis of early childhood classrooms. </w:t>
      </w:r>
      <w:r>
        <w:rPr>
          <w:i/>
          <w:iCs/>
        </w:rPr>
        <w:t>Early Childhood Research Quarterly</w:t>
      </w:r>
      <w:r>
        <w:t xml:space="preserve">, </w:t>
      </w:r>
      <w:r>
        <w:rPr>
          <w:i/>
          <w:iCs/>
        </w:rPr>
        <w:t>14</w:t>
      </w:r>
      <w:r>
        <w:t xml:space="preserve">(1), 35–50. </w:t>
      </w:r>
      <w:proofErr w:type="spellStart"/>
      <w:r>
        <w:t>doi</w:t>
      </w:r>
      <w:proofErr w:type="spellEnd"/>
      <w:r>
        <w:t>: 10.1016/S0885-2006(99)80003-9</w:t>
      </w:r>
    </w:p>
    <w:p w14:paraId="78A85CD1" w14:textId="77777777" w:rsidR="00275487" w:rsidRDefault="00275487" w:rsidP="00275487">
      <w:pPr>
        <w:pStyle w:val="Bibliography"/>
      </w:pPr>
      <w:proofErr w:type="spellStart"/>
      <w:r>
        <w:lastRenderedPageBreak/>
        <w:t>LeBuffe</w:t>
      </w:r>
      <w:proofErr w:type="spellEnd"/>
      <w:r>
        <w:t xml:space="preserve">, P., &amp; </w:t>
      </w:r>
      <w:proofErr w:type="spellStart"/>
      <w:r>
        <w:t>Naglieri</w:t>
      </w:r>
      <w:proofErr w:type="spellEnd"/>
      <w:r>
        <w:t xml:space="preserve">, J. (2012). </w:t>
      </w:r>
      <w:r>
        <w:rPr>
          <w:i/>
          <w:iCs/>
        </w:rPr>
        <w:t>The Devereux Early Childhood Assessment for Preschoolers, Second Edition (DECA-P2) Assessment, Technical Manual and User’s Guide</w:t>
      </w:r>
      <w:r>
        <w:t>. Lewisville, NC: Kaplan.</w:t>
      </w:r>
    </w:p>
    <w:p w14:paraId="6DFDB3C9" w14:textId="77777777" w:rsidR="00275487" w:rsidRDefault="00275487" w:rsidP="00275487">
      <w:pPr>
        <w:pStyle w:val="Bibliography"/>
      </w:pPr>
      <w:proofErr w:type="spellStart"/>
      <w:r>
        <w:t>LeBuffe</w:t>
      </w:r>
      <w:proofErr w:type="spellEnd"/>
      <w:r>
        <w:t xml:space="preserve">, P., &amp; Shapiro, V. (2004). Lending “strength” to the assessment of preschool social-emotional health. </w:t>
      </w:r>
      <w:r>
        <w:rPr>
          <w:i/>
          <w:iCs/>
        </w:rPr>
        <w:t>The California School Psychologist</w:t>
      </w:r>
      <w:r>
        <w:t xml:space="preserve">, </w:t>
      </w:r>
      <w:r>
        <w:rPr>
          <w:i/>
          <w:iCs/>
        </w:rPr>
        <w:t>9</w:t>
      </w:r>
      <w:r>
        <w:t xml:space="preserve">, 51–61. </w:t>
      </w:r>
      <w:proofErr w:type="spellStart"/>
      <w:r>
        <w:t>doi</w:t>
      </w:r>
      <w:proofErr w:type="spellEnd"/>
      <w:r>
        <w:t>: 10.1007/BF03340907</w:t>
      </w:r>
    </w:p>
    <w:p w14:paraId="38E71B95" w14:textId="77777777" w:rsidR="00275487" w:rsidRDefault="00275487" w:rsidP="00275487">
      <w:pPr>
        <w:pStyle w:val="Bibliography"/>
      </w:pPr>
      <w:r>
        <w:t xml:space="preserve">Lien, M. T., &amp; Carlson, J. S. (2009). Psychometric properties of the Devereux Early Childhood Assessment in a Head Start sample. </w:t>
      </w:r>
      <w:r>
        <w:rPr>
          <w:i/>
          <w:iCs/>
        </w:rPr>
        <w:t>Journal of Psychoeducational Assessment</w:t>
      </w:r>
      <w:r>
        <w:t xml:space="preserve">, </w:t>
      </w:r>
      <w:r>
        <w:rPr>
          <w:i/>
          <w:iCs/>
        </w:rPr>
        <w:t>27</w:t>
      </w:r>
      <w:r>
        <w:t xml:space="preserve">(5), 386–396. </w:t>
      </w:r>
      <w:proofErr w:type="spellStart"/>
      <w:r>
        <w:t>doi</w:t>
      </w:r>
      <w:proofErr w:type="spellEnd"/>
      <w:r>
        <w:t>: 10.1177/0734282909331754</w:t>
      </w:r>
    </w:p>
    <w:p w14:paraId="1519FCD2" w14:textId="77777777" w:rsidR="00275487" w:rsidRDefault="00275487" w:rsidP="00275487">
      <w:pPr>
        <w:pStyle w:val="Bibliography"/>
      </w:pPr>
      <w:r>
        <w:t>Li-</w:t>
      </w:r>
      <w:proofErr w:type="spellStart"/>
      <w:r>
        <w:t>Grining</w:t>
      </w:r>
      <w:proofErr w:type="spellEnd"/>
      <w:r>
        <w:t>, C. P., Votruba-</w:t>
      </w:r>
      <w:proofErr w:type="spellStart"/>
      <w:r>
        <w:t>Drzal</w:t>
      </w:r>
      <w:proofErr w:type="spellEnd"/>
      <w:r>
        <w:t>, E., Maldonado-</w:t>
      </w:r>
      <w:proofErr w:type="spellStart"/>
      <w:r>
        <w:t>Carreno</w:t>
      </w:r>
      <w:proofErr w:type="spellEnd"/>
      <w:r>
        <w:t xml:space="preserve">, C., &amp; Haas, K. (2010). Children’s early approaches to learning and academic trajectories through fifth grade. </w:t>
      </w:r>
      <w:r>
        <w:rPr>
          <w:i/>
          <w:iCs/>
        </w:rPr>
        <w:t>Developmental Psychology</w:t>
      </w:r>
      <w:r>
        <w:t xml:space="preserve">, </w:t>
      </w:r>
      <w:r>
        <w:rPr>
          <w:i/>
          <w:iCs/>
        </w:rPr>
        <w:t>46</w:t>
      </w:r>
      <w:r>
        <w:t xml:space="preserve">(5), 1062–1077. </w:t>
      </w:r>
      <w:proofErr w:type="spellStart"/>
      <w:r>
        <w:t>doi</w:t>
      </w:r>
      <w:proofErr w:type="spellEnd"/>
      <w:r>
        <w:t>: 10.1037/a0020066</w:t>
      </w:r>
    </w:p>
    <w:p w14:paraId="2104C807" w14:textId="77777777" w:rsidR="00275487" w:rsidRDefault="00275487" w:rsidP="00275487">
      <w:pPr>
        <w:pStyle w:val="Bibliography"/>
      </w:pPr>
      <w:proofErr w:type="spellStart"/>
      <w:r>
        <w:t>Litkowski</w:t>
      </w:r>
      <w:proofErr w:type="spellEnd"/>
      <w:r>
        <w:t xml:space="preserve">, E. C., Finders, J. K., </w:t>
      </w:r>
      <w:proofErr w:type="spellStart"/>
      <w:r>
        <w:t>Borriello</w:t>
      </w:r>
      <w:proofErr w:type="spellEnd"/>
      <w:r>
        <w:t xml:space="preserve">, G. A., Purpura, D. J., &amp; Schmitt, S. A. (2020). Patterns of heterogeneity in kindergarten children’s executive function: Profile associations with third grade achievement. </w:t>
      </w:r>
      <w:r>
        <w:rPr>
          <w:i/>
          <w:iCs/>
        </w:rPr>
        <w:t>Learning and Individual Differences</w:t>
      </w:r>
      <w:r>
        <w:t xml:space="preserve">, </w:t>
      </w:r>
      <w:r>
        <w:rPr>
          <w:i/>
          <w:iCs/>
        </w:rPr>
        <w:t>80</w:t>
      </w:r>
      <w:r>
        <w:t xml:space="preserve">, 101846. </w:t>
      </w:r>
      <w:proofErr w:type="spellStart"/>
      <w:r>
        <w:t>doi</w:t>
      </w:r>
      <w:proofErr w:type="spellEnd"/>
      <w:r>
        <w:t>: 10.1016/j.lindif.2020.101846</w:t>
      </w:r>
    </w:p>
    <w:p w14:paraId="4F7A6FD0" w14:textId="77777777" w:rsidR="00275487" w:rsidRDefault="00275487" w:rsidP="00275487">
      <w:pPr>
        <w:pStyle w:val="Bibliography"/>
      </w:pPr>
      <w:proofErr w:type="spellStart"/>
      <w:r>
        <w:t>Mahy</w:t>
      </w:r>
      <w:proofErr w:type="spellEnd"/>
      <w:r>
        <w:t xml:space="preserve">, C. E. V., &amp; Moses, L. J. (2011). Executive functioning and prospective memory in young children. </w:t>
      </w:r>
      <w:r>
        <w:rPr>
          <w:i/>
          <w:iCs/>
        </w:rPr>
        <w:t>Cognitive Development</w:t>
      </w:r>
      <w:r>
        <w:t xml:space="preserve">, S0885201411000384. </w:t>
      </w:r>
      <w:proofErr w:type="spellStart"/>
      <w:r>
        <w:t>doi</w:t>
      </w:r>
      <w:proofErr w:type="spellEnd"/>
      <w:r>
        <w:t>: 10.1016/j.cogdev.2011.06.002</w:t>
      </w:r>
    </w:p>
    <w:p w14:paraId="27204C0A" w14:textId="77777777" w:rsidR="00275487" w:rsidRDefault="00275487" w:rsidP="00275487">
      <w:pPr>
        <w:pStyle w:val="Bibliography"/>
      </w:pPr>
      <w:r>
        <w:t xml:space="preserve">Martin, N. A., &amp; Brownell, R. (2011). </w:t>
      </w:r>
      <w:r>
        <w:rPr>
          <w:i/>
          <w:iCs/>
        </w:rPr>
        <w:t>Expressive one-word picture vocabulary test</w:t>
      </w:r>
      <w:r>
        <w:t xml:space="preserve"> (4th ed.). Novato, CA: Academic Therapy Publications.</w:t>
      </w:r>
    </w:p>
    <w:p w14:paraId="1D11EE6E" w14:textId="394CB181" w:rsidR="00275487" w:rsidRDefault="00275487" w:rsidP="00275487">
      <w:pPr>
        <w:pStyle w:val="Bibliography"/>
      </w:pPr>
      <w:proofErr w:type="spellStart"/>
      <w:r>
        <w:t>Masten</w:t>
      </w:r>
      <w:proofErr w:type="spellEnd"/>
      <w:r>
        <w:t xml:space="preserve">, A. S. (2001). Ordinary magic: Resilience processes in development. </w:t>
      </w:r>
      <w:r>
        <w:rPr>
          <w:i/>
          <w:iCs/>
        </w:rPr>
        <w:t>American Psychologist</w:t>
      </w:r>
      <w:r>
        <w:t xml:space="preserve">, </w:t>
      </w:r>
      <w:r>
        <w:rPr>
          <w:i/>
          <w:iCs/>
        </w:rPr>
        <w:t>56</w:t>
      </w:r>
      <w:r>
        <w:t>(3), 227</w:t>
      </w:r>
      <w:r w:rsidR="00573A55">
        <w:t>-238</w:t>
      </w:r>
      <w:r>
        <w:t xml:space="preserve">. </w:t>
      </w:r>
      <w:proofErr w:type="spellStart"/>
      <w:r>
        <w:t>doi</w:t>
      </w:r>
      <w:proofErr w:type="spellEnd"/>
      <w:r>
        <w:t>: 10.1037/0003-066X.56.3.227</w:t>
      </w:r>
    </w:p>
    <w:p w14:paraId="53F4C0C9" w14:textId="03C0AD08" w:rsidR="00275487" w:rsidRDefault="00275487" w:rsidP="00275487">
      <w:pPr>
        <w:pStyle w:val="Bibliography"/>
      </w:pPr>
      <w:proofErr w:type="spellStart"/>
      <w:r>
        <w:t>Masten</w:t>
      </w:r>
      <w:proofErr w:type="spellEnd"/>
      <w:r>
        <w:t xml:space="preserve">, A. S., &amp; Cicchetti, D. (2016). Resilience in development: Progress and transformation. </w:t>
      </w:r>
      <w:r>
        <w:rPr>
          <w:i/>
          <w:iCs/>
        </w:rPr>
        <w:t>Developmental Psychopathology</w:t>
      </w:r>
      <w:r>
        <w:t>, 1–63.</w:t>
      </w:r>
      <w:r w:rsidR="008A3951">
        <w:t xml:space="preserve"> </w:t>
      </w:r>
      <w:proofErr w:type="spellStart"/>
      <w:r w:rsidR="008A3951">
        <w:t>doi</w:t>
      </w:r>
      <w:proofErr w:type="spellEnd"/>
      <w:r w:rsidR="008A3951">
        <w:t>:</w:t>
      </w:r>
      <w:r w:rsidR="008A3951" w:rsidRPr="008A3951">
        <w:t xml:space="preserve"> 10.1002/9781119125556.devpsy406</w:t>
      </w:r>
    </w:p>
    <w:p w14:paraId="4A246058" w14:textId="7CAE136D" w:rsidR="008A3951" w:rsidRDefault="00275487" w:rsidP="00275487">
      <w:pPr>
        <w:pStyle w:val="Bibliography"/>
      </w:pPr>
      <w:proofErr w:type="spellStart"/>
      <w:r>
        <w:t>Masyn</w:t>
      </w:r>
      <w:proofErr w:type="spellEnd"/>
      <w:r>
        <w:t xml:space="preserve">, K. E. (2013). 25 latent class analysis and finite mixture modeling. </w:t>
      </w:r>
      <w:r w:rsidR="008A3951">
        <w:t>In T. Little (Ed</w:t>
      </w:r>
      <w:r w:rsidR="005267A7">
        <w:t>.</w:t>
      </w:r>
      <w:r w:rsidR="008A3951">
        <w:t>)</w:t>
      </w:r>
      <w:r w:rsidR="005267A7">
        <w:t>,</w:t>
      </w:r>
      <w:r w:rsidR="008A3951">
        <w:rPr>
          <w:i/>
          <w:iCs/>
        </w:rPr>
        <w:t xml:space="preserve"> </w:t>
      </w:r>
      <w:r>
        <w:rPr>
          <w:i/>
          <w:iCs/>
        </w:rPr>
        <w:t>The Oxford Handbook of Quantitative Methods</w:t>
      </w:r>
      <w:r w:rsidR="008A3951">
        <w:t xml:space="preserve"> (</w:t>
      </w:r>
      <w:r w:rsidR="005267A7">
        <w:t>pp.</w:t>
      </w:r>
      <w:r w:rsidR="008A3951">
        <w:t xml:space="preserve"> </w:t>
      </w:r>
      <w:r>
        <w:t>551</w:t>
      </w:r>
      <w:r w:rsidR="008A3951">
        <w:t xml:space="preserve">-611). New York: Oxford University Press </w:t>
      </w:r>
    </w:p>
    <w:p w14:paraId="1C04D5FD" w14:textId="1B51F9BB" w:rsidR="00110301" w:rsidRDefault="00110301" w:rsidP="00110301">
      <w:pPr>
        <w:pStyle w:val="Bibliography"/>
      </w:pPr>
      <w:r w:rsidRPr="004325CF">
        <w:t xml:space="preserve">Matthews, J. S., </w:t>
      </w:r>
      <w:proofErr w:type="spellStart"/>
      <w:r w:rsidRPr="004325CF">
        <w:t>Ponitz</w:t>
      </w:r>
      <w:proofErr w:type="spellEnd"/>
      <w:r w:rsidRPr="004325CF">
        <w:t>, C. C., &amp; Morrison, F. J. (2009). Early gender differences in self-regulation and academic achievement. </w:t>
      </w:r>
      <w:r w:rsidRPr="004325CF">
        <w:rPr>
          <w:i/>
          <w:iCs/>
        </w:rPr>
        <w:t>Journal of educational psychology</w:t>
      </w:r>
      <w:r w:rsidRPr="004325CF">
        <w:t>, </w:t>
      </w:r>
      <w:r w:rsidRPr="004325CF">
        <w:rPr>
          <w:i/>
          <w:iCs/>
        </w:rPr>
        <w:t>101</w:t>
      </w:r>
      <w:r w:rsidRPr="004325CF">
        <w:t>(3), 689</w:t>
      </w:r>
      <w:proofErr w:type="gramStart"/>
      <w:r w:rsidRPr="004325CF">
        <w:t>.</w:t>
      </w:r>
      <w:r>
        <w:t xml:space="preserve"> </w:t>
      </w:r>
      <w:r w:rsidRPr="004325CF">
        <w:t xml:space="preserve"> </w:t>
      </w:r>
      <w:proofErr w:type="spellStart"/>
      <w:proofErr w:type="gramEnd"/>
      <w:r>
        <w:t>doi</w:t>
      </w:r>
      <w:proofErr w:type="spellEnd"/>
      <w:r>
        <w:t>: 10.1037/a0014240</w:t>
      </w:r>
    </w:p>
    <w:p w14:paraId="38031BE7" w14:textId="7590CA68" w:rsidR="00275487" w:rsidRDefault="00275487" w:rsidP="00275487">
      <w:pPr>
        <w:pStyle w:val="Bibliography"/>
      </w:pPr>
      <w:r>
        <w:t xml:space="preserve">McClelland, M. M., </w:t>
      </w:r>
      <w:proofErr w:type="spellStart"/>
      <w:r>
        <w:t>Acock</w:t>
      </w:r>
      <w:proofErr w:type="spellEnd"/>
      <w:r>
        <w:t xml:space="preserve">, A. C., &amp; Morrison, F. J. (2006). The impact of kindergarten learning-related skills on academic trajectories at the end of elementary school. </w:t>
      </w:r>
      <w:r>
        <w:rPr>
          <w:i/>
          <w:iCs/>
        </w:rPr>
        <w:t>Early Childhood Research Quarterly</w:t>
      </w:r>
      <w:r>
        <w:t xml:space="preserve">, </w:t>
      </w:r>
      <w:r>
        <w:rPr>
          <w:i/>
          <w:iCs/>
        </w:rPr>
        <w:t>21</w:t>
      </w:r>
      <w:r>
        <w:t xml:space="preserve">(4), 471–490. </w:t>
      </w:r>
      <w:proofErr w:type="spellStart"/>
      <w:r>
        <w:t>doi</w:t>
      </w:r>
      <w:proofErr w:type="spellEnd"/>
      <w:r>
        <w:t>: 10.1016/j.ecresq.2006.09.003</w:t>
      </w:r>
    </w:p>
    <w:p w14:paraId="6A5250F2" w14:textId="77777777" w:rsidR="00275487" w:rsidRDefault="00275487" w:rsidP="00275487">
      <w:pPr>
        <w:pStyle w:val="Bibliography"/>
      </w:pPr>
      <w:r>
        <w:lastRenderedPageBreak/>
        <w:t xml:space="preserve">McClelland, M. M., &amp; Cameron, C. E. (2012). Self-regulation in early childhood: Improving conceptual clarity and developing ecologically valid measures. </w:t>
      </w:r>
      <w:r>
        <w:rPr>
          <w:i/>
          <w:iCs/>
        </w:rPr>
        <w:t>Child Development Perspectives</w:t>
      </w:r>
      <w:r>
        <w:t xml:space="preserve">, </w:t>
      </w:r>
      <w:r>
        <w:rPr>
          <w:i/>
          <w:iCs/>
        </w:rPr>
        <w:t>6</w:t>
      </w:r>
      <w:r>
        <w:t xml:space="preserve">(2), 136–142. </w:t>
      </w:r>
      <w:proofErr w:type="spellStart"/>
      <w:r>
        <w:t>doi</w:t>
      </w:r>
      <w:proofErr w:type="spellEnd"/>
      <w:r>
        <w:t>: 10.1111/j.1750-8606.2011.00191.x</w:t>
      </w:r>
    </w:p>
    <w:p w14:paraId="72F8408F" w14:textId="77777777" w:rsidR="00275487" w:rsidRDefault="00275487" w:rsidP="00275487">
      <w:pPr>
        <w:pStyle w:val="Bibliography"/>
      </w:pPr>
      <w:r>
        <w:t xml:space="preserve">McClelland, M. M., Cameron, C. E., Duncan, R., Bowles, R. P., </w:t>
      </w:r>
      <w:proofErr w:type="spellStart"/>
      <w:r>
        <w:t>Acock</w:t>
      </w:r>
      <w:proofErr w:type="spellEnd"/>
      <w:r>
        <w:t xml:space="preserve">, A. C., Miao, A., &amp; Pratt, M. E. (2014). Predictors of early growth in academic achievement: The head-toes-knees-shoulders task. </w:t>
      </w:r>
      <w:r>
        <w:rPr>
          <w:i/>
          <w:iCs/>
        </w:rPr>
        <w:t>Frontiers in Psychology</w:t>
      </w:r>
      <w:r>
        <w:t xml:space="preserve">, </w:t>
      </w:r>
      <w:r>
        <w:rPr>
          <w:i/>
          <w:iCs/>
        </w:rPr>
        <w:t>5</w:t>
      </w:r>
      <w:r>
        <w:t xml:space="preserve">. </w:t>
      </w:r>
      <w:proofErr w:type="spellStart"/>
      <w:r>
        <w:t>doi</w:t>
      </w:r>
      <w:proofErr w:type="spellEnd"/>
      <w:r>
        <w:t>: 10.3389/fpsyg.2014.00599</w:t>
      </w:r>
    </w:p>
    <w:p w14:paraId="38D19653" w14:textId="77777777" w:rsidR="00275487" w:rsidRDefault="00275487" w:rsidP="00275487">
      <w:pPr>
        <w:pStyle w:val="Bibliography"/>
      </w:pPr>
      <w:r>
        <w:t xml:space="preserve">McClelland, M. M., &amp; Morrison, F. J. (2003). The emergence of learning-related social skills in preschool children. </w:t>
      </w:r>
      <w:r>
        <w:rPr>
          <w:i/>
          <w:iCs/>
        </w:rPr>
        <w:t>Early Childhood Research Quarterly</w:t>
      </w:r>
      <w:r>
        <w:t xml:space="preserve">, </w:t>
      </w:r>
      <w:r>
        <w:rPr>
          <w:i/>
          <w:iCs/>
        </w:rPr>
        <w:t>18</w:t>
      </w:r>
      <w:r>
        <w:t xml:space="preserve">(2), 206–224. </w:t>
      </w:r>
      <w:proofErr w:type="spellStart"/>
      <w:r>
        <w:t>doi</w:t>
      </w:r>
      <w:proofErr w:type="spellEnd"/>
      <w:r>
        <w:t>: 10.1016/S0885-2006(03)00026-7</w:t>
      </w:r>
    </w:p>
    <w:p w14:paraId="5B80C90A" w14:textId="77777777" w:rsidR="00275487" w:rsidRDefault="00275487" w:rsidP="00275487">
      <w:pPr>
        <w:pStyle w:val="Bibliography"/>
      </w:pPr>
      <w:r>
        <w:t xml:space="preserve">McDermott, P. A., Leigh, N. M., &amp; Perry, M. A. (2002). Development and validation of the preschool learning behaviors scale. </w:t>
      </w:r>
      <w:r>
        <w:rPr>
          <w:i/>
          <w:iCs/>
        </w:rPr>
        <w:t>Psychology in the Schools</w:t>
      </w:r>
      <w:r>
        <w:t xml:space="preserve">, </w:t>
      </w:r>
      <w:r>
        <w:rPr>
          <w:i/>
          <w:iCs/>
        </w:rPr>
        <w:t>39</w:t>
      </w:r>
      <w:r>
        <w:t xml:space="preserve">(4), 353–365. </w:t>
      </w:r>
      <w:proofErr w:type="spellStart"/>
      <w:r>
        <w:t>doi</w:t>
      </w:r>
      <w:proofErr w:type="spellEnd"/>
      <w:r>
        <w:t>: 10.1002/pits.10036</w:t>
      </w:r>
    </w:p>
    <w:p w14:paraId="76AD6B22" w14:textId="77777777" w:rsidR="00275487" w:rsidRDefault="00275487" w:rsidP="00275487">
      <w:pPr>
        <w:pStyle w:val="Bibliography"/>
      </w:pPr>
      <w:r>
        <w:t xml:space="preserve">McDermott, P. A., </w:t>
      </w:r>
      <w:proofErr w:type="spellStart"/>
      <w:r>
        <w:t>Rikoon</w:t>
      </w:r>
      <w:proofErr w:type="spellEnd"/>
      <w:r>
        <w:t xml:space="preserve">, S. H., &amp; </w:t>
      </w:r>
      <w:proofErr w:type="spellStart"/>
      <w:r>
        <w:t>Fantuzzo</w:t>
      </w:r>
      <w:proofErr w:type="spellEnd"/>
      <w:r>
        <w:t xml:space="preserve">, J. W. (2014). Tracing children’s approaches to learning through Head Start, kindergarten, and first grade: Different pathways to different outcomes. </w:t>
      </w:r>
      <w:r>
        <w:rPr>
          <w:i/>
          <w:iCs/>
        </w:rPr>
        <w:t>Journal of Educational Psychology</w:t>
      </w:r>
      <w:r>
        <w:t xml:space="preserve">, </w:t>
      </w:r>
      <w:r>
        <w:rPr>
          <w:i/>
          <w:iCs/>
        </w:rPr>
        <w:t>106</w:t>
      </w:r>
      <w:r>
        <w:t xml:space="preserve">(1), 200–213. </w:t>
      </w:r>
      <w:proofErr w:type="spellStart"/>
      <w:r>
        <w:t>doi</w:t>
      </w:r>
      <w:proofErr w:type="spellEnd"/>
      <w:r>
        <w:t>: http://dx.doi.org.ezproxy.lib.ou.edu/10.1037/a0033547</w:t>
      </w:r>
    </w:p>
    <w:p w14:paraId="75F3E3C5" w14:textId="77777777" w:rsidR="00275487" w:rsidRDefault="00275487" w:rsidP="00275487">
      <w:pPr>
        <w:pStyle w:val="Bibliography"/>
      </w:pPr>
      <w:r>
        <w:t xml:space="preserve">McDermott, P. A., </w:t>
      </w:r>
      <w:proofErr w:type="spellStart"/>
      <w:r>
        <w:t>Rovine</w:t>
      </w:r>
      <w:proofErr w:type="spellEnd"/>
      <w:r>
        <w:t xml:space="preserve">, M. J., Reyes, R. S., Chao, J. L., Scruggs, R., </w:t>
      </w:r>
      <w:proofErr w:type="spellStart"/>
      <w:r>
        <w:t>Buek</w:t>
      </w:r>
      <w:proofErr w:type="spellEnd"/>
      <w:r>
        <w:t xml:space="preserve">, K., &amp; </w:t>
      </w:r>
      <w:proofErr w:type="spellStart"/>
      <w:r>
        <w:t>Fantuzzo</w:t>
      </w:r>
      <w:proofErr w:type="spellEnd"/>
      <w:r>
        <w:t xml:space="preserve">, J. W. (2018). Trajectories of early education learning behaviors among children at risk: A growth mixture modeling approach. </w:t>
      </w:r>
      <w:r>
        <w:rPr>
          <w:i/>
          <w:iCs/>
        </w:rPr>
        <w:t>Psychology in the Schools</w:t>
      </w:r>
      <w:r>
        <w:t xml:space="preserve">, </w:t>
      </w:r>
      <w:r>
        <w:rPr>
          <w:i/>
          <w:iCs/>
        </w:rPr>
        <w:t>55</w:t>
      </w:r>
      <w:r>
        <w:t xml:space="preserve">(10), 1205–1223. </w:t>
      </w:r>
      <w:proofErr w:type="spellStart"/>
      <w:r>
        <w:t>doi</w:t>
      </w:r>
      <w:proofErr w:type="spellEnd"/>
      <w:r>
        <w:t>: 10.1002/pits.22145</w:t>
      </w:r>
    </w:p>
    <w:p w14:paraId="2875F67A" w14:textId="77777777" w:rsidR="00275487" w:rsidRDefault="00275487" w:rsidP="00275487">
      <w:pPr>
        <w:pStyle w:val="Bibliography"/>
      </w:pPr>
      <w:r>
        <w:t xml:space="preserve">McWayne, C., &amp; Cheung, K. (2009). A picture of strength: Preschool competencies mediate the effects of early behavior problems on later academic and social adjustment for Head Start children. </w:t>
      </w:r>
      <w:r>
        <w:rPr>
          <w:i/>
          <w:iCs/>
        </w:rPr>
        <w:t>Journal of Applied Developmental Psychology</w:t>
      </w:r>
      <w:r>
        <w:t xml:space="preserve">, </w:t>
      </w:r>
      <w:r>
        <w:rPr>
          <w:i/>
          <w:iCs/>
        </w:rPr>
        <w:t>30</w:t>
      </w:r>
      <w:r>
        <w:t xml:space="preserve">(3), 273–285. </w:t>
      </w:r>
      <w:proofErr w:type="spellStart"/>
      <w:r>
        <w:t>doi</w:t>
      </w:r>
      <w:proofErr w:type="spellEnd"/>
      <w:r>
        <w:t>: 10.1016/j.appdev.2008.12.014</w:t>
      </w:r>
    </w:p>
    <w:p w14:paraId="507D6E2D" w14:textId="77777777" w:rsidR="00275487" w:rsidRDefault="00275487" w:rsidP="00275487">
      <w:pPr>
        <w:pStyle w:val="Bibliography"/>
      </w:pPr>
      <w:r>
        <w:t xml:space="preserve">McWayne, C., Cheung, K., Wright, L. E., &amp; </w:t>
      </w:r>
      <w:proofErr w:type="spellStart"/>
      <w:r>
        <w:t>Hahs</w:t>
      </w:r>
      <w:proofErr w:type="spellEnd"/>
      <w:r>
        <w:t xml:space="preserve">-Vaughn, D. L. (2012). Patterns of school readiness among head start children: Meaningful within-group variability during the transition to kindergarten. </w:t>
      </w:r>
      <w:r>
        <w:rPr>
          <w:i/>
          <w:iCs/>
        </w:rPr>
        <w:t>Journal of Educational Psychology</w:t>
      </w:r>
      <w:r>
        <w:t xml:space="preserve">, </w:t>
      </w:r>
      <w:r>
        <w:rPr>
          <w:i/>
          <w:iCs/>
        </w:rPr>
        <w:t>104</w:t>
      </w:r>
      <w:r>
        <w:t xml:space="preserve">(3), 862–878. </w:t>
      </w:r>
      <w:proofErr w:type="spellStart"/>
      <w:r>
        <w:t>doi</w:t>
      </w:r>
      <w:proofErr w:type="spellEnd"/>
      <w:r>
        <w:t>: 10.1037/a0028884</w:t>
      </w:r>
    </w:p>
    <w:p w14:paraId="76F8959A" w14:textId="77777777" w:rsidR="00275487" w:rsidRDefault="00275487" w:rsidP="00275487">
      <w:pPr>
        <w:pStyle w:val="Bibliography"/>
      </w:pPr>
      <w:proofErr w:type="spellStart"/>
      <w:r>
        <w:t>Montroy</w:t>
      </w:r>
      <w:proofErr w:type="spellEnd"/>
      <w:r>
        <w:t xml:space="preserve">, J. J., Bowles, R. P., </w:t>
      </w:r>
      <w:proofErr w:type="spellStart"/>
      <w:r>
        <w:t>Skibbe</w:t>
      </w:r>
      <w:proofErr w:type="spellEnd"/>
      <w:r>
        <w:t xml:space="preserve">, L. E., &amp; Foster, T. D. (2014). Social skills and problem behaviors as mediators of the relationship between behavioral self-regulation and academic achievement. </w:t>
      </w:r>
      <w:r>
        <w:rPr>
          <w:i/>
          <w:iCs/>
        </w:rPr>
        <w:t>Early Childhood Research Quarterly</w:t>
      </w:r>
      <w:r>
        <w:t xml:space="preserve">, </w:t>
      </w:r>
      <w:r>
        <w:rPr>
          <w:i/>
          <w:iCs/>
        </w:rPr>
        <w:t>29</w:t>
      </w:r>
      <w:r>
        <w:t xml:space="preserve">(3), 298–309. </w:t>
      </w:r>
      <w:proofErr w:type="spellStart"/>
      <w:r>
        <w:t>doi</w:t>
      </w:r>
      <w:proofErr w:type="spellEnd"/>
      <w:r>
        <w:t>: 10.1016/j.ecresq.2014.03.002</w:t>
      </w:r>
    </w:p>
    <w:p w14:paraId="39902C4F" w14:textId="739F06A4" w:rsidR="00275487" w:rsidRDefault="00275487" w:rsidP="00275487">
      <w:pPr>
        <w:pStyle w:val="Bibliography"/>
      </w:pPr>
      <w:r>
        <w:t xml:space="preserve">Morgan, G. B. (2015). Mixed mode latent class analysis: An examination of fit index performance for classification. </w:t>
      </w:r>
      <w:r>
        <w:rPr>
          <w:i/>
          <w:iCs/>
        </w:rPr>
        <w:t>Structural Equation Modeling: A Multidisciplinary Journal</w:t>
      </w:r>
      <w:r>
        <w:t xml:space="preserve">, </w:t>
      </w:r>
      <w:r>
        <w:rPr>
          <w:i/>
          <w:iCs/>
        </w:rPr>
        <w:t>22</w:t>
      </w:r>
      <w:r>
        <w:t>(1), 76–86.</w:t>
      </w:r>
      <w:r w:rsidR="00DB0ED0">
        <w:t xml:space="preserve"> </w:t>
      </w:r>
      <w:proofErr w:type="spellStart"/>
      <w:r w:rsidR="00DB0ED0">
        <w:t>doi</w:t>
      </w:r>
      <w:proofErr w:type="spellEnd"/>
      <w:r w:rsidR="00DB0ED0">
        <w:t xml:space="preserve">: </w:t>
      </w:r>
      <w:r w:rsidR="00DB0ED0" w:rsidRPr="00DB0ED0">
        <w:t>10.1080/10705511.2014.935751</w:t>
      </w:r>
    </w:p>
    <w:p w14:paraId="6B0093CF" w14:textId="77777777" w:rsidR="00275487" w:rsidRDefault="00275487" w:rsidP="00275487">
      <w:pPr>
        <w:pStyle w:val="Bibliography"/>
      </w:pPr>
      <w:proofErr w:type="spellStart"/>
      <w:r>
        <w:t>Muthén</w:t>
      </w:r>
      <w:proofErr w:type="spellEnd"/>
      <w:r>
        <w:t xml:space="preserve">, B., &amp; </w:t>
      </w:r>
      <w:proofErr w:type="spellStart"/>
      <w:r>
        <w:t>Muthén</w:t>
      </w:r>
      <w:proofErr w:type="spellEnd"/>
      <w:r>
        <w:t xml:space="preserve">, L. K. (1998). </w:t>
      </w:r>
      <w:proofErr w:type="spellStart"/>
      <w:r>
        <w:rPr>
          <w:i/>
          <w:iCs/>
        </w:rPr>
        <w:t>Mplus</w:t>
      </w:r>
      <w:proofErr w:type="spellEnd"/>
      <w:r>
        <w:rPr>
          <w:i/>
          <w:iCs/>
        </w:rPr>
        <w:t xml:space="preserve"> User’s Guide</w:t>
      </w:r>
      <w:r>
        <w:t xml:space="preserve"> (8th ed.). Los Angeles, CA: </w:t>
      </w:r>
      <w:proofErr w:type="spellStart"/>
      <w:r>
        <w:t>Muthen</w:t>
      </w:r>
      <w:proofErr w:type="spellEnd"/>
      <w:r>
        <w:t xml:space="preserve"> &amp; </w:t>
      </w:r>
      <w:proofErr w:type="spellStart"/>
      <w:r>
        <w:t>Muthen</w:t>
      </w:r>
      <w:proofErr w:type="spellEnd"/>
      <w:r>
        <w:t>.</w:t>
      </w:r>
    </w:p>
    <w:p w14:paraId="1033667C" w14:textId="77777777" w:rsidR="00275487" w:rsidRDefault="00275487" w:rsidP="00275487">
      <w:pPr>
        <w:pStyle w:val="Bibliography"/>
      </w:pPr>
      <w:r>
        <w:lastRenderedPageBreak/>
        <w:t xml:space="preserve">Nesbitt, K. T., </w:t>
      </w:r>
      <w:proofErr w:type="spellStart"/>
      <w:r>
        <w:t>Farran</w:t>
      </w:r>
      <w:proofErr w:type="spellEnd"/>
      <w:r>
        <w:t xml:space="preserve">, D. C., &amp; </w:t>
      </w:r>
      <w:proofErr w:type="spellStart"/>
      <w:r>
        <w:t>Fuhs</w:t>
      </w:r>
      <w:proofErr w:type="spellEnd"/>
      <w:r>
        <w:t xml:space="preserve">, M. W. (2015). Executive function skills and academic achievement gains in prekindergarten: Contributions of learning-related behaviors. </w:t>
      </w:r>
      <w:r>
        <w:rPr>
          <w:i/>
          <w:iCs/>
        </w:rPr>
        <w:t>Developmental Psychology</w:t>
      </w:r>
      <w:r>
        <w:t xml:space="preserve">, </w:t>
      </w:r>
      <w:r>
        <w:rPr>
          <w:i/>
          <w:iCs/>
        </w:rPr>
        <w:t>51</w:t>
      </w:r>
      <w:r>
        <w:t xml:space="preserve">(7), 865–878. </w:t>
      </w:r>
      <w:proofErr w:type="spellStart"/>
      <w:r>
        <w:t>doi</w:t>
      </w:r>
      <w:proofErr w:type="spellEnd"/>
      <w:r>
        <w:t>: 10.1037/dev0000021</w:t>
      </w:r>
    </w:p>
    <w:p w14:paraId="1EEF674F" w14:textId="2E5A396E" w:rsidR="00275487" w:rsidRDefault="00275487" w:rsidP="00275487">
      <w:pPr>
        <w:pStyle w:val="Bibliography"/>
      </w:pPr>
      <w:proofErr w:type="spellStart"/>
      <w:r>
        <w:t>Nylund</w:t>
      </w:r>
      <w:proofErr w:type="spellEnd"/>
      <w:r>
        <w:t xml:space="preserve">, K. L., </w:t>
      </w:r>
      <w:proofErr w:type="spellStart"/>
      <w:r>
        <w:t>Asparouhov</w:t>
      </w:r>
      <w:proofErr w:type="spellEnd"/>
      <w:r>
        <w:t xml:space="preserve">, T., &amp; </w:t>
      </w:r>
      <w:proofErr w:type="spellStart"/>
      <w:r>
        <w:t>Muthén</w:t>
      </w:r>
      <w:proofErr w:type="spellEnd"/>
      <w:r>
        <w:t xml:space="preserve">, B. O. (2007). Deciding on the number of classes in latent class analysis and growth mixture modeling: A Monte Carlo simulation study. </w:t>
      </w:r>
      <w:r>
        <w:rPr>
          <w:i/>
          <w:iCs/>
        </w:rPr>
        <w:t>Structural Equation Modeling: A Multidisciplinary Journal</w:t>
      </w:r>
      <w:r>
        <w:t xml:space="preserve">, </w:t>
      </w:r>
      <w:r>
        <w:rPr>
          <w:i/>
          <w:iCs/>
        </w:rPr>
        <w:t>14</w:t>
      </w:r>
      <w:r>
        <w:t>(4), 535–569.</w:t>
      </w:r>
      <w:r w:rsidR="00DB0ED0">
        <w:t xml:space="preserve"> </w:t>
      </w:r>
      <w:proofErr w:type="spellStart"/>
      <w:r w:rsidR="00DB0ED0">
        <w:t>doi</w:t>
      </w:r>
      <w:proofErr w:type="spellEnd"/>
      <w:r w:rsidR="00DB0ED0">
        <w:t>:</w:t>
      </w:r>
      <w:r w:rsidR="00DB0ED0" w:rsidRPr="00DB0ED0">
        <w:t xml:space="preserve"> 10.1080/10705510701575396</w:t>
      </w:r>
    </w:p>
    <w:p w14:paraId="615B0761" w14:textId="77777777" w:rsidR="00275487" w:rsidRDefault="00275487" w:rsidP="00275487">
      <w:pPr>
        <w:pStyle w:val="Bibliography"/>
      </w:pPr>
      <w:proofErr w:type="spellStart"/>
      <w:r>
        <w:t>Panter</w:t>
      </w:r>
      <w:proofErr w:type="spellEnd"/>
      <w:r>
        <w:t xml:space="preserve">, J. E., &amp; Bracken, B. A. (2009). Validity of the Bracken School Readiness Assessment for predicting first grade readiness. </w:t>
      </w:r>
      <w:r>
        <w:rPr>
          <w:i/>
          <w:iCs/>
        </w:rPr>
        <w:t>Psychology in the Schools</w:t>
      </w:r>
      <w:r>
        <w:t xml:space="preserve">, </w:t>
      </w:r>
      <w:r>
        <w:rPr>
          <w:i/>
          <w:iCs/>
        </w:rPr>
        <w:t>46</w:t>
      </w:r>
      <w:r>
        <w:t xml:space="preserve">(5), 397–409. </w:t>
      </w:r>
      <w:proofErr w:type="spellStart"/>
      <w:r>
        <w:t>doi</w:t>
      </w:r>
      <w:proofErr w:type="spellEnd"/>
      <w:r>
        <w:t>: 10.1002/pits.20385</w:t>
      </w:r>
    </w:p>
    <w:p w14:paraId="7C371197" w14:textId="77777777" w:rsidR="00275487" w:rsidRDefault="00275487" w:rsidP="00275487">
      <w:pPr>
        <w:pStyle w:val="Bibliography"/>
      </w:pPr>
      <w:proofErr w:type="spellStart"/>
      <w:r>
        <w:t>Ponitz</w:t>
      </w:r>
      <w:proofErr w:type="spellEnd"/>
      <w:r>
        <w:t xml:space="preserve">, C. C., McClelland, M. M., Matthews, J. S., &amp; Morrison, F. J. (2009). A structured observation of behavioral self-regulation and its contribution to kindergarten outcomes. </w:t>
      </w:r>
      <w:r>
        <w:rPr>
          <w:i/>
          <w:iCs/>
        </w:rPr>
        <w:t>Developmental Psychology</w:t>
      </w:r>
      <w:r>
        <w:t xml:space="preserve">, </w:t>
      </w:r>
      <w:r>
        <w:rPr>
          <w:i/>
          <w:iCs/>
        </w:rPr>
        <w:t>45</w:t>
      </w:r>
      <w:r>
        <w:t xml:space="preserve">(3), 605–619. </w:t>
      </w:r>
      <w:proofErr w:type="spellStart"/>
      <w:r>
        <w:t>doi</w:t>
      </w:r>
      <w:proofErr w:type="spellEnd"/>
      <w:r>
        <w:t>: 10.1037/a0015365</w:t>
      </w:r>
    </w:p>
    <w:p w14:paraId="47AC3C28" w14:textId="1CE9885E" w:rsidR="00DB0ED0" w:rsidRDefault="00275487" w:rsidP="00275487">
      <w:pPr>
        <w:pStyle w:val="Bibliography"/>
      </w:pPr>
      <w:r>
        <w:t xml:space="preserve">Pratt, M. E., Swanson, J., van </w:t>
      </w:r>
      <w:proofErr w:type="spellStart"/>
      <w:r>
        <w:t>Huisstede</w:t>
      </w:r>
      <w:proofErr w:type="spellEnd"/>
      <w:r>
        <w:t xml:space="preserve">, L., &amp; </w:t>
      </w:r>
      <w:proofErr w:type="spellStart"/>
      <w:r>
        <w:t>Gaias</w:t>
      </w:r>
      <w:proofErr w:type="spellEnd"/>
      <w:r>
        <w:t xml:space="preserve">, L. M. (2019). Cumulative family stressors and kindergarten adjustment: The exacerbating role of teacher–child conflict. </w:t>
      </w:r>
      <w:r>
        <w:rPr>
          <w:i/>
          <w:iCs/>
        </w:rPr>
        <w:t>Merrill-Palmer Quarterly</w:t>
      </w:r>
      <w:r>
        <w:t xml:space="preserve">, </w:t>
      </w:r>
      <w:r>
        <w:rPr>
          <w:i/>
          <w:iCs/>
        </w:rPr>
        <w:t>65</w:t>
      </w:r>
      <w:r>
        <w:t xml:space="preserve">(1), 28–53. </w:t>
      </w:r>
      <w:proofErr w:type="spellStart"/>
      <w:r w:rsidR="00DB0ED0">
        <w:t>doi</w:t>
      </w:r>
      <w:proofErr w:type="spellEnd"/>
      <w:r w:rsidR="00DB0ED0">
        <w:t xml:space="preserve">: </w:t>
      </w:r>
      <w:r w:rsidR="00DB0ED0" w:rsidRPr="00DB0ED0">
        <w:t>10.13110/merrpalmquar1982.65.1.0028</w:t>
      </w:r>
    </w:p>
    <w:p w14:paraId="1E064EC1" w14:textId="6BC38AAF" w:rsidR="00275487" w:rsidRDefault="00275487" w:rsidP="00275487">
      <w:pPr>
        <w:pStyle w:val="Bibliography"/>
      </w:pPr>
      <w:proofErr w:type="spellStart"/>
      <w:r>
        <w:t>Racz</w:t>
      </w:r>
      <w:proofErr w:type="spellEnd"/>
      <w:r>
        <w:t xml:space="preserve">, S. J., </w:t>
      </w:r>
      <w:proofErr w:type="spellStart"/>
      <w:r>
        <w:t>O’Brennan</w:t>
      </w:r>
      <w:proofErr w:type="spellEnd"/>
      <w:r>
        <w:t xml:space="preserve">, L. M., Bradshaw, C. P., &amp; Leaf, P. J. (2016). The influence of family and teacher factors on early disruptive school behaviors: A latent profile transition analysis. </w:t>
      </w:r>
      <w:r>
        <w:rPr>
          <w:i/>
          <w:iCs/>
        </w:rPr>
        <w:t>Journal of Emotional and Behavioral Disorders</w:t>
      </w:r>
      <w:r>
        <w:t xml:space="preserve">, </w:t>
      </w:r>
      <w:r>
        <w:rPr>
          <w:i/>
          <w:iCs/>
        </w:rPr>
        <w:t>24</w:t>
      </w:r>
      <w:r>
        <w:t xml:space="preserve">(2), 67–81. </w:t>
      </w:r>
      <w:proofErr w:type="spellStart"/>
      <w:r>
        <w:t>doi</w:t>
      </w:r>
      <w:proofErr w:type="spellEnd"/>
      <w:r>
        <w:t>: 10.1177/1063426615599541</w:t>
      </w:r>
    </w:p>
    <w:p w14:paraId="73080219" w14:textId="77777777" w:rsidR="00275487" w:rsidRDefault="00275487" w:rsidP="00275487">
      <w:pPr>
        <w:pStyle w:val="Bibliography"/>
      </w:pPr>
      <w:proofErr w:type="spellStart"/>
      <w:r>
        <w:t>Razza</w:t>
      </w:r>
      <w:proofErr w:type="spellEnd"/>
      <w:r>
        <w:t xml:space="preserve">, R. A., Martin, A., &amp; Brooks-Gunn, J. (2015). Are approaches to learning in kindergarten associated with academic and social competence similarly? </w:t>
      </w:r>
      <w:r>
        <w:rPr>
          <w:i/>
          <w:iCs/>
        </w:rPr>
        <w:t>Child &amp; Youth Care Forum</w:t>
      </w:r>
      <w:r>
        <w:t xml:space="preserve">, </w:t>
      </w:r>
      <w:r>
        <w:rPr>
          <w:i/>
          <w:iCs/>
        </w:rPr>
        <w:t>44</w:t>
      </w:r>
      <w:r>
        <w:t xml:space="preserve">(6), 757–776. </w:t>
      </w:r>
      <w:proofErr w:type="spellStart"/>
      <w:r>
        <w:t>doi</w:t>
      </w:r>
      <w:proofErr w:type="spellEnd"/>
      <w:r>
        <w:t>: 10.1007/s10566-015-9307-0</w:t>
      </w:r>
    </w:p>
    <w:p w14:paraId="14BB3877" w14:textId="3CAF94D9" w:rsidR="009F429D" w:rsidRDefault="009F429D" w:rsidP="00275487">
      <w:pPr>
        <w:pStyle w:val="Bibliography"/>
      </w:pPr>
      <w:r w:rsidRPr="009F429D">
        <w:t xml:space="preserve">Ready, D. D., </w:t>
      </w:r>
      <w:proofErr w:type="spellStart"/>
      <w:r w:rsidRPr="009F429D">
        <w:t>LoGerfo</w:t>
      </w:r>
      <w:proofErr w:type="spellEnd"/>
      <w:r w:rsidRPr="009F429D">
        <w:t xml:space="preserve">, L. F., </w:t>
      </w:r>
      <w:proofErr w:type="spellStart"/>
      <w:r w:rsidRPr="009F429D">
        <w:t>Burkam</w:t>
      </w:r>
      <w:proofErr w:type="spellEnd"/>
      <w:r w:rsidRPr="009F429D">
        <w:t xml:space="preserve">, D. T., &amp; Lee, V. E. (2005). Explaining girls’ advantage in kindergarten literacy learning: Do classroom behaviors make a </w:t>
      </w:r>
      <w:proofErr w:type="gramStart"/>
      <w:r w:rsidRPr="009F429D">
        <w:t>difference?.</w:t>
      </w:r>
      <w:proofErr w:type="gramEnd"/>
      <w:r w:rsidRPr="009F429D">
        <w:t> </w:t>
      </w:r>
      <w:r w:rsidRPr="009F429D">
        <w:rPr>
          <w:i/>
          <w:iCs/>
        </w:rPr>
        <w:t>The elementary school journal</w:t>
      </w:r>
      <w:r w:rsidRPr="009F429D">
        <w:t>, </w:t>
      </w:r>
      <w:r w:rsidRPr="009F429D">
        <w:rPr>
          <w:i/>
          <w:iCs/>
        </w:rPr>
        <w:t>106</w:t>
      </w:r>
      <w:r w:rsidRPr="009F429D">
        <w:t>(1), 21-38.</w:t>
      </w:r>
      <w:r>
        <w:t xml:space="preserve"> </w:t>
      </w:r>
      <w:proofErr w:type="spellStart"/>
      <w:r w:rsidRPr="009F429D">
        <w:rPr>
          <w:rFonts w:cs="Times New Roman"/>
          <w:szCs w:val="24"/>
        </w:rPr>
        <w:t>doi</w:t>
      </w:r>
      <w:proofErr w:type="spellEnd"/>
      <w:r w:rsidRPr="009F429D">
        <w:rPr>
          <w:rFonts w:cs="Times New Roman"/>
          <w:szCs w:val="24"/>
        </w:rPr>
        <w:t xml:space="preserve">: </w:t>
      </w:r>
      <w:r w:rsidRPr="009F429D">
        <w:rPr>
          <w:rFonts w:cs="Times New Roman"/>
          <w:szCs w:val="24"/>
          <w:shd w:val="clear" w:color="auto" w:fill="FFFFFF"/>
        </w:rPr>
        <w:t>10.1086/496905</w:t>
      </w:r>
    </w:p>
    <w:p w14:paraId="15457DEF" w14:textId="2AE455C5" w:rsidR="00275487" w:rsidRDefault="00275487" w:rsidP="00275487">
      <w:pPr>
        <w:pStyle w:val="Bibliography"/>
      </w:pPr>
      <w:r>
        <w:t xml:space="preserve">Reid, E. E., </w:t>
      </w:r>
      <w:proofErr w:type="spellStart"/>
      <w:r>
        <w:t>Diperna</w:t>
      </w:r>
      <w:proofErr w:type="spellEnd"/>
      <w:r>
        <w:t xml:space="preserve">, J. C., </w:t>
      </w:r>
      <w:proofErr w:type="spellStart"/>
      <w:r>
        <w:t>Missall</w:t>
      </w:r>
      <w:proofErr w:type="spellEnd"/>
      <w:r>
        <w:t xml:space="preserve">, K., &amp; Volpe, R. J. (2014). Reliability and structural validity of the teacher rating scales of early academic competence. </w:t>
      </w:r>
      <w:r>
        <w:rPr>
          <w:i/>
          <w:iCs/>
        </w:rPr>
        <w:t>Psychology in the Schools</w:t>
      </w:r>
      <w:r>
        <w:t xml:space="preserve">, </w:t>
      </w:r>
      <w:r>
        <w:rPr>
          <w:i/>
          <w:iCs/>
        </w:rPr>
        <w:t>51</w:t>
      </w:r>
      <w:r>
        <w:t xml:space="preserve">(6), 535–553. </w:t>
      </w:r>
      <w:proofErr w:type="spellStart"/>
      <w:r>
        <w:t>doi</w:t>
      </w:r>
      <w:proofErr w:type="spellEnd"/>
      <w:r>
        <w:t>: 10.1002/pits.21769</w:t>
      </w:r>
    </w:p>
    <w:p w14:paraId="25FCEF40" w14:textId="77777777" w:rsidR="00275487" w:rsidRDefault="00275487" w:rsidP="00275487">
      <w:pPr>
        <w:pStyle w:val="Bibliography"/>
      </w:pPr>
      <w:r>
        <w:t xml:space="preserve">Rhoades, B. L., Warren, H. K., </w:t>
      </w:r>
      <w:proofErr w:type="spellStart"/>
      <w:r>
        <w:t>Domitrovich</w:t>
      </w:r>
      <w:proofErr w:type="spellEnd"/>
      <w:r>
        <w:t xml:space="preserve">, C. E., &amp; Greenberg, M. T. (2011). Examining the link between preschool social–emotional competence and first grade academic achievement: The role of attention skills. </w:t>
      </w:r>
      <w:r>
        <w:rPr>
          <w:i/>
          <w:iCs/>
        </w:rPr>
        <w:t>Early Childhood Research Quarterly</w:t>
      </w:r>
      <w:r>
        <w:t xml:space="preserve">, </w:t>
      </w:r>
      <w:r>
        <w:rPr>
          <w:i/>
          <w:iCs/>
        </w:rPr>
        <w:t>26</w:t>
      </w:r>
      <w:r>
        <w:t xml:space="preserve">(2), 182–191. </w:t>
      </w:r>
      <w:proofErr w:type="spellStart"/>
      <w:r>
        <w:t>doi</w:t>
      </w:r>
      <w:proofErr w:type="spellEnd"/>
      <w:r>
        <w:t>: 10.1016/j.ecresq.2010.07.003</w:t>
      </w:r>
    </w:p>
    <w:p w14:paraId="73733147" w14:textId="798CFB1C" w:rsidR="00275487" w:rsidRDefault="00275487" w:rsidP="00275487">
      <w:pPr>
        <w:pStyle w:val="Bibliography"/>
      </w:pPr>
      <w:proofErr w:type="spellStart"/>
      <w:r>
        <w:t>Roesch</w:t>
      </w:r>
      <w:proofErr w:type="spellEnd"/>
      <w:r>
        <w:t xml:space="preserve">, S. C., </w:t>
      </w:r>
      <w:proofErr w:type="spellStart"/>
      <w:r>
        <w:t>Villodas</w:t>
      </w:r>
      <w:proofErr w:type="spellEnd"/>
      <w:r>
        <w:t xml:space="preserve">, M., &amp; </w:t>
      </w:r>
      <w:proofErr w:type="spellStart"/>
      <w:r>
        <w:t>Villodas</w:t>
      </w:r>
      <w:proofErr w:type="spellEnd"/>
      <w:r>
        <w:t xml:space="preserve">, F. (2010). Latent class/profile analysis in maltreatment research: A commentary on </w:t>
      </w:r>
      <w:proofErr w:type="spellStart"/>
      <w:r>
        <w:t>Nooner</w:t>
      </w:r>
      <w:proofErr w:type="spellEnd"/>
      <w:r>
        <w:t xml:space="preserve"> et al., Pears et al., and looking beyond. </w:t>
      </w:r>
      <w:r>
        <w:rPr>
          <w:i/>
          <w:iCs/>
        </w:rPr>
        <w:t>Child Abuse &amp; Neglect</w:t>
      </w:r>
      <w:r>
        <w:t xml:space="preserve">, </w:t>
      </w:r>
      <w:r>
        <w:rPr>
          <w:i/>
          <w:iCs/>
        </w:rPr>
        <w:t>34</w:t>
      </w:r>
      <w:r>
        <w:t>(3), 155.</w:t>
      </w:r>
      <w:r w:rsidR="00DB0ED0" w:rsidRPr="00DB0ED0">
        <w:t xml:space="preserve"> doi:10.1016/j.chiabu.2010.01.003</w:t>
      </w:r>
    </w:p>
    <w:p w14:paraId="2536787D" w14:textId="77777777" w:rsidR="00275487" w:rsidRDefault="00275487" w:rsidP="00275487">
      <w:pPr>
        <w:pStyle w:val="Bibliography"/>
      </w:pPr>
      <w:proofErr w:type="spellStart"/>
      <w:r>
        <w:lastRenderedPageBreak/>
        <w:t>Roid</w:t>
      </w:r>
      <w:proofErr w:type="spellEnd"/>
      <w:r>
        <w:t xml:space="preserve">, G. H., &amp; Miller, L. J. (1997). </w:t>
      </w:r>
      <w:r>
        <w:rPr>
          <w:i/>
          <w:iCs/>
        </w:rPr>
        <w:t>Leiter international performance scale-revised (Leiter-R).</w:t>
      </w:r>
      <w:r>
        <w:t xml:space="preserve"> Wood Dale, IL: </w:t>
      </w:r>
      <w:proofErr w:type="spellStart"/>
      <w:r>
        <w:t>Stoelting</w:t>
      </w:r>
      <w:proofErr w:type="spellEnd"/>
      <w:r>
        <w:t>.</w:t>
      </w:r>
    </w:p>
    <w:p w14:paraId="35B92B74" w14:textId="77777777" w:rsidR="00275487" w:rsidRDefault="00275487" w:rsidP="00275487">
      <w:pPr>
        <w:pStyle w:val="Bibliography"/>
      </w:pPr>
      <w:r>
        <w:t xml:space="preserve">Sabol, Terri J., </w:t>
      </w:r>
      <w:proofErr w:type="spellStart"/>
      <w:r>
        <w:t>Bohlmann</w:t>
      </w:r>
      <w:proofErr w:type="spellEnd"/>
      <w:r>
        <w:t xml:space="preserve">, N. L., &amp; Downer, J. T. (2018). Low‐income ethnically diverse children’s engagement as a predictor of school readiness above preschool classroom quality. </w:t>
      </w:r>
      <w:r>
        <w:rPr>
          <w:i/>
          <w:iCs/>
        </w:rPr>
        <w:t>Child Development</w:t>
      </w:r>
      <w:r>
        <w:t xml:space="preserve">, </w:t>
      </w:r>
      <w:r>
        <w:rPr>
          <w:i/>
          <w:iCs/>
        </w:rPr>
        <w:t>89</w:t>
      </w:r>
      <w:r>
        <w:t xml:space="preserve">(2), 556–576. </w:t>
      </w:r>
      <w:proofErr w:type="spellStart"/>
      <w:r>
        <w:t>doi</w:t>
      </w:r>
      <w:proofErr w:type="spellEnd"/>
      <w:r>
        <w:t>: 10.1111/cdev.12832</w:t>
      </w:r>
    </w:p>
    <w:p w14:paraId="1BC4C507" w14:textId="25370369" w:rsidR="00275487" w:rsidRDefault="00275487" w:rsidP="00275487">
      <w:pPr>
        <w:pStyle w:val="Bibliography"/>
      </w:pPr>
      <w:r>
        <w:t xml:space="preserve">Sabol, T.J., &amp; </w:t>
      </w:r>
      <w:proofErr w:type="spellStart"/>
      <w:r>
        <w:t>Pianta</w:t>
      </w:r>
      <w:proofErr w:type="spellEnd"/>
      <w:r>
        <w:t>, R. C. (2017). The state of young children in the United States: School readiness. In E. Votruba-</w:t>
      </w:r>
      <w:proofErr w:type="spellStart"/>
      <w:r>
        <w:t>Drzal</w:t>
      </w:r>
      <w:proofErr w:type="spellEnd"/>
      <w:r>
        <w:t xml:space="preserve"> &amp; E. Dearing (Eds.), </w:t>
      </w:r>
      <w:r>
        <w:rPr>
          <w:i/>
          <w:iCs/>
        </w:rPr>
        <w:t xml:space="preserve">Handbook of early childhood development programs, </w:t>
      </w:r>
      <w:proofErr w:type="gramStart"/>
      <w:r>
        <w:rPr>
          <w:i/>
          <w:iCs/>
        </w:rPr>
        <w:t>practices</w:t>
      </w:r>
      <w:proofErr w:type="gramEnd"/>
      <w:r>
        <w:rPr>
          <w:i/>
          <w:iCs/>
        </w:rPr>
        <w:t xml:space="preserve"> and policies</w:t>
      </w:r>
      <w:r w:rsidR="00DB0ED0">
        <w:rPr>
          <w:i/>
          <w:iCs/>
        </w:rPr>
        <w:t xml:space="preserve"> (pp. 1-17)</w:t>
      </w:r>
      <w:r>
        <w:t>. Malden, MA ; Oxford: Wiley and Sons.</w:t>
      </w:r>
    </w:p>
    <w:p w14:paraId="66C766BF" w14:textId="77777777" w:rsidR="00275487" w:rsidRDefault="00275487" w:rsidP="00275487">
      <w:pPr>
        <w:pStyle w:val="Bibliography"/>
      </w:pPr>
      <w:r>
        <w:t xml:space="preserve">Sasser, T. R., Bierman, K. L., &amp; Heinrichs, B. (2015). Executive functioning and school adjustment: The mediational role of pre-kindergarten learning-related behaviors. </w:t>
      </w:r>
      <w:r>
        <w:rPr>
          <w:i/>
          <w:iCs/>
        </w:rPr>
        <w:t>Early Childhood Research Quarterly</w:t>
      </w:r>
      <w:r>
        <w:t xml:space="preserve">, </w:t>
      </w:r>
      <w:r>
        <w:rPr>
          <w:i/>
          <w:iCs/>
        </w:rPr>
        <w:t>30</w:t>
      </w:r>
      <w:r>
        <w:t xml:space="preserve">, 70–79. </w:t>
      </w:r>
      <w:proofErr w:type="spellStart"/>
      <w:r>
        <w:t>doi</w:t>
      </w:r>
      <w:proofErr w:type="spellEnd"/>
      <w:r>
        <w:t>: 10.1016/j.ecresq.2014.09.001</w:t>
      </w:r>
    </w:p>
    <w:p w14:paraId="0ABD98FD" w14:textId="77777777" w:rsidR="00275487" w:rsidRDefault="00275487" w:rsidP="00275487">
      <w:pPr>
        <w:pStyle w:val="Bibliography"/>
      </w:pPr>
      <w:r>
        <w:t xml:space="preserve">Smith-Donald, R., Raver, C. C., Hayes, T., &amp; Richardson, B. (2007). Preliminary construct and concurrent validity of the Preschool Self-regulation Assessment (PSRA) for field-based research. </w:t>
      </w:r>
      <w:r>
        <w:rPr>
          <w:i/>
          <w:iCs/>
        </w:rPr>
        <w:t>Early Childhood Research Quarterly</w:t>
      </w:r>
      <w:r>
        <w:t xml:space="preserve">, </w:t>
      </w:r>
      <w:r>
        <w:rPr>
          <w:i/>
          <w:iCs/>
        </w:rPr>
        <w:t>22</w:t>
      </w:r>
      <w:r>
        <w:t xml:space="preserve">(2), 173–187. </w:t>
      </w:r>
      <w:proofErr w:type="spellStart"/>
      <w:r>
        <w:t>doi</w:t>
      </w:r>
      <w:proofErr w:type="spellEnd"/>
      <w:r>
        <w:t>: 10.1016/j.ecresq.2007.01.002</w:t>
      </w:r>
    </w:p>
    <w:p w14:paraId="26A2CF18" w14:textId="77777777" w:rsidR="00275487" w:rsidRDefault="00275487" w:rsidP="00275487">
      <w:pPr>
        <w:pStyle w:val="Bibliography"/>
      </w:pPr>
      <w:r>
        <w:t xml:space="preserve">Stipek, D., Newton, S., &amp; </w:t>
      </w:r>
      <w:proofErr w:type="spellStart"/>
      <w:r>
        <w:t>Chudgar</w:t>
      </w:r>
      <w:proofErr w:type="spellEnd"/>
      <w:r>
        <w:t xml:space="preserve">, A. (2010). Learning-related behaviors and literacy achievement in elementary school-aged children. </w:t>
      </w:r>
      <w:r>
        <w:rPr>
          <w:i/>
          <w:iCs/>
        </w:rPr>
        <w:t>Early Childhood Research Quarterly</w:t>
      </w:r>
      <w:r>
        <w:t xml:space="preserve">, </w:t>
      </w:r>
      <w:r>
        <w:rPr>
          <w:i/>
          <w:iCs/>
        </w:rPr>
        <w:t>25</w:t>
      </w:r>
      <w:r>
        <w:t xml:space="preserve">(3), 385–395. </w:t>
      </w:r>
      <w:proofErr w:type="spellStart"/>
      <w:r>
        <w:t>doi</w:t>
      </w:r>
      <w:proofErr w:type="spellEnd"/>
      <w:r>
        <w:t>: 10.1016/j.ecresq.2009.12.001</w:t>
      </w:r>
    </w:p>
    <w:p w14:paraId="4EEF9380" w14:textId="77777777" w:rsidR="00275487" w:rsidRDefault="00275487" w:rsidP="00275487">
      <w:pPr>
        <w:pStyle w:val="Bibliography"/>
      </w:pPr>
      <w:r>
        <w:t xml:space="preserve">Sun, J., Zhang, L., Chen, E., Lau, C., &amp; Rao, N. (2018). Preschool attendance and executive function mediate early academic achievement gaps in East Asia and the Pacific. </w:t>
      </w:r>
      <w:r>
        <w:rPr>
          <w:i/>
          <w:iCs/>
        </w:rPr>
        <w:t>Early Education and Development</w:t>
      </w:r>
      <w:r>
        <w:t xml:space="preserve">, </w:t>
      </w:r>
      <w:r>
        <w:rPr>
          <w:i/>
          <w:iCs/>
        </w:rPr>
        <w:t>29</w:t>
      </w:r>
      <w:r>
        <w:t xml:space="preserve">(8), 1039–1060. </w:t>
      </w:r>
      <w:proofErr w:type="spellStart"/>
      <w:r>
        <w:t>doi</w:t>
      </w:r>
      <w:proofErr w:type="spellEnd"/>
      <w:r>
        <w:t>: 10.1080/10409289.2018.1498999</w:t>
      </w:r>
    </w:p>
    <w:p w14:paraId="57FA6FCA" w14:textId="77777777" w:rsidR="00275487" w:rsidRDefault="00275487" w:rsidP="00275487">
      <w:pPr>
        <w:pStyle w:val="Bibliography"/>
      </w:pPr>
      <w:r>
        <w:t xml:space="preserve">Sung, J., &amp; </w:t>
      </w:r>
      <w:proofErr w:type="spellStart"/>
      <w:r>
        <w:t>Wickrama</w:t>
      </w:r>
      <w:proofErr w:type="spellEnd"/>
      <w:r>
        <w:t xml:space="preserve">, K. A. S. (2018). Longitudinal relationship between early academic achievement and executive function: Mediating role of approaches to learning. </w:t>
      </w:r>
      <w:r>
        <w:rPr>
          <w:i/>
          <w:iCs/>
        </w:rPr>
        <w:t>Contemporary Educational Psychology</w:t>
      </w:r>
      <w:r>
        <w:t xml:space="preserve">, </w:t>
      </w:r>
      <w:r>
        <w:rPr>
          <w:i/>
          <w:iCs/>
        </w:rPr>
        <w:t>54</w:t>
      </w:r>
      <w:r>
        <w:t xml:space="preserve">, 171–183. </w:t>
      </w:r>
      <w:proofErr w:type="spellStart"/>
      <w:r>
        <w:t>doi</w:t>
      </w:r>
      <w:proofErr w:type="spellEnd"/>
      <w:r>
        <w:t>: 10.1016/j.cedpsych.2018.06.010</w:t>
      </w:r>
    </w:p>
    <w:p w14:paraId="3D9F6D80" w14:textId="750C8B05" w:rsidR="00275487" w:rsidRDefault="00275487" w:rsidP="00275487">
      <w:pPr>
        <w:pStyle w:val="Bibliography"/>
      </w:pPr>
      <w:r>
        <w:t xml:space="preserve">Tein, J.-Y., </w:t>
      </w:r>
      <w:proofErr w:type="spellStart"/>
      <w:r>
        <w:t>Coxe</w:t>
      </w:r>
      <w:proofErr w:type="spellEnd"/>
      <w:r>
        <w:t xml:space="preserve">, S., &amp; Cham, H. (2013). Statistical power to detect the correct number of classes in latent profile analysis. </w:t>
      </w:r>
      <w:r>
        <w:rPr>
          <w:i/>
          <w:iCs/>
        </w:rPr>
        <w:t>Structural Equation Modeling: A Multidisciplinary Journal</w:t>
      </w:r>
      <w:r>
        <w:t xml:space="preserve">, </w:t>
      </w:r>
      <w:r>
        <w:rPr>
          <w:i/>
          <w:iCs/>
        </w:rPr>
        <w:t>20</w:t>
      </w:r>
      <w:r>
        <w:t>(4), 640–657.</w:t>
      </w:r>
      <w:r w:rsidR="00536181" w:rsidRPr="00536181">
        <w:t xml:space="preserve"> </w:t>
      </w:r>
      <w:proofErr w:type="spellStart"/>
      <w:r w:rsidR="00536181" w:rsidRPr="00536181">
        <w:t>doi</w:t>
      </w:r>
      <w:proofErr w:type="spellEnd"/>
      <w:r w:rsidR="00536181" w:rsidRPr="00536181">
        <w:t>: 10.1080/10705511.2013.824781</w:t>
      </w:r>
    </w:p>
    <w:p w14:paraId="2838AE87" w14:textId="4D4B6618" w:rsidR="00275487" w:rsidRDefault="00275487" w:rsidP="00275487">
      <w:pPr>
        <w:pStyle w:val="Bibliography"/>
      </w:pPr>
      <w:proofErr w:type="spellStart"/>
      <w:r>
        <w:t>Turpyn</w:t>
      </w:r>
      <w:proofErr w:type="spellEnd"/>
      <w:r>
        <w:t xml:space="preserve">, C. C., Chaplin, T. M., Cook, E. C., &amp; </w:t>
      </w:r>
      <w:proofErr w:type="spellStart"/>
      <w:r>
        <w:t>Martelli</w:t>
      </w:r>
      <w:proofErr w:type="spellEnd"/>
      <w:r>
        <w:t xml:space="preserve">, A. M. (2015). A person-centered approach to adolescent emotion regulation: Associations with psychopathology and parenting. </w:t>
      </w:r>
      <w:r>
        <w:rPr>
          <w:i/>
          <w:iCs/>
        </w:rPr>
        <w:t>Journal of Experimental Child Psychology</w:t>
      </w:r>
      <w:r>
        <w:t xml:space="preserve">, </w:t>
      </w:r>
      <w:r>
        <w:rPr>
          <w:i/>
          <w:iCs/>
        </w:rPr>
        <w:t>136</w:t>
      </w:r>
      <w:r>
        <w:t>, 1–16.</w:t>
      </w:r>
      <w:r w:rsidR="00536181" w:rsidRPr="00536181">
        <w:t xml:space="preserve"> </w:t>
      </w:r>
      <w:proofErr w:type="spellStart"/>
      <w:r w:rsidR="00536181">
        <w:t>doi</w:t>
      </w:r>
      <w:proofErr w:type="spellEnd"/>
      <w:r w:rsidR="00536181" w:rsidRPr="00536181">
        <w:t>: 10.1016/j.jecp.2015.02.009</w:t>
      </w:r>
    </w:p>
    <w:p w14:paraId="218C4185" w14:textId="0F255707" w:rsidR="00275487" w:rsidRDefault="00275487" w:rsidP="00275487">
      <w:pPr>
        <w:pStyle w:val="Bibliography"/>
      </w:pPr>
      <w:r>
        <w:t xml:space="preserve">Ungar, M., </w:t>
      </w:r>
      <w:proofErr w:type="spellStart"/>
      <w:r>
        <w:t>Ghazinour</w:t>
      </w:r>
      <w:proofErr w:type="spellEnd"/>
      <w:r>
        <w:t xml:space="preserve">, M., &amp; Richter, J. (2013). Annual research review: What is resilience within the social ecology of human development? </w:t>
      </w:r>
      <w:r>
        <w:rPr>
          <w:i/>
          <w:iCs/>
        </w:rPr>
        <w:t>Journal of Child Psychology and Psychiatry</w:t>
      </w:r>
      <w:r>
        <w:t xml:space="preserve">, </w:t>
      </w:r>
      <w:r>
        <w:rPr>
          <w:i/>
          <w:iCs/>
        </w:rPr>
        <w:t>54</w:t>
      </w:r>
      <w:r>
        <w:t>(4), 348–366.</w:t>
      </w:r>
      <w:r w:rsidR="00536181">
        <w:t xml:space="preserve"> </w:t>
      </w:r>
      <w:proofErr w:type="spellStart"/>
      <w:r w:rsidR="00536181">
        <w:t>doi</w:t>
      </w:r>
      <w:proofErr w:type="spellEnd"/>
      <w:r w:rsidR="00536181">
        <w:t>:</w:t>
      </w:r>
      <w:r w:rsidR="00536181" w:rsidRPr="00536181">
        <w:t xml:space="preserve"> 10.1111/jcpp.12025</w:t>
      </w:r>
    </w:p>
    <w:p w14:paraId="1CBA41F1" w14:textId="77777777" w:rsidR="00275487" w:rsidRDefault="00275487" w:rsidP="00275487">
      <w:pPr>
        <w:pStyle w:val="Bibliography"/>
      </w:pPr>
      <w:r>
        <w:lastRenderedPageBreak/>
        <w:t xml:space="preserve">Vaughn, M. G., </w:t>
      </w:r>
      <w:proofErr w:type="spellStart"/>
      <w:r>
        <w:t>DeLisi</w:t>
      </w:r>
      <w:proofErr w:type="spellEnd"/>
      <w:r>
        <w:t xml:space="preserve">, M., Beaver, K. M., &amp; Wright, J. P. (2009). Identifying latent classes of behavioral risk based on early childhood: Manifestations of self-control. </w:t>
      </w:r>
      <w:r>
        <w:rPr>
          <w:i/>
          <w:iCs/>
        </w:rPr>
        <w:t>Youth Violence and Juvenile Justice</w:t>
      </w:r>
      <w:r>
        <w:t xml:space="preserve">, </w:t>
      </w:r>
      <w:r>
        <w:rPr>
          <w:i/>
          <w:iCs/>
        </w:rPr>
        <w:t>7</w:t>
      </w:r>
      <w:r>
        <w:t xml:space="preserve">(1), 16–31. </w:t>
      </w:r>
      <w:proofErr w:type="spellStart"/>
      <w:r>
        <w:t>doi</w:t>
      </w:r>
      <w:proofErr w:type="spellEnd"/>
      <w:r>
        <w:t>: 10.1177/1541204008324911</w:t>
      </w:r>
    </w:p>
    <w:p w14:paraId="30807DFD" w14:textId="74BD14B9" w:rsidR="00275487" w:rsidRDefault="00275487" w:rsidP="00275487">
      <w:pPr>
        <w:pStyle w:val="Bibliography"/>
      </w:pPr>
      <w:proofErr w:type="spellStart"/>
      <w:r>
        <w:t>Wanless</w:t>
      </w:r>
      <w:proofErr w:type="spellEnd"/>
      <w:r>
        <w:t xml:space="preserve">, S. B., McClelland, M. M., </w:t>
      </w:r>
      <w:proofErr w:type="spellStart"/>
      <w:r>
        <w:t>Tominey</w:t>
      </w:r>
      <w:proofErr w:type="spellEnd"/>
      <w:r>
        <w:t xml:space="preserve">, S., &amp; </w:t>
      </w:r>
      <w:proofErr w:type="spellStart"/>
      <w:r>
        <w:t>Acock</w:t>
      </w:r>
      <w:proofErr w:type="spellEnd"/>
      <w:r>
        <w:t xml:space="preserve">, A. (2011). The influence of demographic risk factors on children’s behavioral regulation in prekindergarten and kindergarten. </w:t>
      </w:r>
      <w:r>
        <w:rPr>
          <w:i/>
          <w:iCs/>
        </w:rPr>
        <w:t>Early Education &amp; Development</w:t>
      </w:r>
      <w:r>
        <w:t xml:space="preserve">, </w:t>
      </w:r>
      <w:r>
        <w:rPr>
          <w:i/>
          <w:iCs/>
        </w:rPr>
        <w:t>22</w:t>
      </w:r>
      <w:r>
        <w:t>(3), 461–488.</w:t>
      </w:r>
      <w:r w:rsidR="00871469">
        <w:t xml:space="preserve"> </w:t>
      </w:r>
      <w:proofErr w:type="spellStart"/>
      <w:r w:rsidR="00871469">
        <w:t>doi</w:t>
      </w:r>
      <w:proofErr w:type="spellEnd"/>
      <w:r w:rsidR="00871469">
        <w:t>:</w:t>
      </w:r>
      <w:r w:rsidR="00871469" w:rsidRPr="00871469">
        <w:t xml:space="preserve"> 10.1080/10409289.2011.536132</w:t>
      </w:r>
    </w:p>
    <w:p w14:paraId="4C6E18AB" w14:textId="6F9D8334" w:rsidR="00275487" w:rsidRDefault="00275487" w:rsidP="00275487">
      <w:pPr>
        <w:pStyle w:val="Bibliography"/>
      </w:pPr>
      <w:r>
        <w:t xml:space="preserve">Weiland, C., </w:t>
      </w:r>
      <w:proofErr w:type="spellStart"/>
      <w:r>
        <w:t>Barata</w:t>
      </w:r>
      <w:proofErr w:type="spellEnd"/>
      <w:r>
        <w:t xml:space="preserve">, M. C., &amp; Yoshikawa, H. (2014). The Co-Occurring </w:t>
      </w:r>
      <w:r w:rsidR="00871469">
        <w:t>d</w:t>
      </w:r>
      <w:r>
        <w:t xml:space="preserve">evelopment of </w:t>
      </w:r>
      <w:r w:rsidR="00871469">
        <w:t>e</w:t>
      </w:r>
      <w:r>
        <w:t xml:space="preserve">xecutive </w:t>
      </w:r>
      <w:r w:rsidR="00871469">
        <w:t>f</w:t>
      </w:r>
      <w:r>
        <w:t xml:space="preserve">unction </w:t>
      </w:r>
      <w:r w:rsidR="00871469">
        <w:t>s</w:t>
      </w:r>
      <w:r>
        <w:t xml:space="preserve">kills and </w:t>
      </w:r>
      <w:r w:rsidR="00871469">
        <w:t>r</w:t>
      </w:r>
      <w:r>
        <w:t xml:space="preserve">eceptive </w:t>
      </w:r>
      <w:r w:rsidR="00871469">
        <w:t>v</w:t>
      </w:r>
      <w:r>
        <w:t xml:space="preserve">ocabulary in </w:t>
      </w:r>
      <w:r w:rsidR="00871469">
        <w:t>p</w:t>
      </w:r>
      <w:r>
        <w:t>reschool-</w:t>
      </w:r>
      <w:r w:rsidR="00871469">
        <w:t>a</w:t>
      </w:r>
      <w:r>
        <w:t xml:space="preserve">ged </w:t>
      </w:r>
      <w:r w:rsidR="00871469">
        <w:t>c</w:t>
      </w:r>
      <w:r>
        <w:t xml:space="preserve">hildren: A </w:t>
      </w:r>
      <w:r w:rsidR="00871469">
        <w:t>l</w:t>
      </w:r>
      <w:r>
        <w:t xml:space="preserve">ook at the </w:t>
      </w:r>
      <w:r w:rsidR="00871469">
        <w:t>d</w:t>
      </w:r>
      <w:r>
        <w:t xml:space="preserve">irection of the </w:t>
      </w:r>
      <w:r w:rsidR="00871469">
        <w:t>d</w:t>
      </w:r>
      <w:r>
        <w:t xml:space="preserve">evelopmental </w:t>
      </w:r>
      <w:r w:rsidR="00871469">
        <w:t>p</w:t>
      </w:r>
      <w:r>
        <w:t>athways</w:t>
      </w:r>
      <w:r w:rsidR="00871469">
        <w:t xml:space="preserve"> </w:t>
      </w:r>
      <w:r>
        <w:rPr>
          <w:i/>
          <w:iCs/>
        </w:rPr>
        <w:t>Infant and Child Development</w:t>
      </w:r>
      <w:r>
        <w:t xml:space="preserve">, </w:t>
      </w:r>
      <w:r>
        <w:rPr>
          <w:i/>
          <w:iCs/>
        </w:rPr>
        <w:t>23</w:t>
      </w:r>
      <w:r>
        <w:t xml:space="preserve">(1), 4–21. </w:t>
      </w:r>
      <w:proofErr w:type="spellStart"/>
      <w:r>
        <w:t>doi</w:t>
      </w:r>
      <w:proofErr w:type="spellEnd"/>
      <w:r>
        <w:t>: 10.1002/icd.1829</w:t>
      </w:r>
    </w:p>
    <w:p w14:paraId="36B53615" w14:textId="7F9D8C25" w:rsidR="00275487" w:rsidRDefault="00275487" w:rsidP="00275487">
      <w:pPr>
        <w:pStyle w:val="Bibliography"/>
      </w:pPr>
      <w:r>
        <w:t>West, S. G., Taylor, A. B., Wu, W., &amp; others. (2012). Model fit and model selection in structural equation modeling</w:t>
      </w:r>
      <w:proofErr w:type="gramStart"/>
      <w:r>
        <w:t xml:space="preserve">. </w:t>
      </w:r>
      <w:r w:rsidR="00871469" w:rsidRPr="00871469">
        <w:t> </w:t>
      </w:r>
      <w:proofErr w:type="gramEnd"/>
      <w:r w:rsidR="00871469" w:rsidRPr="00871469">
        <w:t>In R. H. Hoyle (Ed.), </w:t>
      </w:r>
      <w:r w:rsidR="00871469" w:rsidRPr="00871469">
        <w:rPr>
          <w:i/>
          <w:iCs/>
        </w:rPr>
        <w:t>Handbook of structural equation modeling</w:t>
      </w:r>
      <w:r w:rsidR="00871469" w:rsidRPr="00871469">
        <w:t xml:space="preserve"> (p. 209–231). </w:t>
      </w:r>
      <w:r w:rsidR="00871469">
        <w:t xml:space="preserve">New York: The Guilford </w:t>
      </w:r>
      <w:r w:rsidR="00871469" w:rsidRPr="00871469">
        <w:t>Press.</w:t>
      </w:r>
    </w:p>
    <w:p w14:paraId="60E894ED" w14:textId="77777777" w:rsidR="00275487" w:rsidRDefault="00275487" w:rsidP="00275487">
      <w:pPr>
        <w:pStyle w:val="Bibliography"/>
      </w:pPr>
      <w:r>
        <w:t xml:space="preserve">Williford, A. P., Whittaker, J. E. V., </w:t>
      </w:r>
      <w:proofErr w:type="spellStart"/>
      <w:r>
        <w:t>Vitiello</w:t>
      </w:r>
      <w:proofErr w:type="spellEnd"/>
      <w:r>
        <w:t xml:space="preserve">, V. E., &amp; Downer, J. T. (2013). Children’s engagement within the preschool classroom and their development of self-regulation. </w:t>
      </w:r>
      <w:r>
        <w:rPr>
          <w:i/>
          <w:iCs/>
        </w:rPr>
        <w:t>Early Education and Development</w:t>
      </w:r>
      <w:r>
        <w:t xml:space="preserve">, </w:t>
      </w:r>
      <w:r>
        <w:rPr>
          <w:i/>
          <w:iCs/>
        </w:rPr>
        <w:t>24</w:t>
      </w:r>
      <w:r>
        <w:t xml:space="preserve">(2), 162–187. </w:t>
      </w:r>
      <w:proofErr w:type="spellStart"/>
      <w:r>
        <w:t>doi</w:t>
      </w:r>
      <w:proofErr w:type="spellEnd"/>
      <w:r>
        <w:t>: 10.1080/10409289.2011.628270</w:t>
      </w:r>
    </w:p>
    <w:p w14:paraId="55A62502" w14:textId="77777777" w:rsidR="00275487" w:rsidRDefault="00275487" w:rsidP="00275487">
      <w:pPr>
        <w:pStyle w:val="Bibliography"/>
      </w:pPr>
      <w:r>
        <w:t xml:space="preserve">Woodcock, R.W., </w:t>
      </w:r>
      <w:proofErr w:type="spellStart"/>
      <w:r>
        <w:t>Mcgrew</w:t>
      </w:r>
      <w:proofErr w:type="spellEnd"/>
      <w:r>
        <w:t xml:space="preserve">, K. S., &amp; Mather, N. (2001). </w:t>
      </w:r>
      <w:r>
        <w:rPr>
          <w:i/>
          <w:iCs/>
        </w:rPr>
        <w:t>Woodcock-Johnson III Tests of Achievement</w:t>
      </w:r>
      <w:r>
        <w:t>. Rolling Meadows, IL: Riverside Publishers.</w:t>
      </w:r>
    </w:p>
    <w:p w14:paraId="61E6A08E" w14:textId="75E7DD23" w:rsidR="00871469" w:rsidRDefault="00275487" w:rsidP="00275487">
      <w:pPr>
        <w:pStyle w:val="Bibliography"/>
      </w:pPr>
      <w:r>
        <w:t xml:space="preserve">Yoder, M. L., Williford, A. P., &amp; </w:t>
      </w:r>
      <w:proofErr w:type="spellStart"/>
      <w:r>
        <w:t>Vitiello</w:t>
      </w:r>
      <w:proofErr w:type="spellEnd"/>
      <w:r>
        <w:t xml:space="preserve">, V. E. (2019). Observed quality of classroom peer engagement in a sample of preschoolers displaying disruptive behaviors. </w:t>
      </w:r>
      <w:r>
        <w:rPr>
          <w:i/>
          <w:iCs/>
        </w:rPr>
        <w:t>Early Childhood Research Quarterly</w:t>
      </w:r>
      <w:r>
        <w:t xml:space="preserve">, </w:t>
      </w:r>
      <w:r>
        <w:rPr>
          <w:i/>
          <w:iCs/>
        </w:rPr>
        <w:t>47</w:t>
      </w:r>
      <w:r>
        <w:t xml:space="preserve">, 206–217. </w:t>
      </w:r>
      <w:proofErr w:type="spellStart"/>
      <w:r>
        <w:t>doi</w:t>
      </w:r>
      <w:proofErr w:type="spellEnd"/>
      <w:r>
        <w:t>: 10.1016/j.ecresq.2018.12.011</w:t>
      </w:r>
    </w:p>
    <w:p w14:paraId="5B1B6E71" w14:textId="77777777" w:rsidR="00871469" w:rsidRDefault="00871469">
      <w:pPr>
        <w:rPr>
          <w:rFonts w:cstheme="minorBidi"/>
          <w:color w:val="auto"/>
          <w:szCs w:val="22"/>
        </w:rPr>
      </w:pPr>
      <w:r>
        <w:br w:type="page"/>
      </w:r>
    </w:p>
    <w:p w14:paraId="28483A0D" w14:textId="77777777" w:rsidR="00275487" w:rsidRDefault="00275487" w:rsidP="00275487">
      <w:pPr>
        <w:pStyle w:val="Bibliography"/>
      </w:pPr>
    </w:p>
    <w:p w14:paraId="4C535913" w14:textId="6C3650A6" w:rsidR="003C4D2C" w:rsidRPr="00E57231" w:rsidRDefault="003C4D2C" w:rsidP="00E57231">
      <w:pPr>
        <w:pStyle w:val="Heading1"/>
        <w:rPr>
          <w:b w:val="0"/>
          <w:bCs/>
        </w:rPr>
      </w:pPr>
      <w:bookmarkStart w:id="122" w:name="_Toc46265528"/>
      <w:r w:rsidRPr="00E57231">
        <w:rPr>
          <w:b w:val="0"/>
          <w:bCs/>
        </w:rPr>
        <w:t>Appendix A: Process for Determining Number of Profiles and Profile Analysis</w:t>
      </w:r>
      <w:bookmarkEnd w:id="122"/>
      <w:r w:rsidRPr="00E57231">
        <w:rPr>
          <w:b w:val="0"/>
          <w:bCs/>
        </w:rPr>
        <w:t xml:space="preserve"> </w:t>
      </w:r>
    </w:p>
    <w:p w14:paraId="348D1B00" w14:textId="1E02A843" w:rsidR="003C4D2C" w:rsidRPr="009E5A94" w:rsidRDefault="003C4D2C" w:rsidP="003C4D2C">
      <w:pPr>
        <w:ind w:firstLine="720"/>
        <w:contextualSpacing/>
      </w:pPr>
      <w:r w:rsidRPr="009E5A94">
        <w:t xml:space="preserve">In the first step, a series of LPA models was estimated based on the items included in the AtL measures. </w:t>
      </w:r>
      <w:proofErr w:type="spellStart"/>
      <w:r w:rsidR="000551AE" w:rsidRPr="000551AE">
        <w:rPr>
          <w:i/>
          <w:iCs/>
        </w:rPr>
        <w:t>Mplus</w:t>
      </w:r>
      <w:proofErr w:type="spellEnd"/>
      <w:r w:rsidR="00890D12">
        <w:rPr>
          <w:i/>
          <w:iCs/>
        </w:rPr>
        <w:t xml:space="preserve"> </w:t>
      </w:r>
      <w:r w:rsidRPr="009E5A94">
        <w:t>was utilized to conduct LPA and full information maximum likelihood was used to handle missing data</w:t>
      </w:r>
      <w:r>
        <w:t xml:space="preserve"> </w:t>
      </w:r>
      <w:r w:rsidR="009A6864" w:rsidRPr="009A6864">
        <w:t>(</w:t>
      </w:r>
      <w:proofErr w:type="spellStart"/>
      <w:r w:rsidR="009A6864" w:rsidRPr="009A6864">
        <w:t>Muthén</w:t>
      </w:r>
      <w:proofErr w:type="spellEnd"/>
      <w:r w:rsidR="009A6864" w:rsidRPr="009A6864">
        <w:t xml:space="preserve"> &amp; </w:t>
      </w:r>
      <w:proofErr w:type="spellStart"/>
      <w:r w:rsidR="009A6864" w:rsidRPr="009A6864">
        <w:t>Muthén</w:t>
      </w:r>
      <w:proofErr w:type="spellEnd"/>
      <w:r w:rsidR="009A6864" w:rsidRPr="009A6864">
        <w:t>, 1998)</w:t>
      </w:r>
      <w:r w:rsidRPr="005E76C8">
        <w:t xml:space="preserve">. </w:t>
      </w:r>
      <w:r w:rsidRPr="005E76C8">
        <w:rPr>
          <w:shd w:val="clear" w:color="auto" w:fill="FFFFFF"/>
        </w:rPr>
        <w:t xml:space="preserve">By utilizing maximum likelihood testing, LPA incorporates individuals with data from at least one indicator variable (i.e., </w:t>
      </w:r>
      <w:r>
        <w:rPr>
          <w:shd w:val="clear" w:color="auto" w:fill="FFFFFF"/>
        </w:rPr>
        <w:t>initiative, attention</w:t>
      </w:r>
      <w:r w:rsidRPr="005E76C8">
        <w:rPr>
          <w:shd w:val="clear" w:color="auto" w:fill="FFFFFF"/>
        </w:rPr>
        <w:t>). Therefore, data from the full sample was used to estimate the latent profiles. </w:t>
      </w:r>
      <w:r w:rsidRPr="005E76C8">
        <w:t xml:space="preserve">To facilitate model interpretation, all </w:t>
      </w:r>
      <w:r>
        <w:t xml:space="preserve">continuous </w:t>
      </w:r>
      <w:r w:rsidRPr="005E76C8">
        <w:t>variables were standardized wit</w:t>
      </w:r>
      <w:r w:rsidRPr="009E5A94">
        <w:t>h z scores prior to conducting analyses.</w:t>
      </w:r>
      <w:r w:rsidR="007C1CBE">
        <w:t xml:space="preserve"> </w:t>
      </w:r>
      <w:r w:rsidRPr="009E5A94">
        <w:t xml:space="preserve">LPA estimates an individual’s probability of membership in each latent class and uses continuous rather than categorical indicators, although it can handle both. </w:t>
      </w:r>
    </w:p>
    <w:p w14:paraId="24519476" w14:textId="77777777" w:rsidR="003C4D2C" w:rsidRPr="009E5A94" w:rsidRDefault="003C4D2C" w:rsidP="003C4D2C">
      <w:pPr>
        <w:contextualSpacing/>
      </w:pPr>
      <w:r w:rsidRPr="009E5A94">
        <w:tab/>
        <w:t xml:space="preserve">The series of LPA models was estimated beginning with a 1-class solution and adding an additional class in each successive model. Variable means were free to vary across profiles, and </w:t>
      </w:r>
      <w:r w:rsidRPr="00D41DFF">
        <w:t>variants were set to be equal across profiles for estimation purposes.</w:t>
      </w:r>
      <w:r w:rsidRPr="009E5A94">
        <w:t xml:space="preserve"> Multiple random starting values (500 and 250 sets, respectively, for initial and </w:t>
      </w:r>
      <w:r>
        <w:t xml:space="preserve">2000 and 500 for the </w:t>
      </w:r>
      <w:r w:rsidRPr="009E5A94">
        <w:t xml:space="preserve">final stage optimization) were used to check model standability and model identification. </w:t>
      </w:r>
    </w:p>
    <w:p w14:paraId="68B934F4" w14:textId="14CD6585" w:rsidR="003C4D2C" w:rsidRPr="009E5A94" w:rsidRDefault="003C4D2C" w:rsidP="003C4D2C">
      <w:pPr>
        <w:ind w:firstLine="720"/>
        <w:contextualSpacing/>
      </w:pPr>
      <w:r w:rsidRPr="009E5A94">
        <w:t>Given that LPA is a model testing process, multiple models are fit with increasing levels of classes</w:t>
      </w:r>
      <w:r>
        <w:t xml:space="preserve"> </w:t>
      </w:r>
      <w:r w:rsidR="009A6864" w:rsidRPr="009A6864">
        <w:t>(</w:t>
      </w:r>
      <w:proofErr w:type="spellStart"/>
      <w:r w:rsidR="009A6864" w:rsidRPr="009A6864">
        <w:t>Masyn</w:t>
      </w:r>
      <w:proofErr w:type="spellEnd"/>
      <w:r w:rsidR="009A6864" w:rsidRPr="009A6864">
        <w:t>, 2013)</w:t>
      </w:r>
      <w:r w:rsidRPr="009E5A94">
        <w:t>. Multiple fit statistics were used to determine the number of profiles within the model. Akaike Information Criterion (AIC) and Bayesian Information Criterion (BIC) are measures of fit that demonstrate relative fit, i.e. they can be used to compare a 1 class model with a 2 class model, with better fit being indicated by a reduction in BIC or AIC</w:t>
      </w:r>
      <w:r>
        <w:t xml:space="preserve"> </w:t>
      </w:r>
      <w:r w:rsidR="009A6864" w:rsidRPr="009A6864">
        <w:t>(West et al., 2012)</w:t>
      </w:r>
      <w:r>
        <w:t xml:space="preserve">. </w:t>
      </w:r>
      <w:r w:rsidRPr="009E5A94">
        <w:t xml:space="preserve">Additionally, the SABIC is used; this is a fit measure that adjusts the formula to account for </w:t>
      </w:r>
      <w:r w:rsidRPr="009E5A94">
        <w:rPr>
          <w:i/>
          <w:iCs/>
        </w:rPr>
        <w:t>n</w:t>
      </w:r>
      <w:r w:rsidRPr="009E5A94">
        <w:t xml:space="preserve"> and is less punitive on the number of parameters in the model</w:t>
      </w:r>
      <w:r>
        <w:t xml:space="preserve"> </w:t>
      </w:r>
      <w:r w:rsidR="009A6864" w:rsidRPr="009A6864">
        <w:t xml:space="preserve">(Tein, </w:t>
      </w:r>
      <w:proofErr w:type="spellStart"/>
      <w:r w:rsidR="009A6864" w:rsidRPr="009A6864">
        <w:t>Coxe</w:t>
      </w:r>
      <w:proofErr w:type="spellEnd"/>
      <w:r w:rsidR="009A6864" w:rsidRPr="009A6864">
        <w:t>, &amp; Cham, 2013)</w:t>
      </w:r>
      <w:r w:rsidRPr="009E5A94">
        <w:t xml:space="preserve">. </w:t>
      </w:r>
      <w:r w:rsidRPr="009E5A94">
        <w:lastRenderedPageBreak/>
        <w:t xml:space="preserve">Additionally, SABIC is useful when there are smaller samples and </w:t>
      </w:r>
      <w:proofErr w:type="gramStart"/>
      <w:r w:rsidRPr="009E5A94">
        <w:t>low class</w:t>
      </w:r>
      <w:proofErr w:type="gramEnd"/>
      <w:r w:rsidRPr="009E5A94">
        <w:t xml:space="preserve"> separation</w:t>
      </w:r>
      <w:r>
        <w:t xml:space="preserve"> </w:t>
      </w:r>
      <w:r w:rsidR="009A6864" w:rsidRPr="009A6864">
        <w:t>(Morgan, 2015)</w:t>
      </w:r>
      <w:r w:rsidRPr="009E5A94">
        <w:t>.</w:t>
      </w:r>
      <w:r w:rsidR="007C1CBE">
        <w:t xml:space="preserve"> </w:t>
      </w:r>
    </w:p>
    <w:p w14:paraId="2431566D" w14:textId="55E1671F" w:rsidR="003C4D2C" w:rsidRPr="009E5A94" w:rsidRDefault="003C4D2C" w:rsidP="003C4D2C">
      <w:pPr>
        <w:ind w:firstLine="720"/>
        <w:contextualSpacing/>
      </w:pPr>
      <w:r w:rsidRPr="009E5A94">
        <w:t>Entropy is another fit statistic that can be used, although some researchers have found a lack of support in simulation studies</w:t>
      </w:r>
      <w:r>
        <w:t xml:space="preserve"> </w:t>
      </w:r>
      <w:r w:rsidR="009A6864" w:rsidRPr="009A6864">
        <w:t>(</w:t>
      </w:r>
      <w:proofErr w:type="spellStart"/>
      <w:r w:rsidR="009A6864" w:rsidRPr="009A6864">
        <w:t>Masyn</w:t>
      </w:r>
      <w:proofErr w:type="spellEnd"/>
      <w:r w:rsidR="009A6864" w:rsidRPr="009A6864">
        <w:t>, 2013)</w:t>
      </w:r>
      <w:r w:rsidRPr="009E5A94">
        <w:t>. Entropy is a measure of uncertainty, ranging from 0-1, with higher numbers indicating less uncertainty. Values of .80</w:t>
      </w:r>
      <w:r>
        <w:t xml:space="preserve"> </w:t>
      </w:r>
      <w:r w:rsidRPr="009E5A94">
        <w:t>or greater provide evidence that profile classification of individuals occurs with minimal uncertainty</w:t>
      </w:r>
      <w:r>
        <w:t xml:space="preserve"> </w:t>
      </w:r>
      <w:r w:rsidR="009A6864" w:rsidRPr="009A6864">
        <w:t>(</w:t>
      </w:r>
      <w:proofErr w:type="spellStart"/>
      <w:r w:rsidR="009A6864" w:rsidRPr="009A6864">
        <w:t>Celeux</w:t>
      </w:r>
      <w:proofErr w:type="spellEnd"/>
      <w:r w:rsidR="009A6864" w:rsidRPr="009A6864">
        <w:t xml:space="preserve"> &amp; </w:t>
      </w:r>
      <w:proofErr w:type="spellStart"/>
      <w:r w:rsidR="009A6864" w:rsidRPr="009A6864">
        <w:t>Soromenho</w:t>
      </w:r>
      <w:proofErr w:type="spellEnd"/>
      <w:r w:rsidR="009A6864" w:rsidRPr="009A6864">
        <w:t>, 1996)</w:t>
      </w:r>
      <w:r w:rsidRPr="009E5A94">
        <w:t xml:space="preserve">. Another measure of fit is the smallest group size, with groups numbering under 5% of the total pool of subjects considered a byproduct of the estimation produced </w:t>
      </w:r>
      <w:r w:rsidR="009A6864" w:rsidRPr="009A6864">
        <w:t>(</w:t>
      </w:r>
      <w:proofErr w:type="spellStart"/>
      <w:r w:rsidR="009A6864" w:rsidRPr="009A6864">
        <w:t>Roesch</w:t>
      </w:r>
      <w:proofErr w:type="spellEnd"/>
      <w:r w:rsidR="009A6864" w:rsidRPr="009A6864">
        <w:t xml:space="preserve"> et al., 2010)</w:t>
      </w:r>
      <w:r w:rsidRPr="009E5A94">
        <w:t xml:space="preserve">. </w:t>
      </w:r>
    </w:p>
    <w:p w14:paraId="13CD48A6" w14:textId="251F609F" w:rsidR="003C4D2C" w:rsidRDefault="003C4D2C" w:rsidP="003C4D2C">
      <w:pPr>
        <w:ind w:firstLine="720"/>
        <w:contextualSpacing/>
        <w:rPr>
          <w:color w:val="221E1F"/>
        </w:rPr>
      </w:pPr>
      <w:r w:rsidRPr="009E5A94">
        <w:t xml:space="preserve">Two other measures of fit are the Lo, </w:t>
      </w:r>
      <w:proofErr w:type="spellStart"/>
      <w:r w:rsidRPr="009E5A94">
        <w:t>Mendell</w:t>
      </w:r>
      <w:proofErr w:type="spellEnd"/>
      <w:r w:rsidRPr="009E5A94">
        <w:t xml:space="preserve"> and Rubin (LMR) test and the bootstrap likelihood ration test</w:t>
      </w:r>
      <w:r>
        <w:t xml:space="preserve">, </w:t>
      </w:r>
      <w:r w:rsidRPr="009E5A94">
        <w:t>BLRT</w:t>
      </w:r>
      <w:r>
        <w:t xml:space="preserve"> </w:t>
      </w:r>
      <w:r w:rsidR="009A6864" w:rsidRPr="009A6864">
        <w:t>(Ferguson et al., 2019)</w:t>
      </w:r>
      <w:r w:rsidRPr="009E5A94">
        <w:t xml:space="preserve">. The LMR tests the likelihood ration of one model compared to another, with an adjusted </w:t>
      </w:r>
      <w:r w:rsidRPr="009E5A94">
        <w:rPr>
          <w:i/>
          <w:iCs/>
        </w:rPr>
        <w:t>x</w:t>
      </w:r>
      <w:r w:rsidRPr="009E5A94">
        <w:rPr>
          <w:vertAlign w:val="superscript"/>
        </w:rPr>
        <w:t>2</w:t>
      </w:r>
      <w:r w:rsidRPr="009E5A94">
        <w:t>. The LMR provides information about whether additional profiles are improving fit in the model, with a nonsignificant LMP test suggesting the more parsimonious model is better fitting. The BLRT similarly tests the model fit of one model versus a model with one less profile by using parameter estimation methods to create multiple bootstrap samples to represent the sampling distributions (</w:t>
      </w:r>
      <w:proofErr w:type="spellStart"/>
      <w:r w:rsidRPr="009E5A94">
        <w:t>Masyn</w:t>
      </w:r>
      <w:proofErr w:type="spellEnd"/>
      <w:r w:rsidRPr="009E5A94">
        <w:t>, 2013).</w:t>
      </w:r>
      <w:r w:rsidR="007C1CBE">
        <w:t xml:space="preserve"> </w:t>
      </w:r>
      <w:r w:rsidRPr="009E5A94">
        <w:t xml:space="preserve">A significant BLRT suggests that the model with one more profile is an improvement over a model with one less profile. </w:t>
      </w:r>
      <w:r w:rsidRPr="009E5A94">
        <w:rPr>
          <w:color w:val="000000"/>
          <w:shd w:val="clear" w:color="auto" w:fill="FFFFFF"/>
        </w:rPr>
        <w:t xml:space="preserve">The standard procedure is to accept the model with the largest </w:t>
      </w:r>
      <w:proofErr w:type="gramStart"/>
      <w:r w:rsidRPr="009E5A94">
        <w:rPr>
          <w:color w:val="000000"/>
          <w:shd w:val="clear" w:color="auto" w:fill="FFFFFF"/>
        </w:rPr>
        <w:t>amount</w:t>
      </w:r>
      <w:proofErr w:type="gramEnd"/>
      <w:r w:rsidRPr="009E5A94">
        <w:rPr>
          <w:color w:val="000000"/>
          <w:shd w:val="clear" w:color="auto" w:fill="FFFFFF"/>
        </w:rPr>
        <w:t xml:space="preserve"> of classes, smallest BIC value, and a significant LMR, in conjunction with the intelligibility of the profiles</w:t>
      </w:r>
      <w:r>
        <w:rPr>
          <w:color w:val="000000"/>
          <w:shd w:val="clear" w:color="auto" w:fill="FFFFFF"/>
        </w:rPr>
        <w:t xml:space="preserve"> </w:t>
      </w:r>
      <w:r w:rsidR="009A6864" w:rsidRPr="009A6864">
        <w:t>(</w:t>
      </w:r>
      <w:proofErr w:type="spellStart"/>
      <w:r w:rsidR="009A6864" w:rsidRPr="009A6864">
        <w:t>Nylund</w:t>
      </w:r>
      <w:proofErr w:type="spellEnd"/>
      <w:r w:rsidR="009A6864" w:rsidRPr="009A6864">
        <w:t xml:space="preserve"> et al., 2007)</w:t>
      </w:r>
    </w:p>
    <w:p w14:paraId="616E117E" w14:textId="29213733" w:rsidR="005A44C2" w:rsidRDefault="005A44C2">
      <w:pPr>
        <w:rPr>
          <w:color w:val="221E1F"/>
        </w:rPr>
      </w:pPr>
      <w:r>
        <w:rPr>
          <w:color w:val="221E1F"/>
        </w:rPr>
        <w:br w:type="page"/>
      </w:r>
    </w:p>
    <w:bookmarkEnd w:id="71"/>
    <w:p w14:paraId="7A4F6715" w14:textId="77777777" w:rsidR="003C4D2C" w:rsidRDefault="003C4D2C" w:rsidP="003C4D2C">
      <w:pPr>
        <w:contextualSpacing/>
        <w:rPr>
          <w:color w:val="221E1F"/>
        </w:rPr>
      </w:pPr>
    </w:p>
    <w:p w14:paraId="222B1178" w14:textId="77777777" w:rsidR="008127BB" w:rsidRDefault="008127BB" w:rsidP="001E3E94">
      <w:pPr>
        <w:jc w:val="center"/>
        <w:rPr>
          <w:rFonts w:eastAsia="Calibri"/>
          <w:color w:val="auto"/>
        </w:rPr>
      </w:pPr>
    </w:p>
    <w:p w14:paraId="5141B393" w14:textId="77777777" w:rsidR="008127BB" w:rsidRDefault="008127BB" w:rsidP="001E3E94">
      <w:pPr>
        <w:jc w:val="center"/>
        <w:rPr>
          <w:rFonts w:eastAsia="Calibri"/>
          <w:color w:val="auto"/>
        </w:rPr>
      </w:pPr>
    </w:p>
    <w:p w14:paraId="7D563DB2" w14:textId="77777777" w:rsidR="00C6677D" w:rsidRPr="00C6677D" w:rsidRDefault="002E2158" w:rsidP="00C6677D">
      <w:pPr>
        <w:pStyle w:val="Heading1"/>
        <w:rPr>
          <w:b w:val="0"/>
          <w:bCs/>
        </w:rPr>
      </w:pPr>
      <w:bookmarkStart w:id="123" w:name="_Toc46265529"/>
      <w:r w:rsidRPr="00C6677D">
        <w:rPr>
          <w:b w:val="0"/>
          <w:bCs/>
        </w:rPr>
        <w:t>APPENDIX A: PROSPECTUS</w:t>
      </w:r>
      <w:bookmarkEnd w:id="123"/>
      <w:r w:rsidR="00C6677D" w:rsidRPr="00C6677D">
        <w:rPr>
          <w:b w:val="0"/>
          <w:bCs/>
        </w:rPr>
        <w:t xml:space="preserve"> </w:t>
      </w:r>
    </w:p>
    <w:p w14:paraId="5E65C273" w14:textId="1A20F4A6" w:rsidR="00F618BF" w:rsidRPr="00C6677D" w:rsidRDefault="00F618BF" w:rsidP="00C6677D">
      <w:pPr>
        <w:pStyle w:val="Heading1"/>
        <w:rPr>
          <w:b w:val="0"/>
          <w:bCs/>
        </w:rPr>
      </w:pPr>
      <w:bookmarkStart w:id="124" w:name="_Toc46265530"/>
      <w:r w:rsidRPr="00C6677D">
        <w:rPr>
          <w:b w:val="0"/>
          <w:bCs/>
        </w:rPr>
        <w:t>APPROACHES TO LEARNING: CONCEPTUALIZATION AND MEASUREMENT OF A KEY SCHOOL READINESS INDICATOR</w:t>
      </w:r>
      <w:bookmarkEnd w:id="124"/>
    </w:p>
    <w:p w14:paraId="5DCB24DF" w14:textId="77777777" w:rsidR="001E3E94" w:rsidRDefault="001E3E94" w:rsidP="001E3E94">
      <w:pPr>
        <w:jc w:val="center"/>
        <w:rPr>
          <w:rFonts w:eastAsia="Calibri"/>
          <w:color w:val="auto"/>
        </w:rPr>
      </w:pPr>
    </w:p>
    <w:p w14:paraId="55526D88" w14:textId="77777777" w:rsidR="001E3E94" w:rsidRDefault="002E2158" w:rsidP="002E2158">
      <w:pPr>
        <w:rPr>
          <w:rFonts w:eastAsia="Calibri"/>
          <w:color w:val="auto"/>
        </w:rPr>
      </w:pPr>
      <w:r>
        <w:rPr>
          <w:rFonts w:eastAsia="Calibri"/>
          <w:color w:val="auto"/>
        </w:rPr>
        <w:br w:type="page"/>
      </w:r>
    </w:p>
    <w:p w14:paraId="5640D12C" w14:textId="77777777" w:rsidR="001E3E94" w:rsidRDefault="001E3E94" w:rsidP="001E3E94">
      <w:pPr>
        <w:jc w:val="center"/>
        <w:rPr>
          <w:rFonts w:eastAsia="Calibri"/>
          <w:color w:val="auto"/>
        </w:rPr>
      </w:pPr>
    </w:p>
    <w:p w14:paraId="0FA56BDD" w14:textId="77777777" w:rsidR="001E3E94" w:rsidRPr="001E3E94" w:rsidRDefault="001E3E94" w:rsidP="001E3E94">
      <w:pPr>
        <w:jc w:val="center"/>
        <w:rPr>
          <w:rFonts w:eastAsia="Calibri"/>
          <w:color w:val="auto"/>
        </w:rPr>
      </w:pPr>
      <w:r w:rsidRPr="001E3E94">
        <w:rPr>
          <w:rFonts w:eastAsia="Calibri"/>
          <w:color w:val="auto"/>
        </w:rPr>
        <w:t>UNIVERSITY OF OKLAHOMA</w:t>
      </w:r>
    </w:p>
    <w:p w14:paraId="5827BFD2" w14:textId="77777777" w:rsidR="001E3E94" w:rsidRPr="001E3E94" w:rsidRDefault="001E3E94" w:rsidP="001E3E94">
      <w:pPr>
        <w:jc w:val="center"/>
        <w:rPr>
          <w:rFonts w:eastAsia="Calibri"/>
          <w:color w:val="auto"/>
        </w:rPr>
      </w:pPr>
      <w:r w:rsidRPr="001E3E94">
        <w:rPr>
          <w:rFonts w:eastAsia="Calibri"/>
          <w:color w:val="auto"/>
        </w:rPr>
        <w:t>GRADUATE COLLEGE</w:t>
      </w:r>
    </w:p>
    <w:p w14:paraId="07F6C085" w14:textId="77777777" w:rsidR="001E3E94" w:rsidRPr="001E3E94" w:rsidRDefault="001E3E94" w:rsidP="001E3E94">
      <w:pPr>
        <w:jc w:val="center"/>
        <w:rPr>
          <w:rFonts w:eastAsia="Calibri"/>
          <w:color w:val="auto"/>
        </w:rPr>
      </w:pPr>
    </w:p>
    <w:p w14:paraId="20447101" w14:textId="77777777" w:rsidR="001E3E94" w:rsidRPr="001E3E94" w:rsidRDefault="001E3E94" w:rsidP="001E3E94">
      <w:pPr>
        <w:jc w:val="center"/>
        <w:rPr>
          <w:rFonts w:eastAsia="Calibri"/>
          <w:color w:val="auto"/>
        </w:rPr>
      </w:pPr>
    </w:p>
    <w:p w14:paraId="269B9254" w14:textId="77777777" w:rsidR="005E1CD1" w:rsidRPr="009E3453" w:rsidRDefault="005E1CD1" w:rsidP="00F618BF">
      <w:pPr>
        <w:jc w:val="center"/>
      </w:pPr>
      <w:r w:rsidRPr="009E3453">
        <w:t>APPROACHES TO LEARNING: CONCEPTUALIZATION AND MEASUREMENT OF A KEY SCHOOL READINESS INDICATOR</w:t>
      </w:r>
    </w:p>
    <w:p w14:paraId="7CB00029" w14:textId="77777777" w:rsidR="001E3E94" w:rsidRPr="001E3E94" w:rsidRDefault="001E3E94" w:rsidP="001E3E94">
      <w:pPr>
        <w:jc w:val="center"/>
        <w:rPr>
          <w:rFonts w:eastAsia="Calibri"/>
          <w:color w:val="auto"/>
        </w:rPr>
      </w:pPr>
    </w:p>
    <w:p w14:paraId="07032C12" w14:textId="77777777" w:rsidR="001E3E94" w:rsidRPr="001E3E94" w:rsidRDefault="001E3E94" w:rsidP="001E3E94">
      <w:pPr>
        <w:jc w:val="center"/>
        <w:rPr>
          <w:rFonts w:eastAsia="Calibri"/>
          <w:color w:val="auto"/>
        </w:rPr>
      </w:pPr>
    </w:p>
    <w:p w14:paraId="63EB9A55" w14:textId="77777777" w:rsidR="001E3E94" w:rsidRPr="001E3E94" w:rsidRDefault="001E3E94" w:rsidP="001E3E94">
      <w:pPr>
        <w:jc w:val="center"/>
        <w:rPr>
          <w:rFonts w:eastAsia="Calibri"/>
          <w:color w:val="auto"/>
        </w:rPr>
      </w:pPr>
    </w:p>
    <w:p w14:paraId="608C9FF2" w14:textId="77777777" w:rsidR="001E3E94" w:rsidRPr="001E3E94" w:rsidRDefault="001E3E94" w:rsidP="001E3E94">
      <w:pPr>
        <w:jc w:val="center"/>
        <w:rPr>
          <w:rFonts w:eastAsia="Calibri"/>
          <w:color w:val="auto"/>
        </w:rPr>
      </w:pPr>
    </w:p>
    <w:p w14:paraId="0DE0E46E" w14:textId="77777777" w:rsidR="001E3E94" w:rsidRPr="001E3E94" w:rsidRDefault="001E3E94" w:rsidP="001E3E94">
      <w:pPr>
        <w:jc w:val="center"/>
        <w:rPr>
          <w:rFonts w:eastAsia="Calibri"/>
          <w:color w:val="auto"/>
        </w:rPr>
      </w:pPr>
    </w:p>
    <w:p w14:paraId="07A7F774" w14:textId="393D6A2C" w:rsidR="001E3E94" w:rsidRPr="006F66C6" w:rsidRDefault="001E3E94" w:rsidP="006F66C6">
      <w:pPr>
        <w:jc w:val="center"/>
        <w:rPr>
          <w:b/>
        </w:rPr>
      </w:pPr>
      <w:r w:rsidRPr="006F66C6">
        <w:rPr>
          <w:rFonts w:eastAsia="Calibri"/>
          <w:bCs/>
        </w:rPr>
        <w:t>A</w:t>
      </w:r>
      <w:r w:rsidRPr="006F66C6">
        <w:rPr>
          <w:rFonts w:eastAsia="Calibri"/>
          <w:b/>
        </w:rPr>
        <w:t xml:space="preserve"> </w:t>
      </w:r>
      <w:r w:rsidR="006F05C8" w:rsidRPr="006F66C6">
        <w:rPr>
          <w:rStyle w:val="Heading1Char"/>
          <w:b w:val="0"/>
        </w:rPr>
        <w:t>PROSPECTUS</w:t>
      </w:r>
    </w:p>
    <w:p w14:paraId="51CCC60D" w14:textId="77777777" w:rsidR="001E3E94" w:rsidRPr="001E3E94" w:rsidRDefault="001E3E94" w:rsidP="001E3E94">
      <w:pPr>
        <w:spacing w:line="240" w:lineRule="auto"/>
        <w:jc w:val="center"/>
        <w:rPr>
          <w:rFonts w:eastAsia="Calibri"/>
          <w:color w:val="auto"/>
        </w:rPr>
      </w:pPr>
      <w:r w:rsidRPr="001E3E94">
        <w:rPr>
          <w:rFonts w:eastAsia="Calibri"/>
          <w:color w:val="auto"/>
        </w:rPr>
        <w:t>SUBMITTED TO THE GRADUATE FACULTY</w:t>
      </w:r>
    </w:p>
    <w:p w14:paraId="37D6C14E" w14:textId="77777777" w:rsidR="001E3E94" w:rsidRPr="001E3E94" w:rsidRDefault="001E3E94" w:rsidP="001E3E94">
      <w:pPr>
        <w:spacing w:line="240" w:lineRule="auto"/>
        <w:jc w:val="center"/>
        <w:rPr>
          <w:rFonts w:eastAsia="Calibri"/>
          <w:color w:val="auto"/>
        </w:rPr>
      </w:pPr>
    </w:p>
    <w:p w14:paraId="44C2AC58" w14:textId="77777777" w:rsidR="001E3E94" w:rsidRPr="001E3E94" w:rsidRDefault="001E3E94" w:rsidP="001E3E94">
      <w:pPr>
        <w:spacing w:line="240" w:lineRule="auto"/>
        <w:jc w:val="center"/>
        <w:rPr>
          <w:rFonts w:eastAsia="Calibri"/>
          <w:color w:val="auto"/>
        </w:rPr>
      </w:pPr>
      <w:r w:rsidRPr="001E3E94">
        <w:rPr>
          <w:rFonts w:eastAsia="Calibri"/>
          <w:color w:val="auto"/>
        </w:rPr>
        <w:t>in partial fulfillment of the requirements for the</w:t>
      </w:r>
    </w:p>
    <w:p w14:paraId="7B5A9218" w14:textId="77777777" w:rsidR="001E3E94" w:rsidRPr="001E3E94" w:rsidRDefault="001E3E94" w:rsidP="001E3E94">
      <w:pPr>
        <w:spacing w:line="240" w:lineRule="auto"/>
        <w:jc w:val="center"/>
        <w:rPr>
          <w:rFonts w:eastAsia="Calibri"/>
          <w:color w:val="auto"/>
        </w:rPr>
      </w:pPr>
    </w:p>
    <w:p w14:paraId="5CA392A9" w14:textId="77777777" w:rsidR="001E3E94" w:rsidRDefault="001E3E94" w:rsidP="001E3E94">
      <w:pPr>
        <w:spacing w:line="240" w:lineRule="auto"/>
        <w:jc w:val="center"/>
        <w:rPr>
          <w:rFonts w:eastAsia="Calibri"/>
          <w:color w:val="auto"/>
        </w:rPr>
      </w:pPr>
      <w:r w:rsidRPr="001E3E94">
        <w:rPr>
          <w:rFonts w:eastAsia="Calibri"/>
          <w:color w:val="auto"/>
        </w:rPr>
        <w:t>Degree of</w:t>
      </w:r>
    </w:p>
    <w:p w14:paraId="0A3E45A0" w14:textId="77777777" w:rsidR="001E3E94" w:rsidRPr="001E3E94" w:rsidRDefault="001E3E94" w:rsidP="001E3E94">
      <w:pPr>
        <w:spacing w:line="240" w:lineRule="auto"/>
        <w:jc w:val="center"/>
        <w:rPr>
          <w:rFonts w:eastAsia="Calibri"/>
          <w:color w:val="auto"/>
        </w:rPr>
      </w:pPr>
    </w:p>
    <w:p w14:paraId="1201B1A4" w14:textId="77777777" w:rsidR="001E3E94" w:rsidRPr="001E3E94" w:rsidRDefault="001E3E94" w:rsidP="001E3E94">
      <w:pPr>
        <w:jc w:val="center"/>
        <w:rPr>
          <w:rFonts w:eastAsia="Calibri"/>
          <w:color w:val="auto"/>
        </w:rPr>
      </w:pPr>
      <w:r w:rsidRPr="001E3E94">
        <w:rPr>
          <w:rFonts w:eastAsia="Calibri"/>
          <w:color w:val="auto"/>
        </w:rPr>
        <w:t>DOCTOR OF PHILOSOPHY</w:t>
      </w:r>
    </w:p>
    <w:p w14:paraId="6608A1FD" w14:textId="77777777" w:rsidR="001E3E94" w:rsidRPr="001E3E94" w:rsidRDefault="001E3E94" w:rsidP="001E3E94">
      <w:pPr>
        <w:jc w:val="center"/>
        <w:rPr>
          <w:rFonts w:eastAsia="Calibri"/>
          <w:color w:val="auto"/>
        </w:rPr>
      </w:pPr>
    </w:p>
    <w:p w14:paraId="743B56B3" w14:textId="77777777" w:rsidR="001E3E94" w:rsidRDefault="001E3E94" w:rsidP="001E3E94">
      <w:pPr>
        <w:jc w:val="center"/>
        <w:rPr>
          <w:rFonts w:eastAsia="Calibri"/>
          <w:color w:val="auto"/>
        </w:rPr>
      </w:pPr>
    </w:p>
    <w:p w14:paraId="237A1188" w14:textId="77777777" w:rsidR="001E3E94" w:rsidRDefault="001E3E94" w:rsidP="001E3E94">
      <w:pPr>
        <w:jc w:val="center"/>
        <w:rPr>
          <w:rFonts w:eastAsia="Calibri"/>
          <w:color w:val="auto"/>
        </w:rPr>
      </w:pPr>
    </w:p>
    <w:p w14:paraId="1CFF55AA" w14:textId="77777777" w:rsidR="001E3E94" w:rsidRPr="001E3E94" w:rsidRDefault="001E3E94" w:rsidP="001E3E94">
      <w:pPr>
        <w:jc w:val="center"/>
        <w:rPr>
          <w:rFonts w:eastAsia="Calibri"/>
          <w:color w:val="auto"/>
        </w:rPr>
      </w:pPr>
      <w:r w:rsidRPr="001E3E94">
        <w:rPr>
          <w:rFonts w:eastAsia="Calibri"/>
          <w:color w:val="auto"/>
        </w:rPr>
        <w:t>By</w:t>
      </w:r>
    </w:p>
    <w:p w14:paraId="0A862AA3" w14:textId="1CD501B5" w:rsidR="001E3E94" w:rsidRPr="001E3E94" w:rsidRDefault="005E1CD1" w:rsidP="001E3E94">
      <w:pPr>
        <w:spacing w:line="240" w:lineRule="auto"/>
        <w:jc w:val="center"/>
        <w:rPr>
          <w:rFonts w:eastAsia="Calibri"/>
          <w:color w:val="auto"/>
        </w:rPr>
      </w:pPr>
      <w:r>
        <w:rPr>
          <w:rFonts w:eastAsia="Calibri"/>
          <w:color w:val="auto"/>
        </w:rPr>
        <w:t>AMBER H. BEISLY</w:t>
      </w:r>
      <w:r w:rsidR="007C1CBE">
        <w:rPr>
          <w:rFonts w:eastAsia="Calibri"/>
          <w:color w:val="auto"/>
        </w:rPr>
        <w:t xml:space="preserve"> </w:t>
      </w:r>
      <w:r w:rsidR="001E3E94" w:rsidRPr="001E3E94">
        <w:rPr>
          <w:rFonts w:eastAsia="Calibri"/>
          <w:color w:val="auto"/>
        </w:rPr>
        <w:t xml:space="preserve"> </w:t>
      </w:r>
    </w:p>
    <w:p w14:paraId="581E5474" w14:textId="77777777" w:rsidR="001E3E94" w:rsidRPr="001E3E94" w:rsidRDefault="001E3E94" w:rsidP="001E3E94">
      <w:pPr>
        <w:spacing w:line="240" w:lineRule="auto"/>
        <w:jc w:val="center"/>
        <w:rPr>
          <w:rFonts w:eastAsia="Calibri"/>
          <w:color w:val="auto"/>
        </w:rPr>
      </w:pPr>
      <w:r w:rsidRPr="001E3E94">
        <w:rPr>
          <w:rFonts w:eastAsia="Calibri"/>
          <w:color w:val="auto"/>
        </w:rPr>
        <w:t xml:space="preserve"> Norman, Oklahoma</w:t>
      </w:r>
    </w:p>
    <w:p w14:paraId="1E9ACA8C" w14:textId="0C6E678F" w:rsidR="001E3E94" w:rsidRDefault="005E1CD1" w:rsidP="001E3E94">
      <w:pPr>
        <w:spacing w:line="240" w:lineRule="auto"/>
        <w:jc w:val="center"/>
        <w:rPr>
          <w:rFonts w:eastAsia="Calibri"/>
          <w:color w:val="auto"/>
        </w:rPr>
      </w:pPr>
      <w:r>
        <w:rPr>
          <w:rFonts w:eastAsia="Calibri"/>
          <w:color w:val="auto"/>
        </w:rPr>
        <w:t>2019</w:t>
      </w:r>
    </w:p>
    <w:p w14:paraId="33591F9F" w14:textId="77777777" w:rsidR="001E3E94" w:rsidRDefault="001E3E94" w:rsidP="001E3E94">
      <w:pPr>
        <w:spacing w:line="240" w:lineRule="auto"/>
        <w:jc w:val="center"/>
        <w:rPr>
          <w:rFonts w:eastAsia="Calibri"/>
          <w:color w:val="auto"/>
        </w:rPr>
      </w:pPr>
    </w:p>
    <w:p w14:paraId="7D1EEA87" w14:textId="77777777" w:rsidR="001E3E94" w:rsidRDefault="001E3E94" w:rsidP="001E3E94">
      <w:pPr>
        <w:spacing w:line="240" w:lineRule="auto"/>
        <w:jc w:val="center"/>
        <w:rPr>
          <w:rFonts w:eastAsia="Calibri"/>
          <w:color w:val="auto"/>
        </w:rPr>
      </w:pPr>
    </w:p>
    <w:p w14:paraId="26184018" w14:textId="77777777" w:rsidR="001E3E94" w:rsidRDefault="001E3E94" w:rsidP="001E3E94">
      <w:pPr>
        <w:spacing w:line="240" w:lineRule="auto"/>
        <w:jc w:val="center"/>
        <w:rPr>
          <w:rFonts w:eastAsia="Calibri"/>
          <w:color w:val="auto"/>
        </w:rPr>
      </w:pPr>
    </w:p>
    <w:p w14:paraId="0B5FA6B9" w14:textId="77777777" w:rsidR="001E3E94" w:rsidRPr="009E3453" w:rsidRDefault="001E3E94" w:rsidP="009E3453">
      <w:pPr>
        <w:pStyle w:val="Heading1"/>
        <w:rPr>
          <w:b w:val="0"/>
          <w:bCs/>
        </w:rPr>
      </w:pPr>
    </w:p>
    <w:p w14:paraId="002001F8" w14:textId="0187E008" w:rsidR="005E1CD1" w:rsidRPr="00C6677D" w:rsidRDefault="00C6677D" w:rsidP="00062A3E">
      <w:pPr>
        <w:pStyle w:val="Heading1"/>
        <w:rPr>
          <w:b w:val="0"/>
          <w:bCs/>
        </w:rPr>
      </w:pPr>
      <w:bookmarkStart w:id="125" w:name="_Toc46265531"/>
      <w:r w:rsidRPr="00C6677D">
        <w:rPr>
          <w:b w:val="0"/>
          <w:bCs/>
        </w:rPr>
        <w:t xml:space="preserve">Table of </w:t>
      </w:r>
      <w:r>
        <w:rPr>
          <w:b w:val="0"/>
          <w:bCs/>
        </w:rPr>
        <w:t>C</w:t>
      </w:r>
      <w:r w:rsidRPr="00C6677D">
        <w:rPr>
          <w:b w:val="0"/>
          <w:bCs/>
        </w:rPr>
        <w:t>ontents</w:t>
      </w:r>
      <w:bookmarkEnd w:id="125"/>
    </w:p>
    <w:p w14:paraId="48A39B6D" w14:textId="56F71171" w:rsidR="006E6E6A" w:rsidRDefault="00062A3E">
      <w:pPr>
        <w:pStyle w:val="TOC1"/>
        <w:tabs>
          <w:tab w:val="right" w:leader="dot" w:pos="9350"/>
        </w:tabs>
        <w:rPr>
          <w:rFonts w:asciiTheme="minorHAnsi" w:eastAsiaTheme="minorEastAsia" w:hAnsiTheme="minorHAnsi" w:cstheme="minorBidi"/>
          <w:noProof/>
          <w:color w:val="auto"/>
          <w:sz w:val="22"/>
          <w:szCs w:val="22"/>
        </w:rPr>
      </w:pPr>
      <w:r>
        <w:rPr>
          <w:b/>
          <w:bCs/>
        </w:rPr>
        <w:fldChar w:fldCharType="begin"/>
      </w:r>
      <w:r>
        <w:rPr>
          <w:b/>
          <w:bCs/>
        </w:rPr>
        <w:instrText xml:space="preserve"> TOC \b PROSPECTUS \* MERGEFORMAT </w:instrText>
      </w:r>
      <w:r>
        <w:rPr>
          <w:b/>
          <w:bCs/>
        </w:rPr>
        <w:fldChar w:fldCharType="separate"/>
      </w:r>
      <w:r w:rsidR="006E6E6A">
        <w:rPr>
          <w:noProof/>
        </w:rPr>
        <w:t>Abstract</w:t>
      </w:r>
      <w:r w:rsidR="006E6E6A">
        <w:rPr>
          <w:noProof/>
        </w:rPr>
        <w:tab/>
      </w:r>
      <w:r w:rsidR="006E6E6A">
        <w:rPr>
          <w:noProof/>
        </w:rPr>
        <w:fldChar w:fldCharType="begin"/>
      </w:r>
      <w:r w:rsidR="006E6E6A">
        <w:rPr>
          <w:noProof/>
        </w:rPr>
        <w:instrText xml:space="preserve"> PAGEREF _Toc44255190 \h </w:instrText>
      </w:r>
      <w:r w:rsidR="006E6E6A">
        <w:rPr>
          <w:noProof/>
        </w:rPr>
      </w:r>
      <w:r w:rsidR="006E6E6A">
        <w:rPr>
          <w:noProof/>
        </w:rPr>
        <w:fldChar w:fldCharType="separate"/>
      </w:r>
      <w:r w:rsidR="00DD2E33">
        <w:rPr>
          <w:noProof/>
        </w:rPr>
        <w:t>156</w:t>
      </w:r>
      <w:r w:rsidR="006E6E6A">
        <w:rPr>
          <w:noProof/>
        </w:rPr>
        <w:fldChar w:fldCharType="end"/>
      </w:r>
    </w:p>
    <w:p w14:paraId="478E845B" w14:textId="40ACCCD1" w:rsidR="006E6E6A" w:rsidRDefault="006E6E6A">
      <w:pPr>
        <w:pStyle w:val="TOC2"/>
        <w:tabs>
          <w:tab w:val="right" w:leader="dot" w:pos="9350"/>
        </w:tabs>
        <w:rPr>
          <w:rFonts w:asciiTheme="minorHAnsi" w:eastAsiaTheme="minorEastAsia" w:hAnsiTheme="minorHAnsi" w:cstheme="minorBidi"/>
          <w:color w:val="auto"/>
          <w:sz w:val="22"/>
          <w:szCs w:val="22"/>
        </w:rPr>
      </w:pPr>
      <w:r>
        <w:t>Research Questions</w:t>
      </w:r>
      <w:r>
        <w:tab/>
      </w:r>
      <w:r>
        <w:fldChar w:fldCharType="begin"/>
      </w:r>
      <w:r>
        <w:instrText xml:space="preserve"> PAGEREF _Toc44255191 \h </w:instrText>
      </w:r>
      <w:r>
        <w:fldChar w:fldCharType="separate"/>
      </w:r>
      <w:r w:rsidR="00DD2E33">
        <w:t>159</w:t>
      </w:r>
      <w:r>
        <w:fldChar w:fldCharType="end"/>
      </w:r>
    </w:p>
    <w:p w14:paraId="41787625" w14:textId="17A09337" w:rsidR="006E6E6A" w:rsidRDefault="006E6E6A">
      <w:pPr>
        <w:pStyle w:val="TOC1"/>
        <w:tabs>
          <w:tab w:val="right" w:leader="dot" w:pos="9350"/>
        </w:tabs>
        <w:rPr>
          <w:rFonts w:asciiTheme="minorHAnsi" w:eastAsiaTheme="minorEastAsia" w:hAnsiTheme="minorHAnsi" w:cstheme="minorBidi"/>
          <w:noProof/>
          <w:color w:val="auto"/>
          <w:sz w:val="22"/>
          <w:szCs w:val="22"/>
        </w:rPr>
      </w:pPr>
      <w:r>
        <w:rPr>
          <w:noProof/>
        </w:rPr>
        <w:t>Theoretical Framework</w:t>
      </w:r>
      <w:r>
        <w:rPr>
          <w:noProof/>
        </w:rPr>
        <w:tab/>
      </w:r>
      <w:r>
        <w:rPr>
          <w:noProof/>
        </w:rPr>
        <w:fldChar w:fldCharType="begin"/>
      </w:r>
      <w:r>
        <w:rPr>
          <w:noProof/>
        </w:rPr>
        <w:instrText xml:space="preserve"> PAGEREF _Toc44255192 \h </w:instrText>
      </w:r>
      <w:r>
        <w:rPr>
          <w:noProof/>
        </w:rPr>
      </w:r>
      <w:r>
        <w:rPr>
          <w:noProof/>
        </w:rPr>
        <w:fldChar w:fldCharType="separate"/>
      </w:r>
      <w:r w:rsidR="00DD2E33">
        <w:rPr>
          <w:noProof/>
        </w:rPr>
        <w:t>159</w:t>
      </w:r>
      <w:r>
        <w:rPr>
          <w:noProof/>
        </w:rPr>
        <w:fldChar w:fldCharType="end"/>
      </w:r>
    </w:p>
    <w:p w14:paraId="4559302C" w14:textId="52E6C003" w:rsidR="006E6E6A" w:rsidRDefault="006E6E6A">
      <w:pPr>
        <w:pStyle w:val="TOC1"/>
        <w:tabs>
          <w:tab w:val="right" w:leader="dot" w:pos="9350"/>
        </w:tabs>
        <w:rPr>
          <w:rFonts w:asciiTheme="minorHAnsi" w:eastAsiaTheme="minorEastAsia" w:hAnsiTheme="minorHAnsi" w:cstheme="minorBidi"/>
          <w:noProof/>
          <w:color w:val="auto"/>
          <w:sz w:val="22"/>
          <w:szCs w:val="22"/>
        </w:rPr>
      </w:pPr>
      <w:r>
        <w:rPr>
          <w:noProof/>
        </w:rPr>
        <w:t>Review of Literature</w:t>
      </w:r>
      <w:r>
        <w:rPr>
          <w:noProof/>
        </w:rPr>
        <w:tab/>
      </w:r>
      <w:r>
        <w:rPr>
          <w:noProof/>
        </w:rPr>
        <w:fldChar w:fldCharType="begin"/>
      </w:r>
      <w:r>
        <w:rPr>
          <w:noProof/>
        </w:rPr>
        <w:instrText xml:space="preserve"> PAGEREF _Toc44255193 \h </w:instrText>
      </w:r>
      <w:r>
        <w:rPr>
          <w:noProof/>
        </w:rPr>
      </w:r>
      <w:r>
        <w:rPr>
          <w:noProof/>
        </w:rPr>
        <w:fldChar w:fldCharType="separate"/>
      </w:r>
      <w:r w:rsidR="00DD2E33">
        <w:rPr>
          <w:noProof/>
        </w:rPr>
        <w:t>161</w:t>
      </w:r>
      <w:r>
        <w:rPr>
          <w:noProof/>
        </w:rPr>
        <w:fldChar w:fldCharType="end"/>
      </w:r>
    </w:p>
    <w:p w14:paraId="0999F3CF" w14:textId="1DFFD831" w:rsidR="006E6E6A" w:rsidRDefault="006E6E6A">
      <w:pPr>
        <w:pStyle w:val="TOC2"/>
        <w:tabs>
          <w:tab w:val="right" w:leader="dot" w:pos="9350"/>
        </w:tabs>
        <w:rPr>
          <w:rFonts w:asciiTheme="minorHAnsi" w:eastAsiaTheme="minorEastAsia" w:hAnsiTheme="minorHAnsi" w:cstheme="minorBidi"/>
          <w:color w:val="auto"/>
          <w:sz w:val="22"/>
          <w:szCs w:val="22"/>
        </w:rPr>
      </w:pPr>
      <w:r>
        <w:t>Conceptualization of Approaches to Learning</w:t>
      </w:r>
      <w:r>
        <w:tab/>
      </w:r>
      <w:r>
        <w:fldChar w:fldCharType="begin"/>
      </w:r>
      <w:r>
        <w:instrText xml:space="preserve"> PAGEREF _Toc44255194 \h </w:instrText>
      </w:r>
      <w:r>
        <w:fldChar w:fldCharType="separate"/>
      </w:r>
      <w:r w:rsidR="00DD2E33">
        <w:t>162</w:t>
      </w:r>
      <w:r>
        <w:fldChar w:fldCharType="end"/>
      </w:r>
    </w:p>
    <w:p w14:paraId="722B0E49" w14:textId="05FAAE35"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ATL as classroom-based behavior.</w:t>
      </w:r>
      <w:r>
        <w:tab/>
      </w:r>
      <w:r>
        <w:fldChar w:fldCharType="begin"/>
      </w:r>
      <w:r>
        <w:instrText xml:space="preserve"> PAGEREF _Toc44255195 \h </w:instrText>
      </w:r>
      <w:r>
        <w:fldChar w:fldCharType="separate"/>
      </w:r>
      <w:r w:rsidR="00DD2E33">
        <w:t>163</w:t>
      </w:r>
      <w:r>
        <w:fldChar w:fldCharType="end"/>
      </w:r>
    </w:p>
    <w:p w14:paraId="78CFE84C" w14:textId="176E9370"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Positive and negative ATL.</w:t>
      </w:r>
      <w:r>
        <w:tab/>
      </w:r>
      <w:r>
        <w:fldChar w:fldCharType="begin"/>
      </w:r>
      <w:r>
        <w:instrText xml:space="preserve"> PAGEREF _Toc44255196 \h </w:instrText>
      </w:r>
      <w:r>
        <w:fldChar w:fldCharType="separate"/>
      </w:r>
      <w:r w:rsidR="00DD2E33">
        <w:t>165</w:t>
      </w:r>
      <w:r>
        <w:fldChar w:fldCharType="end"/>
      </w:r>
    </w:p>
    <w:p w14:paraId="5B0FAD75" w14:textId="0B6F8996" w:rsidR="006E6E6A" w:rsidRDefault="006E6E6A">
      <w:pPr>
        <w:pStyle w:val="TOC2"/>
        <w:tabs>
          <w:tab w:val="right" w:leader="dot" w:pos="9350"/>
        </w:tabs>
        <w:rPr>
          <w:rFonts w:asciiTheme="minorHAnsi" w:eastAsiaTheme="minorEastAsia" w:hAnsiTheme="minorHAnsi" w:cstheme="minorBidi"/>
          <w:color w:val="auto"/>
          <w:sz w:val="22"/>
          <w:szCs w:val="22"/>
        </w:rPr>
      </w:pPr>
      <w:r>
        <w:t>Approaches to Learning and Other Social-Emotional Constructs</w:t>
      </w:r>
      <w:r>
        <w:tab/>
      </w:r>
      <w:r>
        <w:fldChar w:fldCharType="begin"/>
      </w:r>
      <w:r>
        <w:instrText xml:space="preserve"> PAGEREF _Toc44255197 \h </w:instrText>
      </w:r>
      <w:r>
        <w:fldChar w:fldCharType="separate"/>
      </w:r>
      <w:r w:rsidR="00DD2E33">
        <w:t>167</w:t>
      </w:r>
      <w:r>
        <w:fldChar w:fldCharType="end"/>
      </w:r>
    </w:p>
    <w:p w14:paraId="037E5978" w14:textId="3BA38BA4"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Executive function</w:t>
      </w:r>
      <w:r>
        <w:tab/>
      </w:r>
      <w:r>
        <w:fldChar w:fldCharType="begin"/>
      </w:r>
      <w:r>
        <w:instrText xml:space="preserve"> PAGEREF _Toc44255198 \h </w:instrText>
      </w:r>
      <w:r>
        <w:fldChar w:fldCharType="separate"/>
      </w:r>
      <w:r w:rsidR="00DD2E33">
        <w:t>167</w:t>
      </w:r>
      <w:r>
        <w:fldChar w:fldCharType="end"/>
      </w:r>
    </w:p>
    <w:p w14:paraId="213AFCA7" w14:textId="4D940367"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Emotion regulation/effortful control.</w:t>
      </w:r>
      <w:r>
        <w:tab/>
      </w:r>
      <w:r>
        <w:fldChar w:fldCharType="begin"/>
      </w:r>
      <w:r>
        <w:instrText xml:space="preserve"> PAGEREF _Toc44255199 \h </w:instrText>
      </w:r>
      <w:r>
        <w:fldChar w:fldCharType="separate"/>
      </w:r>
      <w:r w:rsidR="00DD2E33">
        <w:t>169</w:t>
      </w:r>
      <w:r>
        <w:fldChar w:fldCharType="end"/>
      </w:r>
    </w:p>
    <w:p w14:paraId="6EFB6503" w14:textId="1424CFB4"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Social development.</w:t>
      </w:r>
      <w:r>
        <w:tab/>
      </w:r>
      <w:r>
        <w:fldChar w:fldCharType="begin"/>
      </w:r>
      <w:r>
        <w:instrText xml:space="preserve"> PAGEREF _Toc44255200 \h </w:instrText>
      </w:r>
      <w:r>
        <w:fldChar w:fldCharType="separate"/>
      </w:r>
      <w:r w:rsidR="00DD2E33">
        <w:t>170</w:t>
      </w:r>
      <w:r>
        <w:fldChar w:fldCharType="end"/>
      </w:r>
    </w:p>
    <w:p w14:paraId="3D5F15D5" w14:textId="4B1E1637"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Behavioral self-regulation.</w:t>
      </w:r>
      <w:r>
        <w:tab/>
      </w:r>
      <w:r>
        <w:fldChar w:fldCharType="begin"/>
      </w:r>
      <w:r>
        <w:instrText xml:space="preserve"> PAGEREF _Toc44255201 \h </w:instrText>
      </w:r>
      <w:r>
        <w:fldChar w:fldCharType="separate"/>
      </w:r>
      <w:r w:rsidR="00DD2E33">
        <w:t>171</w:t>
      </w:r>
      <w:r>
        <w:fldChar w:fldCharType="end"/>
      </w:r>
    </w:p>
    <w:p w14:paraId="03D55C08" w14:textId="30788FCE" w:rsidR="006E6E6A" w:rsidRDefault="006E6E6A">
      <w:pPr>
        <w:pStyle w:val="TOC2"/>
        <w:tabs>
          <w:tab w:val="right" w:leader="dot" w:pos="9350"/>
        </w:tabs>
        <w:rPr>
          <w:rFonts w:asciiTheme="minorHAnsi" w:eastAsiaTheme="minorEastAsia" w:hAnsiTheme="minorHAnsi" w:cstheme="minorBidi"/>
          <w:color w:val="auto"/>
          <w:sz w:val="22"/>
          <w:szCs w:val="22"/>
        </w:rPr>
      </w:pPr>
      <w:r>
        <w:t>Measurement of ATL</w:t>
      </w:r>
      <w:r>
        <w:tab/>
      </w:r>
      <w:r>
        <w:fldChar w:fldCharType="begin"/>
      </w:r>
      <w:r>
        <w:instrText xml:space="preserve"> PAGEREF _Toc44255202 \h </w:instrText>
      </w:r>
      <w:r>
        <w:fldChar w:fldCharType="separate"/>
      </w:r>
      <w:r w:rsidR="00DD2E33">
        <w:t>173</w:t>
      </w:r>
      <w:r>
        <w:fldChar w:fldCharType="end"/>
      </w:r>
    </w:p>
    <w:p w14:paraId="2B38559B" w14:textId="354C8349"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Teacher report.</w:t>
      </w:r>
      <w:r>
        <w:tab/>
      </w:r>
      <w:r>
        <w:fldChar w:fldCharType="begin"/>
      </w:r>
      <w:r>
        <w:instrText xml:space="preserve"> PAGEREF _Toc44255203 \h </w:instrText>
      </w:r>
      <w:r>
        <w:fldChar w:fldCharType="separate"/>
      </w:r>
      <w:r w:rsidR="00DD2E33">
        <w:t>173</w:t>
      </w:r>
      <w:r>
        <w:fldChar w:fldCharType="end"/>
      </w:r>
    </w:p>
    <w:p w14:paraId="2B38E5B7" w14:textId="09D042C6"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Observation-based studies.</w:t>
      </w:r>
      <w:r>
        <w:tab/>
      </w:r>
      <w:r>
        <w:fldChar w:fldCharType="begin"/>
      </w:r>
      <w:r>
        <w:instrText xml:space="preserve"> PAGEREF _Toc44255204 \h </w:instrText>
      </w:r>
      <w:r>
        <w:fldChar w:fldCharType="separate"/>
      </w:r>
      <w:r w:rsidR="00DD2E33">
        <w:t>175</w:t>
      </w:r>
      <w:r>
        <w:fldChar w:fldCharType="end"/>
      </w:r>
    </w:p>
    <w:p w14:paraId="40D15F1E" w14:textId="795C9F7B"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Latent profile analysis.</w:t>
      </w:r>
      <w:r>
        <w:tab/>
      </w:r>
      <w:r>
        <w:fldChar w:fldCharType="begin"/>
      </w:r>
      <w:r>
        <w:instrText xml:space="preserve"> PAGEREF _Toc44255205 \h </w:instrText>
      </w:r>
      <w:r>
        <w:fldChar w:fldCharType="separate"/>
      </w:r>
      <w:r w:rsidR="00DD2E33">
        <w:t>176</w:t>
      </w:r>
      <w:r>
        <w:fldChar w:fldCharType="end"/>
      </w:r>
    </w:p>
    <w:p w14:paraId="3B3AE03C" w14:textId="6B9C6820" w:rsidR="006E6E6A" w:rsidRDefault="006E6E6A">
      <w:pPr>
        <w:pStyle w:val="TOC2"/>
        <w:tabs>
          <w:tab w:val="right" w:leader="dot" w:pos="9350"/>
        </w:tabs>
        <w:rPr>
          <w:rFonts w:asciiTheme="minorHAnsi" w:eastAsiaTheme="minorEastAsia" w:hAnsiTheme="minorHAnsi" w:cstheme="minorBidi"/>
          <w:color w:val="auto"/>
          <w:sz w:val="22"/>
          <w:szCs w:val="22"/>
        </w:rPr>
      </w:pPr>
      <w:r>
        <w:t>ATL and Academic Outcomes</w:t>
      </w:r>
      <w:r>
        <w:tab/>
      </w:r>
      <w:r>
        <w:fldChar w:fldCharType="begin"/>
      </w:r>
      <w:r>
        <w:instrText xml:space="preserve"> PAGEREF _Toc44255206 \h </w:instrText>
      </w:r>
      <w:r>
        <w:fldChar w:fldCharType="separate"/>
      </w:r>
      <w:r w:rsidR="00DD2E33">
        <w:t>178</w:t>
      </w:r>
      <w:r>
        <w:fldChar w:fldCharType="end"/>
      </w:r>
    </w:p>
    <w:p w14:paraId="5CB92B92" w14:textId="1F10EF2B" w:rsidR="006E6E6A" w:rsidRDefault="006E6E6A">
      <w:pPr>
        <w:pStyle w:val="TOC2"/>
        <w:tabs>
          <w:tab w:val="right" w:leader="dot" w:pos="9350"/>
        </w:tabs>
        <w:rPr>
          <w:rFonts w:asciiTheme="minorHAnsi" w:eastAsiaTheme="minorEastAsia" w:hAnsiTheme="minorHAnsi" w:cstheme="minorBidi"/>
          <w:color w:val="auto"/>
          <w:sz w:val="22"/>
          <w:szCs w:val="22"/>
        </w:rPr>
      </w:pPr>
      <w:r>
        <w:t>The Current Study</w:t>
      </w:r>
      <w:r>
        <w:tab/>
      </w:r>
      <w:r>
        <w:fldChar w:fldCharType="begin"/>
      </w:r>
      <w:r>
        <w:instrText xml:space="preserve"> PAGEREF _Toc44255207 \h </w:instrText>
      </w:r>
      <w:r>
        <w:fldChar w:fldCharType="separate"/>
      </w:r>
      <w:r w:rsidR="00DD2E33">
        <w:t>179</w:t>
      </w:r>
      <w:r>
        <w:fldChar w:fldCharType="end"/>
      </w:r>
    </w:p>
    <w:p w14:paraId="46C96EB5" w14:textId="7F6F7B2C" w:rsidR="006E6E6A" w:rsidRDefault="006E6E6A">
      <w:pPr>
        <w:pStyle w:val="TOC1"/>
        <w:tabs>
          <w:tab w:val="right" w:leader="dot" w:pos="9350"/>
        </w:tabs>
        <w:rPr>
          <w:rFonts w:asciiTheme="minorHAnsi" w:eastAsiaTheme="minorEastAsia" w:hAnsiTheme="minorHAnsi" w:cstheme="minorBidi"/>
          <w:noProof/>
          <w:color w:val="auto"/>
          <w:sz w:val="22"/>
          <w:szCs w:val="22"/>
        </w:rPr>
      </w:pPr>
      <w:r>
        <w:rPr>
          <w:noProof/>
        </w:rPr>
        <w:t>Methods</w:t>
      </w:r>
      <w:r>
        <w:rPr>
          <w:noProof/>
        </w:rPr>
        <w:tab/>
      </w:r>
      <w:r>
        <w:rPr>
          <w:noProof/>
        </w:rPr>
        <w:fldChar w:fldCharType="begin"/>
      </w:r>
      <w:r>
        <w:rPr>
          <w:noProof/>
        </w:rPr>
        <w:instrText xml:space="preserve"> PAGEREF _Toc44255208 \h </w:instrText>
      </w:r>
      <w:r>
        <w:rPr>
          <w:noProof/>
        </w:rPr>
      </w:r>
      <w:r>
        <w:rPr>
          <w:noProof/>
        </w:rPr>
        <w:fldChar w:fldCharType="separate"/>
      </w:r>
      <w:r w:rsidR="00DD2E33">
        <w:rPr>
          <w:noProof/>
        </w:rPr>
        <w:t>181</w:t>
      </w:r>
      <w:r>
        <w:rPr>
          <w:noProof/>
        </w:rPr>
        <w:fldChar w:fldCharType="end"/>
      </w:r>
    </w:p>
    <w:p w14:paraId="38A8FA75" w14:textId="796C8187" w:rsidR="006E6E6A" w:rsidRDefault="006E6E6A">
      <w:pPr>
        <w:pStyle w:val="TOC2"/>
        <w:tabs>
          <w:tab w:val="right" w:leader="dot" w:pos="9350"/>
        </w:tabs>
        <w:rPr>
          <w:rFonts w:asciiTheme="minorHAnsi" w:eastAsiaTheme="minorEastAsia" w:hAnsiTheme="minorHAnsi" w:cstheme="minorBidi"/>
          <w:color w:val="auto"/>
          <w:sz w:val="22"/>
          <w:szCs w:val="22"/>
        </w:rPr>
      </w:pPr>
      <w:r>
        <w:lastRenderedPageBreak/>
        <w:t>Data Source</w:t>
      </w:r>
      <w:r>
        <w:tab/>
      </w:r>
      <w:r>
        <w:fldChar w:fldCharType="begin"/>
      </w:r>
      <w:r>
        <w:instrText xml:space="preserve"> PAGEREF _Toc44255209 \h </w:instrText>
      </w:r>
      <w:r>
        <w:fldChar w:fldCharType="separate"/>
      </w:r>
      <w:r w:rsidR="00DD2E33">
        <w:t>181</w:t>
      </w:r>
      <w:r>
        <w:fldChar w:fldCharType="end"/>
      </w:r>
    </w:p>
    <w:p w14:paraId="459D3923" w14:textId="11AA250E" w:rsidR="006E6E6A" w:rsidRDefault="006E6E6A">
      <w:pPr>
        <w:pStyle w:val="TOC2"/>
        <w:tabs>
          <w:tab w:val="right" w:leader="dot" w:pos="9350"/>
        </w:tabs>
        <w:rPr>
          <w:rFonts w:asciiTheme="minorHAnsi" w:eastAsiaTheme="minorEastAsia" w:hAnsiTheme="minorHAnsi" w:cstheme="minorBidi"/>
          <w:color w:val="auto"/>
          <w:sz w:val="22"/>
          <w:szCs w:val="22"/>
        </w:rPr>
      </w:pPr>
      <w:r>
        <w:t>Participants</w:t>
      </w:r>
      <w:r>
        <w:tab/>
      </w:r>
      <w:r>
        <w:fldChar w:fldCharType="begin"/>
      </w:r>
      <w:r>
        <w:instrText xml:space="preserve"> PAGEREF _Toc44255210 \h </w:instrText>
      </w:r>
      <w:r>
        <w:fldChar w:fldCharType="separate"/>
      </w:r>
      <w:r w:rsidR="00DD2E33">
        <w:t>182</w:t>
      </w:r>
      <w:r>
        <w:fldChar w:fldCharType="end"/>
      </w:r>
    </w:p>
    <w:p w14:paraId="3BA5DD5D" w14:textId="3B059437" w:rsidR="006E6E6A" w:rsidRDefault="006E6E6A">
      <w:pPr>
        <w:pStyle w:val="TOC2"/>
        <w:tabs>
          <w:tab w:val="right" w:leader="dot" w:pos="9350"/>
        </w:tabs>
        <w:rPr>
          <w:rFonts w:asciiTheme="minorHAnsi" w:eastAsiaTheme="minorEastAsia" w:hAnsiTheme="minorHAnsi" w:cstheme="minorBidi"/>
          <w:color w:val="auto"/>
          <w:sz w:val="22"/>
          <w:szCs w:val="22"/>
        </w:rPr>
      </w:pPr>
      <w:r>
        <w:t>Measures</w:t>
      </w:r>
      <w:r>
        <w:tab/>
      </w:r>
      <w:r>
        <w:fldChar w:fldCharType="begin"/>
      </w:r>
      <w:r>
        <w:instrText xml:space="preserve"> PAGEREF _Toc44255211 \h </w:instrText>
      </w:r>
      <w:r>
        <w:fldChar w:fldCharType="separate"/>
      </w:r>
      <w:r w:rsidR="00DD2E33">
        <w:t>182</w:t>
      </w:r>
      <w:r>
        <w:fldChar w:fldCharType="end"/>
      </w:r>
    </w:p>
    <w:p w14:paraId="652A16F8" w14:textId="7377C962"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Approaches to Learning</w:t>
      </w:r>
      <w:r>
        <w:tab/>
      </w:r>
      <w:r>
        <w:fldChar w:fldCharType="begin"/>
      </w:r>
      <w:r>
        <w:instrText xml:space="preserve"> PAGEREF _Toc44255212 \h </w:instrText>
      </w:r>
      <w:r>
        <w:fldChar w:fldCharType="separate"/>
      </w:r>
      <w:r w:rsidR="00DD2E33">
        <w:t>182</w:t>
      </w:r>
      <w:r>
        <w:fldChar w:fldCharType="end"/>
      </w:r>
    </w:p>
    <w:p w14:paraId="1AC00E4C" w14:textId="1D86CD1A" w:rsidR="006E6E6A" w:rsidRDefault="006E6E6A">
      <w:pPr>
        <w:pStyle w:val="TOC4"/>
        <w:tabs>
          <w:tab w:val="right" w:leader="dot" w:pos="9350"/>
        </w:tabs>
        <w:rPr>
          <w:rFonts w:asciiTheme="minorHAnsi" w:eastAsiaTheme="minorEastAsia" w:hAnsiTheme="minorHAnsi"/>
          <w:noProof/>
          <w:sz w:val="22"/>
        </w:rPr>
      </w:pPr>
      <w:r>
        <w:rPr>
          <w:noProof/>
        </w:rPr>
        <w:t>Individual Classroom Assessment Scoring System</w:t>
      </w:r>
      <w:r>
        <w:rPr>
          <w:noProof/>
        </w:rPr>
        <w:tab/>
      </w:r>
      <w:r>
        <w:rPr>
          <w:noProof/>
        </w:rPr>
        <w:fldChar w:fldCharType="begin"/>
      </w:r>
      <w:r>
        <w:rPr>
          <w:noProof/>
        </w:rPr>
        <w:instrText xml:space="preserve"> PAGEREF _Toc44255213 \h </w:instrText>
      </w:r>
      <w:r>
        <w:rPr>
          <w:noProof/>
        </w:rPr>
      </w:r>
      <w:r>
        <w:rPr>
          <w:noProof/>
        </w:rPr>
        <w:fldChar w:fldCharType="separate"/>
      </w:r>
      <w:r w:rsidR="00DD2E33">
        <w:rPr>
          <w:noProof/>
        </w:rPr>
        <w:t>182</w:t>
      </w:r>
      <w:r>
        <w:rPr>
          <w:noProof/>
        </w:rPr>
        <w:fldChar w:fldCharType="end"/>
      </w:r>
    </w:p>
    <w:p w14:paraId="54F14A28" w14:textId="11BA5116" w:rsidR="006E6E6A" w:rsidRDefault="006E6E6A">
      <w:pPr>
        <w:pStyle w:val="TOC4"/>
        <w:tabs>
          <w:tab w:val="right" w:leader="dot" w:pos="9350"/>
        </w:tabs>
        <w:rPr>
          <w:rFonts w:asciiTheme="minorHAnsi" w:eastAsiaTheme="minorEastAsia" w:hAnsiTheme="minorHAnsi"/>
          <w:noProof/>
          <w:sz w:val="22"/>
        </w:rPr>
      </w:pPr>
      <w:r>
        <w:rPr>
          <w:noProof/>
        </w:rPr>
        <w:t>Devereux Early Childhood Assessment, Preschool 2nd edition</w:t>
      </w:r>
      <w:r>
        <w:rPr>
          <w:noProof/>
        </w:rPr>
        <w:tab/>
      </w:r>
      <w:r>
        <w:rPr>
          <w:noProof/>
        </w:rPr>
        <w:fldChar w:fldCharType="begin"/>
      </w:r>
      <w:r>
        <w:rPr>
          <w:noProof/>
        </w:rPr>
        <w:instrText xml:space="preserve"> PAGEREF _Toc44255214 \h </w:instrText>
      </w:r>
      <w:r>
        <w:rPr>
          <w:noProof/>
        </w:rPr>
      </w:r>
      <w:r>
        <w:rPr>
          <w:noProof/>
        </w:rPr>
        <w:fldChar w:fldCharType="separate"/>
      </w:r>
      <w:r w:rsidR="00DD2E33">
        <w:rPr>
          <w:noProof/>
        </w:rPr>
        <w:t>184</w:t>
      </w:r>
      <w:r>
        <w:rPr>
          <w:noProof/>
        </w:rPr>
        <w:fldChar w:fldCharType="end"/>
      </w:r>
    </w:p>
    <w:p w14:paraId="47B6C47C" w14:textId="37E1E923" w:rsidR="006E6E6A" w:rsidRDefault="006E6E6A">
      <w:pPr>
        <w:pStyle w:val="TOC4"/>
        <w:tabs>
          <w:tab w:val="right" w:leader="dot" w:pos="9350"/>
        </w:tabs>
        <w:rPr>
          <w:rFonts w:asciiTheme="minorHAnsi" w:eastAsiaTheme="minorEastAsia" w:hAnsiTheme="minorHAnsi"/>
          <w:noProof/>
          <w:sz w:val="22"/>
        </w:rPr>
      </w:pPr>
      <w:r w:rsidRPr="007C3605">
        <w:rPr>
          <w:rFonts w:eastAsiaTheme="minorEastAsia"/>
          <w:noProof/>
        </w:rPr>
        <w:t>Leiter-3 Examiner Rating Scale (Roid &amp; Miller, 1997).</w:t>
      </w:r>
      <w:r>
        <w:rPr>
          <w:noProof/>
        </w:rPr>
        <w:tab/>
      </w:r>
      <w:r>
        <w:rPr>
          <w:noProof/>
        </w:rPr>
        <w:fldChar w:fldCharType="begin"/>
      </w:r>
      <w:r>
        <w:rPr>
          <w:noProof/>
        </w:rPr>
        <w:instrText xml:space="preserve"> PAGEREF _Toc44255215 \h </w:instrText>
      </w:r>
      <w:r>
        <w:rPr>
          <w:noProof/>
        </w:rPr>
      </w:r>
      <w:r>
        <w:rPr>
          <w:noProof/>
        </w:rPr>
        <w:fldChar w:fldCharType="separate"/>
      </w:r>
      <w:r w:rsidR="00DD2E33">
        <w:rPr>
          <w:noProof/>
        </w:rPr>
        <w:t>185</w:t>
      </w:r>
      <w:r>
        <w:rPr>
          <w:noProof/>
        </w:rPr>
        <w:fldChar w:fldCharType="end"/>
      </w:r>
    </w:p>
    <w:p w14:paraId="499CAEB9" w14:textId="1FFA6A26"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Task-based executive function.</w:t>
      </w:r>
      <w:r>
        <w:tab/>
      </w:r>
      <w:r>
        <w:fldChar w:fldCharType="begin"/>
      </w:r>
      <w:r>
        <w:instrText xml:space="preserve"> PAGEREF _Toc44255216 \h </w:instrText>
      </w:r>
      <w:r>
        <w:fldChar w:fldCharType="separate"/>
      </w:r>
      <w:r w:rsidR="00DD2E33">
        <w:t>186</w:t>
      </w:r>
      <w:r>
        <w:fldChar w:fldCharType="end"/>
      </w:r>
    </w:p>
    <w:p w14:paraId="1AE7DBB5" w14:textId="40C2A2E0" w:rsidR="006E6E6A" w:rsidRDefault="006E6E6A">
      <w:pPr>
        <w:pStyle w:val="TOC3"/>
        <w:tabs>
          <w:tab w:val="right" w:leader="dot" w:pos="9350"/>
        </w:tabs>
        <w:rPr>
          <w:rFonts w:asciiTheme="minorHAnsi" w:eastAsiaTheme="minorEastAsia" w:hAnsiTheme="minorHAnsi" w:cstheme="minorBidi"/>
          <w:color w:val="auto"/>
          <w:sz w:val="22"/>
          <w:szCs w:val="22"/>
          <w:lang w:bidi="ar-SA"/>
        </w:rPr>
      </w:pPr>
      <w:r>
        <w:t>Academic Outcomes.</w:t>
      </w:r>
      <w:r>
        <w:tab/>
      </w:r>
      <w:r>
        <w:fldChar w:fldCharType="begin"/>
      </w:r>
      <w:r>
        <w:instrText xml:space="preserve"> PAGEREF _Toc44255217 \h </w:instrText>
      </w:r>
      <w:r>
        <w:fldChar w:fldCharType="separate"/>
      </w:r>
      <w:r w:rsidR="00DD2E33">
        <w:t>187</w:t>
      </w:r>
      <w:r>
        <w:fldChar w:fldCharType="end"/>
      </w:r>
    </w:p>
    <w:p w14:paraId="4BE462D4" w14:textId="47F71860" w:rsidR="006E6E6A" w:rsidRDefault="006E6E6A">
      <w:pPr>
        <w:pStyle w:val="TOC4"/>
        <w:tabs>
          <w:tab w:val="right" w:leader="dot" w:pos="9350"/>
        </w:tabs>
        <w:rPr>
          <w:rFonts w:asciiTheme="minorHAnsi" w:eastAsiaTheme="minorEastAsia" w:hAnsiTheme="minorHAnsi"/>
          <w:noProof/>
          <w:sz w:val="22"/>
        </w:rPr>
      </w:pPr>
      <w:r>
        <w:rPr>
          <w:noProof/>
        </w:rPr>
        <w:t>Woodcock-Johnson Applied Problems</w:t>
      </w:r>
      <w:r>
        <w:rPr>
          <w:noProof/>
        </w:rPr>
        <w:tab/>
      </w:r>
      <w:r>
        <w:rPr>
          <w:noProof/>
        </w:rPr>
        <w:fldChar w:fldCharType="begin"/>
      </w:r>
      <w:r>
        <w:rPr>
          <w:noProof/>
        </w:rPr>
        <w:instrText xml:space="preserve"> PAGEREF _Toc44255218 \h </w:instrText>
      </w:r>
      <w:r>
        <w:rPr>
          <w:noProof/>
        </w:rPr>
      </w:r>
      <w:r>
        <w:rPr>
          <w:noProof/>
        </w:rPr>
        <w:fldChar w:fldCharType="separate"/>
      </w:r>
      <w:r w:rsidR="00DD2E33">
        <w:rPr>
          <w:noProof/>
        </w:rPr>
        <w:t>187</w:t>
      </w:r>
      <w:r>
        <w:rPr>
          <w:noProof/>
        </w:rPr>
        <w:fldChar w:fldCharType="end"/>
      </w:r>
    </w:p>
    <w:p w14:paraId="13B04213" w14:textId="55559AA7" w:rsidR="006E6E6A" w:rsidRDefault="006E6E6A">
      <w:pPr>
        <w:pStyle w:val="TOC4"/>
        <w:tabs>
          <w:tab w:val="right" w:leader="dot" w:pos="9350"/>
        </w:tabs>
        <w:rPr>
          <w:rFonts w:asciiTheme="minorHAnsi" w:eastAsiaTheme="minorEastAsia" w:hAnsiTheme="minorHAnsi"/>
          <w:noProof/>
          <w:sz w:val="22"/>
        </w:rPr>
      </w:pPr>
      <w:r>
        <w:rPr>
          <w:noProof/>
        </w:rPr>
        <w:t>Bracken School Readiness Assessment</w:t>
      </w:r>
      <w:r>
        <w:rPr>
          <w:noProof/>
        </w:rPr>
        <w:tab/>
      </w:r>
      <w:r>
        <w:rPr>
          <w:noProof/>
        </w:rPr>
        <w:fldChar w:fldCharType="begin"/>
      </w:r>
      <w:r>
        <w:rPr>
          <w:noProof/>
        </w:rPr>
        <w:instrText xml:space="preserve"> PAGEREF _Toc44255219 \h </w:instrText>
      </w:r>
      <w:r>
        <w:rPr>
          <w:noProof/>
        </w:rPr>
      </w:r>
      <w:r>
        <w:rPr>
          <w:noProof/>
        </w:rPr>
        <w:fldChar w:fldCharType="separate"/>
      </w:r>
      <w:r w:rsidR="00DD2E33">
        <w:rPr>
          <w:noProof/>
        </w:rPr>
        <w:t>188</w:t>
      </w:r>
      <w:r>
        <w:rPr>
          <w:noProof/>
        </w:rPr>
        <w:fldChar w:fldCharType="end"/>
      </w:r>
    </w:p>
    <w:p w14:paraId="6BE38B52" w14:textId="2EA626F0" w:rsidR="006E6E6A" w:rsidRDefault="006E6E6A">
      <w:pPr>
        <w:pStyle w:val="TOC2"/>
        <w:tabs>
          <w:tab w:val="right" w:leader="dot" w:pos="9350"/>
        </w:tabs>
        <w:rPr>
          <w:rFonts w:asciiTheme="minorHAnsi" w:eastAsiaTheme="minorEastAsia" w:hAnsiTheme="minorHAnsi" w:cstheme="minorBidi"/>
          <w:color w:val="auto"/>
          <w:sz w:val="22"/>
          <w:szCs w:val="22"/>
        </w:rPr>
      </w:pPr>
      <w:r>
        <w:t>Procedures</w:t>
      </w:r>
      <w:r>
        <w:tab/>
      </w:r>
      <w:r>
        <w:fldChar w:fldCharType="begin"/>
      </w:r>
      <w:r>
        <w:instrText xml:space="preserve"> PAGEREF _Toc44255220 \h </w:instrText>
      </w:r>
      <w:r>
        <w:fldChar w:fldCharType="separate"/>
      </w:r>
      <w:r w:rsidR="00DD2E33">
        <w:t>188</w:t>
      </w:r>
      <w:r>
        <w:fldChar w:fldCharType="end"/>
      </w:r>
    </w:p>
    <w:p w14:paraId="1364C061" w14:textId="5B580EFF" w:rsidR="006E6E6A" w:rsidRDefault="006E6E6A">
      <w:pPr>
        <w:pStyle w:val="TOC2"/>
        <w:tabs>
          <w:tab w:val="right" w:leader="dot" w:pos="9350"/>
        </w:tabs>
        <w:rPr>
          <w:rFonts w:asciiTheme="minorHAnsi" w:eastAsiaTheme="minorEastAsia" w:hAnsiTheme="minorHAnsi" w:cstheme="minorBidi"/>
          <w:color w:val="auto"/>
          <w:sz w:val="22"/>
          <w:szCs w:val="22"/>
        </w:rPr>
      </w:pPr>
      <w:r>
        <w:t>Plan of Analysis</w:t>
      </w:r>
      <w:r>
        <w:tab/>
      </w:r>
      <w:r>
        <w:fldChar w:fldCharType="begin"/>
      </w:r>
      <w:r>
        <w:instrText xml:space="preserve"> PAGEREF _Toc44255221 \h </w:instrText>
      </w:r>
      <w:r>
        <w:fldChar w:fldCharType="separate"/>
      </w:r>
      <w:r w:rsidR="00DD2E33">
        <w:t>189</w:t>
      </w:r>
      <w:r>
        <w:fldChar w:fldCharType="end"/>
      </w:r>
    </w:p>
    <w:p w14:paraId="1B34F8D2" w14:textId="3D9BE6F5" w:rsidR="006E6E6A" w:rsidRDefault="006E6E6A">
      <w:pPr>
        <w:pStyle w:val="TOC2"/>
        <w:tabs>
          <w:tab w:val="right" w:leader="dot" w:pos="9350"/>
        </w:tabs>
        <w:rPr>
          <w:rFonts w:asciiTheme="minorHAnsi" w:eastAsiaTheme="minorEastAsia" w:hAnsiTheme="minorHAnsi" w:cstheme="minorBidi"/>
          <w:color w:val="auto"/>
          <w:sz w:val="22"/>
          <w:szCs w:val="22"/>
        </w:rPr>
      </w:pPr>
      <w:r>
        <w:t>Potential Limitations</w:t>
      </w:r>
      <w:r>
        <w:tab/>
      </w:r>
      <w:r>
        <w:fldChar w:fldCharType="begin"/>
      </w:r>
      <w:r>
        <w:instrText xml:space="preserve"> PAGEREF _Toc44255222 \h </w:instrText>
      </w:r>
      <w:r>
        <w:fldChar w:fldCharType="separate"/>
      </w:r>
      <w:r w:rsidR="00DD2E33">
        <w:t>192</w:t>
      </w:r>
      <w:r>
        <w:fldChar w:fldCharType="end"/>
      </w:r>
    </w:p>
    <w:p w14:paraId="5A3A50E0" w14:textId="6A81CD9A" w:rsidR="006E6E6A" w:rsidRDefault="006E6E6A">
      <w:pPr>
        <w:pStyle w:val="TOC1"/>
        <w:tabs>
          <w:tab w:val="right" w:leader="dot" w:pos="9350"/>
        </w:tabs>
        <w:rPr>
          <w:rFonts w:asciiTheme="minorHAnsi" w:eastAsiaTheme="minorEastAsia" w:hAnsiTheme="minorHAnsi" w:cstheme="minorBidi"/>
          <w:noProof/>
          <w:color w:val="auto"/>
          <w:sz w:val="22"/>
          <w:szCs w:val="22"/>
        </w:rPr>
      </w:pPr>
      <w:r>
        <w:rPr>
          <w:noProof/>
        </w:rPr>
        <w:t>References</w:t>
      </w:r>
      <w:r>
        <w:rPr>
          <w:noProof/>
        </w:rPr>
        <w:tab/>
      </w:r>
      <w:r>
        <w:rPr>
          <w:noProof/>
        </w:rPr>
        <w:fldChar w:fldCharType="begin"/>
      </w:r>
      <w:r>
        <w:rPr>
          <w:noProof/>
        </w:rPr>
        <w:instrText xml:space="preserve"> PAGEREF _Toc44255223 \h </w:instrText>
      </w:r>
      <w:r>
        <w:rPr>
          <w:noProof/>
        </w:rPr>
      </w:r>
      <w:r>
        <w:rPr>
          <w:noProof/>
        </w:rPr>
        <w:fldChar w:fldCharType="separate"/>
      </w:r>
      <w:r w:rsidR="00DD2E33">
        <w:rPr>
          <w:noProof/>
        </w:rPr>
        <w:t>194</w:t>
      </w:r>
      <w:r>
        <w:rPr>
          <w:noProof/>
        </w:rPr>
        <w:fldChar w:fldCharType="end"/>
      </w:r>
    </w:p>
    <w:p w14:paraId="0A3D913F" w14:textId="38D34334" w:rsidR="006E6E6A" w:rsidRDefault="006E6E6A">
      <w:pPr>
        <w:pStyle w:val="TOC1"/>
        <w:tabs>
          <w:tab w:val="right" w:leader="dot" w:pos="9350"/>
        </w:tabs>
        <w:rPr>
          <w:rFonts w:asciiTheme="minorHAnsi" w:eastAsiaTheme="minorEastAsia" w:hAnsiTheme="minorHAnsi" w:cstheme="minorBidi"/>
          <w:noProof/>
          <w:color w:val="auto"/>
          <w:sz w:val="22"/>
          <w:szCs w:val="22"/>
        </w:rPr>
      </w:pPr>
      <w:r>
        <w:rPr>
          <w:noProof/>
        </w:rPr>
        <w:t>Appendix A Measurement Models</w:t>
      </w:r>
      <w:r>
        <w:rPr>
          <w:noProof/>
        </w:rPr>
        <w:tab/>
      </w:r>
      <w:r>
        <w:rPr>
          <w:noProof/>
        </w:rPr>
        <w:fldChar w:fldCharType="begin"/>
      </w:r>
      <w:r>
        <w:rPr>
          <w:noProof/>
        </w:rPr>
        <w:instrText xml:space="preserve"> PAGEREF _Toc44255224 \h </w:instrText>
      </w:r>
      <w:r>
        <w:rPr>
          <w:noProof/>
        </w:rPr>
      </w:r>
      <w:r>
        <w:rPr>
          <w:noProof/>
        </w:rPr>
        <w:fldChar w:fldCharType="separate"/>
      </w:r>
      <w:r w:rsidR="00DD2E33">
        <w:rPr>
          <w:noProof/>
        </w:rPr>
        <w:t>207</w:t>
      </w:r>
      <w:r>
        <w:rPr>
          <w:noProof/>
        </w:rPr>
        <w:fldChar w:fldCharType="end"/>
      </w:r>
    </w:p>
    <w:p w14:paraId="76F9D8A1" w14:textId="12E462CD" w:rsidR="006E6E6A" w:rsidRDefault="006E6E6A">
      <w:pPr>
        <w:pStyle w:val="TOC1"/>
        <w:tabs>
          <w:tab w:val="right" w:leader="dot" w:pos="9350"/>
        </w:tabs>
        <w:rPr>
          <w:rFonts w:asciiTheme="minorHAnsi" w:eastAsiaTheme="minorEastAsia" w:hAnsiTheme="minorHAnsi" w:cstheme="minorBidi"/>
          <w:noProof/>
          <w:color w:val="auto"/>
          <w:sz w:val="22"/>
          <w:szCs w:val="22"/>
        </w:rPr>
      </w:pPr>
      <w:r>
        <w:rPr>
          <w:noProof/>
        </w:rPr>
        <w:t>Appendix B Sample Measures</w:t>
      </w:r>
      <w:r>
        <w:rPr>
          <w:noProof/>
        </w:rPr>
        <w:tab/>
      </w:r>
      <w:r>
        <w:rPr>
          <w:noProof/>
        </w:rPr>
        <w:fldChar w:fldCharType="begin"/>
      </w:r>
      <w:r>
        <w:rPr>
          <w:noProof/>
        </w:rPr>
        <w:instrText xml:space="preserve"> PAGEREF _Toc44255225 \h </w:instrText>
      </w:r>
      <w:r>
        <w:rPr>
          <w:noProof/>
        </w:rPr>
      </w:r>
      <w:r>
        <w:rPr>
          <w:noProof/>
        </w:rPr>
        <w:fldChar w:fldCharType="separate"/>
      </w:r>
      <w:r w:rsidR="00DD2E33">
        <w:rPr>
          <w:noProof/>
        </w:rPr>
        <w:t>209</w:t>
      </w:r>
      <w:r>
        <w:rPr>
          <w:noProof/>
        </w:rPr>
        <w:fldChar w:fldCharType="end"/>
      </w:r>
    </w:p>
    <w:p w14:paraId="515DFC90" w14:textId="69F881E9" w:rsidR="005E1CD1" w:rsidRDefault="00062A3E" w:rsidP="005E1CD1">
      <w:pPr>
        <w:pStyle w:val="DTLEvel1"/>
        <w:ind w:firstLine="720"/>
        <w:contextualSpacing/>
        <w:rPr>
          <w:b w:val="0"/>
          <w:bCs/>
        </w:rPr>
      </w:pPr>
      <w:r>
        <w:rPr>
          <w:b w:val="0"/>
          <w:bCs/>
        </w:rPr>
        <w:fldChar w:fldCharType="end"/>
      </w:r>
    </w:p>
    <w:p w14:paraId="1DAEF150" w14:textId="77777777" w:rsidR="005E1CD1" w:rsidRDefault="005E1CD1" w:rsidP="005E1CD1">
      <w:pPr>
        <w:pStyle w:val="DTLEvel1"/>
        <w:ind w:firstLine="720"/>
        <w:contextualSpacing/>
        <w:rPr>
          <w:b w:val="0"/>
          <w:bCs/>
        </w:rPr>
      </w:pPr>
    </w:p>
    <w:p w14:paraId="5B6C4B19" w14:textId="77777777" w:rsidR="005E1CD1" w:rsidRDefault="005E1CD1" w:rsidP="005E1CD1">
      <w:pPr>
        <w:pStyle w:val="DTLEvel1"/>
        <w:ind w:firstLine="720"/>
        <w:contextualSpacing/>
        <w:rPr>
          <w:b w:val="0"/>
          <w:bCs/>
        </w:rPr>
      </w:pPr>
    </w:p>
    <w:p w14:paraId="6489F165" w14:textId="77777777" w:rsidR="005E1CD1" w:rsidRDefault="005E1CD1" w:rsidP="005E1CD1">
      <w:pPr>
        <w:pStyle w:val="DTLEvel1"/>
        <w:ind w:firstLine="720"/>
        <w:contextualSpacing/>
        <w:rPr>
          <w:b w:val="0"/>
          <w:bCs/>
        </w:rPr>
      </w:pPr>
    </w:p>
    <w:p w14:paraId="1AFE9E70" w14:textId="77777777" w:rsidR="005E1CD1" w:rsidRDefault="005E1CD1" w:rsidP="005E1CD1">
      <w:pPr>
        <w:pStyle w:val="DTLEvel1"/>
        <w:ind w:firstLine="720"/>
        <w:contextualSpacing/>
        <w:rPr>
          <w:b w:val="0"/>
          <w:bCs/>
        </w:rPr>
      </w:pPr>
    </w:p>
    <w:p w14:paraId="3510F3FF" w14:textId="77777777" w:rsidR="005E1CD1" w:rsidRDefault="005E1CD1" w:rsidP="005E1CD1">
      <w:pPr>
        <w:pStyle w:val="DTLEvel1"/>
        <w:ind w:firstLine="720"/>
        <w:contextualSpacing/>
        <w:rPr>
          <w:b w:val="0"/>
          <w:bCs/>
        </w:rPr>
      </w:pPr>
    </w:p>
    <w:p w14:paraId="666D5826" w14:textId="77777777" w:rsidR="005E1CD1" w:rsidRDefault="005E1CD1" w:rsidP="005E1CD1">
      <w:pPr>
        <w:pStyle w:val="DTLEvel1"/>
        <w:ind w:firstLine="720"/>
        <w:contextualSpacing/>
        <w:rPr>
          <w:b w:val="0"/>
          <w:bCs/>
        </w:rPr>
      </w:pPr>
    </w:p>
    <w:p w14:paraId="0BDB93D5" w14:textId="189432E3" w:rsidR="005E1CD1" w:rsidRPr="003A39BE" w:rsidRDefault="005E1CD1" w:rsidP="009974B7">
      <w:pPr>
        <w:pStyle w:val="Heading1"/>
      </w:pPr>
      <w:bookmarkStart w:id="126" w:name="_Toc44255190"/>
      <w:bookmarkStart w:id="127" w:name="_Toc46265532"/>
      <w:bookmarkStart w:id="128" w:name="PROSPECTUS"/>
      <w:r w:rsidRPr="003A39BE">
        <w:t>Abstract</w:t>
      </w:r>
      <w:bookmarkEnd w:id="126"/>
      <w:bookmarkEnd w:id="127"/>
    </w:p>
    <w:p w14:paraId="01C306AF" w14:textId="77777777" w:rsidR="005E1CD1" w:rsidRPr="008127BB" w:rsidRDefault="005E1CD1" w:rsidP="008127BB">
      <w:r w:rsidRPr="008127BB">
        <w:t xml:space="preserve">Children ages 3-5 are more likely to be enrolled in classroom-based preschool programs than ever before (Snyder, de Brey, &amp; </w:t>
      </w:r>
      <w:proofErr w:type="spellStart"/>
      <w:r w:rsidRPr="008127BB">
        <w:t>Dillow</w:t>
      </w:r>
      <w:proofErr w:type="spellEnd"/>
      <w:r w:rsidRPr="008127BB">
        <w:t xml:space="preserve">, 2018). This provides children with opportunities to engage socially with peer and teachers and to interact with new materials; these kinds of opportunities are key drivers of early learning in childhood (Hamre &amp; </w:t>
      </w:r>
      <w:proofErr w:type="spellStart"/>
      <w:r w:rsidRPr="008127BB">
        <w:t>Pianta</w:t>
      </w:r>
      <w:proofErr w:type="spellEnd"/>
      <w:r w:rsidRPr="008127BB">
        <w:t xml:space="preserve">, 2001). As such, a child’s ability to maximize these learning opportunities, termed approaches to learning (ATL), plays a pivotal role in her academic development and adjustment to the school environment. Nonetheless, there is a lack of clarity in both the conceptualization and measurement of ATL, and these problems have resulted in gaps in the understanding of exactly what ATL is and how it contributes to children’s school readiness. This study will address these gaps by conceptualizing ATL in classroom-based contexts as well as using Latent Profile Analysis (LPA) to examine profiles of children’s ATL and their negative engagement. These profiles will then be used to explore the relationships between different types of ATL and children’s math outcomes in a sample of 3- and 4-year-old children participating in a Head Start program. </w:t>
      </w:r>
    </w:p>
    <w:p w14:paraId="31E412CF" w14:textId="77777777" w:rsidR="005E1CD1" w:rsidRPr="008127BB" w:rsidRDefault="005E1CD1" w:rsidP="008127BB"/>
    <w:p w14:paraId="15B261A0" w14:textId="77777777" w:rsidR="005E1CD1" w:rsidRDefault="005E1CD1" w:rsidP="005E1CD1">
      <w:pPr>
        <w:pStyle w:val="DTLEvel1"/>
        <w:ind w:firstLine="720"/>
        <w:contextualSpacing/>
      </w:pPr>
    </w:p>
    <w:p w14:paraId="7757FA1C" w14:textId="77777777" w:rsidR="005E1CD1" w:rsidRPr="008127BB" w:rsidRDefault="005E1CD1" w:rsidP="008127BB">
      <w:pPr>
        <w:rPr>
          <w:i/>
          <w:iCs/>
        </w:rPr>
      </w:pPr>
      <w:r w:rsidRPr="008127BB">
        <w:rPr>
          <w:i/>
          <w:iCs/>
        </w:rPr>
        <w:t xml:space="preserve">Keywords: approaches to learning, pre-kindergarten, Head Start, school readiness </w:t>
      </w:r>
    </w:p>
    <w:p w14:paraId="0522ECDA" w14:textId="77777777" w:rsidR="005E1CD1" w:rsidRDefault="005E1CD1" w:rsidP="005E1CD1">
      <w:pPr>
        <w:pStyle w:val="DTLEvel1"/>
        <w:ind w:firstLine="720"/>
        <w:contextualSpacing/>
        <w:rPr>
          <w:b w:val="0"/>
          <w:bCs/>
        </w:rPr>
      </w:pPr>
    </w:p>
    <w:p w14:paraId="27E5113B" w14:textId="77777777" w:rsidR="005E1CD1" w:rsidRDefault="005E1CD1" w:rsidP="005E1CD1">
      <w:pPr>
        <w:pStyle w:val="DTLEvel1"/>
        <w:ind w:firstLine="720"/>
        <w:contextualSpacing/>
        <w:rPr>
          <w:b w:val="0"/>
          <w:bCs/>
        </w:rPr>
      </w:pPr>
    </w:p>
    <w:p w14:paraId="19D2DA74" w14:textId="77777777" w:rsidR="005E1CD1" w:rsidRDefault="005E1CD1" w:rsidP="005E1CD1">
      <w:pPr>
        <w:pStyle w:val="DTLEvel1"/>
        <w:ind w:firstLine="720"/>
        <w:contextualSpacing/>
        <w:rPr>
          <w:b w:val="0"/>
          <w:bCs/>
        </w:rPr>
      </w:pPr>
    </w:p>
    <w:p w14:paraId="49135BB2" w14:textId="77777777" w:rsidR="005E1CD1" w:rsidRDefault="005E1CD1" w:rsidP="005E1CD1">
      <w:pPr>
        <w:pStyle w:val="DTLEvel1"/>
        <w:ind w:firstLine="720"/>
        <w:contextualSpacing/>
        <w:rPr>
          <w:b w:val="0"/>
          <w:bCs/>
        </w:rPr>
      </w:pPr>
    </w:p>
    <w:p w14:paraId="06B1A76A" w14:textId="77777777" w:rsidR="005E1CD1" w:rsidRDefault="005E1CD1" w:rsidP="005E1CD1">
      <w:pPr>
        <w:pStyle w:val="DTLEvel1"/>
        <w:ind w:firstLine="720"/>
        <w:contextualSpacing/>
        <w:rPr>
          <w:b w:val="0"/>
          <w:bCs/>
        </w:rPr>
      </w:pPr>
    </w:p>
    <w:sdt>
      <w:sdtPr>
        <w:rPr>
          <w:caps/>
        </w:rPr>
        <w:alias w:val="Click to enter dissertation title"/>
        <w:tag w:val="Click to enter dissertation title"/>
        <w:id w:val="-560557360"/>
        <w:placeholder>
          <w:docPart w:val="019823A2689241309AF8D0C3EE6D99A9"/>
        </w:placeholder>
      </w:sdtPr>
      <w:sdtContent>
        <w:p w14:paraId="687048A0" w14:textId="77777777" w:rsidR="005E1CD1" w:rsidRPr="004D7C5B" w:rsidRDefault="005E1CD1" w:rsidP="005E1CD1">
          <w:pPr>
            <w:contextualSpacing/>
            <w:jc w:val="center"/>
            <w:rPr>
              <w:caps/>
            </w:rPr>
          </w:pPr>
          <w:r>
            <w:rPr>
              <w:caps/>
            </w:rPr>
            <w:t>A</w:t>
          </w:r>
          <w:r w:rsidRPr="004D7C5B">
            <w:t xml:space="preserve">pproaches to </w:t>
          </w:r>
          <w:r>
            <w:t>L</w:t>
          </w:r>
          <w:r w:rsidRPr="004D7C5B">
            <w:t xml:space="preserve">earning: </w:t>
          </w:r>
          <w:r>
            <w:t>C</w:t>
          </w:r>
          <w:r w:rsidRPr="004D7C5B">
            <w:t xml:space="preserve">onceptualization and </w:t>
          </w:r>
          <w:r>
            <w:t>M</w:t>
          </w:r>
          <w:r w:rsidRPr="004D7C5B">
            <w:t xml:space="preserve">easurement of a </w:t>
          </w:r>
          <w:r>
            <w:t>K</w:t>
          </w:r>
          <w:r w:rsidRPr="004D7C5B">
            <w:t xml:space="preserve">ey </w:t>
          </w:r>
          <w:r>
            <w:t>S</w:t>
          </w:r>
          <w:r w:rsidRPr="004D7C5B">
            <w:t xml:space="preserve">chool </w:t>
          </w:r>
          <w:r>
            <w:t>R</w:t>
          </w:r>
          <w:r w:rsidRPr="004D7C5B">
            <w:t xml:space="preserve">eadiness </w:t>
          </w:r>
          <w:r>
            <w:t>I</w:t>
          </w:r>
          <w:r w:rsidRPr="004D7C5B">
            <w:t xml:space="preserve">ndicator </w:t>
          </w:r>
        </w:p>
      </w:sdtContent>
    </w:sdt>
    <w:p w14:paraId="369F0807" w14:textId="77777777" w:rsidR="005E1CD1" w:rsidRPr="006810AE" w:rsidRDefault="005E1CD1" w:rsidP="005E1CD1">
      <w:pPr>
        <w:ind w:firstLine="720"/>
        <w:contextualSpacing/>
        <w:rPr>
          <w:color w:val="FF0000"/>
        </w:rPr>
      </w:pPr>
      <w:r>
        <w:fldChar w:fldCharType="begin"/>
      </w:r>
      <w:r>
        <w:instrText xml:space="preserve"> TC "</w:instrText>
      </w:r>
      <w:r w:rsidRPr="0021242F">
        <w:instrText>Introduction</w:instrText>
      </w:r>
      <w:r>
        <w:instrText xml:space="preserve">" \f A \l "1" </w:instrText>
      </w:r>
      <w:r>
        <w:fldChar w:fldCharType="end"/>
      </w:r>
      <w:r w:rsidRPr="008C3BEE">
        <w:t>In 19</w:t>
      </w:r>
      <w:r>
        <w:t>89</w:t>
      </w:r>
      <w:r w:rsidRPr="008C3BEE">
        <w:t xml:space="preserve">, </w:t>
      </w:r>
      <w:r>
        <w:t xml:space="preserve">the National Education Goals Panel proclaimed that by the year 2000, all children should come to school “ready to learn” </w:t>
      </w:r>
      <w:r w:rsidRPr="008052E6">
        <w:t>(Hunt et al., 1998)</w:t>
      </w:r>
      <w:r>
        <w:t xml:space="preserve">. At that time, school readiness was conceptualized as a constellation of foundational skills necessary for school success </w:t>
      </w:r>
      <w:r w:rsidRPr="004059B2">
        <w:t xml:space="preserve">(Russo, Williford, Markowitz, </w:t>
      </w:r>
      <w:proofErr w:type="spellStart"/>
      <w:r w:rsidRPr="004059B2">
        <w:t>Vitiello</w:t>
      </w:r>
      <w:proofErr w:type="spellEnd"/>
      <w:r w:rsidRPr="004059B2">
        <w:t xml:space="preserve">, &amp; </w:t>
      </w:r>
      <w:proofErr w:type="spellStart"/>
      <w:r w:rsidRPr="004059B2">
        <w:t>Bassok</w:t>
      </w:r>
      <w:proofErr w:type="spellEnd"/>
      <w:r w:rsidRPr="004059B2">
        <w:t>, 2019)</w:t>
      </w:r>
      <w:r>
        <w:t xml:space="preserve">. Approaches to learning (ATL), students’ </w:t>
      </w:r>
      <w:r w:rsidRPr="00C531F7">
        <w:t>characteristic “ways of responding across situations</w:t>
      </w:r>
      <w:r>
        <w:t xml:space="preserve">” was included as one key aspect of school readiness </w:t>
      </w:r>
      <w:r w:rsidRPr="001B6860">
        <w:t>(Kagan et al., 1995, p. 23)</w:t>
      </w:r>
      <w:r>
        <w:t xml:space="preserve">. </w:t>
      </w:r>
      <w:r w:rsidRPr="009314C1">
        <w:t xml:space="preserve">Positive learning approaches </w:t>
      </w:r>
      <w:r>
        <w:t xml:space="preserve">help children sustain </w:t>
      </w:r>
      <w:r w:rsidRPr="009314C1">
        <w:t>engagement, interact with peers, and manage disappointment</w:t>
      </w:r>
      <w:r>
        <w:t xml:space="preserve"> </w:t>
      </w:r>
      <w:r w:rsidRPr="00123A0F">
        <w:t xml:space="preserve">(Chen &amp; McNamee, 2011; </w:t>
      </w:r>
      <w:proofErr w:type="spellStart"/>
      <w:r w:rsidRPr="00123A0F">
        <w:t>Fantuzzo</w:t>
      </w:r>
      <w:proofErr w:type="spellEnd"/>
      <w:r w:rsidRPr="00123A0F">
        <w:t xml:space="preserve"> et al., 2007; McDermott, </w:t>
      </w:r>
      <w:proofErr w:type="spellStart"/>
      <w:r w:rsidRPr="00123A0F">
        <w:t>Rikoon</w:t>
      </w:r>
      <w:proofErr w:type="spellEnd"/>
      <w:r w:rsidRPr="00123A0F">
        <w:t xml:space="preserve">, &amp; </w:t>
      </w:r>
      <w:proofErr w:type="spellStart"/>
      <w:r w:rsidRPr="00123A0F">
        <w:t>Fantuzzo</w:t>
      </w:r>
      <w:proofErr w:type="spellEnd"/>
      <w:r w:rsidRPr="00123A0F">
        <w:t>, 2014)</w:t>
      </w:r>
      <w:r>
        <w:t>. Almost 30 years later,</w:t>
      </w:r>
      <w:r w:rsidRPr="00101172">
        <w:t xml:space="preserve"> </w:t>
      </w:r>
      <w:r>
        <w:t>despite its inclusion as a key feature of school readiness and a literature base suggesting it is related to important academic outcomes, researchers struggle with pinpointing what ATL i</w:t>
      </w:r>
      <w:r w:rsidRPr="00101172">
        <w:t>s</w:t>
      </w:r>
      <w:r>
        <w:t xml:space="preserve">, how it is manifested in the classroom context and how these manifestations may vary across children </w:t>
      </w:r>
      <w:r w:rsidRPr="00101172">
        <w:t>(Li-</w:t>
      </w:r>
      <w:proofErr w:type="spellStart"/>
      <w:r w:rsidRPr="00101172">
        <w:t>Grining</w:t>
      </w:r>
      <w:proofErr w:type="spellEnd"/>
      <w:r w:rsidRPr="00101172">
        <w:t>, Votruba-</w:t>
      </w:r>
      <w:proofErr w:type="spellStart"/>
      <w:r w:rsidRPr="00101172">
        <w:t>Drzal</w:t>
      </w:r>
      <w:proofErr w:type="spellEnd"/>
      <w:r w:rsidRPr="00101172">
        <w:t>, Maldonado-</w:t>
      </w:r>
      <w:proofErr w:type="spellStart"/>
      <w:r w:rsidRPr="00101172">
        <w:t>Carreno</w:t>
      </w:r>
      <w:proofErr w:type="spellEnd"/>
      <w:r w:rsidRPr="00101172">
        <w:t xml:space="preserve">, &amp; Haas, 2010). </w:t>
      </w:r>
    </w:p>
    <w:p w14:paraId="0E03CF96" w14:textId="77777777" w:rsidR="005E1CD1" w:rsidRPr="00415BDD" w:rsidRDefault="005E1CD1" w:rsidP="005E1CD1">
      <w:pPr>
        <w:ind w:firstLine="720"/>
        <w:contextualSpacing/>
      </w:pPr>
      <w:r>
        <w:t xml:space="preserve">Children’s first school experiences may represent a particularly sensitive period for the development of key social, emotional, and cognitive skills </w:t>
      </w:r>
      <w:r w:rsidRPr="009B1FF6">
        <w:t xml:space="preserve">(Alexander &amp; </w:t>
      </w:r>
      <w:proofErr w:type="spellStart"/>
      <w:r w:rsidRPr="009B1FF6">
        <w:t>Entwisle</w:t>
      </w:r>
      <w:proofErr w:type="spellEnd"/>
      <w:r w:rsidRPr="009B1FF6">
        <w:t xml:space="preserve">, 1988; </w:t>
      </w:r>
      <w:proofErr w:type="spellStart"/>
      <w:r w:rsidRPr="009B1FF6">
        <w:t>Rimm</w:t>
      </w:r>
      <w:proofErr w:type="spellEnd"/>
      <w:r w:rsidRPr="009B1FF6">
        <w:t xml:space="preserve">-Kaufman &amp; </w:t>
      </w:r>
      <w:proofErr w:type="spellStart"/>
      <w:r w:rsidRPr="009B1FF6">
        <w:t>Pianta</w:t>
      </w:r>
      <w:proofErr w:type="spellEnd"/>
      <w:r w:rsidRPr="009B1FF6">
        <w:t xml:space="preserve">, 2000; Thomson, </w:t>
      </w:r>
      <w:proofErr w:type="spellStart"/>
      <w:r w:rsidRPr="009B1FF6">
        <w:t>Guhn</w:t>
      </w:r>
      <w:proofErr w:type="spellEnd"/>
      <w:r w:rsidRPr="009B1FF6">
        <w:t xml:space="preserve">, Richardson, Ark, &amp; </w:t>
      </w:r>
      <w:proofErr w:type="spellStart"/>
      <w:r w:rsidRPr="009B1FF6">
        <w:t>Shoveller</w:t>
      </w:r>
      <w:proofErr w:type="spellEnd"/>
      <w:r w:rsidRPr="009B1FF6">
        <w:t>, 2017)</w:t>
      </w:r>
      <w:r>
        <w:t>. ATL is</w:t>
      </w:r>
      <w:r w:rsidRPr="009314C1">
        <w:t xml:space="preserve"> particularly important in helping </w:t>
      </w:r>
      <w:r>
        <w:t xml:space="preserve">children </w:t>
      </w:r>
      <w:r w:rsidRPr="009314C1">
        <w:t xml:space="preserve">during the early months of school </w:t>
      </w:r>
      <w:r>
        <w:t xml:space="preserve">as they </w:t>
      </w:r>
      <w:r w:rsidRPr="009314C1">
        <w:t>encounter a more structured learning environment</w:t>
      </w:r>
      <w:r>
        <w:t xml:space="preserve"> </w:t>
      </w:r>
      <w:r w:rsidRPr="009314C1">
        <w:t>and a new set of peers</w:t>
      </w:r>
      <w:r>
        <w:t xml:space="preserve"> and behavioral demands</w:t>
      </w:r>
      <w:r w:rsidRPr="009314C1">
        <w:t xml:space="preserve"> (Daniels, 2014; </w:t>
      </w:r>
      <w:proofErr w:type="spellStart"/>
      <w:r w:rsidRPr="009314C1">
        <w:t>Montroy</w:t>
      </w:r>
      <w:proofErr w:type="spellEnd"/>
      <w:r w:rsidRPr="009314C1">
        <w:t xml:space="preserve">, Bowles, </w:t>
      </w:r>
      <w:proofErr w:type="spellStart"/>
      <w:r w:rsidRPr="009314C1">
        <w:t>Skibbe</w:t>
      </w:r>
      <w:proofErr w:type="spellEnd"/>
      <w:r w:rsidRPr="009314C1">
        <w:t>, &amp; Foster, 2014).</w:t>
      </w:r>
      <w:r w:rsidRPr="00645DA8">
        <w:t xml:space="preserve"> </w:t>
      </w:r>
      <w:r>
        <w:t xml:space="preserve">Children with more positive ATL may be able to get along better with classmates, follow the teacher’s directions, and redirect distress or </w:t>
      </w:r>
      <w:r w:rsidRPr="002F77A7">
        <w:t xml:space="preserve">frustration (Pratt, Swanson, van </w:t>
      </w:r>
      <w:proofErr w:type="spellStart"/>
      <w:r w:rsidRPr="002F77A7">
        <w:t>Huisstede</w:t>
      </w:r>
      <w:proofErr w:type="spellEnd"/>
      <w:r w:rsidRPr="002F77A7">
        <w:t xml:space="preserve">, &amp; </w:t>
      </w:r>
      <w:proofErr w:type="spellStart"/>
      <w:r w:rsidRPr="002F77A7">
        <w:t>Gaias</w:t>
      </w:r>
      <w:proofErr w:type="spellEnd"/>
      <w:r w:rsidRPr="002F77A7">
        <w:t>, 2019).</w:t>
      </w:r>
      <w:r>
        <w:t xml:space="preserve"> These behaviors lay important </w:t>
      </w:r>
      <w:r>
        <w:lastRenderedPageBreak/>
        <w:t xml:space="preserve">groundwork for learning because they help children establish positive relationships that put them in more frequent contact with learning opportunities </w:t>
      </w:r>
      <w:r w:rsidRPr="002F77A7">
        <w:t>(McDermott et al., 2018)</w:t>
      </w:r>
      <w:r>
        <w:t xml:space="preserve">. However, not all children successfully adjust to the classroom environment. For some children, more problematic behavior can emerge as a function of the mismatch between their developmental capabilities and the requirements of the situation </w:t>
      </w:r>
      <w:r w:rsidRPr="00A325DD">
        <w:t>(</w:t>
      </w:r>
      <w:proofErr w:type="spellStart"/>
      <w:r w:rsidRPr="00A325DD">
        <w:t>Bulotsky</w:t>
      </w:r>
      <w:proofErr w:type="spellEnd"/>
      <w:r w:rsidRPr="00A325DD">
        <w:t>-Shearer, Bell, &amp; Domínguez, 2012)</w:t>
      </w:r>
      <w:r>
        <w:t xml:space="preserve">. Children exhibiting these negative learning behaviors are at risk for poor academic outcomes. </w:t>
      </w:r>
      <w:r w:rsidRPr="00D74F69">
        <w:t>ATL represents a combination of learning styles believed to be malleable over time</w:t>
      </w:r>
      <w:r>
        <w:t xml:space="preserve">; consequently, </w:t>
      </w:r>
      <w:r w:rsidRPr="00D74F69">
        <w:t>understanding this construct can provide important information about how to nurture its development in children (</w:t>
      </w:r>
      <w:proofErr w:type="spellStart"/>
      <w:r w:rsidRPr="00D74F69">
        <w:t>Barbu</w:t>
      </w:r>
      <w:proofErr w:type="spellEnd"/>
      <w:r w:rsidRPr="00D74F69">
        <w:t xml:space="preserve">, </w:t>
      </w:r>
      <w:proofErr w:type="spellStart"/>
      <w:r w:rsidRPr="00D74F69">
        <w:t>Yaden</w:t>
      </w:r>
      <w:proofErr w:type="spellEnd"/>
      <w:r w:rsidRPr="00D74F69">
        <w:t>, Levine-</w:t>
      </w:r>
      <w:proofErr w:type="spellStart"/>
      <w:r w:rsidRPr="00D74F69">
        <w:t>Donnerstein</w:t>
      </w:r>
      <w:proofErr w:type="spellEnd"/>
      <w:r w:rsidRPr="00D74F69">
        <w:t xml:space="preserve">, &amp; Marx, 2015; McDermott, </w:t>
      </w:r>
      <w:proofErr w:type="spellStart"/>
      <w:r w:rsidRPr="00D74F69">
        <w:t>Rikoon</w:t>
      </w:r>
      <w:proofErr w:type="spellEnd"/>
      <w:r w:rsidRPr="00D74F69">
        <w:t xml:space="preserve">, Waterman, &amp; </w:t>
      </w:r>
      <w:proofErr w:type="spellStart"/>
      <w:r w:rsidRPr="00D74F69">
        <w:t>Fantuzzo</w:t>
      </w:r>
      <w:proofErr w:type="spellEnd"/>
      <w:r w:rsidRPr="00D74F69">
        <w:t>, 2012).</w:t>
      </w:r>
      <w:r>
        <w:t xml:space="preserve"> </w:t>
      </w:r>
      <w:r w:rsidRPr="00D74F69">
        <w:t>Given its importance as a school</w:t>
      </w:r>
      <w:r w:rsidRPr="00D74F69">
        <w:rPr>
          <w:i/>
        </w:rPr>
        <w:t xml:space="preserve"> </w:t>
      </w:r>
      <w:r w:rsidRPr="00D74F69">
        <w:t>readiness</w:t>
      </w:r>
      <w:r w:rsidRPr="00D74F69">
        <w:rPr>
          <w:i/>
        </w:rPr>
        <w:t xml:space="preserve"> </w:t>
      </w:r>
      <w:r w:rsidRPr="00D74F69">
        <w:t xml:space="preserve">skill, ATL remains a critical </w:t>
      </w:r>
      <w:r>
        <w:t xml:space="preserve">pathway in </w:t>
      </w:r>
      <w:r w:rsidRPr="00D74F69">
        <w:t>support</w:t>
      </w:r>
      <w:r>
        <w:t>ing</w:t>
      </w:r>
      <w:r w:rsidRPr="00D74F69">
        <w:t xml:space="preserve"> children, families, and </w:t>
      </w:r>
      <w:r>
        <w:t xml:space="preserve">classrooms </w:t>
      </w:r>
      <w:r w:rsidRPr="00D74F69">
        <w:t xml:space="preserve">prepare for kindergarten (Bustamante, White, &amp; Greenfield, 2017; </w:t>
      </w:r>
      <w:proofErr w:type="spellStart"/>
      <w:r w:rsidRPr="00D74F69">
        <w:t>Vitiello</w:t>
      </w:r>
      <w:proofErr w:type="spellEnd"/>
      <w:r w:rsidRPr="00D74F69">
        <w:t xml:space="preserve"> &amp; Greenfield, 2017).</w:t>
      </w:r>
      <w:r w:rsidRPr="00645DA8">
        <w:t xml:space="preserve"> </w:t>
      </w:r>
    </w:p>
    <w:p w14:paraId="433F5534" w14:textId="1997F52B" w:rsidR="005E1CD1" w:rsidRDefault="005E1CD1" w:rsidP="005E1CD1">
      <w:pPr>
        <w:ind w:firstLine="720"/>
        <w:contextualSpacing/>
      </w:pPr>
      <w:r>
        <w:t xml:space="preserve">Previous research has been limited in the measurement of ATL in the early childhood years, which has created gaps in our understanding of how ATL is related to academic outcomes. Many studies using ATL rely solely on retroactive teacher-reports of children’s behavior without considering how young children’s competencies are embedded within relationships and contexts </w:t>
      </w:r>
      <w:r w:rsidRPr="00E1130A">
        <w:t xml:space="preserve">(Downer, </w:t>
      </w:r>
      <w:proofErr w:type="spellStart"/>
      <w:r w:rsidRPr="00E1130A">
        <w:t>Booren</w:t>
      </w:r>
      <w:proofErr w:type="spellEnd"/>
      <w:r w:rsidRPr="00E1130A">
        <w:t xml:space="preserve">, Lima, </w:t>
      </w:r>
      <w:proofErr w:type="spellStart"/>
      <w:r w:rsidRPr="00E1130A">
        <w:t>Luckner</w:t>
      </w:r>
      <w:proofErr w:type="spellEnd"/>
      <w:r w:rsidRPr="00E1130A">
        <w:t xml:space="preserve">, &amp; </w:t>
      </w:r>
      <w:proofErr w:type="spellStart"/>
      <w:r w:rsidRPr="00E1130A">
        <w:t>Pianta</w:t>
      </w:r>
      <w:proofErr w:type="spellEnd"/>
      <w:r w:rsidRPr="00E1130A">
        <w:t xml:space="preserve">, 2010; Volpe, </w:t>
      </w:r>
      <w:proofErr w:type="spellStart"/>
      <w:r w:rsidRPr="00E1130A">
        <w:t>DiPerna</w:t>
      </w:r>
      <w:proofErr w:type="spellEnd"/>
      <w:r w:rsidRPr="00E1130A">
        <w:t>, Hintze, &amp; Shapiro, 2005)</w:t>
      </w:r>
      <w:r>
        <w:t xml:space="preserve">. As Cerda et al. </w:t>
      </w:r>
      <w:r w:rsidRPr="00925ECA">
        <w:t>(2014, p. 12)</w:t>
      </w:r>
      <w:r>
        <w:t xml:space="preserve"> point out “what is needed is a multi-source measurement model that identifies theoretically distinct LRS (learning-related skills, i.e. ATL) constructs and their relations to academic achievement.” A more person-centered approach, like latent profile analysis, could capture meaningful subgroups of children who share common patterns of behavioral responses to the demands of the classroom </w:t>
      </w:r>
      <w:r w:rsidRPr="00C531F7">
        <w:t>(</w:t>
      </w:r>
      <w:proofErr w:type="spellStart"/>
      <w:r w:rsidRPr="00C531F7">
        <w:t>Vitiello</w:t>
      </w:r>
      <w:proofErr w:type="spellEnd"/>
      <w:r w:rsidRPr="00C531F7">
        <w:t xml:space="preserve">, </w:t>
      </w:r>
      <w:proofErr w:type="spellStart"/>
      <w:r w:rsidRPr="00C531F7">
        <w:t>Booren</w:t>
      </w:r>
      <w:proofErr w:type="spellEnd"/>
      <w:r w:rsidRPr="00C531F7">
        <w:t>, Downer, &amp; Williford, 2012)</w:t>
      </w:r>
      <w:r>
        <w:t xml:space="preserve">. Research has yet to investigate whether these distinct profiles of approaches to learning </w:t>
      </w:r>
      <w:r>
        <w:lastRenderedPageBreak/>
        <w:t xml:space="preserve">are related to academic outcomes. A more nuanced understanding of the ways in cognitive, social, and emotional domains influence children’s learning approaches can help researchers understand the fuller picture of school readiness </w:t>
      </w:r>
      <w:r w:rsidRPr="00601AF5">
        <w:t>(</w:t>
      </w:r>
      <w:proofErr w:type="spellStart"/>
      <w:r w:rsidRPr="00601AF5">
        <w:t>Bulotsky</w:t>
      </w:r>
      <w:proofErr w:type="spellEnd"/>
      <w:r w:rsidRPr="00601AF5">
        <w:t>-Shearer, Bell, &amp; Domínguez, 2012)</w:t>
      </w:r>
      <w:r>
        <w:t>.</w:t>
      </w:r>
      <w:r w:rsidR="007C1CBE">
        <w:t xml:space="preserve"> </w:t>
      </w:r>
    </w:p>
    <w:p w14:paraId="6FB49011" w14:textId="149608B8" w:rsidR="005E1CD1" w:rsidRPr="003A39BE" w:rsidRDefault="005E1CD1" w:rsidP="00CC6470">
      <w:pPr>
        <w:pStyle w:val="Heading2"/>
      </w:pPr>
      <w:bookmarkStart w:id="129" w:name="_Toc44255191"/>
      <w:bookmarkStart w:id="130" w:name="_Toc46265533"/>
      <w:r w:rsidRPr="003A39BE">
        <w:t>Research Questions</w:t>
      </w:r>
      <w:bookmarkEnd w:id="129"/>
      <w:bookmarkEnd w:id="130"/>
      <w:r w:rsidRPr="003A39BE">
        <w:t xml:space="preserve"> </w:t>
      </w:r>
    </w:p>
    <w:p w14:paraId="7D07D6C1" w14:textId="5B2C44D5" w:rsidR="005E1CD1" w:rsidRDefault="005E1CD1" w:rsidP="005E1CD1">
      <w:pPr>
        <w:pStyle w:val="ListParagraph"/>
        <w:numPr>
          <w:ilvl w:val="0"/>
          <w:numId w:val="33"/>
        </w:numPr>
        <w:rPr>
          <w:rFonts w:eastAsia="Times New Roman"/>
        </w:rPr>
      </w:pPr>
      <w:r>
        <w:rPr>
          <w:rFonts w:eastAsia="Times New Roman"/>
        </w:rPr>
        <w:t>Are there three distinct dimensions (social, emotional, and cognitive) of ATL conceptually and empirically? How is this model of ATL distinct from other constructs like executive function?</w:t>
      </w:r>
      <w:r w:rsidR="007C1CBE">
        <w:rPr>
          <w:rFonts w:eastAsia="Times New Roman"/>
        </w:rPr>
        <w:t xml:space="preserve"> </w:t>
      </w:r>
    </w:p>
    <w:p w14:paraId="30C6B09C" w14:textId="77777777" w:rsidR="005E1CD1" w:rsidRDefault="005E1CD1" w:rsidP="005E1CD1">
      <w:pPr>
        <w:pStyle w:val="ListParagraph"/>
        <w:numPr>
          <w:ilvl w:val="0"/>
          <w:numId w:val="33"/>
        </w:numPr>
        <w:rPr>
          <w:rFonts w:eastAsia="Times New Roman"/>
        </w:rPr>
      </w:pPr>
      <w:r>
        <w:rPr>
          <w:rFonts w:eastAsia="Times New Roman"/>
        </w:rPr>
        <w:t>Can different types of ATL be empirically distinguished?</w:t>
      </w:r>
    </w:p>
    <w:p w14:paraId="51722C4F" w14:textId="77777777" w:rsidR="005E1CD1" w:rsidRPr="007607FD" w:rsidRDefault="005E1CD1" w:rsidP="005E1CD1">
      <w:pPr>
        <w:pStyle w:val="ListParagraph"/>
        <w:numPr>
          <w:ilvl w:val="0"/>
          <w:numId w:val="33"/>
        </w:numPr>
        <w:rPr>
          <w:rFonts w:eastAsia="Times New Roman"/>
        </w:rPr>
      </w:pPr>
      <w:r>
        <w:rPr>
          <w:rFonts w:eastAsia="Times New Roman"/>
        </w:rPr>
        <w:t xml:space="preserve">Are there profiles which include both positive and negative approaches to learning? In what ways do profiles change when considering negative approaches to learning? </w:t>
      </w:r>
    </w:p>
    <w:p w14:paraId="241AB229" w14:textId="77777777" w:rsidR="005E1CD1" w:rsidRDefault="005E1CD1" w:rsidP="005E1CD1">
      <w:pPr>
        <w:pStyle w:val="ListParagraph"/>
        <w:numPr>
          <w:ilvl w:val="0"/>
          <w:numId w:val="33"/>
        </w:numPr>
        <w:rPr>
          <w:rFonts w:eastAsia="Times New Roman"/>
        </w:rPr>
      </w:pPr>
      <w:r>
        <w:rPr>
          <w:rFonts w:eastAsia="Times New Roman"/>
        </w:rPr>
        <w:t xml:space="preserve">How do these different profiles of approaches to learning predict academic outcomes? </w:t>
      </w:r>
    </w:p>
    <w:p w14:paraId="2F31921B" w14:textId="1AFED1F2" w:rsidR="005E1CD1" w:rsidRPr="003A39BE" w:rsidRDefault="005E1CD1" w:rsidP="009974B7">
      <w:pPr>
        <w:pStyle w:val="Heading1"/>
      </w:pPr>
      <w:bookmarkStart w:id="131" w:name="_Toc44255192"/>
      <w:bookmarkStart w:id="132" w:name="_Toc46265534"/>
      <w:r w:rsidRPr="003A39BE">
        <w:t>Theoretical Framework</w:t>
      </w:r>
      <w:bookmarkEnd w:id="131"/>
      <w:bookmarkEnd w:id="132"/>
    </w:p>
    <w:p w14:paraId="1BBEED07" w14:textId="1FC5A86E" w:rsidR="005E1CD1" w:rsidRDefault="005E1CD1" w:rsidP="005E1CD1">
      <w:pPr>
        <w:pStyle w:val="NormalWeb"/>
        <w:ind w:firstLine="720"/>
        <w:contextualSpacing/>
        <w:textAlignment w:val="baseline"/>
        <w:rPr>
          <w:color w:val="000000"/>
        </w:rPr>
      </w:pPr>
      <w:r w:rsidRPr="00806482">
        <w:rPr>
          <w:color w:val="000000"/>
        </w:rPr>
        <w:t>This study utilizes a developmental ecological systems perspective explor</w:t>
      </w:r>
      <w:r>
        <w:rPr>
          <w:color w:val="000000"/>
        </w:rPr>
        <w:t>ing</w:t>
      </w:r>
      <w:r w:rsidRPr="00806482">
        <w:rPr>
          <w:color w:val="000000"/>
        </w:rPr>
        <w:t xml:space="preserve"> child-level factors within the demands of proximal settings </w:t>
      </w:r>
      <w:r w:rsidRPr="00730B6D">
        <w:t xml:space="preserve">(McWayne, </w:t>
      </w:r>
      <w:proofErr w:type="spellStart"/>
      <w:r w:rsidRPr="00730B6D">
        <w:t>Hahs</w:t>
      </w:r>
      <w:proofErr w:type="spellEnd"/>
      <w:r w:rsidRPr="00730B6D">
        <w:t>-Vaughn, Cheung, &amp; Wright, 2012)</w:t>
      </w:r>
      <w:r w:rsidRPr="00806482">
        <w:rPr>
          <w:color w:val="000000"/>
        </w:rPr>
        <w:t xml:space="preserve">. Bronfenbrenner's ecological systems theory </w:t>
      </w:r>
      <w:r w:rsidRPr="00730B6D">
        <w:t>(2005)</w:t>
      </w:r>
      <w:r w:rsidRPr="00806482">
        <w:rPr>
          <w:color w:val="000000"/>
        </w:rPr>
        <w:t xml:space="preserve"> emphasizes that child development is a function of both child characteristics and the </w:t>
      </w:r>
      <w:r>
        <w:rPr>
          <w:color w:val="000000"/>
        </w:rPr>
        <w:t>nested contexts</w:t>
      </w:r>
      <w:r w:rsidRPr="00806482">
        <w:rPr>
          <w:color w:val="000000"/>
        </w:rPr>
        <w:t xml:space="preserve"> </w:t>
      </w:r>
      <w:r>
        <w:rPr>
          <w:color w:val="000000"/>
        </w:rPr>
        <w:t>o</w:t>
      </w:r>
      <w:r w:rsidRPr="00806482">
        <w:rPr>
          <w:color w:val="000000"/>
        </w:rPr>
        <w:t xml:space="preserve">f the child’s </w:t>
      </w:r>
      <w:r w:rsidRPr="00E46E31">
        <w:rPr>
          <w:color w:val="000000"/>
        </w:rPr>
        <w:t xml:space="preserve">environment that may serve to impede or promote </w:t>
      </w:r>
      <w:r>
        <w:rPr>
          <w:color w:val="000000"/>
        </w:rPr>
        <w:t xml:space="preserve">the </w:t>
      </w:r>
      <w:r w:rsidRPr="00E46E31">
        <w:rPr>
          <w:color w:val="000000"/>
        </w:rPr>
        <w:t>development of school readiness</w:t>
      </w:r>
      <w:r w:rsidRPr="00806482">
        <w:rPr>
          <w:color w:val="000000"/>
        </w:rPr>
        <w:t>.</w:t>
      </w:r>
      <w:r>
        <w:rPr>
          <w:color w:val="000000"/>
        </w:rPr>
        <w:t xml:space="preserve"> Micro-level i</w:t>
      </w:r>
      <w:r>
        <w:t xml:space="preserve">nteractions occur via a transactional process, which, over time, forms patterns and relationships that continue to influence children’s development </w:t>
      </w:r>
      <w:r w:rsidRPr="00312230">
        <w:t>(Bronfenbrenner &amp; Morris, 1998)</w:t>
      </w:r>
      <w:r>
        <w:t xml:space="preserve">. An important part of these interactions are the proximal and distal characteristics of the individuals and the settings in which they are embedded </w:t>
      </w:r>
      <w:r w:rsidRPr="00004B4B">
        <w:t>(Downer et al., 2010)</w:t>
      </w:r>
      <w:r>
        <w:t>.</w:t>
      </w:r>
      <w:r w:rsidR="007C1CBE">
        <w:t xml:space="preserve"> </w:t>
      </w:r>
    </w:p>
    <w:p w14:paraId="0697E982" w14:textId="77777777" w:rsidR="005E1CD1" w:rsidRDefault="005E1CD1" w:rsidP="005E1CD1">
      <w:pPr>
        <w:pStyle w:val="NormalWeb"/>
        <w:ind w:firstLine="720"/>
        <w:contextualSpacing/>
        <w:textAlignment w:val="baseline"/>
      </w:pPr>
      <w:r w:rsidRPr="00CF0D2D">
        <w:t xml:space="preserve">Under this developmental-ecological framework, </w:t>
      </w:r>
      <w:r>
        <w:t xml:space="preserve">the child interacts with teachers, peers, and tasks within the classroom setting (see Figure 1). These interactions are viewed as the </w:t>
      </w:r>
      <w:r>
        <w:lastRenderedPageBreak/>
        <w:t xml:space="preserve">primary mechanism through which classrooms afford children opportunities to become engaged in learning, develop social skills, and, ultimately, develop academic competencies </w:t>
      </w:r>
      <w:r w:rsidRPr="000A19DC">
        <w:t xml:space="preserve">(Bailey, Denham, </w:t>
      </w:r>
      <w:proofErr w:type="spellStart"/>
      <w:r w:rsidRPr="000A19DC">
        <w:t>Curby</w:t>
      </w:r>
      <w:proofErr w:type="spellEnd"/>
      <w:r w:rsidRPr="000A19DC">
        <w:t xml:space="preserve">, &amp; Bassett, 2016; </w:t>
      </w:r>
      <w:proofErr w:type="spellStart"/>
      <w:r w:rsidRPr="000A19DC">
        <w:t>Bohlmann</w:t>
      </w:r>
      <w:proofErr w:type="spellEnd"/>
      <w:r w:rsidRPr="000A19DC">
        <w:t xml:space="preserve"> et al., 2019)</w:t>
      </w:r>
    </w:p>
    <w:p w14:paraId="0CE5CA0A" w14:textId="77777777" w:rsidR="005E1CD1" w:rsidRDefault="005E1CD1" w:rsidP="005E1CD1">
      <w:pPr>
        <w:pStyle w:val="NormalWeb"/>
        <w:contextualSpacing/>
        <w:textAlignment w:val="baseline"/>
      </w:pPr>
      <w:r>
        <w:rPr>
          <w:noProof/>
        </w:rPr>
        <w:drawing>
          <wp:inline distT="0" distB="0" distL="0" distR="0" wp14:anchorId="20B6202D" wp14:editId="05FD2143">
            <wp:extent cx="5746513" cy="309010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b="20915"/>
                    <a:stretch/>
                  </pic:blipFill>
                  <pic:spPr bwMode="auto">
                    <a:xfrm>
                      <a:off x="0" y="0"/>
                      <a:ext cx="5762700" cy="3098806"/>
                    </a:xfrm>
                    <a:prstGeom prst="rect">
                      <a:avLst/>
                    </a:prstGeom>
                    <a:noFill/>
                    <a:ln>
                      <a:noFill/>
                    </a:ln>
                    <a:extLst>
                      <a:ext uri="{53640926-AAD7-44D8-BBD7-CCE9431645EC}">
                        <a14:shadowObscured xmlns:a14="http://schemas.microsoft.com/office/drawing/2010/main"/>
                      </a:ext>
                    </a:extLst>
                  </pic:spPr>
                </pic:pic>
              </a:graphicData>
            </a:graphic>
          </wp:inline>
        </w:drawing>
      </w:r>
    </w:p>
    <w:p w14:paraId="6684A2BE" w14:textId="05BE9DC1" w:rsidR="005E1CD1" w:rsidRPr="00C43AED" w:rsidRDefault="005E1CD1" w:rsidP="005E1CD1">
      <w:pPr>
        <w:pStyle w:val="DTLEvel1"/>
        <w:rPr>
          <w:i/>
          <w:iCs/>
        </w:rPr>
      </w:pPr>
      <w:r w:rsidRPr="00C43AED">
        <w:rPr>
          <w:i/>
          <w:iCs/>
        </w:rPr>
        <w:t xml:space="preserve">Figure 1. Theoretical Framework of the nested nature of children’s interactions. Adapted from </w:t>
      </w:r>
      <w:proofErr w:type="spellStart"/>
      <w:r w:rsidRPr="00C43AED">
        <w:rPr>
          <w:i/>
          <w:iCs/>
        </w:rPr>
        <w:t>Booren</w:t>
      </w:r>
      <w:proofErr w:type="spellEnd"/>
      <w:r w:rsidRPr="00C43AED">
        <w:rPr>
          <w:i/>
          <w:iCs/>
        </w:rPr>
        <w:t xml:space="preserve">, Downer, and </w:t>
      </w:r>
      <w:proofErr w:type="spellStart"/>
      <w:r w:rsidRPr="00C43AED">
        <w:rPr>
          <w:i/>
          <w:iCs/>
        </w:rPr>
        <w:t>Vitiello</w:t>
      </w:r>
      <w:proofErr w:type="spellEnd"/>
      <w:r w:rsidRPr="00C43AED">
        <w:rPr>
          <w:i/>
          <w:iCs/>
        </w:rPr>
        <w:t xml:space="preserve"> (2012)</w:t>
      </w:r>
      <w:proofErr w:type="gramStart"/>
      <w:r w:rsidRPr="00C43AED">
        <w:rPr>
          <w:i/>
          <w:iCs/>
        </w:rPr>
        <w:t>.</w:t>
      </w:r>
      <w:r w:rsidR="007C1CBE">
        <w:rPr>
          <w:i/>
          <w:iCs/>
        </w:rPr>
        <w:t xml:space="preserve"> </w:t>
      </w:r>
      <w:r w:rsidRPr="00C43AED">
        <w:rPr>
          <w:i/>
          <w:iCs/>
        </w:rPr>
        <w:t xml:space="preserve"> </w:t>
      </w:r>
      <w:proofErr w:type="gramEnd"/>
    </w:p>
    <w:p w14:paraId="09644D4F" w14:textId="77777777" w:rsidR="005E1CD1" w:rsidRDefault="005E1CD1" w:rsidP="005E1CD1">
      <w:pPr>
        <w:pStyle w:val="NormalWeb"/>
        <w:contextualSpacing/>
        <w:textAlignment w:val="baseline"/>
      </w:pPr>
      <w:r>
        <w:t xml:space="preserve">This engagement occurs in different contexts, which can include large group, free choice, or structured learning situations </w:t>
      </w:r>
      <w:r w:rsidRPr="00CF0D2D">
        <w:t xml:space="preserve">(Sabol, </w:t>
      </w:r>
      <w:proofErr w:type="spellStart"/>
      <w:r w:rsidRPr="00CF0D2D">
        <w:t>Bohlmann</w:t>
      </w:r>
      <w:proofErr w:type="spellEnd"/>
      <w:r w:rsidRPr="00CF0D2D">
        <w:t>, &amp; Downer, 2018)</w:t>
      </w:r>
      <w:r>
        <w:t xml:space="preserve">. Children have regular </w:t>
      </w:r>
      <w:r>
        <w:rPr>
          <w:color w:val="000000"/>
        </w:rPr>
        <w:t xml:space="preserve">opportunities to interact socially with teachers and </w:t>
      </w:r>
      <w:r w:rsidRPr="00ED064F">
        <w:rPr>
          <w:color w:val="000000"/>
        </w:rPr>
        <w:t>peers</w:t>
      </w:r>
      <w:r>
        <w:rPr>
          <w:color w:val="000000"/>
        </w:rPr>
        <w:t>, a</w:t>
      </w:r>
      <w:r>
        <w:t xml:space="preserve">lthough </w:t>
      </w:r>
      <w:r>
        <w:rPr>
          <w:color w:val="000000"/>
        </w:rPr>
        <w:t xml:space="preserve">they may not engage in experiences evenly across the day </w:t>
      </w:r>
      <w:r w:rsidRPr="00E8509A">
        <w:t>(</w:t>
      </w:r>
      <w:proofErr w:type="spellStart"/>
      <w:r w:rsidRPr="00E8509A">
        <w:t>Booren</w:t>
      </w:r>
      <w:proofErr w:type="spellEnd"/>
      <w:r w:rsidRPr="00E8509A">
        <w:t xml:space="preserve">, Downer, &amp; </w:t>
      </w:r>
      <w:proofErr w:type="spellStart"/>
      <w:r w:rsidRPr="00E8509A">
        <w:t>Vitiello</w:t>
      </w:r>
      <w:proofErr w:type="spellEnd"/>
      <w:r w:rsidRPr="00E8509A">
        <w:t>, 2012; Sabol et al., 2018)</w:t>
      </w:r>
      <w:r w:rsidRPr="00ED064F">
        <w:rPr>
          <w:color w:val="000000"/>
        </w:rPr>
        <w:t>.</w:t>
      </w:r>
      <w:r>
        <w:t xml:space="preserve"> Importantly, children’s engagement with social partners and tasks is a process that drives learning </w:t>
      </w:r>
      <w:r w:rsidRPr="00C531F7">
        <w:t xml:space="preserve">(Hamre &amp; </w:t>
      </w:r>
      <w:proofErr w:type="spellStart"/>
      <w:r w:rsidRPr="00C531F7">
        <w:t>Pianta</w:t>
      </w:r>
      <w:proofErr w:type="spellEnd"/>
      <w:r w:rsidRPr="00C531F7">
        <w:t>, 2001)</w:t>
      </w:r>
    </w:p>
    <w:p w14:paraId="67F693F5" w14:textId="77777777" w:rsidR="005E1CD1" w:rsidRDefault="005E1CD1" w:rsidP="005E1CD1">
      <w:pPr>
        <w:pStyle w:val="NormalWeb"/>
        <w:ind w:firstLine="720"/>
        <w:contextualSpacing/>
        <w:textAlignment w:val="baseline"/>
      </w:pPr>
      <w:r w:rsidRPr="00806482">
        <w:rPr>
          <w:color w:val="000000"/>
        </w:rPr>
        <w:t xml:space="preserve">Children enter preschool with district profiles of self-regulation and attention skills that may facilitate or impede their engagement with peers, </w:t>
      </w:r>
      <w:proofErr w:type="gramStart"/>
      <w:r w:rsidRPr="00806482">
        <w:rPr>
          <w:color w:val="000000"/>
        </w:rPr>
        <w:t>teachers</w:t>
      </w:r>
      <w:proofErr w:type="gramEnd"/>
      <w:r w:rsidRPr="00806482">
        <w:rPr>
          <w:color w:val="000000"/>
        </w:rPr>
        <w:t xml:space="preserve"> and instructional </w:t>
      </w:r>
      <w:r>
        <w:rPr>
          <w:color w:val="000000"/>
        </w:rPr>
        <w:t xml:space="preserve">opportunities </w:t>
      </w:r>
      <w:r w:rsidRPr="00806482">
        <w:rPr>
          <w:color w:val="000000"/>
        </w:rPr>
        <w:t xml:space="preserve">in a transactional nature </w:t>
      </w:r>
      <w:r w:rsidRPr="00806482">
        <w:t>(Degnan, Calkins, Keane, &amp; Hill-</w:t>
      </w:r>
      <w:proofErr w:type="spellStart"/>
      <w:r w:rsidRPr="00806482">
        <w:t>Soderlund</w:t>
      </w:r>
      <w:proofErr w:type="spellEnd"/>
      <w:r w:rsidRPr="00806482">
        <w:t>, 2008)</w:t>
      </w:r>
      <w:r>
        <w:t xml:space="preserve">. </w:t>
      </w:r>
      <w:r>
        <w:rPr>
          <w:color w:val="000000"/>
        </w:rPr>
        <w:t>T</w:t>
      </w:r>
      <w:r>
        <w:t xml:space="preserve">he child’s ability to </w:t>
      </w:r>
      <w:r>
        <w:lastRenderedPageBreak/>
        <w:t xml:space="preserve">get the most out of his/her classroom experiences may maximize the child’s opportunities to learn and develop within the classroom </w:t>
      </w:r>
      <w:r w:rsidRPr="005E0384">
        <w:t xml:space="preserve">(Downer, </w:t>
      </w:r>
      <w:proofErr w:type="spellStart"/>
      <w:r w:rsidRPr="005E0384">
        <w:t>Booren</w:t>
      </w:r>
      <w:proofErr w:type="spellEnd"/>
      <w:r w:rsidRPr="005E0384">
        <w:t xml:space="preserve">, Lima, </w:t>
      </w:r>
      <w:proofErr w:type="spellStart"/>
      <w:r w:rsidRPr="005E0384">
        <w:t>Luckner</w:t>
      </w:r>
      <w:proofErr w:type="spellEnd"/>
      <w:r w:rsidRPr="005E0384">
        <w:t xml:space="preserve">, &amp; </w:t>
      </w:r>
      <w:proofErr w:type="spellStart"/>
      <w:r w:rsidRPr="005E0384">
        <w:t>Pianta</w:t>
      </w:r>
      <w:proofErr w:type="spellEnd"/>
      <w:r w:rsidRPr="005E0384">
        <w:t>, 2010b)</w:t>
      </w:r>
      <w:r>
        <w:t xml:space="preserve">. Children with greater competence have more positive behaviors and relationship skills that allow them to engage more effectively in learning and with others who can support their progress </w:t>
      </w:r>
      <w:r w:rsidRPr="00870675">
        <w:t>(Denham &amp; Brown, 2010)</w:t>
      </w:r>
      <w:r>
        <w:t xml:space="preserve">. </w:t>
      </w:r>
    </w:p>
    <w:p w14:paraId="79970A0C" w14:textId="77777777" w:rsidR="005E1CD1" w:rsidRDefault="005E1CD1" w:rsidP="005E1CD1">
      <w:pPr>
        <w:pStyle w:val="NormalWeb"/>
        <w:ind w:firstLine="720"/>
        <w:contextualSpacing/>
        <w:textAlignment w:val="baseline"/>
      </w:pPr>
      <w:r>
        <w:t xml:space="preserve">While child characteristics within the classroom context can support positive engagement and learning, the </w:t>
      </w:r>
      <w:r w:rsidRPr="00806482">
        <w:rPr>
          <w:color w:val="000000"/>
        </w:rPr>
        <w:t xml:space="preserve">ecological systems perspective </w:t>
      </w:r>
      <w:r>
        <w:rPr>
          <w:color w:val="000000"/>
        </w:rPr>
        <w:t>also accounts for how these same characteristics and contexts can lead to more negative outcomes. S</w:t>
      </w:r>
      <w:r>
        <w:t xml:space="preserve">ome children experience negative classroom engagement, characterized by tense, conflictual and dysregulated engagement with teachers, peers, and tasks </w:t>
      </w:r>
      <w:r w:rsidRPr="00E534B6">
        <w:t>(</w:t>
      </w:r>
      <w:proofErr w:type="spellStart"/>
      <w:r w:rsidRPr="00E534B6">
        <w:t>Bulotsky</w:t>
      </w:r>
      <w:proofErr w:type="spellEnd"/>
      <w:r w:rsidRPr="00E534B6">
        <w:t xml:space="preserve">-Shearer et al., 2012; </w:t>
      </w:r>
      <w:proofErr w:type="spellStart"/>
      <w:r w:rsidRPr="00E534B6">
        <w:t>Bulotsky</w:t>
      </w:r>
      <w:proofErr w:type="spellEnd"/>
      <w:r w:rsidRPr="00E534B6">
        <w:t xml:space="preserve">-Shearer, Fernandez, Dominguez, &amp; Rouse, 2011; </w:t>
      </w:r>
      <w:proofErr w:type="spellStart"/>
      <w:r w:rsidRPr="00E534B6">
        <w:t>Fantuzzo</w:t>
      </w:r>
      <w:proofErr w:type="spellEnd"/>
      <w:r w:rsidRPr="00E534B6">
        <w:t xml:space="preserve">, </w:t>
      </w:r>
      <w:proofErr w:type="spellStart"/>
      <w:r w:rsidRPr="00E534B6">
        <w:t>Bulotsky</w:t>
      </w:r>
      <w:proofErr w:type="spellEnd"/>
      <w:r w:rsidRPr="00E534B6">
        <w:t xml:space="preserve">-Shearer, Fusco, &amp; McWayne, 2005; </w:t>
      </w:r>
      <w:proofErr w:type="spellStart"/>
      <w:r w:rsidRPr="00E534B6">
        <w:t>Vitiello</w:t>
      </w:r>
      <w:proofErr w:type="spellEnd"/>
      <w:r w:rsidRPr="00E534B6">
        <w:t xml:space="preserve"> et al., 2012)</w:t>
      </w:r>
      <w:r>
        <w:t xml:space="preserve">. Children’s negative engagement with teachers, often expressed as defiance or verbal outbursts, or peers, expressed as aggressive behavior, and tasks (e.g., lack of behavioral control) may affect their ability to benefit from the social and instructional support in the classroom </w:t>
      </w:r>
      <w:r w:rsidRPr="00354A2C">
        <w:t>(Ladd &amp; Burgess, 2001)</w:t>
      </w:r>
      <w:r>
        <w:t xml:space="preserve">. Negative engagement reduces children’s opportunities to interact with teachers and peers, and moreover, could serve as a stressor that interferes with children’s development of self-regulatory skills </w:t>
      </w:r>
      <w:r w:rsidRPr="00354A2C">
        <w:t>(Sabol et al., 2018)</w:t>
      </w:r>
      <w:r>
        <w:t xml:space="preserve">. If children’s behavior is misaligned with the expectations of the setting, a negative feedback loop is created wherein lower inhibitory skills lead to a less positive attitude towards learning, reduced </w:t>
      </w:r>
      <w:proofErr w:type="gramStart"/>
      <w:r>
        <w:t>attention</w:t>
      </w:r>
      <w:proofErr w:type="gramEnd"/>
      <w:r>
        <w:t xml:space="preserve"> and then lower inhibitory skills </w:t>
      </w:r>
      <w:r w:rsidRPr="00354A2C">
        <w:t>(</w:t>
      </w:r>
      <w:proofErr w:type="spellStart"/>
      <w:r w:rsidRPr="00354A2C">
        <w:t>Bulotsky</w:t>
      </w:r>
      <w:proofErr w:type="spellEnd"/>
      <w:r w:rsidRPr="00354A2C">
        <w:t>-Shearer et al., 2011)</w:t>
      </w:r>
      <w:r>
        <w:t xml:space="preserve">. These early problems with adjustment may place children at risk for future learning difficulties </w:t>
      </w:r>
      <w:r w:rsidRPr="00693367">
        <w:t xml:space="preserve">(Lutz, </w:t>
      </w:r>
      <w:proofErr w:type="spellStart"/>
      <w:r w:rsidRPr="00693367">
        <w:t>Fantuzzo</w:t>
      </w:r>
      <w:proofErr w:type="spellEnd"/>
      <w:r w:rsidRPr="00693367">
        <w:t>, &amp; McDermott, 2002)</w:t>
      </w:r>
      <w:r>
        <w:t xml:space="preserve">. </w:t>
      </w:r>
    </w:p>
    <w:p w14:paraId="32696BB7" w14:textId="77A88AEE" w:rsidR="005E1CD1" w:rsidRPr="00545669" w:rsidRDefault="005E1CD1" w:rsidP="009974B7">
      <w:pPr>
        <w:pStyle w:val="Heading1"/>
      </w:pPr>
      <w:bookmarkStart w:id="133" w:name="_Toc44255193"/>
      <w:bookmarkStart w:id="134" w:name="_Toc46265535"/>
      <w:r w:rsidRPr="00545669">
        <w:t>Review of Literature</w:t>
      </w:r>
      <w:bookmarkEnd w:id="133"/>
      <w:bookmarkEnd w:id="134"/>
    </w:p>
    <w:p w14:paraId="115620FA" w14:textId="77777777" w:rsidR="005E1CD1" w:rsidRDefault="005E1CD1" w:rsidP="008127BB">
      <w:pPr>
        <w:ind w:firstLine="720"/>
      </w:pPr>
      <w:r>
        <w:lastRenderedPageBreak/>
        <w:t>This section provides a review of the current conceptualization of ATL as a classroom-based construct and as a continuum of both positive and negative behavior. In addition, the measurement of ATL will be explored, highlighting the possible limitations of current approaches as well as the possibility of Latent Profile Analysis (LPA) as a person-centered approach that may address the multi-dimensionality of ATL. Finally, given ATL is an important school readiness indicator, the relationship between ATL and academic outcomes is</w:t>
      </w:r>
      <w:r w:rsidRPr="001D0A7B">
        <w:t xml:space="preserve"> </w:t>
      </w:r>
      <w:r>
        <w:t xml:space="preserve">reviewed. </w:t>
      </w:r>
    </w:p>
    <w:p w14:paraId="303BD3F7" w14:textId="60D189FE" w:rsidR="005E1CD1" w:rsidRPr="00AB1D87" w:rsidRDefault="005E1CD1" w:rsidP="008127BB">
      <w:pPr>
        <w:pStyle w:val="Heading2"/>
      </w:pPr>
      <w:bookmarkStart w:id="135" w:name="_Toc44255194"/>
      <w:bookmarkStart w:id="136" w:name="_Toc46265536"/>
      <w:r>
        <w:t>Conceptualization of Approaches to Learning</w:t>
      </w:r>
      <w:bookmarkEnd w:id="135"/>
      <w:bookmarkEnd w:id="136"/>
      <w:r>
        <w:t xml:space="preserve"> </w:t>
      </w:r>
    </w:p>
    <w:p w14:paraId="023F669A" w14:textId="77777777" w:rsidR="005E1CD1" w:rsidRDefault="005E1CD1" w:rsidP="008127BB">
      <w:pPr>
        <w:ind w:firstLine="720"/>
      </w:pPr>
      <w:r>
        <w:t>ATL</w:t>
      </w:r>
      <w:r w:rsidRPr="00C37C2E">
        <w:t xml:space="preserve"> is a multidimensional</w:t>
      </w:r>
      <w:r>
        <w:t xml:space="preserve"> </w:t>
      </w:r>
      <w:r w:rsidRPr="00C37C2E">
        <w:t>construct develop</w:t>
      </w:r>
      <w:r>
        <w:t>ing</w:t>
      </w:r>
      <w:r w:rsidRPr="00C37C2E">
        <w:t xml:space="preserve"> rapidly between </w:t>
      </w:r>
      <w:r>
        <w:t>pre-k</w:t>
      </w:r>
      <w:r w:rsidRPr="00C37C2E">
        <w:t xml:space="preserve"> and kindergarten and then stabiliz</w:t>
      </w:r>
      <w:r>
        <w:t>ing</w:t>
      </w:r>
      <w:r w:rsidRPr="00C37C2E">
        <w:t xml:space="preserve"> in early childhood</w:t>
      </w:r>
      <w:r>
        <w:t xml:space="preserve"> </w:t>
      </w:r>
      <w:r w:rsidRPr="003A39BE">
        <w:t>(</w:t>
      </w:r>
      <w:proofErr w:type="spellStart"/>
      <w:r w:rsidRPr="003A39BE">
        <w:t>Bulotsky</w:t>
      </w:r>
      <w:proofErr w:type="spellEnd"/>
      <w:r w:rsidRPr="003A39BE">
        <w:t>-Shearer et al., 2011; McDermott et al., 2014)</w:t>
      </w:r>
      <w:r w:rsidRPr="00C37C2E">
        <w:t xml:space="preserve">. </w:t>
      </w:r>
      <w:r>
        <w:t xml:space="preserve">Current research on ATL includes a wide diversity of characteristics that </w:t>
      </w:r>
      <w:r w:rsidRPr="00A568FA">
        <w:t>var</w:t>
      </w:r>
      <w:r>
        <w:t>ies</w:t>
      </w:r>
      <w:r w:rsidRPr="00A568FA">
        <w:t xml:space="preserve"> from study to study</w:t>
      </w:r>
      <w:r>
        <w:t xml:space="preserve"> </w:t>
      </w:r>
      <w:r w:rsidRPr="00B9530B">
        <w:t>(</w:t>
      </w:r>
      <w:proofErr w:type="spellStart"/>
      <w:r w:rsidRPr="00B9530B">
        <w:t>Fantuzzo</w:t>
      </w:r>
      <w:proofErr w:type="spellEnd"/>
      <w:r w:rsidRPr="00B9530B">
        <w:t>, Perry, &amp; McDermott, 2004; McDermott et al., 2014)</w:t>
      </w:r>
      <w:r>
        <w:t xml:space="preserve">. However, </w:t>
      </w:r>
      <w:r w:rsidRPr="00D8346B">
        <w:t xml:space="preserve">ATL is </w:t>
      </w:r>
      <w:r>
        <w:t xml:space="preserve">generally described </w:t>
      </w:r>
      <w:r w:rsidRPr="00D8346B">
        <w:t>as a broad set of skills that reflect children’s engagement in classroom interactions and activities</w:t>
      </w:r>
      <w:r>
        <w:t xml:space="preserve"> </w:t>
      </w:r>
      <w:r w:rsidRPr="00C531F7">
        <w:t xml:space="preserve">(Hyson, 2008; McDermott et al., 2014; Stipek, Newton, &amp; </w:t>
      </w:r>
      <w:proofErr w:type="spellStart"/>
      <w:r w:rsidRPr="00C531F7">
        <w:t>Chudgar</w:t>
      </w:r>
      <w:proofErr w:type="spellEnd"/>
      <w:r w:rsidRPr="00C531F7">
        <w:t>, 2010)</w:t>
      </w:r>
      <w:r>
        <w:t xml:space="preserve">. </w:t>
      </w:r>
    </w:p>
    <w:p w14:paraId="554FDA71" w14:textId="77777777" w:rsidR="005E1CD1" w:rsidRDefault="005E1CD1" w:rsidP="008127BB">
      <w:pPr>
        <w:ind w:firstLine="720"/>
        <w:rPr>
          <w:rStyle w:val="Heading3Char"/>
          <w:rFonts w:cs="Times New Roman"/>
          <w:b w:val="0"/>
        </w:rPr>
      </w:pPr>
      <w:r>
        <w:t xml:space="preserve">McDermott et al. </w:t>
      </w:r>
      <w:r w:rsidRPr="003C008C">
        <w:t>(2018, p. 1206)</w:t>
      </w:r>
      <w:r>
        <w:t xml:space="preserve"> describe learning behaviors as rooted in key domains of development (social, emotional, and cognitive) and “empirically supported by extensive literature in each domain.” From the social domain, ATL includes behaviors such as cooperation, verbal </w:t>
      </w:r>
      <w:proofErr w:type="gramStart"/>
      <w:r>
        <w:t>interaction</w:t>
      </w:r>
      <w:proofErr w:type="gramEnd"/>
      <w:r>
        <w:t xml:space="preserve"> and interpersonal responsiveness </w:t>
      </w:r>
      <w:r w:rsidRPr="004478CC">
        <w:t>(McClelland &amp; Morrison, 2003)</w:t>
      </w:r>
      <w:r>
        <w:t xml:space="preserve">. Cognitive dimensions include strategic planning as well as the ability to sustain attention. It is derived yet distinct from executive function </w:t>
      </w:r>
      <w:r w:rsidRPr="004478CC">
        <w:t>(Nelson et al., 2017)</w:t>
      </w:r>
      <w:r>
        <w:t xml:space="preserve">. Finally, emotional components of ATL include inhibition and exploratory behavior </w:t>
      </w:r>
      <w:r w:rsidRPr="004478CC">
        <w:t>(</w:t>
      </w:r>
      <w:proofErr w:type="spellStart"/>
      <w:r w:rsidRPr="004478CC">
        <w:t>Zentner</w:t>
      </w:r>
      <w:proofErr w:type="spellEnd"/>
      <w:r w:rsidRPr="004478CC">
        <w:t xml:space="preserve"> &amp; Bates, 2008)</w:t>
      </w:r>
      <w:r>
        <w:t xml:space="preserve">. What essentially distinguishes ATL is that the construct includes the social, emotional, and cognitive aspects of observable learning behaviors that direct classroom engagement </w:t>
      </w:r>
      <w:r w:rsidRPr="00594C33">
        <w:t>(McDermott et al., 2018)</w:t>
      </w:r>
      <w:r>
        <w:t xml:space="preserve">. This </w:t>
      </w:r>
      <w:r>
        <w:lastRenderedPageBreak/>
        <w:t xml:space="preserve">study relies on Hyson’s </w:t>
      </w:r>
      <w:r w:rsidRPr="00D84BC3">
        <w:t>(2008)</w:t>
      </w:r>
      <w:r>
        <w:t xml:space="preserve"> partitioning of positive ATL, being enthusiastic and engaged in learning and negative ATL, which is characterized as disengagement and discouragement (see Figure 2). McDermott et al.’s (2018) inclusion of the three domains of ATL is also utilized. </w:t>
      </w:r>
    </w:p>
    <w:p w14:paraId="737BF93E" w14:textId="2CBB0D1C" w:rsidR="005E1CD1" w:rsidRDefault="005E1CD1" w:rsidP="008127BB">
      <w:pPr>
        <w:ind w:firstLine="720"/>
      </w:pPr>
      <w:bookmarkStart w:id="137" w:name="_Toc44255195"/>
      <w:bookmarkStart w:id="138" w:name="_Toc46265537"/>
      <w:r>
        <w:rPr>
          <w:rStyle w:val="Heading3Char"/>
        </w:rPr>
        <w:t>A</w:t>
      </w:r>
      <w:r w:rsidRPr="00226569">
        <w:rPr>
          <w:rStyle w:val="Heading3Char"/>
        </w:rPr>
        <w:t>TL as classroom-based behavior</w:t>
      </w:r>
      <w:bookmarkStart w:id="139" w:name="_Hlk19567878"/>
      <w:r w:rsidRPr="00226569">
        <w:rPr>
          <w:rStyle w:val="Heading3Char"/>
        </w:rPr>
        <w:t>.</w:t>
      </w:r>
      <w:bookmarkEnd w:id="137"/>
      <w:bookmarkEnd w:id="138"/>
      <w:r>
        <w:rPr>
          <w:bCs/>
        </w:rPr>
        <w:t xml:space="preserve"> </w:t>
      </w:r>
      <w:r w:rsidRPr="00054292">
        <w:t xml:space="preserve">Kagan et al. </w:t>
      </w:r>
      <w:r w:rsidRPr="00FD7E5E">
        <w:t>(1995, p. 23)</w:t>
      </w:r>
      <w:r>
        <w:t xml:space="preserve"> </w:t>
      </w:r>
      <w:r w:rsidRPr="00054292">
        <w:t xml:space="preserve">described ATL as a set of learning dispositions that </w:t>
      </w:r>
      <w:bookmarkEnd w:id="139"/>
      <w:r>
        <w:t>“</w:t>
      </w:r>
      <w:r w:rsidRPr="00054292">
        <w:t xml:space="preserve">include[s] variances that affect how children attitudinally address the learning process.” </w:t>
      </w:r>
      <w:r>
        <w:t xml:space="preserve">Behaviors classified as ATL are those </w:t>
      </w:r>
      <w:r w:rsidRPr="00D8346B">
        <w:t>that promote learning</w:t>
      </w:r>
      <w:r>
        <w:t xml:space="preserve"> </w:t>
      </w:r>
      <w:r w:rsidRPr="00EA20B8">
        <w:t xml:space="preserve">(Bierman, Torres, </w:t>
      </w:r>
      <w:proofErr w:type="spellStart"/>
      <w:r w:rsidRPr="00EA20B8">
        <w:t>Domitrovich</w:t>
      </w:r>
      <w:proofErr w:type="spellEnd"/>
      <w:r w:rsidRPr="00EA20B8">
        <w:t xml:space="preserve">, Welsh, &amp; Gest, 2009; Cerda et al., 2014; </w:t>
      </w:r>
      <w:proofErr w:type="spellStart"/>
      <w:r w:rsidRPr="00EA20B8">
        <w:t>Fantuzzo</w:t>
      </w:r>
      <w:proofErr w:type="spellEnd"/>
      <w:r w:rsidRPr="00EA20B8">
        <w:t xml:space="preserve"> et al., 2007; </w:t>
      </w:r>
      <w:proofErr w:type="spellStart"/>
      <w:r w:rsidRPr="00EA20B8">
        <w:t>Razza</w:t>
      </w:r>
      <w:proofErr w:type="spellEnd"/>
      <w:r w:rsidRPr="00EA20B8">
        <w:t>, Martin, &amp; Brooks-Gunn, 2012)</w:t>
      </w:r>
      <w:r>
        <w:t xml:space="preserve">. </w:t>
      </w:r>
      <w:r w:rsidRPr="00D8346B">
        <w:t>This includes behaviors like cooperating with other children, paying attention to the teacher, sustain</w:t>
      </w:r>
      <w:r>
        <w:t>ing</w:t>
      </w:r>
      <w:r w:rsidRPr="00D8346B">
        <w:t xml:space="preserve"> attention, listening and following directions, organizing work materials, and completing tasks when ask</w:t>
      </w:r>
      <w:r>
        <w:t xml:space="preserve">ed </w:t>
      </w:r>
      <w:r w:rsidRPr="003A39BE">
        <w:t>(Li-</w:t>
      </w:r>
      <w:proofErr w:type="spellStart"/>
      <w:r w:rsidRPr="003A39BE">
        <w:t>Grining</w:t>
      </w:r>
      <w:proofErr w:type="spellEnd"/>
      <w:r w:rsidRPr="003A39BE">
        <w:t>, Votruba-</w:t>
      </w:r>
      <w:proofErr w:type="spellStart"/>
      <w:r w:rsidRPr="003A39BE">
        <w:t>Drzal</w:t>
      </w:r>
      <w:proofErr w:type="spellEnd"/>
      <w:r w:rsidRPr="003A39BE">
        <w:t>, Maldonado-</w:t>
      </w:r>
      <w:proofErr w:type="spellStart"/>
      <w:r w:rsidRPr="003A39BE">
        <w:t>Carreno</w:t>
      </w:r>
      <w:proofErr w:type="spellEnd"/>
      <w:r w:rsidRPr="003A39BE">
        <w:t xml:space="preserve">, &amp; Haas, 2010; McClelland, </w:t>
      </w:r>
      <w:proofErr w:type="spellStart"/>
      <w:r w:rsidRPr="003A39BE">
        <w:t>Acock</w:t>
      </w:r>
      <w:proofErr w:type="spellEnd"/>
      <w:r w:rsidRPr="003A39BE">
        <w:t xml:space="preserve">, &amp; Morrison, 2006; McDermott et al., 2014; Neuenschwander, </w:t>
      </w:r>
      <w:proofErr w:type="spellStart"/>
      <w:r w:rsidRPr="003A39BE">
        <w:t>Röthlisberger</w:t>
      </w:r>
      <w:proofErr w:type="spellEnd"/>
      <w:r w:rsidRPr="003A39BE">
        <w:t xml:space="preserve">, </w:t>
      </w:r>
      <w:proofErr w:type="spellStart"/>
      <w:r w:rsidRPr="003A39BE">
        <w:t>Cimeli</w:t>
      </w:r>
      <w:proofErr w:type="spellEnd"/>
      <w:r w:rsidRPr="003A39BE">
        <w:t xml:space="preserve">, &amp; </w:t>
      </w:r>
      <w:proofErr w:type="spellStart"/>
      <w:r w:rsidRPr="003A39BE">
        <w:t>Roebers</w:t>
      </w:r>
      <w:proofErr w:type="spellEnd"/>
      <w:r w:rsidRPr="003A39BE">
        <w:t>, 2012)</w:t>
      </w:r>
      <w:r>
        <w:t xml:space="preserve">. ATL is not tied to a specific </w:t>
      </w:r>
      <w:r w:rsidRPr="005B3196">
        <w:rPr>
          <w:i/>
          <w:iCs/>
        </w:rPr>
        <w:t>content</w:t>
      </w:r>
      <w:r>
        <w:t xml:space="preserve"> area, like math or literacy (Elliot, 2019). Rather, it is </w:t>
      </w:r>
      <w:r w:rsidRPr="005B3196">
        <w:rPr>
          <w:i/>
          <w:iCs/>
        </w:rPr>
        <w:t>context</w:t>
      </w:r>
      <w:r>
        <w:t xml:space="preserve">-specific, describing </w:t>
      </w:r>
      <w:r w:rsidRPr="00D8346B">
        <w:t>how children learn across various tasks and go about the classroom in an effortful and purposeful way</w:t>
      </w:r>
      <w:r>
        <w:t xml:space="preserve"> </w:t>
      </w:r>
      <w:r w:rsidRPr="003A39BE">
        <w:t>(Chen &amp; McNamee, 2011; McDermott et al., 2014)</w:t>
      </w:r>
      <w:r>
        <w:t xml:space="preserve">. </w:t>
      </w:r>
    </w:p>
    <w:p w14:paraId="7615A858" w14:textId="77777777" w:rsidR="005E1CD1" w:rsidRDefault="005E1CD1" w:rsidP="002C7E23">
      <w:pPr>
        <w:ind w:firstLine="720"/>
        <w:sectPr w:rsidR="005E1CD1" w:rsidSect="00D86CCC">
          <w:headerReference w:type="default" r:id="rId29"/>
          <w:type w:val="continuous"/>
          <w:pgSz w:w="12240" w:h="15840"/>
          <w:pgMar w:top="1440" w:right="1440" w:bottom="1440" w:left="1440" w:header="720" w:footer="720" w:gutter="0"/>
          <w:cols w:space="720"/>
          <w:titlePg/>
          <w:docGrid w:linePitch="360"/>
        </w:sectPr>
      </w:pPr>
      <w:r w:rsidRPr="00054292">
        <w:t>These classroom-based definitions highlight how multiple components of emotional, social, and cognitive skills can be combined in the service of learning</w:t>
      </w:r>
      <w:r>
        <w:t xml:space="preserve"> </w:t>
      </w:r>
      <w:r w:rsidRPr="003509C1">
        <w:t xml:space="preserve">(Sung &amp; </w:t>
      </w:r>
      <w:proofErr w:type="spellStart"/>
      <w:r w:rsidRPr="003509C1">
        <w:t>Wickrama</w:t>
      </w:r>
      <w:proofErr w:type="spellEnd"/>
      <w:r w:rsidRPr="003509C1">
        <w:t>, 2018)</w:t>
      </w:r>
      <w:r>
        <w:t xml:space="preserve">. </w:t>
      </w:r>
      <w:r w:rsidRPr="00054292">
        <w:t xml:space="preserve">For example, some researchers have highlighted the cognitive aspects of ATL, focusing on ATL as </w:t>
      </w:r>
      <w:proofErr w:type="spellStart"/>
      <w:r w:rsidRPr="00054292">
        <w:t>planfulness</w:t>
      </w:r>
      <w:proofErr w:type="spellEnd"/>
      <w:r w:rsidRPr="00054292">
        <w:t xml:space="preserve"> and goal orientation</w:t>
      </w:r>
      <w:r>
        <w:t xml:space="preserve"> </w:t>
      </w:r>
      <w:r w:rsidRPr="00FD7E5E">
        <w:t>(</w:t>
      </w:r>
      <w:proofErr w:type="spellStart"/>
      <w:r w:rsidRPr="00FD7E5E">
        <w:t>Fantuzzo</w:t>
      </w:r>
      <w:proofErr w:type="spellEnd"/>
      <w:r w:rsidRPr="00FD7E5E">
        <w:t xml:space="preserve"> et al., 2007)</w:t>
      </w:r>
      <w:r>
        <w:t>.</w:t>
      </w:r>
      <w:r w:rsidRPr="00054292">
        <w:t xml:space="preserve"> </w:t>
      </w:r>
      <w:proofErr w:type="spellStart"/>
      <w:r w:rsidRPr="00054292">
        <w:t>Ursache</w:t>
      </w:r>
      <w:proofErr w:type="spellEnd"/>
      <w:r w:rsidRPr="00054292">
        <w:t xml:space="preserve">, Blair, and Raver </w:t>
      </w:r>
      <w:r w:rsidRPr="00FD7E5E">
        <w:t>(2012)</w:t>
      </w:r>
      <w:r>
        <w:t xml:space="preserve"> </w:t>
      </w:r>
      <w:r w:rsidRPr="00054292">
        <w:t>argue that ATL relies on executive function skills, like working memory, and effortful control, the ability to control reactivity</w:t>
      </w:r>
      <w:r>
        <w:t>. O</w:t>
      </w:r>
      <w:r w:rsidRPr="00054292">
        <w:t xml:space="preserve">ther researchers believe that it is a combination of affective, </w:t>
      </w:r>
    </w:p>
    <w:p w14:paraId="37E83CAB" w14:textId="77777777" w:rsidR="005E1CD1" w:rsidRDefault="005E1CD1" w:rsidP="005E1CD1">
      <w:pPr>
        <w:pStyle w:val="DTLEvel1"/>
        <w:ind w:firstLine="720"/>
        <w:contextualSpacing/>
        <w:rPr>
          <w:rFonts w:cs="Times New Roman"/>
          <w:szCs w:val="24"/>
        </w:rPr>
      </w:pPr>
      <w:r>
        <w:rPr>
          <w:rFonts w:eastAsiaTheme="majorEastAsia" w:cstheme="majorBidi"/>
          <w:b w:val="0"/>
          <w:noProof/>
          <w:szCs w:val="24"/>
        </w:rPr>
        <w:lastRenderedPageBreak/>
        <w:drawing>
          <wp:anchor distT="0" distB="0" distL="114300" distR="114300" simplePos="0" relativeHeight="251620352" behindDoc="1" locked="0" layoutInCell="1" allowOverlap="1" wp14:anchorId="5AF1C2AF" wp14:editId="7C829874">
            <wp:simplePos x="0" y="0"/>
            <wp:positionH relativeFrom="margin">
              <wp:align>left</wp:align>
            </wp:positionH>
            <wp:positionV relativeFrom="margin">
              <wp:posOffset>-52273</wp:posOffset>
            </wp:positionV>
            <wp:extent cx="7599680" cy="4191000"/>
            <wp:effectExtent l="0" t="0" r="1270" b="0"/>
            <wp:wrapSquare wrapText="bothSides"/>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del.JPG"/>
                    <pic:cNvPicPr/>
                  </pic:nvPicPr>
                  <pic:blipFill rotWithShape="1">
                    <a:blip r:embed="rId30">
                      <a:extLst>
                        <a:ext uri="{28A0092B-C50C-407E-A947-70E740481C1C}">
                          <a14:useLocalDpi xmlns:a14="http://schemas.microsoft.com/office/drawing/2010/main" val="0"/>
                        </a:ext>
                      </a:extLst>
                    </a:blip>
                    <a:srcRect t="604" r="947"/>
                    <a:stretch/>
                  </pic:blipFill>
                  <pic:spPr bwMode="auto">
                    <a:xfrm>
                      <a:off x="0" y="0"/>
                      <a:ext cx="7599680" cy="419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29997B" w14:textId="77777777" w:rsidR="002C7E23" w:rsidRDefault="002C7E23" w:rsidP="005E1CD1">
      <w:pPr>
        <w:pStyle w:val="DTLEvel1"/>
        <w:ind w:firstLine="90"/>
        <w:contextualSpacing/>
        <w:rPr>
          <w:i/>
          <w:iCs/>
        </w:rPr>
      </w:pPr>
    </w:p>
    <w:p w14:paraId="2622EE01" w14:textId="77777777" w:rsidR="002C7E23" w:rsidRDefault="002C7E23" w:rsidP="005E1CD1">
      <w:pPr>
        <w:pStyle w:val="DTLEvel1"/>
        <w:ind w:firstLine="90"/>
        <w:contextualSpacing/>
        <w:rPr>
          <w:i/>
          <w:iCs/>
        </w:rPr>
      </w:pPr>
    </w:p>
    <w:p w14:paraId="26C2FF2A" w14:textId="77777777" w:rsidR="002C7E23" w:rsidRDefault="002C7E23" w:rsidP="005E1CD1">
      <w:pPr>
        <w:pStyle w:val="DTLEvel1"/>
        <w:ind w:firstLine="90"/>
        <w:contextualSpacing/>
        <w:rPr>
          <w:i/>
          <w:iCs/>
        </w:rPr>
      </w:pPr>
    </w:p>
    <w:p w14:paraId="6B5C813B" w14:textId="77777777" w:rsidR="002C7E23" w:rsidRDefault="002C7E23" w:rsidP="005E1CD1">
      <w:pPr>
        <w:pStyle w:val="DTLEvel1"/>
        <w:ind w:firstLine="90"/>
        <w:contextualSpacing/>
        <w:rPr>
          <w:i/>
          <w:iCs/>
        </w:rPr>
      </w:pPr>
    </w:p>
    <w:p w14:paraId="03A09CA0" w14:textId="77777777" w:rsidR="002C7E23" w:rsidRDefault="002C7E23" w:rsidP="005E1CD1">
      <w:pPr>
        <w:pStyle w:val="DTLEvel1"/>
        <w:ind w:firstLine="90"/>
        <w:contextualSpacing/>
        <w:rPr>
          <w:i/>
          <w:iCs/>
        </w:rPr>
      </w:pPr>
    </w:p>
    <w:p w14:paraId="3B84C26F" w14:textId="77777777" w:rsidR="002C7E23" w:rsidRDefault="002C7E23" w:rsidP="005E1CD1">
      <w:pPr>
        <w:pStyle w:val="DTLEvel1"/>
        <w:ind w:firstLine="90"/>
        <w:contextualSpacing/>
        <w:rPr>
          <w:i/>
          <w:iCs/>
        </w:rPr>
      </w:pPr>
    </w:p>
    <w:p w14:paraId="5114E186" w14:textId="77777777" w:rsidR="002C7E23" w:rsidRDefault="002C7E23" w:rsidP="005E1CD1">
      <w:pPr>
        <w:pStyle w:val="DTLEvel1"/>
        <w:ind w:firstLine="90"/>
        <w:contextualSpacing/>
        <w:rPr>
          <w:i/>
          <w:iCs/>
        </w:rPr>
      </w:pPr>
    </w:p>
    <w:p w14:paraId="4E9EBFF3" w14:textId="77777777" w:rsidR="002C7E23" w:rsidRDefault="002C7E23" w:rsidP="005E1CD1">
      <w:pPr>
        <w:pStyle w:val="DTLEvel1"/>
        <w:ind w:firstLine="90"/>
        <w:contextualSpacing/>
        <w:rPr>
          <w:i/>
          <w:iCs/>
        </w:rPr>
      </w:pPr>
    </w:p>
    <w:p w14:paraId="3BE6ADDD" w14:textId="77777777" w:rsidR="002C7E23" w:rsidRDefault="002C7E23" w:rsidP="005E1CD1">
      <w:pPr>
        <w:pStyle w:val="DTLEvel1"/>
        <w:ind w:firstLine="90"/>
        <w:contextualSpacing/>
        <w:rPr>
          <w:i/>
          <w:iCs/>
        </w:rPr>
      </w:pPr>
    </w:p>
    <w:p w14:paraId="342124AE" w14:textId="77777777" w:rsidR="002C7E23" w:rsidRDefault="002C7E23" w:rsidP="005E1CD1">
      <w:pPr>
        <w:pStyle w:val="DTLEvel1"/>
        <w:ind w:firstLine="90"/>
        <w:contextualSpacing/>
        <w:rPr>
          <w:i/>
          <w:iCs/>
        </w:rPr>
      </w:pPr>
    </w:p>
    <w:p w14:paraId="188DA4DE" w14:textId="77777777" w:rsidR="002C7E23" w:rsidRDefault="002C7E23" w:rsidP="005E1CD1">
      <w:pPr>
        <w:pStyle w:val="DTLEvel1"/>
        <w:ind w:firstLine="90"/>
        <w:contextualSpacing/>
        <w:rPr>
          <w:i/>
          <w:iCs/>
        </w:rPr>
      </w:pPr>
    </w:p>
    <w:p w14:paraId="636C39F8" w14:textId="1A50605E" w:rsidR="005E1CD1" w:rsidRDefault="005E1CD1" w:rsidP="005E1CD1">
      <w:pPr>
        <w:pStyle w:val="DTLEvel1"/>
        <w:ind w:firstLine="90"/>
        <w:contextualSpacing/>
        <w:rPr>
          <w:i/>
          <w:iCs/>
        </w:rPr>
        <w:sectPr w:rsidR="005E1CD1" w:rsidSect="00D86CCC">
          <w:headerReference w:type="first" r:id="rId31"/>
          <w:type w:val="continuous"/>
          <w:pgSz w:w="15840" w:h="12240" w:orient="landscape"/>
          <w:pgMar w:top="1440" w:right="1440" w:bottom="1440" w:left="1440" w:header="720" w:footer="720" w:gutter="0"/>
          <w:cols w:space="720"/>
          <w:titlePg/>
          <w:docGrid w:linePitch="360"/>
        </w:sectPr>
      </w:pPr>
      <w:r w:rsidRPr="000A36C3">
        <w:rPr>
          <w:i/>
          <w:iCs/>
        </w:rPr>
        <w:t xml:space="preserve">Figure 2. Conceptualization of approaches to learning adapted from Hyson (2008). </w:t>
      </w:r>
    </w:p>
    <w:p w14:paraId="49F8D4BB" w14:textId="77777777" w:rsidR="005E1CD1" w:rsidRPr="00CC2F32" w:rsidRDefault="005E1CD1" w:rsidP="008127BB">
      <w:pPr>
        <w:rPr>
          <w:highlight w:val="yellow"/>
        </w:rPr>
      </w:pPr>
      <w:r w:rsidRPr="00054292">
        <w:lastRenderedPageBreak/>
        <w:t>cognitive, and behavioral skills</w:t>
      </w:r>
      <w:r>
        <w:t xml:space="preserve"> </w:t>
      </w:r>
      <w:r w:rsidRPr="00FD7E5E">
        <w:t>(Fredricks, Blumenfeld, &amp; Paris, 2004)</w:t>
      </w:r>
      <w:r>
        <w:t>.</w:t>
      </w:r>
      <w:r w:rsidRPr="00054292">
        <w:t xml:space="preserve"> For example, </w:t>
      </w:r>
      <w:r>
        <w:t xml:space="preserve">McClelland, </w:t>
      </w:r>
      <w:proofErr w:type="spellStart"/>
      <w:r>
        <w:t>Acock</w:t>
      </w:r>
      <w:proofErr w:type="spellEnd"/>
      <w:r>
        <w:t xml:space="preserve">, and Morrison </w:t>
      </w:r>
      <w:r w:rsidRPr="00FD7E5E">
        <w:t>(2006)</w:t>
      </w:r>
      <w:r>
        <w:t xml:space="preserve"> </w:t>
      </w:r>
      <w:r w:rsidRPr="00054292">
        <w:t xml:space="preserve">define ATL as a combination of cognitive self-regulation skills, like strategic planning and focus, and aspects of social competence, (i.e., responsibility, independence, and cooperation.). </w:t>
      </w:r>
      <w:proofErr w:type="gramStart"/>
      <w:r w:rsidRPr="003509C1">
        <w:t>Similarly</w:t>
      </w:r>
      <w:proofErr w:type="gramEnd"/>
      <w:r w:rsidRPr="003509C1">
        <w:t xml:space="preserve"> Cerda et al. (2014) posit that ATL contains three distinct dimensions—effortful control, behavioral self-regulation, and social competence.</w:t>
      </w:r>
      <w:r>
        <w:t xml:space="preserve"> </w:t>
      </w:r>
    </w:p>
    <w:p w14:paraId="6A05EA84" w14:textId="39089116" w:rsidR="005E1CD1" w:rsidRPr="007D3AF5" w:rsidRDefault="005E1CD1" w:rsidP="008127BB">
      <w:pPr>
        <w:ind w:firstLine="720"/>
        <w:rPr>
          <w:bCs/>
        </w:rPr>
      </w:pPr>
      <w:bookmarkStart w:id="140" w:name="_Toc44255196"/>
      <w:bookmarkStart w:id="141" w:name="_Toc46265538"/>
      <w:r w:rsidRPr="00226569">
        <w:rPr>
          <w:rStyle w:val="Heading3Char"/>
        </w:rPr>
        <w:t>Positive and negative ATL.</w:t>
      </w:r>
      <w:bookmarkEnd w:id="140"/>
      <w:bookmarkEnd w:id="141"/>
      <w:r w:rsidRPr="00226569">
        <w:rPr>
          <w:rStyle w:val="Heading3Char"/>
        </w:rPr>
        <w:t xml:space="preserve"> </w:t>
      </w:r>
      <w:r>
        <w:t xml:space="preserve">Other researchers have conceptualized </w:t>
      </w:r>
      <w:r w:rsidRPr="00175621">
        <w:t xml:space="preserve">ATL </w:t>
      </w:r>
      <w:r>
        <w:t xml:space="preserve">as </w:t>
      </w:r>
      <w:r w:rsidRPr="00175621">
        <w:t xml:space="preserve">an </w:t>
      </w:r>
      <w:r w:rsidRPr="00175621">
        <w:rPr>
          <w:i/>
          <w:iCs/>
        </w:rPr>
        <w:t>adaptive</w:t>
      </w:r>
      <w:r w:rsidRPr="00175621">
        <w:t xml:space="preserve"> response to classroom demands and learning tasks, requiring children to attend and respond to multiple sources of information</w:t>
      </w:r>
      <w:r>
        <w:t xml:space="preserve"> </w:t>
      </w:r>
      <w:r w:rsidRPr="005D4CD5">
        <w:t xml:space="preserve">(Domínguez, </w:t>
      </w:r>
      <w:proofErr w:type="spellStart"/>
      <w:r w:rsidRPr="005D4CD5">
        <w:t>Vitiello</w:t>
      </w:r>
      <w:proofErr w:type="spellEnd"/>
      <w:r w:rsidRPr="005D4CD5">
        <w:t xml:space="preserve">, Maier, &amp; Greenfield, 2010; Morgan, Farkas, &amp; </w:t>
      </w:r>
      <w:proofErr w:type="spellStart"/>
      <w:r w:rsidRPr="005D4CD5">
        <w:t>Qiong</w:t>
      </w:r>
      <w:proofErr w:type="spellEnd"/>
      <w:r w:rsidRPr="005D4CD5">
        <w:t xml:space="preserve"> Wu, 2009)</w:t>
      </w:r>
      <w:r w:rsidRPr="00175621">
        <w:t xml:space="preserve">. </w:t>
      </w:r>
      <w:r>
        <w:t>ATL</w:t>
      </w:r>
      <w:r w:rsidRPr="00F42B72">
        <w:t xml:space="preserve"> puts children in greater contact with materials and peers for learning</w:t>
      </w:r>
      <w:r>
        <w:t xml:space="preserve"> </w:t>
      </w:r>
      <w:r w:rsidRPr="007D3AF5">
        <w:t xml:space="preserve">(Halliday, Calkins, &amp; </w:t>
      </w:r>
      <w:proofErr w:type="spellStart"/>
      <w:r w:rsidRPr="007D3AF5">
        <w:t>Leerkes</w:t>
      </w:r>
      <w:proofErr w:type="spellEnd"/>
      <w:r w:rsidRPr="007D3AF5">
        <w:t xml:space="preserve">, 2018; </w:t>
      </w:r>
      <w:proofErr w:type="spellStart"/>
      <w:r w:rsidRPr="007D3AF5">
        <w:t>Vitiello</w:t>
      </w:r>
      <w:proofErr w:type="spellEnd"/>
      <w:r w:rsidRPr="007D3AF5">
        <w:t>, Greenfield, Munis, &amp; George, 2011)</w:t>
      </w:r>
      <w:r w:rsidRPr="00F42B72">
        <w:t xml:space="preserve">. </w:t>
      </w:r>
      <w:r>
        <w:rPr>
          <w:bCs/>
        </w:rPr>
        <w:t>For example, c</w:t>
      </w:r>
      <w:r w:rsidRPr="007D3AF5">
        <w:rPr>
          <w:bCs/>
        </w:rPr>
        <w:t xml:space="preserve">hildren’s increased ability to </w:t>
      </w:r>
      <w:r>
        <w:rPr>
          <w:bCs/>
        </w:rPr>
        <w:t xml:space="preserve">manage their behavior, inhibit negative </w:t>
      </w:r>
      <w:r w:rsidRPr="007D3AF5">
        <w:rPr>
          <w:bCs/>
        </w:rPr>
        <w:t xml:space="preserve">emotions, </w:t>
      </w:r>
      <w:r>
        <w:rPr>
          <w:bCs/>
        </w:rPr>
        <w:t>and focus a</w:t>
      </w:r>
      <w:r w:rsidRPr="007D3AF5">
        <w:rPr>
          <w:bCs/>
        </w:rPr>
        <w:t xml:space="preserve">ttention in </w:t>
      </w:r>
      <w:r>
        <w:rPr>
          <w:bCs/>
        </w:rPr>
        <w:t xml:space="preserve">a large group setting helps them to establish a </w:t>
      </w:r>
      <w:r w:rsidRPr="007D3AF5">
        <w:rPr>
          <w:bCs/>
        </w:rPr>
        <w:t xml:space="preserve">positive </w:t>
      </w:r>
      <w:r>
        <w:rPr>
          <w:bCs/>
        </w:rPr>
        <w:t>relat</w:t>
      </w:r>
      <w:r w:rsidRPr="007D3AF5">
        <w:rPr>
          <w:bCs/>
        </w:rPr>
        <w:t>ionship</w:t>
      </w:r>
      <w:r>
        <w:rPr>
          <w:bCs/>
        </w:rPr>
        <w:t xml:space="preserve"> with their teachers and classmates and can help as children attempt to problem solve on their own </w:t>
      </w:r>
      <w:r w:rsidRPr="007D3AF5">
        <w:t>(Neuenschwander et al., 2012)</w:t>
      </w:r>
      <w:r>
        <w:rPr>
          <w:bCs/>
        </w:rPr>
        <w:t xml:space="preserve">. These adaptive behaviors require </w:t>
      </w:r>
      <w:r>
        <w:t xml:space="preserve">children to call upon their </w:t>
      </w:r>
      <w:r w:rsidRPr="00F42B72">
        <w:rPr>
          <w:bCs/>
        </w:rPr>
        <w:t xml:space="preserve">cognition, motivation, and emotions </w:t>
      </w:r>
      <w:r>
        <w:rPr>
          <w:bCs/>
        </w:rPr>
        <w:t xml:space="preserve">to ensure their </w:t>
      </w:r>
      <w:r w:rsidRPr="00F42B72">
        <w:rPr>
          <w:bCs/>
        </w:rPr>
        <w:t xml:space="preserve">response </w:t>
      </w:r>
      <w:r>
        <w:rPr>
          <w:bCs/>
        </w:rPr>
        <w:t xml:space="preserve">is </w:t>
      </w:r>
      <w:r w:rsidRPr="00F42B72">
        <w:rPr>
          <w:bCs/>
        </w:rPr>
        <w:t>in line with contextual</w:t>
      </w:r>
      <w:r w:rsidRPr="00F42B72">
        <w:t xml:space="preserve"> </w:t>
      </w:r>
      <w:r w:rsidRPr="00F42B72">
        <w:rPr>
          <w:bCs/>
        </w:rPr>
        <w:t>expectations</w:t>
      </w:r>
      <w:r>
        <w:rPr>
          <w:bCs/>
        </w:rPr>
        <w:t xml:space="preserve"> </w:t>
      </w:r>
      <w:r w:rsidRPr="00F42B72">
        <w:t>(</w:t>
      </w:r>
      <w:proofErr w:type="spellStart"/>
      <w:r w:rsidRPr="00F42B72">
        <w:t>Montroy</w:t>
      </w:r>
      <w:proofErr w:type="spellEnd"/>
      <w:r w:rsidRPr="00F42B72">
        <w:t xml:space="preserve">, Bowles, </w:t>
      </w:r>
      <w:proofErr w:type="spellStart"/>
      <w:r w:rsidRPr="00F42B72">
        <w:t>Skibbe</w:t>
      </w:r>
      <w:proofErr w:type="spellEnd"/>
      <w:r w:rsidRPr="00F42B72">
        <w:t>, &amp; Foster, 2014)</w:t>
      </w:r>
    </w:p>
    <w:p w14:paraId="0002A8F7" w14:textId="77777777" w:rsidR="005E1CD1" w:rsidRPr="00DF0CE1" w:rsidRDefault="005E1CD1" w:rsidP="002C7E23">
      <w:pPr>
        <w:ind w:firstLine="720"/>
        <w:rPr>
          <w:b/>
        </w:rPr>
      </w:pPr>
      <w:r>
        <w:rPr>
          <w:bCs/>
        </w:rPr>
        <w:t xml:space="preserve">As an adaptive response, ATL </w:t>
      </w:r>
      <w:r w:rsidRPr="00F42B72">
        <w:rPr>
          <w:bCs/>
        </w:rPr>
        <w:t>highlight</w:t>
      </w:r>
      <w:r>
        <w:rPr>
          <w:bCs/>
        </w:rPr>
        <w:t xml:space="preserve">s how a child navigates a new learning environment </w:t>
      </w:r>
      <w:r w:rsidRPr="00F42B72">
        <w:t xml:space="preserve">(Blair, 2002; </w:t>
      </w:r>
      <w:proofErr w:type="spellStart"/>
      <w:r w:rsidRPr="00F42B72">
        <w:t>Ponitz</w:t>
      </w:r>
      <w:proofErr w:type="spellEnd"/>
      <w:r w:rsidRPr="00F42B72">
        <w:t>, McClelland, Matthews, &amp; Morrison, 2009).</w:t>
      </w:r>
      <w:r>
        <w:t xml:space="preserve"> However, </w:t>
      </w:r>
      <w:r>
        <w:rPr>
          <w:bCs/>
        </w:rPr>
        <w:t xml:space="preserve">some children’s learning-related skills are </w:t>
      </w:r>
      <w:r>
        <w:t xml:space="preserve">behaviors which escalate conflict and disrupt learning in the classroom </w:t>
      </w:r>
      <w:r w:rsidRPr="002E3557">
        <w:t>(Denham et al., 2012; McClelland et al., 2006)</w:t>
      </w:r>
      <w:r>
        <w:t xml:space="preserve">. Referred to in the literature as </w:t>
      </w:r>
      <w:r>
        <w:rPr>
          <w:bCs/>
        </w:rPr>
        <w:t xml:space="preserve">‘negative ATL ,’ these </w:t>
      </w:r>
      <w:r w:rsidRPr="00F42B72">
        <w:rPr>
          <w:bCs/>
        </w:rPr>
        <w:t>behaviors are mal-adaptive</w:t>
      </w:r>
      <w:r>
        <w:rPr>
          <w:bCs/>
        </w:rPr>
        <w:t xml:space="preserve"> and do not </w:t>
      </w:r>
      <w:r w:rsidRPr="00F42B72">
        <w:rPr>
          <w:bCs/>
        </w:rPr>
        <w:t>promote learning</w:t>
      </w:r>
      <w:r>
        <w:rPr>
          <w:bCs/>
        </w:rPr>
        <w:t xml:space="preserve"> </w:t>
      </w:r>
      <w:r w:rsidRPr="004F37BA">
        <w:t>(</w:t>
      </w:r>
      <w:proofErr w:type="spellStart"/>
      <w:r w:rsidRPr="004F37BA">
        <w:t>Montroy</w:t>
      </w:r>
      <w:proofErr w:type="spellEnd"/>
      <w:r w:rsidRPr="004F37BA">
        <w:t xml:space="preserve"> et al., 2014)</w:t>
      </w:r>
      <w:r w:rsidRPr="00F42B72">
        <w:rPr>
          <w:bCs/>
        </w:rPr>
        <w:t xml:space="preserve">. </w:t>
      </w:r>
      <w:r>
        <w:rPr>
          <w:bCs/>
        </w:rPr>
        <w:t>Negative ATL f</w:t>
      </w:r>
      <w:r w:rsidRPr="00F42B72">
        <w:rPr>
          <w:bCs/>
        </w:rPr>
        <w:t>ocu</w:t>
      </w:r>
      <w:r>
        <w:rPr>
          <w:bCs/>
        </w:rPr>
        <w:t>ses</w:t>
      </w:r>
      <w:r w:rsidRPr="00F42B72">
        <w:rPr>
          <w:bCs/>
        </w:rPr>
        <w:t xml:space="preserve"> on </w:t>
      </w:r>
      <w:r>
        <w:rPr>
          <w:bCs/>
        </w:rPr>
        <w:t>how</w:t>
      </w:r>
      <w:r w:rsidRPr="00F42B72">
        <w:rPr>
          <w:bCs/>
        </w:rPr>
        <w:t xml:space="preserve"> children’s behavior in the classroom limits their </w:t>
      </w:r>
      <w:r w:rsidRPr="00F42B72">
        <w:rPr>
          <w:bCs/>
        </w:rPr>
        <w:lastRenderedPageBreak/>
        <w:t xml:space="preserve">interactions with teachers or peers </w:t>
      </w:r>
      <w:r w:rsidRPr="004F37BA">
        <w:t>(Chen &amp; McNamee, 2011)</w:t>
      </w:r>
      <w:r>
        <w:rPr>
          <w:bCs/>
        </w:rPr>
        <w:t xml:space="preserve">. Children who are in conflict with others or who are disinterested in classroom activities have fewer opportunities to engage in learning tasks </w:t>
      </w:r>
      <w:r w:rsidRPr="00330EA3">
        <w:t>(Sabol et al., 2018)</w:t>
      </w:r>
      <w:r>
        <w:rPr>
          <w:bCs/>
        </w:rPr>
        <w:t xml:space="preserve"> Children with negative ATL may be easily distracted, may give up easily, or can be more likely to engage in negative interactions which disturb the learning environment </w:t>
      </w:r>
      <w:r w:rsidRPr="00330EA3">
        <w:t>(</w:t>
      </w:r>
      <w:proofErr w:type="spellStart"/>
      <w:r w:rsidRPr="00330EA3">
        <w:t>Montroy</w:t>
      </w:r>
      <w:proofErr w:type="spellEnd"/>
      <w:r w:rsidRPr="00330EA3">
        <w:t xml:space="preserve"> et al., 2014)</w:t>
      </w:r>
      <w:r>
        <w:rPr>
          <w:bCs/>
        </w:rPr>
        <w:t xml:space="preserve">. </w:t>
      </w:r>
    </w:p>
    <w:p w14:paraId="0118CB80" w14:textId="77777777" w:rsidR="005E1CD1" w:rsidRDefault="005E1CD1" w:rsidP="002C7E23">
      <w:pPr>
        <w:ind w:firstLine="720"/>
        <w:rPr>
          <w:bCs/>
        </w:rPr>
      </w:pPr>
      <w:r>
        <w:t xml:space="preserve">Negative ATL is </w:t>
      </w:r>
      <w:r w:rsidRPr="00231934">
        <w:t>associated with more behavioral difficulties</w:t>
      </w:r>
      <w:r>
        <w:t xml:space="preserve">, negative teacher-child </w:t>
      </w:r>
      <w:proofErr w:type="gramStart"/>
      <w:r>
        <w:t>relationships</w:t>
      </w:r>
      <w:proofErr w:type="gramEnd"/>
      <w:r>
        <w:t xml:space="preserve"> </w:t>
      </w:r>
      <w:r w:rsidRPr="00231934">
        <w:t>and poorer academic achievement</w:t>
      </w:r>
      <w:r>
        <w:t xml:space="preserve"> </w:t>
      </w:r>
      <w:r w:rsidRPr="001B6860">
        <w:t>(Bierman et al., 2009)</w:t>
      </w:r>
      <w:r>
        <w:t xml:space="preserve">. Problem behaviors appear to interfere not only with classroom learning processes but with the child’s own ability to engage in learning </w:t>
      </w:r>
      <w:r w:rsidRPr="007736C0">
        <w:t>(</w:t>
      </w:r>
      <w:proofErr w:type="spellStart"/>
      <w:r w:rsidRPr="007736C0">
        <w:t>Montroy</w:t>
      </w:r>
      <w:proofErr w:type="spellEnd"/>
      <w:r w:rsidRPr="007736C0">
        <w:t xml:space="preserve"> et al., 2014)</w:t>
      </w:r>
      <w:r>
        <w:t xml:space="preserve">. In classrooms, children’s behavior may be characterized as negative if it is </w:t>
      </w:r>
      <w:r w:rsidRPr="009D0D25">
        <w:t>misaligned with the expectations of the setting</w:t>
      </w:r>
      <w:r>
        <w:t xml:space="preserve">, e.g. the child blurts out when the expectation is to raise hands or is sent to his seat for touching others during group time. This negative engagement can hinder the development of children’s self-regulatory capacity, where lower inhibition (e.g. blurting out) results in reduced attention and a less positive attitude towards learning </w:t>
      </w:r>
      <w:r w:rsidRPr="00E1130A">
        <w:t>(</w:t>
      </w:r>
      <w:proofErr w:type="spellStart"/>
      <w:r w:rsidRPr="00E1130A">
        <w:t>Bulotsky</w:t>
      </w:r>
      <w:proofErr w:type="spellEnd"/>
      <w:r w:rsidRPr="00E1130A">
        <w:t>-Shearer et al., 2011)</w:t>
      </w:r>
      <w:r>
        <w:t xml:space="preserve">. Negative ATL may play an </w:t>
      </w:r>
      <w:r>
        <w:rPr>
          <w:bCs/>
        </w:rPr>
        <w:t xml:space="preserve">increasingly important role as children get older, wherein attention difficulties limit children’s ability to engage in learning activities, benefit from instruction, and focus on educational tasks </w:t>
      </w:r>
      <w:r w:rsidRPr="00334803">
        <w:t>(Domínguez et al., 2010)</w:t>
      </w:r>
      <w:r>
        <w:rPr>
          <w:bCs/>
        </w:rPr>
        <w:t xml:space="preserve">. Academic difficulties, in turn, may eventually lead to increased frustration, lower engagement, and poor self-esteem, in time leading to aggression that will further interfere with learning </w:t>
      </w:r>
      <w:r w:rsidRPr="007736C0">
        <w:t xml:space="preserve">(Arnold, </w:t>
      </w:r>
      <w:proofErr w:type="spellStart"/>
      <w:r w:rsidRPr="007736C0">
        <w:t>Kupersmidt</w:t>
      </w:r>
      <w:proofErr w:type="spellEnd"/>
      <w:r w:rsidRPr="007736C0">
        <w:t xml:space="preserve">, </w:t>
      </w:r>
      <w:proofErr w:type="spellStart"/>
      <w:r w:rsidRPr="007736C0">
        <w:t>Voegler</w:t>
      </w:r>
      <w:proofErr w:type="spellEnd"/>
      <w:r w:rsidRPr="007736C0">
        <w:t>-Lee, &amp; Marshall, 2012)</w:t>
      </w:r>
      <w:r>
        <w:rPr>
          <w:bCs/>
        </w:rPr>
        <w:t xml:space="preserve">. </w:t>
      </w:r>
    </w:p>
    <w:p w14:paraId="2F4390B8" w14:textId="77777777" w:rsidR="005E1CD1" w:rsidRDefault="005E1CD1" w:rsidP="002C7E23">
      <w:pPr>
        <w:ind w:firstLine="720"/>
      </w:pPr>
      <w:r>
        <w:t xml:space="preserve">However, the relationship between positive and negative approaches is not clear from the literature. While some researchers suggest that the two are distinct constructs, others believe that they may be opposite poles of the same dimension, social competence </w:t>
      </w:r>
      <w:r w:rsidRPr="001B6860">
        <w:t>(</w:t>
      </w:r>
      <w:proofErr w:type="spellStart"/>
      <w:r w:rsidRPr="001B6860">
        <w:t>Fantuzzo</w:t>
      </w:r>
      <w:proofErr w:type="spellEnd"/>
      <w:r w:rsidRPr="001B6860">
        <w:t xml:space="preserve"> et al., 2007)</w:t>
      </w:r>
      <w:r>
        <w:t xml:space="preserve">. ATL may mediate the relationship between problem behaviors and academic outcomes </w:t>
      </w:r>
      <w:r w:rsidRPr="00601AF5">
        <w:t xml:space="preserve">(R. </w:t>
      </w:r>
      <w:proofErr w:type="spellStart"/>
      <w:r w:rsidRPr="00601AF5">
        <w:lastRenderedPageBreak/>
        <w:t>Bulotsky</w:t>
      </w:r>
      <w:proofErr w:type="spellEnd"/>
      <w:r w:rsidRPr="00601AF5">
        <w:t>-Shearer et al., 2011)</w:t>
      </w:r>
      <w:r>
        <w:t xml:space="preserve">. Li-Grinning et al. </w:t>
      </w:r>
      <w:r w:rsidRPr="00DF0CE1">
        <w:t>(2010)</w:t>
      </w:r>
      <w:r>
        <w:t xml:space="preserve"> found that ATL served a cumulative role in the link between children’s behavior problems and academic outcomes. Those with the lowest reported behavior problem benefitted most from higher ATL, which served to widen early gaps in academic competence over time. </w:t>
      </w:r>
    </w:p>
    <w:p w14:paraId="4E13B264" w14:textId="77777777" w:rsidR="005E1CD1" w:rsidRDefault="005E1CD1" w:rsidP="002C7E23">
      <w:pPr>
        <w:ind w:firstLine="720"/>
      </w:pPr>
      <w:r>
        <w:t xml:space="preserve">Current studies have been limited in their abilities to look at ATL along a continuum, typically evaluating ATL and problem behaviors as separate components of adjustment </w:t>
      </w:r>
      <w:r w:rsidRPr="00334803">
        <w:t>(Elliott, 2019)</w:t>
      </w:r>
      <w:r>
        <w:t xml:space="preserve">. Additional research is needed to examine the developmental trajectories of children who exhibit more negative ATL with different patterns of readiness domains (social development, emotional development e.g.) in order to investigate if differences between children persist or fade over time and in what classroom contexts these occur </w:t>
      </w:r>
      <w:r w:rsidRPr="00693367">
        <w:t>(</w:t>
      </w:r>
      <w:proofErr w:type="spellStart"/>
      <w:r w:rsidRPr="00693367">
        <w:t>Abenavoli</w:t>
      </w:r>
      <w:proofErr w:type="spellEnd"/>
      <w:r w:rsidRPr="00693367">
        <w:t>, Greenberg, &amp; Bierman, 2017)</w:t>
      </w:r>
      <w:r>
        <w:t xml:space="preserve">. This work may be particularly relevant during the pre-k year, as children’s social skills or problem behaviors may account for more of the association between self-regulation and academic growth than in other periods </w:t>
      </w:r>
      <w:r w:rsidRPr="001B6860">
        <w:t>(</w:t>
      </w:r>
      <w:proofErr w:type="spellStart"/>
      <w:r w:rsidRPr="001B6860">
        <w:t>Montroy</w:t>
      </w:r>
      <w:proofErr w:type="spellEnd"/>
      <w:r w:rsidRPr="001B6860">
        <w:t xml:space="preserve"> et al., 2014)</w:t>
      </w:r>
      <w:r>
        <w:t xml:space="preserve">. </w:t>
      </w:r>
    </w:p>
    <w:p w14:paraId="64AF8081" w14:textId="5BC97D69" w:rsidR="005E1CD1" w:rsidRDefault="005E1CD1" w:rsidP="00CC6470">
      <w:pPr>
        <w:pStyle w:val="Heading2"/>
      </w:pPr>
      <w:bookmarkStart w:id="142" w:name="_Toc44255197"/>
      <w:bookmarkStart w:id="143" w:name="_Toc46265539"/>
      <w:r>
        <w:t>Approaches to Learning and Other Social-Emotional Constructs</w:t>
      </w:r>
      <w:bookmarkEnd w:id="142"/>
      <w:bookmarkEnd w:id="143"/>
      <w:r>
        <w:t xml:space="preserve"> </w:t>
      </w:r>
    </w:p>
    <w:p w14:paraId="3BE1B2AD" w14:textId="77777777" w:rsidR="005E1CD1" w:rsidRPr="00CC2F32" w:rsidRDefault="005E1CD1" w:rsidP="008127BB">
      <w:pPr>
        <w:rPr>
          <w:b/>
        </w:rPr>
      </w:pPr>
      <w:r>
        <w:t xml:space="preserve">ATL is a global construct that includes components of cognitive, emotional, and social capacities </w:t>
      </w:r>
      <w:r w:rsidRPr="00A167B1">
        <w:t>(Daniels, 2014)</w:t>
      </w:r>
      <w:r>
        <w:t xml:space="preserve">. </w:t>
      </w:r>
      <w:r w:rsidRPr="005063F0">
        <w:t xml:space="preserve">Although these three </w:t>
      </w:r>
      <w:r>
        <w:t xml:space="preserve">components may be distinct on a theoretical level, it is often more difficult to tease them apart empirically. It can be difficult to discern emotional states apart from behavioral manifestations; emotional </w:t>
      </w:r>
      <w:r w:rsidRPr="005063F0">
        <w:t>engagemen</w:t>
      </w:r>
      <w:r>
        <w:t xml:space="preserve">t, for example, may be expressed as enthusiasm or strategic behavior, which looks like approaches learning </w:t>
      </w:r>
      <w:r w:rsidRPr="00A167B1">
        <w:t>(Halliday et al., 2018)</w:t>
      </w:r>
      <w:r>
        <w:t xml:space="preserve">. ATL is sometimes used interchangeably in the literature with executive function, social skills, and emotional regulation. However, ATL is distinct from each of these domains in several ways. </w:t>
      </w:r>
    </w:p>
    <w:p w14:paraId="5C905A35" w14:textId="41CF1CA1" w:rsidR="005E1CD1" w:rsidRPr="008E3D20" w:rsidRDefault="005E1CD1" w:rsidP="005E1CD1">
      <w:pPr>
        <w:ind w:firstLine="720"/>
        <w:contextualSpacing/>
        <w:rPr>
          <w:b/>
        </w:rPr>
      </w:pPr>
      <w:bookmarkStart w:id="144" w:name="_Toc44255198"/>
      <w:bookmarkStart w:id="145" w:name="_Toc46265540"/>
      <w:r w:rsidRPr="00226569">
        <w:rPr>
          <w:rStyle w:val="Heading3Char"/>
        </w:rPr>
        <w:t>Executive function</w:t>
      </w:r>
      <w:bookmarkEnd w:id="144"/>
      <w:bookmarkEnd w:id="145"/>
      <w:r>
        <w:rPr>
          <w:b/>
        </w:rPr>
        <w:t xml:space="preserve">. </w:t>
      </w:r>
      <w:r w:rsidRPr="00EC72CF">
        <w:t xml:space="preserve">Executive function is primarily </w:t>
      </w:r>
      <w:r>
        <w:t xml:space="preserve">a </w:t>
      </w:r>
      <w:r w:rsidRPr="00EC72CF">
        <w:t xml:space="preserve">cognitive skill </w:t>
      </w:r>
      <w:r>
        <w:t xml:space="preserve">that </w:t>
      </w:r>
      <w:r w:rsidRPr="00EC72CF">
        <w:t>includes the subdomains of working memory, cognitive flexibility or attention shifting, and inhibitory control</w:t>
      </w:r>
      <w:r>
        <w:t xml:space="preserve"> </w:t>
      </w:r>
      <w:r w:rsidRPr="00A167B1">
        <w:lastRenderedPageBreak/>
        <w:t>(Blair, 2002)</w:t>
      </w:r>
      <w:r>
        <w:t xml:space="preserve">. ATL shares common terminology with executive function, and the two are sometimes used interchangeably, especially when the construct is measured via attention or attention control </w:t>
      </w:r>
      <w:r w:rsidRPr="00A167B1">
        <w:t>(</w:t>
      </w:r>
      <w:proofErr w:type="spellStart"/>
      <w:r w:rsidRPr="00A167B1">
        <w:t>Barbu</w:t>
      </w:r>
      <w:proofErr w:type="spellEnd"/>
      <w:r w:rsidRPr="00A167B1">
        <w:t xml:space="preserve">, </w:t>
      </w:r>
      <w:proofErr w:type="spellStart"/>
      <w:r w:rsidRPr="00A167B1">
        <w:t>Yaden</w:t>
      </w:r>
      <w:proofErr w:type="spellEnd"/>
      <w:r w:rsidRPr="00A167B1">
        <w:t>, Levine-</w:t>
      </w:r>
      <w:proofErr w:type="spellStart"/>
      <w:r w:rsidRPr="00A167B1">
        <w:t>Donnerstein</w:t>
      </w:r>
      <w:proofErr w:type="spellEnd"/>
      <w:r w:rsidRPr="00A167B1">
        <w:t>, &amp; Marx, 2015)</w:t>
      </w:r>
      <w:r>
        <w:t xml:space="preserve">. </w:t>
      </w:r>
      <w:r w:rsidRPr="00EC72CF">
        <w:t xml:space="preserve">As part of executive function, attention shifting includes the ability to shift between two or more tasks or to move from one activity to the next, while </w:t>
      </w:r>
      <w:r>
        <w:t>i</w:t>
      </w:r>
      <w:r w:rsidRPr="00EC72CF">
        <w:t>n ATL, attention refers to a child’s ability to focus on tasks, resist distractions</w:t>
      </w:r>
      <w:r>
        <w:t>,</w:t>
      </w:r>
      <w:r w:rsidRPr="00EC72CF">
        <w:t xml:space="preserve"> and persist</w:t>
      </w:r>
      <w:r>
        <w:t xml:space="preserve"> </w:t>
      </w:r>
      <w:r w:rsidRPr="00A167B1">
        <w:t xml:space="preserve">(McWayne, </w:t>
      </w:r>
      <w:proofErr w:type="spellStart"/>
      <w:r w:rsidRPr="00A167B1">
        <w:t>Fantuzzo</w:t>
      </w:r>
      <w:proofErr w:type="spellEnd"/>
      <w:r w:rsidRPr="00A167B1">
        <w:t>, &amp; McDermott, 2004)</w:t>
      </w:r>
      <w:r>
        <w:t xml:space="preserve">. </w:t>
      </w:r>
      <w:r w:rsidRPr="00447BD6">
        <w:t>Attention, as part of ATL, refers to more proximal processes of observable classroom-based behavior, while attention as part of executive function or effortful control represents more distal or behind-the-scenes cognitive competencies (</w:t>
      </w:r>
      <w:proofErr w:type="spellStart"/>
      <w:r w:rsidRPr="00447BD6">
        <w:t>Barbu</w:t>
      </w:r>
      <w:proofErr w:type="spellEnd"/>
      <w:r w:rsidRPr="00447BD6">
        <w:t xml:space="preserve"> et al., 2015). </w:t>
      </w:r>
      <w:r>
        <w:t xml:space="preserve">EF typically refers to </w:t>
      </w:r>
      <w:proofErr w:type="gramStart"/>
      <w:r>
        <w:t>cognitively-oriented</w:t>
      </w:r>
      <w:proofErr w:type="gramEnd"/>
      <w:r>
        <w:t xml:space="preserve"> tasks assessed in emotionally neutral contexts, while children may utilize ATL in social situations </w:t>
      </w:r>
      <w:r w:rsidRPr="00A167B1">
        <w:t>(Jones, Bailey, Barnes, &amp; Partee, 2016)</w:t>
      </w:r>
      <w:r>
        <w:t xml:space="preserve">. Conceptually, EF represents neurological brain structures housed in the prefrontal cortex, while ATL represents more </w:t>
      </w:r>
      <w:proofErr w:type="gramStart"/>
      <w:r>
        <w:t>behavioral-based</w:t>
      </w:r>
      <w:proofErr w:type="gramEnd"/>
      <w:r>
        <w:t xml:space="preserve"> (and thus malleable) manifestations of behaviors related to EF </w:t>
      </w:r>
      <w:r w:rsidRPr="00AE31B2">
        <w:t>(Blair, 2002)</w:t>
      </w:r>
      <w:r>
        <w:t xml:space="preserve">. Finally, EF is often measured through direct assessment, while ATL is measured via teacher report. </w:t>
      </w:r>
    </w:p>
    <w:p w14:paraId="28E18869" w14:textId="77777777" w:rsidR="005E1CD1" w:rsidRPr="00447BD6" w:rsidRDefault="005E1CD1" w:rsidP="005E1CD1">
      <w:pPr>
        <w:ind w:firstLine="720"/>
        <w:contextualSpacing/>
        <w:rPr>
          <w:b/>
          <w:sz w:val="36"/>
          <w:szCs w:val="28"/>
        </w:rPr>
      </w:pPr>
      <w:r w:rsidRPr="00447BD6">
        <w:t>Many studies have suggested that ATL plays a mediational role in the association between EF and academic achievement</w:t>
      </w:r>
      <w:r>
        <w:t xml:space="preserve"> </w:t>
      </w:r>
      <w:r w:rsidRPr="00A167B1">
        <w:t xml:space="preserve">(Nesbitt, </w:t>
      </w:r>
      <w:proofErr w:type="spellStart"/>
      <w:r w:rsidRPr="00A167B1">
        <w:t>Farran</w:t>
      </w:r>
      <w:proofErr w:type="spellEnd"/>
      <w:r w:rsidRPr="00A167B1">
        <w:t xml:space="preserve">, &amp; </w:t>
      </w:r>
      <w:proofErr w:type="spellStart"/>
      <w:r w:rsidRPr="00A167B1">
        <w:t>Fuhs</w:t>
      </w:r>
      <w:proofErr w:type="spellEnd"/>
      <w:r w:rsidRPr="00A167B1">
        <w:t xml:space="preserve">, 2015; Sasser, Bierman, &amp; Heinrichs, 2015; </w:t>
      </w:r>
      <w:proofErr w:type="spellStart"/>
      <w:r w:rsidRPr="00A167B1">
        <w:t>Vitiello</w:t>
      </w:r>
      <w:proofErr w:type="spellEnd"/>
      <w:r w:rsidRPr="00A167B1">
        <w:t xml:space="preserve"> et al., 2011)</w:t>
      </w:r>
      <w:r w:rsidRPr="00447BD6">
        <w:t>. EF skills, like attention, promote learning-related behaviors, which facilitate academic achievement</w:t>
      </w:r>
      <w:r>
        <w:t xml:space="preserve"> </w:t>
      </w:r>
      <w:r w:rsidRPr="00A167B1">
        <w:t>(</w:t>
      </w:r>
      <w:proofErr w:type="spellStart"/>
      <w:r w:rsidRPr="00A167B1">
        <w:t>Vitiello</w:t>
      </w:r>
      <w:proofErr w:type="spellEnd"/>
      <w:r w:rsidRPr="00A167B1">
        <w:t xml:space="preserve"> &amp; Greenfield, 2017)</w:t>
      </w:r>
      <w:r w:rsidRPr="00447BD6">
        <w:t>. EF allows children the ability to engage and attend, while ATL helps suppress frustration and maintain the goals of the task</w:t>
      </w:r>
      <w:r>
        <w:t xml:space="preserve"> </w:t>
      </w:r>
      <w:r w:rsidRPr="00A167B1">
        <w:t>(Neuenschwander et al., 2012)</w:t>
      </w:r>
      <w:r w:rsidRPr="00447BD6">
        <w:t>. EF allows the children to focus attention, while ATL represents the behavioral and social manifestations of these skills, such as listening and following directions</w:t>
      </w:r>
      <w:r>
        <w:t xml:space="preserve"> </w:t>
      </w:r>
      <w:r w:rsidRPr="00A167B1">
        <w:t>(McClelland et al., 2007)</w:t>
      </w:r>
      <w:r w:rsidRPr="00447BD6">
        <w:t>.</w:t>
      </w:r>
      <w:r>
        <w:t xml:space="preserve"> </w:t>
      </w:r>
      <w:r w:rsidRPr="00447BD6">
        <w:t xml:space="preserve">In the classroom, this looks like a child who is motivated, engaged, and persistent in the face of challenge. In turn, these behaviors allow </w:t>
      </w:r>
      <w:r w:rsidRPr="00447BD6">
        <w:lastRenderedPageBreak/>
        <w:t>children to participate in learning situations and interact and be exposed to classroom instruction, which, in turn, increases academic achievement</w:t>
      </w:r>
      <w:r>
        <w:t xml:space="preserve"> </w:t>
      </w:r>
      <w:r w:rsidRPr="00A167B1">
        <w:t>(Stipek et al., 2010)</w:t>
      </w:r>
      <w:r w:rsidRPr="00447BD6">
        <w:t>.</w:t>
      </w:r>
      <w:r>
        <w:t xml:space="preserve"> Said another way, ATL involves the integration of the individual executive functions skills into a contextually appropriate overt response </w:t>
      </w:r>
      <w:r w:rsidRPr="00F60A22">
        <w:t xml:space="preserve">(McClelland et al., 2007; </w:t>
      </w:r>
      <w:proofErr w:type="spellStart"/>
      <w:r w:rsidRPr="00F60A22">
        <w:t>Montroy</w:t>
      </w:r>
      <w:proofErr w:type="spellEnd"/>
      <w:r w:rsidRPr="00F60A22">
        <w:t xml:space="preserve"> et al., 2014)</w:t>
      </w:r>
      <w:r>
        <w:t>.</w:t>
      </w:r>
    </w:p>
    <w:p w14:paraId="6F3ADFDC" w14:textId="2013DA96" w:rsidR="005E1CD1" w:rsidRPr="008E3D20" w:rsidRDefault="005E1CD1" w:rsidP="008127BB">
      <w:pPr>
        <w:ind w:firstLine="720"/>
        <w:rPr>
          <w:b/>
        </w:rPr>
      </w:pPr>
      <w:bookmarkStart w:id="146" w:name="_Toc44255199"/>
      <w:bookmarkStart w:id="147" w:name="_Toc46265541"/>
      <w:r w:rsidRPr="00226569">
        <w:rPr>
          <w:rStyle w:val="Heading3Char"/>
        </w:rPr>
        <w:t>Emotion regulation/effortful control.</w:t>
      </w:r>
      <w:bookmarkEnd w:id="146"/>
      <w:bookmarkEnd w:id="147"/>
      <w:r>
        <w:t xml:space="preserve"> Both effortful control (EC) and emotional regulation (ER) are associated with ATL. Effortful control, a temperamentally-based predisposition, refers to the ability to inhibit a dominant response and to activate a subdominant one </w:t>
      </w:r>
      <w:r w:rsidRPr="008D586B">
        <w:t>(Zhou, Chen, &amp; Main, 2012)</w:t>
      </w:r>
      <w:r>
        <w:t xml:space="preserve">. EC helps to regulate children’s approach and withdraw tendencies through response management </w:t>
      </w:r>
      <w:r w:rsidRPr="008D586B">
        <w:t xml:space="preserve">(Rothbart, Posner, &amp; </w:t>
      </w:r>
      <w:proofErr w:type="spellStart"/>
      <w:r w:rsidRPr="008D586B">
        <w:t>Kieras</w:t>
      </w:r>
      <w:proofErr w:type="spellEnd"/>
      <w:r w:rsidRPr="008D586B">
        <w:t>, 2006)</w:t>
      </w:r>
      <w:r>
        <w:t xml:space="preserve">. EC allows individuals to modulate their state of arousal and impulsive tendencies, and thus, a measurement of EC may include both impulsivity and emotionality </w:t>
      </w:r>
      <w:r w:rsidRPr="008D586B">
        <w:t>(Cerda et al., 2014)</w:t>
      </w:r>
      <w:r>
        <w:t xml:space="preserve">. The construct of EC is broader and applicable in more situations outside the classroom, and because it includes a temperament component, EC may be less malleable than ATL </w:t>
      </w:r>
      <w:r w:rsidRPr="008D586B">
        <w:t>(Jones et al., 2016)</w:t>
      </w:r>
      <w:r>
        <w:t xml:space="preserve">. EC research has focused on how children respond in situations of risk and reward, and thus, may be distinct from ATL in that children may need to approach learning tasks with intrinsic motivation or take risks without fear of reward or punishment </w:t>
      </w:r>
      <w:r w:rsidRPr="00251F36">
        <w:t>(Neuenschwander et al., 2012)</w:t>
      </w:r>
      <w:r>
        <w:t xml:space="preserve">. Measurement of EC and ATL are both through a teacher or parent report, although EC can also be measured via direct assessment. </w:t>
      </w:r>
    </w:p>
    <w:p w14:paraId="40AAF235" w14:textId="77777777" w:rsidR="005E1CD1" w:rsidRDefault="005E1CD1" w:rsidP="008127BB">
      <w:r>
        <w:t xml:space="preserve"> </w:t>
      </w:r>
      <w:r>
        <w:tab/>
        <w:t xml:space="preserve">Emotion regulation (ER) influences the skills that help children manage, modulate, inhibit, and enhance their emotional arousal in a way that supports adaptive social responses </w:t>
      </w:r>
      <w:r w:rsidRPr="008D586B">
        <w:t xml:space="preserve">(Williford, Whittaker, </w:t>
      </w:r>
      <w:proofErr w:type="spellStart"/>
      <w:r w:rsidRPr="008D586B">
        <w:t>Vitiello</w:t>
      </w:r>
      <w:proofErr w:type="spellEnd"/>
      <w:r w:rsidRPr="008D586B">
        <w:t>, &amp; Downer, 2013)</w:t>
      </w:r>
      <w:r>
        <w:t xml:space="preserve">. Emotion regulation may help children in the classroom to control their emotional response to disappointment when getting a wrong answer, waiting for a toy, or not blurting out an answer. ER is distinct from learning behavior; however, </w:t>
      </w:r>
      <w:r>
        <w:lastRenderedPageBreak/>
        <w:t xml:space="preserve">because the strategy the child selects to successfully manage emotions while playing with peers may not be the same strategy s/he selects to continue learning. In the playground, the child may be able to ignore his/her friend, find new friends, or play alone. In the classroom, the child must redirect frustration or disappointment when working with the teacher </w:t>
      </w:r>
      <w:proofErr w:type="gramStart"/>
      <w:r>
        <w:t>in order to</w:t>
      </w:r>
      <w:proofErr w:type="gramEnd"/>
      <w:r>
        <w:t xml:space="preserve"> maintain a positive relationship </w:t>
      </w:r>
      <w:r w:rsidRPr="008D586B">
        <w:t>(McClelland &amp; Morrison, 2003)</w:t>
      </w:r>
      <w:r>
        <w:t xml:space="preserve">. </w:t>
      </w:r>
    </w:p>
    <w:p w14:paraId="791ABBAF" w14:textId="1330B84E" w:rsidR="005E1CD1" w:rsidRDefault="005E1CD1" w:rsidP="002C7E23">
      <w:pPr>
        <w:ind w:firstLine="720"/>
      </w:pPr>
      <w:bookmarkStart w:id="148" w:name="_Toc44255200"/>
      <w:bookmarkStart w:id="149" w:name="_Toc46265542"/>
      <w:r w:rsidRPr="00226569">
        <w:rPr>
          <w:rStyle w:val="Heading3Char"/>
        </w:rPr>
        <w:t>Social development.</w:t>
      </w:r>
      <w:bookmarkEnd w:id="148"/>
      <w:bookmarkEnd w:id="149"/>
      <w:r>
        <w:t xml:space="preserve"> Preschool learning environments require distinct social and emotional skills </w:t>
      </w:r>
      <w:r w:rsidRPr="008D586B">
        <w:t>(</w:t>
      </w:r>
      <w:proofErr w:type="spellStart"/>
      <w:r w:rsidRPr="008D586B">
        <w:t>Bulotsky</w:t>
      </w:r>
      <w:proofErr w:type="spellEnd"/>
      <w:r w:rsidRPr="008D586B">
        <w:t>-Shearer et al., 2011)</w:t>
      </w:r>
      <w:r>
        <w:t xml:space="preserve">. Social skills typically include prosocial behaviors such as sharing, helping others, and expressing concerns for others </w:t>
      </w:r>
      <w:r w:rsidRPr="008D586B">
        <w:t>(Graziano &amp; Hart, 2016)</w:t>
      </w:r>
      <w:r>
        <w:t xml:space="preserve">. These skills help establish positive, cooperative relationships with peers </w:t>
      </w:r>
      <w:r w:rsidRPr="008D586B">
        <w:t>(</w:t>
      </w:r>
      <w:proofErr w:type="spellStart"/>
      <w:r w:rsidRPr="008D586B">
        <w:t>Razza</w:t>
      </w:r>
      <w:proofErr w:type="spellEnd"/>
      <w:r w:rsidRPr="008D586B">
        <w:t>, Martin, &amp; Brooks-Gunn, 2015)</w:t>
      </w:r>
      <w:r>
        <w:t xml:space="preserve">. Social development is centered on children’s ability to develop relationships with others; thus, it is distinct from ATL in its focus on successful participation in social as opposed to learning tasks </w:t>
      </w:r>
      <w:r w:rsidRPr="00646068">
        <w:t>(Cerda et al., 2014)</w:t>
      </w:r>
      <w:r>
        <w:t xml:space="preserve">. </w:t>
      </w:r>
    </w:p>
    <w:p w14:paraId="119F2003" w14:textId="77777777" w:rsidR="005E1CD1" w:rsidRDefault="005E1CD1" w:rsidP="002C7E23">
      <w:pPr>
        <w:ind w:firstLine="720"/>
        <w:rPr>
          <w:bCs/>
        </w:rPr>
      </w:pPr>
      <w:r w:rsidRPr="008E0AF1">
        <w:t>Bierman et al.</w:t>
      </w:r>
      <w:r>
        <w:t xml:space="preserve"> </w:t>
      </w:r>
      <w:r w:rsidRPr="008D586B">
        <w:t>(2009)</w:t>
      </w:r>
      <w:r w:rsidRPr="008E0AF1">
        <w:t xml:space="preserve"> shed light on the distinction between social development and </w:t>
      </w:r>
      <w:r>
        <w:t xml:space="preserve">ATL </w:t>
      </w:r>
      <w:r w:rsidRPr="008E0AF1">
        <w:t>. In their study, they found that children who had a combined profile of aggressive behavior (poor ATL) and prosocial deficits (social skills) showed higher levels of academic knowledge than did children who showed prosocial deficits alone; those with prosocial deficits were learning less because of their disengagement with peers and passivity in the classroom. Aggressive children, on the other hand, were more actively engaged with their teachers and peers, even if negatively so, which helped improve cognitive outcomes. Similarly,</w:t>
      </w:r>
      <w:r>
        <w:t xml:space="preserve"> </w:t>
      </w:r>
      <w:r w:rsidRPr="008E0AF1">
        <w:t xml:space="preserve">a study by Arnold et al. (2012) explored the mediational relationship of both social skills and </w:t>
      </w:r>
      <w:r>
        <w:t>ATL</w:t>
      </w:r>
      <w:r w:rsidRPr="008E0AF1">
        <w:t xml:space="preserve">, finding </w:t>
      </w:r>
      <w:r w:rsidRPr="008E0AF1">
        <w:rPr>
          <w:bCs/>
        </w:rPr>
        <w:t xml:space="preserve">prosocial behavior demonstrated </w:t>
      </w:r>
      <w:r>
        <w:rPr>
          <w:bCs/>
        </w:rPr>
        <w:t xml:space="preserve">a </w:t>
      </w:r>
      <w:r w:rsidRPr="008E0AF1">
        <w:rPr>
          <w:bCs/>
        </w:rPr>
        <w:t>small negative relationship with math grow</w:t>
      </w:r>
      <w:r>
        <w:rPr>
          <w:bCs/>
        </w:rPr>
        <w:t>th</w:t>
      </w:r>
      <w:r w:rsidRPr="008E0AF1">
        <w:rPr>
          <w:bCs/>
        </w:rPr>
        <w:t xml:space="preserve"> when ATL was also included in the model. </w:t>
      </w:r>
      <w:r>
        <w:rPr>
          <w:bCs/>
        </w:rPr>
        <w:t>Th</w:t>
      </w:r>
      <w:r w:rsidRPr="008E0AF1">
        <w:rPr>
          <w:bCs/>
        </w:rPr>
        <w:t xml:space="preserve">ese results suggest that </w:t>
      </w:r>
      <w:r>
        <w:rPr>
          <w:bCs/>
        </w:rPr>
        <w:t xml:space="preserve">ATL </w:t>
      </w:r>
      <w:r w:rsidRPr="008E0AF1">
        <w:rPr>
          <w:bCs/>
        </w:rPr>
        <w:t xml:space="preserve">and social skills share a significant amount of common variance. </w:t>
      </w:r>
      <w:r>
        <w:rPr>
          <w:bCs/>
        </w:rPr>
        <w:t xml:space="preserve">This is an important distinction, as most previous studies do not simultaneously include </w:t>
      </w:r>
      <w:r>
        <w:rPr>
          <w:bCs/>
        </w:rPr>
        <w:lastRenderedPageBreak/>
        <w:t xml:space="preserve">ATL and measures of social competence. </w:t>
      </w:r>
      <w:r w:rsidRPr="008E0AF1">
        <w:rPr>
          <w:bCs/>
        </w:rPr>
        <w:t xml:space="preserve">As a result, these studies may have misrepresented the magnitude and perhaps the direction of the relationship between interpersonal skills and achievement. </w:t>
      </w:r>
    </w:p>
    <w:p w14:paraId="209BDB3F" w14:textId="002C5247" w:rsidR="005E1CD1" w:rsidRDefault="005E1CD1" w:rsidP="008127BB">
      <w:pPr>
        <w:ind w:firstLine="720"/>
      </w:pPr>
      <w:bookmarkStart w:id="150" w:name="_Toc44255201"/>
      <w:bookmarkStart w:id="151" w:name="_Toc46265543"/>
      <w:r w:rsidRPr="00226569">
        <w:rPr>
          <w:rStyle w:val="Heading3Char"/>
        </w:rPr>
        <w:t>Behavioral self-regulation.</w:t>
      </w:r>
      <w:bookmarkEnd w:id="150"/>
      <w:bookmarkEnd w:id="151"/>
      <w:r>
        <w:rPr>
          <w:bCs/>
        </w:rPr>
        <w:t xml:space="preserve"> </w:t>
      </w:r>
      <w:r w:rsidRPr="00B01BC1">
        <w:t xml:space="preserve">Another term similar to </w:t>
      </w:r>
      <w:r>
        <w:t xml:space="preserve">ATL </w:t>
      </w:r>
      <w:r w:rsidRPr="00B01BC1">
        <w:t xml:space="preserve">is engagement </w:t>
      </w:r>
      <w:r w:rsidRPr="00B01BC1">
        <w:fldChar w:fldCharType="begin"/>
      </w:r>
      <w:r w:rsidRPr="00B01BC1">
        <w:instrText xml:space="preserve"> ADDIN EN.CITE &lt;EndNote&gt;&lt;Cite&gt;&lt;Author&gt;Williford&lt;/Author&gt;&lt;Year&gt;2013&lt;/Year&gt;&lt;RecNum&gt;615&lt;/RecNum&gt;&lt;DisplayText&gt;(Williford et al., 2013)&lt;/DisplayText&gt;&lt;record&gt;&lt;rec-number&gt;615&lt;/rec-number&gt;&lt;foreign-keys&gt;&lt;key app="EN" db-id="x02fs92aufvf0ge0tr3xats6tzarx5zxr5pp" timestamp="1510198140"&gt;615&lt;/key&gt;&lt;/foreign-keys&gt;&lt;ref-type name="Journal Article"&gt;17&lt;/ref-type&gt;&lt;contributors&gt;&lt;authors&gt;&lt;author&gt;Williford, Amanda P&lt;/author&gt;&lt;author&gt;Vick Whittaker, Jessica E&lt;/author&gt;&lt;author&gt;Vitiello, Virginia E&lt;/author&gt;&lt;author&gt;Downer, Jason T&lt;/author&gt;&lt;/authors&gt;&lt;/contributors&gt;&lt;titles&gt;&lt;title&gt;Children&amp;apos;s engagement within the preschool classroom and their development of self-regulation&lt;/title&gt;&lt;secondary-title&gt;Early Education &amp;amp; Development&lt;/secondary-title&gt;&lt;/titles&gt;&lt;periodical&gt;&lt;full-title&gt;Early Education &amp;amp; Development&lt;/full-title&gt;&lt;/periodical&gt;&lt;pages&gt;162-187&lt;/pages&gt;&lt;volume&gt;24&lt;/volume&gt;&lt;number&gt;2&lt;/number&gt;&lt;dates&gt;&lt;year&gt;2013&lt;/year&gt;&lt;/dates&gt;&lt;isbn&gt;1040-9289&lt;/isbn&gt;&lt;urls&gt;&lt;/urls&gt;&lt;/record&gt;&lt;/Cite&gt;&lt;/EndNote&gt;</w:instrText>
      </w:r>
      <w:r w:rsidRPr="00B01BC1">
        <w:fldChar w:fldCharType="separate"/>
      </w:r>
      <w:r w:rsidRPr="00B01BC1">
        <w:rPr>
          <w:noProof/>
        </w:rPr>
        <w:t>(Williford et al., 2013)</w:t>
      </w:r>
      <w:r w:rsidRPr="00B01BC1">
        <w:fldChar w:fldCharType="end"/>
      </w:r>
      <w:r w:rsidRPr="00B01BC1">
        <w:t xml:space="preserve">. For example, </w:t>
      </w:r>
      <w:r w:rsidRPr="00B01BC1">
        <w:fldChar w:fldCharType="begin"/>
      </w:r>
      <w:r w:rsidRPr="00B01BC1">
        <w:instrText xml:space="preserve"> ADDIN EN.CITE &lt;EndNote&gt;&lt;Cite AuthorYear="1"&gt;&lt;Author&gt;Robinson&lt;/Author&gt;&lt;Year&gt;2013&lt;/Year&gt;&lt;RecNum&gt;597&lt;/RecNum&gt;&lt;Pages&gt;23&lt;/Pages&gt;&lt;DisplayText&gt;Robinson (2013, p. 23)&lt;/DisplayText&gt;&lt;record&gt;&lt;rec-number&gt;597&lt;/rec-number&gt;&lt;foreign-keys&gt;&lt;key app="EN" db-id="x02fs92aufvf0ge0tr3xats6tzarx5zxr5pp" timestamp="1510196151"&gt;597&lt;/key&gt;&lt;/foreign-keys&gt;&lt;ref-type name="Journal Article"&gt;17&lt;/ref-type&gt;&lt;contributors&gt;&lt;authors&gt;&lt;author&gt;Robinson, Keith&lt;/author&gt;&lt;/authors&gt;&lt;/contributors&gt;&lt;titles&gt;&lt;title&gt;Early disparities in mathematics gains among poor and non-poor children: Examining the role of behavioral engagement in learning&lt;/title&gt;&lt;secondary-title&gt;The Elementary School Journal&lt;/secondary-title&gt;&lt;/titles&gt;&lt;periodical&gt;&lt;full-title&gt;The Elementary School Journal&lt;/full-title&gt;&lt;/periodical&gt;&lt;pages&gt;22-47&lt;/pages&gt;&lt;volume&gt;114&lt;/volume&gt;&lt;number&gt;1&lt;/number&gt;&lt;dates&gt;&lt;year&gt;2013&lt;/year&gt;&lt;/dates&gt;&lt;isbn&gt;0013-5984&lt;/isbn&gt;&lt;urls&gt;&lt;/urls&gt;&lt;/record&gt;&lt;/Cite&gt;&lt;/EndNote&gt;</w:instrText>
      </w:r>
      <w:r w:rsidRPr="00B01BC1">
        <w:fldChar w:fldCharType="separate"/>
      </w:r>
      <w:r w:rsidRPr="00B01BC1">
        <w:rPr>
          <w:noProof/>
        </w:rPr>
        <w:t xml:space="preserve">Robinson </w:t>
      </w:r>
      <w:r w:rsidRPr="00B01BC1">
        <w:fldChar w:fldCharType="end"/>
      </w:r>
      <w:r w:rsidRPr="00B01BC1">
        <w:t>defined behavioral engagement as a “range of personal actions that exemplify students’ approaches to classroom learning including selecting challenging tasks and exerting intense effort and concentration in the implementation of learning tasks in the classroom”</w:t>
      </w:r>
      <w:r w:rsidRPr="00B01BC1">
        <w:rPr>
          <w:noProof/>
        </w:rPr>
        <w:t xml:space="preserve"> </w:t>
      </w:r>
      <w:r w:rsidRPr="00FF3CE5">
        <w:t>(2013, p. 23)</w:t>
      </w:r>
      <w:r w:rsidRPr="00B01BC1">
        <w:rPr>
          <w:noProof/>
        </w:rPr>
        <w:t>.</w:t>
      </w:r>
      <w:r w:rsidRPr="00B01BC1">
        <w:t xml:space="preserve"> Pagani, Fitzpat</w:t>
      </w:r>
      <w:r>
        <w:t>r</w:t>
      </w:r>
      <w:r w:rsidRPr="00B01BC1">
        <w:t xml:space="preserve">ick, and Parent’s definition of ATL, </w:t>
      </w:r>
      <w:r w:rsidRPr="00B01BC1">
        <w:rPr>
          <w:i/>
        </w:rPr>
        <w:t xml:space="preserve">classroom engagement, </w:t>
      </w:r>
      <w:r w:rsidRPr="00B01BC1">
        <w:t xml:space="preserve">includes “attentional and emotional regulation, cognitive flexibility, and organization” </w:t>
      </w:r>
      <w:r w:rsidRPr="00FF3CE5">
        <w:t>(2012, p. 717)</w:t>
      </w:r>
      <w:r w:rsidRPr="00B01BC1">
        <w:t xml:space="preserve">. While cognitive engagement refers more specifically to executive function, behavioral engagement involves sustained participation in learning activities, persistence with schoolwork, and action/effort towards academic endeavors. </w:t>
      </w:r>
      <w:r w:rsidRPr="00B01BC1">
        <w:fldChar w:fldCharType="begin"/>
      </w:r>
      <w:r w:rsidRPr="00B01BC1">
        <w:instrText xml:space="preserve"> ADDIN EN.CITE &lt;EndNote&gt;&lt;Cite AuthorYear="1"&gt;&lt;Author&gt;Daniels&lt;/Author&gt;&lt;Year&gt;2014&lt;/Year&gt;&lt;RecNum&gt;369&lt;/RecNum&gt;&lt;DisplayText&gt;Daniels (2014)&lt;/DisplayText&gt;&lt;record&gt;&lt;rec-number&gt;369&lt;/rec-number&gt;&lt;foreign-keys&gt;&lt;key app="EN" db-id="x02fs92aufvf0ge0tr3xats6tzarx5zxr5pp" timestamp="1488057482"&gt;369&lt;/key&gt;&lt;/foreign-keys&gt;&lt;ref-type name="Journal Article"&gt;17&lt;/ref-type&gt;&lt;contributors&gt;&lt;authors&gt;&lt;author&gt;Daniels, Denise H.&lt;/author&gt;&lt;/authors&gt;&lt;/contributors&gt;&lt;titles&gt;&lt;title&gt;Children&amp;apos;s Affective Orientations in Preschool and Their Initial Adjustment to Kindergarten&lt;/title&gt;&lt;secondary-title&gt;Psychology in the Schools&lt;/secondary-title&gt;&lt;/titles&gt;&lt;periodical&gt;&lt;full-title&gt;Psychology in the Schools&lt;/full-title&gt;&lt;/periodical&gt;&lt;pages&gt;256-272&lt;/pages&gt;&lt;volume&gt;51&lt;/volume&gt;&lt;number&gt;3&lt;/number&gt;&lt;keywords&gt;&lt;keyword&gt;Preschool Children&lt;/keyword&gt;&lt;keyword&gt;Kindergarten&lt;/keyword&gt;&lt;keyword&gt;Student Adjustment&lt;/keyword&gt;&lt;keyword&gt;Student Attitudes&lt;/keyword&gt;&lt;keyword&gt;School Attitudes&lt;/keyword&gt;&lt;keyword&gt;Affective Behavior&lt;/keyword&gt;&lt;keyword&gt;Attitude Measures&lt;/keyword&gt;&lt;keyword&gt;Teacher Attitudes&lt;/keyword&gt;&lt;keyword&gt;Parent Attitudes&lt;/keyword&gt;&lt;keyword&gt;Learning Strategies&lt;/keyword&gt;&lt;keyword&gt;Transitional Programs&lt;/keyword&gt;&lt;keyword&gt;Teaching Methods&lt;/keyword&gt;&lt;keyword&gt;Classroom Techniques&lt;/keyword&gt;&lt;/keywords&gt;&lt;dates&gt;&lt;year&gt;2014&lt;/year&gt;&lt;pub-dates&gt;&lt;date&gt;03/01/&lt;/date&gt;&lt;/pub-dates&gt;&lt;/dates&gt;&lt;publisher&gt;Psychology in the Schools&lt;/publisher&gt;&lt;isbn&gt;0033-3085&lt;/isbn&gt;&lt;accession-num&gt;EJ1028373&lt;/accession-num&gt;&lt;urls&gt;&lt;related-urls&gt;&lt;url&gt;http://libraries.ou.edu/access.aspx?url=http://search.ebscohost.com/login.aspx?direct=true&amp;amp;db=eric&amp;amp;AN=EJ1028373&amp;amp;site=ehost-live&lt;/url&gt;&lt;url&gt;http://dx.doi.org/10.1002/pits.21748&lt;/url&gt;&lt;/related-urls&gt;&lt;/urls&gt;&lt;remote-database-name&gt;eric&lt;/remote-database-name&gt;&lt;remote-database-provider&gt;EBSCOhost&lt;/remote-database-provider&gt;&lt;/record&gt;&lt;/Cite&gt;&lt;/EndNote&gt;</w:instrText>
      </w:r>
      <w:r w:rsidRPr="00B01BC1">
        <w:fldChar w:fldCharType="separate"/>
      </w:r>
      <w:r w:rsidRPr="00B01BC1">
        <w:rPr>
          <w:noProof/>
        </w:rPr>
        <w:t>Daniels (2014)</w:t>
      </w:r>
      <w:r w:rsidRPr="00B01BC1">
        <w:fldChar w:fldCharType="end"/>
      </w:r>
      <w:r w:rsidRPr="00B01BC1">
        <w:t xml:space="preserve"> defined engagement as comprised of affective orientations, task focus, persistence in the face of challenge, and interpersonal responsiveness. Finally, </w:t>
      </w:r>
      <w:proofErr w:type="spellStart"/>
      <w:r w:rsidRPr="00B01BC1">
        <w:t>Vitiello</w:t>
      </w:r>
      <w:proofErr w:type="spellEnd"/>
      <w:r w:rsidRPr="00B01BC1">
        <w:t xml:space="preserve"> et al. </w:t>
      </w:r>
      <w:r w:rsidRPr="00B01BC1">
        <w:fldChar w:fldCharType="begin">
          <w:fldData xml:space="preserve">PEVuZE5vdGU+PENpdGUgQXV0aG9yWWVhcj0iMSI+PEF1dGhvcj5WaXRpZWxsbzwvQXV0aG9yPjxZ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</w:fldData>
        </w:fldChar>
      </w:r>
      <w:r w:rsidRPr="00B01BC1">
        <w:instrText xml:space="preserve"> ADDIN EN.CITE </w:instrText>
      </w:r>
      <w:r w:rsidRPr="00B01BC1">
        <w:fldChar w:fldCharType="begin">
          <w:fldData xml:space="preserve">PEVuZE5vdGU+PENpdGUgQXV0aG9yWWVhcj0iMSI+PEF1dGhvcj5WaXRpZWxsbzwvQXV0aG9yPjxZ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</w:fldData>
        </w:fldChar>
      </w:r>
      <w:r w:rsidRPr="00B01BC1">
        <w:instrText xml:space="preserve"> ADDIN EN.CITE.DATA </w:instrText>
      </w:r>
      <w:r w:rsidRPr="00B01BC1">
        <w:fldChar w:fldCharType="end"/>
      </w:r>
      <w:r w:rsidRPr="00B01BC1">
        <w:fldChar w:fldCharType="separate"/>
      </w:r>
      <w:r w:rsidRPr="00B01BC1">
        <w:t>(2011)</w:t>
      </w:r>
      <w:r w:rsidRPr="00B01BC1">
        <w:fldChar w:fldCharType="end"/>
      </w:r>
      <w:r w:rsidRPr="00B01BC1">
        <w:t xml:space="preserve"> defined engagement as a personal initiative, independence, persistence, and self-directed learning. It may be that engagement is a term more commonly used with older children, as it does not always include the social component so prevalent in other definitions of </w:t>
      </w:r>
      <w:r>
        <w:t xml:space="preserve">ATL </w:t>
      </w:r>
      <w:r w:rsidRPr="00FF3CE5">
        <w:t>(Robinson, 2013)</w:t>
      </w:r>
      <w:r w:rsidRPr="00B01BC1">
        <w:t>.</w:t>
      </w:r>
    </w:p>
    <w:p w14:paraId="1636D6A8" w14:textId="526E9280" w:rsidR="005E1CD1" w:rsidRDefault="005E1CD1" w:rsidP="008127BB">
      <w:r w:rsidRPr="00B01BC1">
        <w:t xml:space="preserve"> </w:t>
      </w:r>
      <w:r w:rsidR="002C7E23">
        <w:tab/>
      </w:r>
      <w:r>
        <w:t xml:space="preserve">ATL </w:t>
      </w:r>
      <w:r w:rsidRPr="00B01BC1">
        <w:t xml:space="preserve">is also similar to behavioral self-regulation (BSR), which is a term for </w:t>
      </w:r>
      <w:proofErr w:type="gramStart"/>
      <w:r w:rsidRPr="00B01BC1">
        <w:t>cognitively-based</w:t>
      </w:r>
      <w:proofErr w:type="gramEnd"/>
      <w:r w:rsidRPr="00B01BC1">
        <w:t xml:space="preserve"> functioning under the self-regulation construct (McClelland et al.,</w:t>
      </w:r>
      <w:r w:rsidRPr="00E227C2">
        <w:t xml:space="preserve"> 2007)</w:t>
      </w:r>
      <w:r>
        <w:t xml:space="preserve">. </w:t>
      </w:r>
      <w:r w:rsidRPr="00B01BC1">
        <w:t>In studies, BSR is seen as the behavioral manifestation of executive function</w:t>
      </w:r>
      <w:r>
        <w:t xml:space="preserve"> </w:t>
      </w:r>
      <w:r w:rsidRPr="00FF3CE5">
        <w:t xml:space="preserve">(Morrison, </w:t>
      </w:r>
      <w:proofErr w:type="spellStart"/>
      <w:r w:rsidRPr="00FF3CE5">
        <w:t>Ponitz</w:t>
      </w:r>
      <w:proofErr w:type="spellEnd"/>
      <w:r w:rsidRPr="00FF3CE5">
        <w:t>, &amp; McClelland, 2010)</w:t>
      </w:r>
      <w:r w:rsidRPr="00B01BC1">
        <w:t>. Behavioral self-regulation does not capture the emotional aspects of self-regulation deemed relevant for learning</w:t>
      </w:r>
      <w:r>
        <w:t xml:space="preserve"> </w:t>
      </w:r>
      <w:r w:rsidRPr="00FF3CE5">
        <w:t>(</w:t>
      </w:r>
      <w:proofErr w:type="spellStart"/>
      <w:r w:rsidRPr="00FF3CE5">
        <w:t>Ponitz</w:t>
      </w:r>
      <w:proofErr w:type="spellEnd"/>
      <w:r w:rsidRPr="00FF3CE5">
        <w:t>, McClelland, Matthews, &amp; Morrison, 2009)</w:t>
      </w:r>
      <w:r w:rsidRPr="00B01BC1">
        <w:t>.</w:t>
      </w:r>
      <w:r>
        <w:t xml:space="preserve"> </w:t>
      </w:r>
      <w:proofErr w:type="gramStart"/>
      <w:r w:rsidRPr="00B01BC1">
        <w:t>Similar to</w:t>
      </w:r>
      <w:proofErr w:type="gramEnd"/>
      <w:r w:rsidRPr="00B01BC1">
        <w:t xml:space="preserve"> ATL, BSR is focused on classroom-based behavior but includes more gross motor actions as </w:t>
      </w:r>
      <w:r w:rsidRPr="00B01BC1">
        <w:lastRenderedPageBreak/>
        <w:t>opposed to dispositions. ATL is a broader construct than BSR, as it includes planning and self-control as well as social competencies related to responsibility and cooperation</w:t>
      </w:r>
      <w:r>
        <w:t xml:space="preserve"> </w:t>
      </w:r>
      <w:r w:rsidRPr="00FF3CE5">
        <w:t>(McClelland et al., 2007)</w:t>
      </w:r>
      <w:r w:rsidRPr="00B01BC1">
        <w:t xml:space="preserve">. BSR is typically measured via behavioral ratings from parents, teachers, and peers, as well as direct observational measures. </w:t>
      </w:r>
    </w:p>
    <w:p w14:paraId="50D5AB8B" w14:textId="77777777" w:rsidR="005E1CD1" w:rsidRDefault="005E1CD1" w:rsidP="002C7E23">
      <w:pPr>
        <w:ind w:firstLine="720"/>
      </w:pPr>
      <w:r w:rsidRPr="00C37C2E">
        <w:t>In order to understand the multidimensionality of ATL, it is critical to examine how the field has typically defined and measured it and how it is distinct from other forms of self-regulation like executive function, emotion regulation, or behavioral self-regulation</w:t>
      </w:r>
      <w:r>
        <w:t xml:space="preserve"> </w:t>
      </w:r>
      <w:r w:rsidRPr="00FF3CE5">
        <w:t>(Halliday et al., 2018)</w:t>
      </w:r>
      <w:r w:rsidRPr="00C37C2E">
        <w:t xml:space="preserve">. </w:t>
      </w:r>
      <w:r w:rsidRPr="00B01BC1">
        <w:t>While it shares components of social, emotional, and cognitive development, it is distinct from each of these components because it is focused on the children’s use of skills in a classroom setting. These studies also suggest that the context in which children develop these skills is important—</w:t>
      </w:r>
      <w:r>
        <w:t>ATL</w:t>
      </w:r>
      <w:r w:rsidRPr="00B01BC1">
        <w:t xml:space="preserve"> in a </w:t>
      </w:r>
      <w:r>
        <w:t xml:space="preserve">pre-k </w:t>
      </w:r>
      <w:r w:rsidRPr="00B01BC1">
        <w:t xml:space="preserve">classroom looks different than </w:t>
      </w:r>
      <w:r>
        <w:t xml:space="preserve">ATL </w:t>
      </w:r>
      <w:r w:rsidRPr="00B01BC1">
        <w:t xml:space="preserve">in an upper elementary classroom. These different contexts require the child to rely on different components of ATL. Given its multidimensional nature and </w:t>
      </w:r>
      <w:r>
        <w:t>how</w:t>
      </w:r>
      <w:r w:rsidRPr="00B01BC1">
        <w:t xml:space="preserve"> </w:t>
      </w:r>
      <w:r>
        <w:t xml:space="preserve">ATL </w:t>
      </w:r>
      <w:r w:rsidRPr="00B01BC1">
        <w:t xml:space="preserve">has been defined in various fields, it can be difficult to measure </w:t>
      </w:r>
      <w:r>
        <w:t>ATL</w:t>
      </w:r>
      <w:r w:rsidRPr="00B01BC1">
        <w:t xml:space="preserve"> accurately. Indeed, many studies have relied on a variety of methods to measure the construct. </w:t>
      </w:r>
    </w:p>
    <w:p w14:paraId="3022DC66" w14:textId="77777777" w:rsidR="005E1CD1" w:rsidRDefault="005E1CD1" w:rsidP="002C7E23">
      <w:pPr>
        <w:ind w:firstLine="720"/>
      </w:pPr>
      <w:r>
        <w:t xml:space="preserve">One of the limitations of current methodologies is the failure to measure the multi-dimensionality of the construct. Very few studies have examined more than one dimension of ATL, leaving unanswered questions about the degree to social, </w:t>
      </w:r>
      <w:proofErr w:type="gramStart"/>
      <w:r>
        <w:t>emotional</w:t>
      </w:r>
      <w:proofErr w:type="gramEnd"/>
      <w:r>
        <w:t xml:space="preserve"> and cognitive aspects of ATL are interrelated and how they are distinct </w:t>
      </w:r>
      <w:r w:rsidRPr="00FF3CE5">
        <w:t xml:space="preserve">(Bierman et al., 2009; </w:t>
      </w:r>
      <w:proofErr w:type="spellStart"/>
      <w:r w:rsidRPr="00FF3CE5">
        <w:t>Ursache</w:t>
      </w:r>
      <w:proofErr w:type="spellEnd"/>
      <w:r w:rsidRPr="00FF3CE5">
        <w:t xml:space="preserve"> et al., 2012)</w:t>
      </w:r>
      <w:r>
        <w:t xml:space="preserve">. Both ATL and social and emotional adjustment, particularly as children transition into kindergarten represent rich, multidimensional aspects of children’s behavioral conduct, yet the shared and independent contributions of dimensions of ATL have not been examined </w:t>
      </w:r>
      <w:r w:rsidRPr="00FF3CE5">
        <w:t xml:space="preserve">(Baptista, </w:t>
      </w:r>
      <w:proofErr w:type="spellStart"/>
      <w:r w:rsidRPr="00FF3CE5">
        <w:t>Osório</w:t>
      </w:r>
      <w:proofErr w:type="spellEnd"/>
      <w:r w:rsidRPr="00FF3CE5">
        <w:t xml:space="preserve">, Martins, </w:t>
      </w:r>
      <w:proofErr w:type="spellStart"/>
      <w:r w:rsidRPr="00FF3CE5">
        <w:t>Verissimo</w:t>
      </w:r>
      <w:proofErr w:type="spellEnd"/>
      <w:r w:rsidRPr="00FF3CE5">
        <w:t>, &amp; Martins, 2016; Cerda et al., 2014)</w:t>
      </w:r>
      <w:r>
        <w:t xml:space="preserve">. </w:t>
      </w:r>
    </w:p>
    <w:p w14:paraId="446DF3EB" w14:textId="7B4A393D" w:rsidR="005E1CD1" w:rsidRDefault="005E1CD1" w:rsidP="00CC6470">
      <w:pPr>
        <w:pStyle w:val="Heading2"/>
      </w:pPr>
      <w:bookmarkStart w:id="152" w:name="_Toc44255202"/>
      <w:bookmarkStart w:id="153" w:name="_Toc46265544"/>
      <w:r w:rsidRPr="00EC5E46">
        <w:lastRenderedPageBreak/>
        <w:t>Measurement of ATL</w:t>
      </w:r>
      <w:bookmarkEnd w:id="152"/>
      <w:bookmarkEnd w:id="153"/>
    </w:p>
    <w:p w14:paraId="4933676C" w14:textId="264D2902" w:rsidR="005E1CD1" w:rsidRDefault="005E1CD1" w:rsidP="008127BB">
      <w:pPr>
        <w:ind w:firstLine="720"/>
      </w:pPr>
      <w:bookmarkStart w:id="154" w:name="_Toc44255203"/>
      <w:bookmarkStart w:id="155" w:name="_Toc46265545"/>
      <w:r w:rsidRPr="00226569">
        <w:rPr>
          <w:rStyle w:val="Heading3Char"/>
        </w:rPr>
        <w:t>Teacher report.</w:t>
      </w:r>
      <w:bookmarkEnd w:id="154"/>
      <w:bookmarkEnd w:id="155"/>
      <w:r>
        <w:rPr>
          <w:bCs/>
        </w:rPr>
        <w:t xml:space="preserve"> </w:t>
      </w:r>
      <w:r>
        <w:t xml:space="preserve">ATL has been measured through teacher/parent report and, to a lesser extent, classroom observation. An issue with the teacher/parent report is that the questions included vary from study to study. </w:t>
      </w:r>
      <w:r w:rsidRPr="00D8346B">
        <w:t>Many studies utilizing secondary data</w:t>
      </w:r>
      <w:r>
        <w:t xml:space="preserve"> </w:t>
      </w:r>
      <w:r w:rsidRPr="00D8346B">
        <w:t>(</w:t>
      </w:r>
      <w:r>
        <w:t xml:space="preserve">i.e., </w:t>
      </w:r>
      <w:r w:rsidRPr="00D8346B">
        <w:t>Early Childhood Longitudinal Study—Birth cohort and Families and Child Experiences Survey</w:t>
      </w:r>
      <w:r>
        <w:t xml:space="preserve">) </w:t>
      </w:r>
      <w:r w:rsidRPr="00D8346B">
        <w:t>have created constructs specifically for their study</w:t>
      </w:r>
      <w:r>
        <w:t xml:space="preserve"> </w:t>
      </w:r>
      <w:r w:rsidRPr="009E2EBB">
        <w:t>(Johnson, Finch, &amp; Phillips, 2019; Li-</w:t>
      </w:r>
      <w:proofErr w:type="spellStart"/>
      <w:r w:rsidRPr="009E2EBB">
        <w:t>Grining</w:t>
      </w:r>
      <w:proofErr w:type="spellEnd"/>
      <w:r w:rsidRPr="009E2EBB">
        <w:t xml:space="preserve"> et al., 2010; </w:t>
      </w:r>
      <w:proofErr w:type="spellStart"/>
      <w:r w:rsidRPr="009E2EBB">
        <w:t>Razza</w:t>
      </w:r>
      <w:proofErr w:type="spellEnd"/>
      <w:r w:rsidRPr="009E2EBB">
        <w:t xml:space="preserve"> et al., 2015; Sung &amp; </w:t>
      </w:r>
      <w:proofErr w:type="spellStart"/>
      <w:r w:rsidRPr="009E2EBB">
        <w:t>Wickrama</w:t>
      </w:r>
      <w:proofErr w:type="spellEnd"/>
      <w:r w:rsidRPr="009E2EBB">
        <w:t xml:space="preserve">, 2018; </w:t>
      </w:r>
      <w:proofErr w:type="spellStart"/>
      <w:r w:rsidRPr="009E2EBB">
        <w:t>Youn</w:t>
      </w:r>
      <w:proofErr w:type="spellEnd"/>
      <w:r w:rsidRPr="009E2EBB">
        <w:t>, 2016)</w:t>
      </w:r>
      <w:r>
        <w:t xml:space="preserve">. </w:t>
      </w:r>
      <w:r w:rsidRPr="00D8346B">
        <w:t>Studies focused on positive child behaviors utilized the Devereux Early Childhood Assessment</w:t>
      </w:r>
      <w:r>
        <w:t xml:space="preserve"> </w:t>
      </w:r>
      <w:r w:rsidRPr="009E2EBB">
        <w:t>(</w:t>
      </w:r>
      <w:proofErr w:type="spellStart"/>
      <w:r w:rsidRPr="009E2EBB">
        <w:t>Barbu</w:t>
      </w:r>
      <w:proofErr w:type="spellEnd"/>
      <w:r w:rsidRPr="009E2EBB">
        <w:t xml:space="preserve"> et al., 2015; Tan &amp; Dobbs-Oates, 2013)</w:t>
      </w:r>
      <w:r w:rsidRPr="00D8346B">
        <w:t>, while other studies employed negative child behavior scales, which were then reverse-scored</w:t>
      </w:r>
      <w:r>
        <w:t xml:space="preserve"> </w:t>
      </w:r>
      <w:r w:rsidRPr="009E2EBB">
        <w:t>(Daniels, 2014; Dobbs-Oates &amp; Robinson, 2012; Sasser et al., 2015)</w:t>
      </w:r>
      <w:r>
        <w:t xml:space="preserve">. Most studies have </w:t>
      </w:r>
      <w:r w:rsidRPr="00D8346B">
        <w:t>used the Learning Behavior Scale (LBS) or the Preschool Learning Behaviors Scale (PLBS), which will be described in more detail below.</w:t>
      </w:r>
      <w:r>
        <w:t xml:space="preserve"> </w:t>
      </w:r>
    </w:p>
    <w:p w14:paraId="54136709" w14:textId="77777777" w:rsidR="005E1CD1" w:rsidRDefault="005E1CD1" w:rsidP="009C0252">
      <w:pPr>
        <w:ind w:firstLine="720"/>
      </w:pPr>
      <w:r>
        <w:t xml:space="preserve">Although the studies have used different sets of questions, most studies use a combination of questions centered around the social, emotional, and cognitive aspects of ATL. For example, in Elliot’s (2019) study, teachers reported on children’s behavior by answering seven questions taken from the approach to learning scale from the Social Skills Rating Scale. Sample items included persistence in new tasks, paying attention in class, and adapting to routines. Similarly, Hooper et al. </w:t>
      </w:r>
      <w:r w:rsidRPr="009E2EBB">
        <w:t>(2010)</w:t>
      </w:r>
      <w:r>
        <w:t xml:space="preserve"> used teacher ratings to create a composite variable of six questions assessing ATL including eagerness to learn, ability to learn independently, persistence and attention. The longitudinal measure was adapted in third and fifth grade to include a question about following the rules. </w:t>
      </w:r>
    </w:p>
    <w:p w14:paraId="0764A515" w14:textId="77777777" w:rsidR="005E1CD1" w:rsidRDefault="005E1CD1" w:rsidP="002C7E23">
      <w:pPr>
        <w:ind w:firstLine="720"/>
      </w:pPr>
      <w:r>
        <w:t xml:space="preserve">Some researchers create their own scale to measure ATL. Neuenschwander et al. </w:t>
      </w:r>
      <w:r w:rsidRPr="009E2EBB">
        <w:t>(2012)</w:t>
      </w:r>
      <w:r>
        <w:t xml:space="preserve"> created a scale of ten items derived from previous scales or author’s theoretical hypotheses. </w:t>
      </w:r>
      <w:r>
        <w:lastRenderedPageBreak/>
        <w:t xml:space="preserve">Their scale included items measuring persistence, efficiency of homework and self-reliance. In Sasser et al.’s </w:t>
      </w:r>
      <w:r w:rsidRPr="00254D16">
        <w:t>(2015)</w:t>
      </w:r>
      <w:r>
        <w:t xml:space="preserve"> study, ATL was measured using two scales, classroom participation, and self-regulation/learning motivation. </w:t>
      </w:r>
      <w:r w:rsidRPr="00D8346B">
        <w:t>Dominguez</w:t>
      </w:r>
      <w:r>
        <w:t xml:space="preserve"> et al. </w:t>
      </w:r>
      <w:r w:rsidRPr="001E6936">
        <w:t>(2010)</w:t>
      </w:r>
      <w:r>
        <w:t xml:space="preserve"> </w:t>
      </w:r>
      <w:r w:rsidRPr="00D8346B">
        <w:t>utilized the Galileo System for Electronic Management of Learning</w:t>
      </w:r>
      <w:r>
        <w:t xml:space="preserve">, which is a computerized rating scale that teachers complete multiple times throughout the year. Galileo is a rating scale that assesses children’s development across a variety of measures. The ATL scale measures initiate and curiosity, learning about objects, engagement and persistence, and goal setting. In this measure, teachers marked a child as “learned/not learned” if they demonstrated the behavior at least three times. While there is a range in study questions and subtypes, </w:t>
      </w:r>
      <w:proofErr w:type="gramStart"/>
      <w:r>
        <w:t>the majority of</w:t>
      </w:r>
      <w:proofErr w:type="gramEnd"/>
      <w:r>
        <w:t xml:space="preserve"> the studies utilize some components of social, emotional, and cognitive domains. </w:t>
      </w:r>
    </w:p>
    <w:p w14:paraId="3B1DBDD1" w14:textId="77777777" w:rsidR="005E1CD1" w:rsidRDefault="005E1CD1" w:rsidP="002C7E23">
      <w:pPr>
        <w:ind w:firstLine="720"/>
      </w:pPr>
      <w:r w:rsidRPr="00D8346B">
        <w:t>The Preschool Learning Behaviors Scale (PLBS) and the Learning Behavior Scale (LBS), suited for K-3</w:t>
      </w:r>
      <w:r w:rsidRPr="00D8346B">
        <w:rPr>
          <w:vertAlign w:val="superscript"/>
        </w:rPr>
        <w:t>rd</w:t>
      </w:r>
      <w:r w:rsidRPr="00D8346B">
        <w:t xml:space="preserve"> grade children, are widely used across many studies and have demonstrated psychometric properties </w:t>
      </w:r>
      <w:r w:rsidRPr="001E6936">
        <w:t xml:space="preserve">(McWayne et al., 2012; Meng, 2015; </w:t>
      </w:r>
      <w:proofErr w:type="spellStart"/>
      <w:r w:rsidRPr="001E6936">
        <w:t>Razza</w:t>
      </w:r>
      <w:proofErr w:type="spellEnd"/>
      <w:r w:rsidRPr="001E6936">
        <w:t xml:space="preserve"> et al., 2015)</w:t>
      </w:r>
      <w:r>
        <w:t xml:space="preserve">. </w:t>
      </w:r>
      <w:r w:rsidRPr="00D8346B">
        <w:t>In this 27-item measure, teachers provide ratings from 1-3 with 1) rarely applies to 3) often applies. Most studies that use the PLBS/LBS create a composite measure of all the items as a single ATL score.</w:t>
      </w:r>
    </w:p>
    <w:p w14:paraId="7F07D4B0" w14:textId="77777777" w:rsidR="005E1CD1" w:rsidRPr="00222DBC" w:rsidRDefault="005E1CD1" w:rsidP="002C7E23">
      <w:pPr>
        <w:ind w:firstLine="720"/>
        <w:rPr>
          <w:b/>
        </w:rPr>
      </w:pPr>
      <w:r>
        <w:t xml:space="preserve">Another established measure of ATL is </w:t>
      </w:r>
      <w:r w:rsidRPr="00025D09">
        <w:t xml:space="preserve">the Learning-to-Learn Scale (LTLS) to measure </w:t>
      </w:r>
      <w:r>
        <w:t xml:space="preserve">ATL </w:t>
      </w:r>
      <w:r w:rsidRPr="001E6936">
        <w:t>(Bustamante &amp; Hindman, 2019; Bustamante, White, &amp; Greenfield, 2017; McDermott et al., 2018)</w:t>
      </w:r>
      <w:r w:rsidRPr="00025D09">
        <w:t>. LTLS is a 55-item</w:t>
      </w:r>
      <w:r>
        <w:t xml:space="preserve"> </w:t>
      </w:r>
      <w:r w:rsidRPr="00025D09">
        <w:t>teacher-report measure of children’s learning behaviors (McDermott et al., 2011).</w:t>
      </w:r>
      <w:bookmarkStart w:id="156" w:name="bbib0135"/>
      <w:r w:rsidRPr="00025D09">
        <w:t xml:space="preserve"> Teachers indicate whether a given behavior “does not apply,” “sometimes applies,” or “consistently applies” to each child. Items range from “</w:t>
      </w:r>
      <w:r>
        <w:t>t</w:t>
      </w:r>
      <w:r w:rsidRPr="00025D09">
        <w:t>akes turns when working in a small-group, without needing to be reminded,” to “</w:t>
      </w:r>
      <w:r>
        <w:t>c</w:t>
      </w:r>
      <w:r w:rsidRPr="00025D09">
        <w:t xml:space="preserve">hanges strategies when one solution to a problem doesn’t work.” The measure demonstrates external validity and concurrent validity when </w:t>
      </w:r>
      <w:r w:rsidRPr="00025D09">
        <w:lastRenderedPageBreak/>
        <w:t>compared with the cognitive subscale scores of the Learning Express, other norm-referenced tests, and teachers’ assessments of language and numeracy, in addition to high reliability</w:t>
      </w:r>
      <w:r>
        <w:t xml:space="preserve">, </w:t>
      </w:r>
      <w:r w:rsidRPr="00025D09">
        <w:rPr>
          <w:i/>
          <w:iCs/>
        </w:rPr>
        <w:t>α</w:t>
      </w:r>
      <w:r w:rsidRPr="00025D09">
        <w:t> = .97</w:t>
      </w:r>
      <w:r>
        <w:t xml:space="preserve"> </w:t>
      </w:r>
      <w:r w:rsidRPr="00025D09">
        <w:t>(McDermott et al., 2011)</w:t>
      </w:r>
      <w:r>
        <w:t>.</w:t>
      </w:r>
      <w:bookmarkEnd w:id="156"/>
    </w:p>
    <w:p w14:paraId="6A775501" w14:textId="3D79F115" w:rsidR="005E1CD1" w:rsidRDefault="005E1CD1" w:rsidP="005E1CD1">
      <w:pPr>
        <w:ind w:firstLine="720"/>
        <w:contextualSpacing/>
      </w:pPr>
      <w:bookmarkStart w:id="157" w:name="_Toc44255204"/>
      <w:bookmarkStart w:id="158" w:name="_Toc46265546"/>
      <w:r w:rsidRPr="00226569">
        <w:rPr>
          <w:rStyle w:val="Heading3Char"/>
        </w:rPr>
        <w:t>Observation-based studies.</w:t>
      </w:r>
      <w:bookmarkEnd w:id="157"/>
      <w:bookmarkEnd w:id="158"/>
      <w:r>
        <w:rPr>
          <w:b/>
          <w:bCs/>
        </w:rPr>
        <w:t xml:space="preserve"> </w:t>
      </w:r>
      <w:r w:rsidRPr="00D8346B">
        <w:t>A small number of studies to date have used observational-based measures. Chen and McNamee</w:t>
      </w:r>
      <w:r>
        <w:t xml:space="preserve"> </w:t>
      </w:r>
      <w:r w:rsidRPr="001E6936">
        <w:t>(2011)</w:t>
      </w:r>
      <w:r w:rsidRPr="00D8346B">
        <w:t xml:space="preserve"> used trained assessors to rate children’s positive approach to learning across activities, like reading, drawing, playing number games</w:t>
      </w:r>
      <w:r>
        <w:t>,</w:t>
      </w:r>
      <w:r w:rsidRPr="00D8346B">
        <w:t xml:space="preserve"> or puzzles. Their observation-based approach rated children based on their engagement, goal orientation, focus, and </w:t>
      </w:r>
      <w:proofErr w:type="spellStart"/>
      <w:r w:rsidRPr="00D8346B">
        <w:t>planfulness</w:t>
      </w:r>
      <w:proofErr w:type="spellEnd"/>
      <w:r w:rsidRPr="00D8346B">
        <w:t>. Halliday</w:t>
      </w:r>
      <w:r>
        <w:t xml:space="preserve"> et al. </w:t>
      </w:r>
      <w:r w:rsidRPr="00D8346B">
        <w:t>(2018) used the PLBS but also used a direct observation measure while children were completing a tangram task.</w:t>
      </w:r>
      <w:r>
        <w:t xml:space="preserve"> Children were presented with puzzles of increasing difficulty and instructed to ask for help when needed. Children’s behavior was then coded on a scale from 1 to 5 (5 being high) based on attention to instructions, on-task behavior, energy, persistence, and monitoring progress. Williford et al. </w:t>
      </w:r>
      <w:r w:rsidRPr="001E6936">
        <w:t>(2013)</w:t>
      </w:r>
      <w:r w:rsidRPr="00D8346B">
        <w:t xml:space="preserve"> and </w:t>
      </w:r>
      <w:proofErr w:type="spellStart"/>
      <w:r w:rsidRPr="00D8346B">
        <w:t>Vitiello</w:t>
      </w:r>
      <w:proofErr w:type="spellEnd"/>
      <w:r w:rsidRPr="00D8346B">
        <w:t xml:space="preserve"> and Greenfield </w:t>
      </w:r>
      <w:r w:rsidRPr="001E6936">
        <w:t>(2017)</w:t>
      </w:r>
      <w:r w:rsidRPr="00D8346B">
        <w:t xml:space="preserve"> used the inCLASS, an observation-based rating of children’s engagement in the classroom; this measure rated children’s positive engagement with teachers, peers, and tasks. Trained observed watched target children for ten minutes and then rated them based on task, peer, and teacher engagement. Finally, Nesbitt</w:t>
      </w:r>
      <w:r>
        <w:t xml:space="preserve"> et al. </w:t>
      </w:r>
      <w:r w:rsidRPr="001E6936">
        <w:t>(2015)</w:t>
      </w:r>
      <w:r>
        <w:t xml:space="preserve"> </w:t>
      </w:r>
      <w:r w:rsidRPr="00D8346B">
        <w:t xml:space="preserve">used the Child Observation Protocol, an observation-based measure designed to quantify behaviors in early childhood classrooms. To measure </w:t>
      </w:r>
      <w:r>
        <w:t>ATL</w:t>
      </w:r>
      <w:r w:rsidRPr="00D8346B">
        <w:t xml:space="preserve">, Nesbitt et al. (2015) coded children’s behavior during specific learning opportunities or social-learning interactions. </w:t>
      </w:r>
    </w:p>
    <w:p w14:paraId="7F04E4F2" w14:textId="77777777" w:rsidR="005E1CD1" w:rsidRPr="00A50761" w:rsidRDefault="005E1CD1" w:rsidP="005E1CD1">
      <w:pPr>
        <w:ind w:firstLine="720"/>
        <w:contextualSpacing/>
        <w:rPr>
          <w:b/>
          <w:bCs/>
          <w:sz w:val="28"/>
          <w:szCs w:val="28"/>
        </w:rPr>
      </w:pPr>
      <w:r w:rsidRPr="00A50761">
        <w:t xml:space="preserve">Systematic classroom observations may be one way to capture specific learning-related behaviors and overcome the limitations of teacher-reported ratings, which may miss </w:t>
      </w:r>
      <w:r>
        <w:t xml:space="preserve">more subtle </w:t>
      </w:r>
      <w:r w:rsidRPr="00A50761">
        <w:t xml:space="preserve">nondisruptive behaviors (Williford et al., 2013). Classroom observations may also capture behaviors objectively while still allowing the child to be in a more comfortable classroom </w:t>
      </w:r>
      <w:r w:rsidRPr="00A50761">
        <w:lastRenderedPageBreak/>
        <w:t xml:space="preserve">setting. Nonetheless, studies employing rigorous observational methods to assess child learning behaviors in the classroom remain limited (Nelson et al., 2017). </w:t>
      </w:r>
    </w:p>
    <w:p w14:paraId="79D01318" w14:textId="752FABA4" w:rsidR="005E1CD1" w:rsidRPr="0067679A" w:rsidRDefault="005E1CD1" w:rsidP="005E1CD1">
      <w:pPr>
        <w:ind w:firstLine="720"/>
        <w:contextualSpacing/>
        <w:rPr>
          <w:b/>
          <w:bCs/>
        </w:rPr>
      </w:pPr>
      <w:bookmarkStart w:id="159" w:name="_Toc44255205"/>
      <w:bookmarkStart w:id="160" w:name="_Toc46265547"/>
      <w:r w:rsidRPr="00226569">
        <w:rPr>
          <w:rStyle w:val="Heading3Char"/>
        </w:rPr>
        <w:t>Latent profile analysis.</w:t>
      </w:r>
      <w:bookmarkEnd w:id="159"/>
      <w:bookmarkEnd w:id="160"/>
      <w:r w:rsidRPr="00226569">
        <w:rPr>
          <w:rStyle w:val="Heading3Char"/>
        </w:rPr>
        <w:t xml:space="preserve"> </w:t>
      </w:r>
      <w:r>
        <w:t xml:space="preserve">Latent profile analysis (LPA) is a statistical technique that has been used to study a variety of early childhood related topics. No studies have been conducted of ATL, per se, but studies have used latent profile analysis to study very similar constructs, for example school readiness, self-control, and emotion regulation. Latent profile analysis is a person-centered approach aiming to identify the dynamics of emerging subgroups in a sample based on a chosen set of variables </w:t>
      </w:r>
      <w:r w:rsidRPr="00587A70">
        <w:t>(Howard &amp; Hoffman, 2018)</w:t>
      </w:r>
      <w:r>
        <w:t xml:space="preserve">. It has numerous advantages over more traditional variable-centered approaches because it </w:t>
      </w:r>
      <w:proofErr w:type="gramStart"/>
      <w:r>
        <w:t>is able to</w:t>
      </w:r>
      <w:proofErr w:type="gramEnd"/>
      <w:r>
        <w:t xml:space="preserve"> capture heterogeneity in behavior and classify individuals into qualitatively different groups </w:t>
      </w:r>
      <w:r w:rsidRPr="00123A0F">
        <w:t>(</w:t>
      </w:r>
      <w:proofErr w:type="spellStart"/>
      <w:r w:rsidRPr="00123A0F">
        <w:t>Racz</w:t>
      </w:r>
      <w:proofErr w:type="spellEnd"/>
      <w:r w:rsidRPr="00123A0F">
        <w:t xml:space="preserve">, </w:t>
      </w:r>
      <w:proofErr w:type="spellStart"/>
      <w:r w:rsidRPr="00123A0F">
        <w:t>O’Brennan</w:t>
      </w:r>
      <w:proofErr w:type="spellEnd"/>
      <w:r w:rsidRPr="00123A0F">
        <w:t>, Bradshaw, &amp; Leaf, 2016)</w:t>
      </w:r>
      <w:r>
        <w:t xml:space="preserve">. This approach can model the stability and change in profile membership that may emerge over the school year, where such changes may have been previously controlled for or overlooked. LPA allows researchers to model and test the joint and nonlinear effects of multiple variables without using higher-order interaction terms </w:t>
      </w:r>
      <w:r w:rsidRPr="001E6936">
        <w:t xml:space="preserve">(Sabol &amp; </w:t>
      </w:r>
      <w:proofErr w:type="spellStart"/>
      <w:r w:rsidRPr="001E6936">
        <w:t>Pianta</w:t>
      </w:r>
      <w:proofErr w:type="spellEnd"/>
      <w:r w:rsidRPr="001E6936">
        <w:t>, 2012)</w:t>
      </w:r>
      <w:r>
        <w:t xml:space="preserve">. </w:t>
      </w:r>
    </w:p>
    <w:p w14:paraId="3E79713C" w14:textId="77777777" w:rsidR="005E1CD1" w:rsidRDefault="005E1CD1" w:rsidP="005E1CD1">
      <w:pPr>
        <w:contextualSpacing/>
      </w:pPr>
      <w:r>
        <w:tab/>
        <w:t xml:space="preserve">Several large-scale studies have been conducted using LPA to assess children’s school readiness </w:t>
      </w:r>
      <w:r w:rsidRPr="00B04C78">
        <w:t>(</w:t>
      </w:r>
      <w:proofErr w:type="spellStart"/>
      <w:r w:rsidRPr="00B04C78">
        <w:t>Abenavoli</w:t>
      </w:r>
      <w:proofErr w:type="spellEnd"/>
      <w:r w:rsidRPr="00B04C78">
        <w:t xml:space="preserve"> et al., 2017; Hair, Halle, Terry-</w:t>
      </w:r>
      <w:proofErr w:type="spellStart"/>
      <w:r w:rsidRPr="00B04C78">
        <w:t>Humen</w:t>
      </w:r>
      <w:proofErr w:type="spellEnd"/>
      <w:r w:rsidRPr="00B04C78">
        <w:t xml:space="preserve">, Lavelle, &amp; Calkins, 2006; </w:t>
      </w:r>
      <w:proofErr w:type="spellStart"/>
      <w:r w:rsidRPr="00B04C78">
        <w:t>Konold</w:t>
      </w:r>
      <w:proofErr w:type="spellEnd"/>
      <w:r w:rsidRPr="00B04C78">
        <w:t xml:space="preserve"> &amp; </w:t>
      </w:r>
      <w:proofErr w:type="spellStart"/>
      <w:r w:rsidRPr="00B04C78">
        <w:t>Pianta</w:t>
      </w:r>
      <w:proofErr w:type="spellEnd"/>
      <w:r w:rsidRPr="00B04C78">
        <w:t xml:space="preserve">, 2005; McWayne, Cheung, Wright, &amp; </w:t>
      </w:r>
      <w:proofErr w:type="spellStart"/>
      <w:r w:rsidRPr="00B04C78">
        <w:t>Hahs</w:t>
      </w:r>
      <w:proofErr w:type="spellEnd"/>
      <w:r w:rsidRPr="00B04C78">
        <w:t>-Vaughn, 2012)</w:t>
      </w:r>
      <w:r>
        <w:t xml:space="preserve">. </w:t>
      </w:r>
      <w:proofErr w:type="spellStart"/>
      <w:r>
        <w:t>Abenavoli</w:t>
      </w:r>
      <w:proofErr w:type="spellEnd"/>
      <w:r>
        <w:t xml:space="preserve"> et al.’s (2017) study measured school readiness using ten teacher-rated scales of cognitive ability, engagement, ATL, emotion regulation, and prosocial behavior, and aggression. Researchers found evidence for four classes of children—well-adjusted, competent aggressive, disengaged, and multi-risk. Two </w:t>
      </w:r>
      <w:proofErr w:type="gramStart"/>
      <w:r>
        <w:t>particular subgroups</w:t>
      </w:r>
      <w:proofErr w:type="gramEnd"/>
      <w:r>
        <w:t xml:space="preserve"> who have mixed patterns of strengths and weaknesses are of interest. Competent aggressive children had higher levels of aggressive behavioral, lower social skills, </w:t>
      </w:r>
      <w:r>
        <w:lastRenderedPageBreak/>
        <w:t xml:space="preserve">and strong academic abilities; thus, these children had strengths in other domains that served to compensate for their lack of social skills to lead to academic outcomes. Academically disengaged children were not aggressive but exhibited low social and academic skills, and potentially can continue to suffer academically because they may go unnoticed because they are not a behavior problem. </w:t>
      </w:r>
    </w:p>
    <w:p w14:paraId="53F9EBD4" w14:textId="77777777" w:rsidR="005E1CD1" w:rsidRDefault="005E1CD1" w:rsidP="005E1CD1">
      <w:pPr>
        <w:contextualSpacing/>
      </w:pPr>
      <w:r>
        <w:tab/>
        <w:t xml:space="preserve">McWayne et al. </w:t>
      </w:r>
      <w:r w:rsidRPr="001E6936">
        <w:t>(2012)</w:t>
      </w:r>
      <w:r>
        <w:t xml:space="preserve"> similarly explored patterns of school readiness, as measured by cognitive and social domains of learning, including cooperative behavior, as rated both by teachers and parents. They found five clusters of children with a range of readiness profiles, including a profile of children who had high social skills and average academics and children who were high across the board. By the end of kindergarten, those who had high social skills made strides in academic achievement comparable with the high academic group. </w:t>
      </w:r>
    </w:p>
    <w:p w14:paraId="35D90679" w14:textId="77777777" w:rsidR="005E1CD1" w:rsidRDefault="005E1CD1" w:rsidP="005E1CD1">
      <w:pPr>
        <w:contextualSpacing/>
      </w:pPr>
      <w:r>
        <w:tab/>
        <w:t xml:space="preserve">Two other studies that used person-centered approaches are important to mention. </w:t>
      </w:r>
      <w:proofErr w:type="spellStart"/>
      <w:r>
        <w:t>Racz</w:t>
      </w:r>
      <w:proofErr w:type="spellEnd"/>
      <w:r>
        <w:t xml:space="preserve"> et al. </w:t>
      </w:r>
      <w:r w:rsidRPr="001E6936">
        <w:t>(2016)</w:t>
      </w:r>
      <w:r>
        <w:t xml:space="preserve"> looked more specifically at classes of disruptive behavior, while Vaughn, </w:t>
      </w:r>
      <w:proofErr w:type="spellStart"/>
      <w:r>
        <w:t>DeLisi</w:t>
      </w:r>
      <w:proofErr w:type="spellEnd"/>
      <w:r>
        <w:t xml:space="preserve">, Beaver and Wright </w:t>
      </w:r>
      <w:r w:rsidRPr="001E6936">
        <w:t>(2009)</w:t>
      </w:r>
      <w:r>
        <w:t xml:space="preserve"> measured self-control. </w:t>
      </w:r>
      <w:proofErr w:type="spellStart"/>
      <w:r>
        <w:t>Racz</w:t>
      </w:r>
      <w:proofErr w:type="spellEnd"/>
      <w:r>
        <w:t xml:space="preserve"> et al. (2016) found three distinct profiles which consisted of well-adapted, concentration problems, and children at risk. The discovery of the concentration problems subgroup was unique in that </w:t>
      </w:r>
      <w:proofErr w:type="gramStart"/>
      <w:r>
        <w:t>it</w:t>
      </w:r>
      <w:proofErr w:type="gramEnd"/>
      <w:r>
        <w:t xml:space="preserve"> distinguished children with attention problems from those with disruptive behavior problems. This profile could reflect children who will develop attention problems or children who have difficulty adjusting to the more academic demands of kindergarten. Vaughn et al. (2009) created class profiles parents on parent and teacher reports of self-control across multiple waves of data. </w:t>
      </w:r>
    </w:p>
    <w:p w14:paraId="61DA1D5B" w14:textId="77777777" w:rsidR="005E1CD1" w:rsidRDefault="005E1CD1" w:rsidP="005E1CD1">
      <w:pPr>
        <w:contextualSpacing/>
      </w:pPr>
      <w:r>
        <w:tab/>
        <w:t xml:space="preserve">Researchers have completed variable-centered work by exploring patterns of readiness or how skills are configured within individual children and jointly contribute to later school adjustment </w:t>
      </w:r>
      <w:r w:rsidRPr="00BA6A61">
        <w:t>(</w:t>
      </w:r>
      <w:proofErr w:type="spellStart"/>
      <w:r w:rsidRPr="00BA6A61">
        <w:t>Abenavoli</w:t>
      </w:r>
      <w:proofErr w:type="spellEnd"/>
      <w:r w:rsidRPr="00BA6A61">
        <w:t xml:space="preserve"> et al., 2017)</w:t>
      </w:r>
      <w:r>
        <w:t xml:space="preserve">. In addition, LPA is a fine-grained analysis which can detect </w:t>
      </w:r>
      <w:r>
        <w:lastRenderedPageBreak/>
        <w:t xml:space="preserve">small subgroups of children who have a mixed pattern of strengths and weaknesses. Latent profile analysis can be especially helpful in classifying children based on multiple variables who may </w:t>
      </w:r>
      <w:proofErr w:type="gramStart"/>
      <w:r>
        <w:t>be in need of</w:t>
      </w:r>
      <w:proofErr w:type="gramEnd"/>
      <w:r>
        <w:t xml:space="preserve"> interventions or additional services, but who may nonetheless fall under clinical levels of problem behaviors. </w:t>
      </w:r>
    </w:p>
    <w:p w14:paraId="07A51E41" w14:textId="77777777" w:rsidR="005E1CD1" w:rsidRDefault="005E1CD1" w:rsidP="005E1CD1">
      <w:pPr>
        <w:ind w:firstLine="720"/>
        <w:contextualSpacing/>
      </w:pPr>
      <w:r>
        <w:t xml:space="preserve">Indeed, there is “insufficient research…on how to measure this construct efficiently and accurately” </w:t>
      </w:r>
      <w:r w:rsidRPr="006E6261">
        <w:t>(</w:t>
      </w:r>
      <w:proofErr w:type="spellStart"/>
      <w:r w:rsidRPr="006E6261">
        <w:t>Barbu</w:t>
      </w:r>
      <w:proofErr w:type="spellEnd"/>
      <w:r w:rsidRPr="006E6261">
        <w:t xml:space="preserve"> et al., 2015, p. 1)</w:t>
      </w:r>
      <w:r>
        <w:t xml:space="preserve">. The above-mentioned studies highlight the multitude of ways that ATL has been conceptualized and measured, each with its benefits. Teacher report helps researchers understand how children are doing globally, while an assessor report provides a snapshot of ATL in a one-on-one setting. It is also important to see what ATL looks like in the context of the classroom when children are utilizing their ATL in different situations and with peers and teachers </w:t>
      </w:r>
      <w:r w:rsidRPr="000750DB">
        <w:t>(Chen &amp; McNamee, 2011)</w:t>
      </w:r>
      <w:r>
        <w:t>. M</w:t>
      </w:r>
      <w:r w:rsidRPr="0067679A">
        <w:t xml:space="preserve">any of the studies using </w:t>
      </w:r>
      <w:r>
        <w:t xml:space="preserve">ATL </w:t>
      </w:r>
      <w:r w:rsidRPr="0067679A">
        <w:t xml:space="preserve">have utilized a variable-centered approach, which limits the understanding of how school readiness develops across domains (Elliott, 2019). </w:t>
      </w:r>
      <w:r>
        <w:t xml:space="preserve">Given that ATL is a complex, multi-dimensional construct, it should be measured in multiple ways and with multiple informants </w:t>
      </w:r>
      <w:r w:rsidRPr="00D3099C">
        <w:t>(George &amp; Greenfield, 2005)</w:t>
      </w:r>
      <w:r>
        <w:t xml:space="preserve">. </w:t>
      </w:r>
      <w:r w:rsidRPr="0067679A">
        <w:t xml:space="preserve">More research is needed to explore patterns of </w:t>
      </w:r>
      <w:r>
        <w:t xml:space="preserve">ATL </w:t>
      </w:r>
      <w:r w:rsidRPr="0067679A">
        <w:t xml:space="preserve">or how </w:t>
      </w:r>
      <w:r>
        <w:t xml:space="preserve">ATL is </w:t>
      </w:r>
      <w:r w:rsidRPr="0067679A">
        <w:t xml:space="preserve">configured within individual children and how this may relate to later </w:t>
      </w:r>
      <w:r>
        <w:t xml:space="preserve">academic outcomes </w:t>
      </w:r>
      <w:r w:rsidRPr="006E6261">
        <w:t>(</w:t>
      </w:r>
      <w:proofErr w:type="spellStart"/>
      <w:r w:rsidRPr="006E6261">
        <w:t>Abenavoli</w:t>
      </w:r>
      <w:proofErr w:type="spellEnd"/>
      <w:r w:rsidRPr="006E6261">
        <w:t xml:space="preserve"> et al., 2017)</w:t>
      </w:r>
      <w:r w:rsidRPr="0067679A">
        <w:t>.</w:t>
      </w:r>
      <w:r w:rsidRPr="00D3099C">
        <w:t xml:space="preserve"> </w:t>
      </w:r>
    </w:p>
    <w:p w14:paraId="64865032" w14:textId="59F5B82A" w:rsidR="005E1CD1" w:rsidRDefault="005E1CD1" w:rsidP="00CC6470">
      <w:pPr>
        <w:pStyle w:val="Heading2"/>
      </w:pPr>
      <w:bookmarkStart w:id="161" w:name="_Toc44255206"/>
      <w:bookmarkStart w:id="162" w:name="_Toc46265548"/>
      <w:r>
        <w:t>ATL and Academic Outcomes</w:t>
      </w:r>
      <w:bookmarkEnd w:id="161"/>
      <w:bookmarkEnd w:id="162"/>
      <w:r>
        <w:t xml:space="preserve"> </w:t>
      </w:r>
    </w:p>
    <w:p w14:paraId="0FBF6AEE" w14:textId="77777777" w:rsidR="005E1CD1" w:rsidRDefault="005E1CD1" w:rsidP="005E1CD1">
      <w:pPr>
        <w:ind w:firstLine="720"/>
        <w:contextualSpacing/>
      </w:pPr>
      <w:r>
        <w:t xml:space="preserve">ATL </w:t>
      </w:r>
      <w:r w:rsidRPr="0075301E">
        <w:t>help</w:t>
      </w:r>
      <w:r>
        <w:t>s</w:t>
      </w:r>
      <w:r w:rsidRPr="0075301E">
        <w:t xml:space="preserve"> children </w:t>
      </w:r>
      <w:r>
        <w:t xml:space="preserve">actively </w:t>
      </w:r>
      <w:r w:rsidRPr="0075301E">
        <w:t>participat</w:t>
      </w:r>
      <w:r>
        <w:t>e</w:t>
      </w:r>
      <w:r w:rsidRPr="0075301E">
        <w:t xml:space="preserve"> in learning situations </w:t>
      </w:r>
      <w:r>
        <w:t xml:space="preserve">with teachers and peers and </w:t>
      </w:r>
      <w:r w:rsidRPr="0075301E">
        <w:t>help</w:t>
      </w:r>
      <w:r>
        <w:t>s</w:t>
      </w:r>
      <w:r w:rsidRPr="0075301E">
        <w:t xml:space="preserve"> maximize children’s exposure </w:t>
      </w:r>
      <w:r>
        <w:t>to</w:t>
      </w:r>
      <w:r w:rsidRPr="0075301E">
        <w:t xml:space="preserve"> classroom instruction</w:t>
      </w:r>
      <w:r>
        <w:t xml:space="preserve"> </w:t>
      </w:r>
      <w:r w:rsidRPr="00A167B1">
        <w:t>(Sasser et al., 2015)</w:t>
      </w:r>
      <w:r w:rsidRPr="0075301E">
        <w:t xml:space="preserve">. </w:t>
      </w:r>
      <w:r>
        <w:t xml:space="preserve">It has been associated with achievement in math, reading, science, school readiness, and school adjustment </w:t>
      </w:r>
      <w:r w:rsidRPr="00A92384">
        <w:t xml:space="preserve">(Bustamante, White, &amp; Greenfield, 2018; </w:t>
      </w:r>
      <w:proofErr w:type="spellStart"/>
      <w:r w:rsidRPr="00A92384">
        <w:t>Fantuzzo</w:t>
      </w:r>
      <w:proofErr w:type="spellEnd"/>
      <w:r w:rsidRPr="00A92384">
        <w:t xml:space="preserve"> et al., 2004; McClelland et al., 2006; Stipek et al., 2010)</w:t>
      </w:r>
      <w:r>
        <w:t xml:space="preserve">. As children progress through elementary school, growth in ATL helps support growth in math and literacy </w:t>
      </w:r>
      <w:r w:rsidRPr="00A92384">
        <w:t xml:space="preserve">(McDermott et al., 2018; Sung &amp; </w:t>
      </w:r>
      <w:proofErr w:type="spellStart"/>
      <w:r w:rsidRPr="00A92384">
        <w:t>Wickrama</w:t>
      </w:r>
      <w:proofErr w:type="spellEnd"/>
      <w:r w:rsidRPr="00A92384">
        <w:t>, 2018)</w:t>
      </w:r>
      <w:r>
        <w:t xml:space="preserve">. These effects </w:t>
      </w:r>
      <w:r>
        <w:lastRenderedPageBreak/>
        <w:t xml:space="preserve">are evidenced beyond the effects of children’s IQ, previous literacy or math achievement, maternal educational </w:t>
      </w:r>
      <w:proofErr w:type="gramStart"/>
      <w:r>
        <w:t>level</w:t>
      </w:r>
      <w:proofErr w:type="gramEnd"/>
      <w:r>
        <w:t xml:space="preserve"> or executive function </w:t>
      </w:r>
      <w:r w:rsidRPr="009E2F97">
        <w:t xml:space="preserve">(Cerda et al., 2014; Stipek et al., 2010; Sung &amp; </w:t>
      </w:r>
      <w:proofErr w:type="spellStart"/>
      <w:r w:rsidRPr="009E2F97">
        <w:t>Wickrama</w:t>
      </w:r>
      <w:proofErr w:type="spellEnd"/>
      <w:r w:rsidRPr="009E2F97">
        <w:t>, 2018)</w:t>
      </w:r>
      <w:r>
        <w:t xml:space="preserve">. </w:t>
      </w:r>
    </w:p>
    <w:p w14:paraId="3D75DAFE" w14:textId="77777777" w:rsidR="005E1CD1" w:rsidRDefault="005E1CD1" w:rsidP="005E1CD1">
      <w:pPr>
        <w:ind w:firstLine="720"/>
        <w:contextualSpacing/>
      </w:pPr>
      <w:r>
        <w:t xml:space="preserve">Much of the research on the relationship between ATL and academic outcomes suggests that it may be particularly beneficial when children are younger </w:t>
      </w:r>
      <w:r w:rsidRPr="001C0CA8">
        <w:t>(Li-</w:t>
      </w:r>
      <w:proofErr w:type="spellStart"/>
      <w:r w:rsidRPr="001C0CA8">
        <w:t>Grining</w:t>
      </w:r>
      <w:proofErr w:type="spellEnd"/>
      <w:r w:rsidRPr="001C0CA8">
        <w:t xml:space="preserve"> et al., 2010; McClelland et al., 2006)</w:t>
      </w:r>
      <w:r>
        <w:t xml:space="preserve">. Pre-k or kindergarten ATL is often predictive of academic achievement years later </w:t>
      </w:r>
      <w:r w:rsidRPr="00CB72EF">
        <w:t>(Fitzpatrick &amp; Pagani, 2013; McDermott et al., 2018)</w:t>
      </w:r>
      <w:r>
        <w:t>. Li-Grinning et al. (2010) suggest that ATL may play a compensatory role in children’s academic achievement—children with better ATL experienced greater rates of academic growth, and the differences increased as children went through elementary school; this predictive relationship was strongest in children with lower academic skills at school entry. McClelland et al. (2006) similarly found that children with poor ATL at kindergarten scored significantly lower in both reading in math by 6</w:t>
      </w:r>
      <w:r w:rsidRPr="00A92384">
        <w:rPr>
          <w:vertAlign w:val="superscript"/>
        </w:rPr>
        <w:t>th</w:t>
      </w:r>
      <w:r>
        <w:t xml:space="preserve"> grade, although differences were detected by 2</w:t>
      </w:r>
      <w:r w:rsidRPr="00A92384">
        <w:rPr>
          <w:vertAlign w:val="superscript"/>
        </w:rPr>
        <w:t>nd</w:t>
      </w:r>
      <w:r>
        <w:t xml:space="preserve"> grade. </w:t>
      </w:r>
      <w:proofErr w:type="spellStart"/>
      <w:r>
        <w:t>Razza</w:t>
      </w:r>
      <w:proofErr w:type="spellEnd"/>
      <w:r>
        <w:t xml:space="preserve"> et al. </w:t>
      </w:r>
      <w:r w:rsidRPr="00A92384">
        <w:t>(2012)</w:t>
      </w:r>
      <w:r>
        <w:t xml:space="preserve"> found that early academic skills moderated the link between children’s ATL at age 5 and their achievement for reading and math at age 9; ATL was most beneficial when children had lower math and reading skills. </w:t>
      </w:r>
    </w:p>
    <w:p w14:paraId="6D5F1464" w14:textId="77777777" w:rsidR="005E1CD1" w:rsidRDefault="005E1CD1" w:rsidP="005E1CD1">
      <w:pPr>
        <w:contextualSpacing/>
      </w:pPr>
      <w:r>
        <w:t xml:space="preserve">Children may need to first develop ATL </w:t>
      </w:r>
      <w:proofErr w:type="gramStart"/>
      <w:r>
        <w:t>in order to</w:t>
      </w:r>
      <w:proofErr w:type="gramEnd"/>
      <w:r>
        <w:t xml:space="preserve"> best attend to and engage in math and literacy instruction in kindergarten and later grades </w:t>
      </w:r>
      <w:r w:rsidRPr="008211E2">
        <w:t>(Ansari &amp; Gershoff, 2015)</w:t>
      </w:r>
      <w:r>
        <w:t>.</w:t>
      </w:r>
      <w:r w:rsidRPr="00A92384">
        <w:t xml:space="preserve"> </w:t>
      </w:r>
    </w:p>
    <w:p w14:paraId="739E4386" w14:textId="142CF1D8" w:rsidR="005E1CD1" w:rsidRPr="003A02BF" w:rsidRDefault="005E1CD1" w:rsidP="00CC6470">
      <w:pPr>
        <w:pStyle w:val="Heading2"/>
        <w:rPr>
          <w:szCs w:val="28"/>
        </w:rPr>
      </w:pPr>
      <w:bookmarkStart w:id="163" w:name="_Toc44255207"/>
      <w:bookmarkStart w:id="164" w:name="_Toc46265549"/>
      <w:r w:rsidRPr="003A02BF">
        <w:t>The Current Study</w:t>
      </w:r>
      <w:bookmarkEnd w:id="163"/>
      <w:bookmarkEnd w:id="164"/>
    </w:p>
    <w:p w14:paraId="19916DFC" w14:textId="77777777" w:rsidR="005E1CD1" w:rsidRDefault="005E1CD1" w:rsidP="005E1CD1">
      <w:pPr>
        <w:ind w:firstLine="720"/>
        <w:contextualSpacing/>
      </w:pPr>
      <w:r>
        <w:t>ATL</w:t>
      </w:r>
      <w:r w:rsidRPr="00A2383F">
        <w:t xml:space="preserve"> represents a key school readiness indicator</w:t>
      </w:r>
      <w:r>
        <w:t xml:space="preserve">, helping children adapt to their learning environment </w:t>
      </w:r>
      <w:r w:rsidRPr="001B6860">
        <w:t>(Kagan et al., 1995; McClelland &amp; Morrison, 2003)</w:t>
      </w:r>
      <w:r w:rsidRPr="00A2383F">
        <w:t>.</w:t>
      </w:r>
      <w:r>
        <w:t xml:space="preserve"> </w:t>
      </w:r>
      <w:r w:rsidRPr="00A50761">
        <w:t xml:space="preserve">A great deal of research has been conducted to explore </w:t>
      </w:r>
      <w:r>
        <w:t xml:space="preserve">ATL </w:t>
      </w:r>
      <w:r w:rsidRPr="00A50761">
        <w:t xml:space="preserve">as a key school readiness indicator and an important predictor of future academic success; however, more research is needed to understand the developmental roots and sequela of </w:t>
      </w:r>
      <w:r>
        <w:t xml:space="preserve">ATL </w:t>
      </w:r>
      <w:r w:rsidRPr="00A50761">
        <w:t xml:space="preserve">(Sasser et al., 2015). </w:t>
      </w:r>
      <w:bookmarkStart w:id="165" w:name="_Hlk11856160"/>
      <w:r w:rsidRPr="00A50761">
        <w:t xml:space="preserve">Insufficient research exists on exactly how to </w:t>
      </w:r>
      <w:r w:rsidRPr="00A50761">
        <w:lastRenderedPageBreak/>
        <w:t xml:space="preserve">measure this construct efficiently and accurately in a way that is sensitive to individual differences in children’s </w:t>
      </w:r>
      <w:r>
        <w:t xml:space="preserve">ATL </w:t>
      </w:r>
      <w:r w:rsidRPr="00A50761">
        <w:t>(</w:t>
      </w:r>
      <w:proofErr w:type="spellStart"/>
      <w:r w:rsidRPr="00A50761">
        <w:t>Barbu</w:t>
      </w:r>
      <w:proofErr w:type="spellEnd"/>
      <w:r w:rsidRPr="00A50761">
        <w:t xml:space="preserve"> et al., 2015; </w:t>
      </w:r>
      <w:proofErr w:type="spellStart"/>
      <w:r w:rsidRPr="00A50761">
        <w:t>Ponitz</w:t>
      </w:r>
      <w:proofErr w:type="spellEnd"/>
      <w:r w:rsidRPr="00A50761">
        <w:t xml:space="preserve"> et al., 2009). </w:t>
      </w:r>
      <w:bookmarkEnd w:id="165"/>
      <w:r w:rsidRPr="00A50761">
        <w:t xml:space="preserve">Few studies have examined the detailed classroom contexts in which </w:t>
      </w:r>
      <w:r>
        <w:t xml:space="preserve">ATL </w:t>
      </w:r>
      <w:r w:rsidRPr="00A50761">
        <w:t>develops for different children</w:t>
      </w:r>
      <w:r>
        <w:t xml:space="preserve"> </w:t>
      </w:r>
      <w:r w:rsidRPr="00FF3CE5">
        <w:t xml:space="preserve">(McDermott et al., 2014; </w:t>
      </w:r>
      <w:proofErr w:type="spellStart"/>
      <w:r w:rsidRPr="00FF3CE5">
        <w:t>Ponitz</w:t>
      </w:r>
      <w:proofErr w:type="spellEnd"/>
      <w:r w:rsidRPr="00FF3CE5">
        <w:t xml:space="preserve"> et al., 2009)</w:t>
      </w:r>
      <w:r w:rsidRPr="00A50761">
        <w:t>.</w:t>
      </w:r>
      <w:r>
        <w:t xml:space="preserve"> Very little is known about the variation in a child’s experience of classroom interactions over time </w:t>
      </w:r>
      <w:r w:rsidRPr="00A50761">
        <w:t>(</w:t>
      </w:r>
      <w:proofErr w:type="spellStart"/>
      <w:r w:rsidRPr="00A50761">
        <w:t>Bohlmann</w:t>
      </w:r>
      <w:proofErr w:type="spellEnd"/>
      <w:r w:rsidRPr="00A50761">
        <w:t xml:space="preserve"> et al., 2019; Chang et al., 2007)</w:t>
      </w:r>
      <w:r>
        <w:t xml:space="preserve">. A more fine-grained analysis of children’s individual experiences may be able to capture the ways in which children’s </w:t>
      </w:r>
      <w:r w:rsidRPr="009226B4">
        <w:t xml:space="preserve">specific social and emotional skills </w:t>
      </w:r>
      <w:r>
        <w:t xml:space="preserve">help them to </w:t>
      </w:r>
      <w:r w:rsidRPr="009226B4">
        <w:t>navigate each type of preschool learning activity or social interaction (</w:t>
      </w:r>
      <w:proofErr w:type="spellStart"/>
      <w:r w:rsidRPr="009226B4">
        <w:t>Kontos</w:t>
      </w:r>
      <w:proofErr w:type="spellEnd"/>
      <w:r w:rsidRPr="009226B4">
        <w:t xml:space="preserve"> &amp; Keyes, 1999)</w:t>
      </w:r>
      <w:r>
        <w:t>. This can shed light on how children’s positive or n</w:t>
      </w:r>
      <w:r w:rsidRPr="009226B4">
        <w:t xml:space="preserve">egative engagement has been associated with </w:t>
      </w:r>
      <w:r>
        <w:t xml:space="preserve">various </w:t>
      </w:r>
      <w:r w:rsidRPr="009226B4">
        <w:t>academic outcomes</w:t>
      </w:r>
      <w:r>
        <w:t xml:space="preserve"> </w:t>
      </w:r>
      <w:r w:rsidRPr="009226B4">
        <w:t xml:space="preserve">(Domínguez, </w:t>
      </w:r>
      <w:proofErr w:type="spellStart"/>
      <w:r w:rsidRPr="009226B4">
        <w:t>Vitiello</w:t>
      </w:r>
      <w:proofErr w:type="spellEnd"/>
      <w:r w:rsidRPr="009226B4">
        <w:t xml:space="preserve">, </w:t>
      </w:r>
      <w:proofErr w:type="spellStart"/>
      <w:r w:rsidRPr="009226B4">
        <w:t>Fuccillo</w:t>
      </w:r>
      <w:proofErr w:type="spellEnd"/>
      <w:r w:rsidRPr="009226B4">
        <w:t xml:space="preserve">, Greenfield, &amp; </w:t>
      </w:r>
      <w:proofErr w:type="spellStart"/>
      <w:r w:rsidRPr="009226B4">
        <w:t>Bulotsky</w:t>
      </w:r>
      <w:proofErr w:type="spellEnd"/>
      <w:r w:rsidRPr="009226B4">
        <w:t xml:space="preserve">-Shearer, 2011). </w:t>
      </w:r>
    </w:p>
    <w:p w14:paraId="7B350B39" w14:textId="054387FB" w:rsidR="005E1CD1" w:rsidRPr="00886B29" w:rsidRDefault="005E1CD1" w:rsidP="005E1CD1">
      <w:pPr>
        <w:ind w:firstLine="720"/>
        <w:contextualSpacing/>
      </w:pPr>
      <w:r>
        <w:t>Given the limitations of the previous literature, the aim of this study is to create a conceptualization of ATL that considers the multi-dimensional nature of the construct. This study will provide clarity about the components of ATL, given t</w:t>
      </w:r>
      <w:r w:rsidRPr="00B93968">
        <w:t>he multitude of definitions</w:t>
      </w:r>
      <w:r>
        <w:t xml:space="preserve"> and lack of a comprehensive list </w:t>
      </w:r>
      <w:r w:rsidRPr="00B93968">
        <w:fldChar w:fldCharType="begin"/>
      </w:r>
      <w:r w:rsidRPr="00B93968">
        <w:instrText xml:space="preserve"> ADDIN EN.CITE &lt;EndNote&gt;&lt;Cite&gt;&lt;Author&gt;Chen&lt;/Author&gt;&lt;Year&gt;2011&lt;/Year&gt;&lt;RecNum&gt;587&lt;/RecNum&gt;&lt;DisplayText&gt;(Chen &amp;amp; McNamee, 2011)&lt;/DisplayText&gt;&lt;record&gt;&lt;rec-number&gt;587&lt;/rec-number&gt;&lt;foreign-keys&gt;&lt;key app="EN" db-id="vvx92fpwbtsvvfevftyxasr8sw0edrtwrpw5" timestamp="1510174159"&gt;587&lt;/key&gt;&lt;/foreign-keys&gt;&lt;ref-type name="Journal Article"&gt;17&lt;/ref-type&gt;&lt;contributors&gt;&lt;authors&gt;&lt;author&gt;Chen, Jie-Qi&lt;/author&gt;&lt;author&gt;McNamee, Gillian Dowley&lt;/author&gt;&lt;/authors&gt;&lt;/contributors&gt;&lt;titles&gt;&lt;title&gt;Positive approaches to learning in the context of preschool classroom activities&lt;/title&gt;&lt;secondary-title&gt;Early Childhood Education Journal&lt;/secondary-title&gt;&lt;/titles&gt;&lt;periodical&gt;&lt;full-title&gt;Early Childhood Education Journal&lt;/full-title&gt;&lt;/periodical&gt;&lt;pages&gt;71-78&lt;/pages&gt;&lt;volume&gt;39&lt;/volume&gt;&lt;number&gt;1&lt;/number&gt;&lt;dates&gt;&lt;year&gt;2011&lt;/year&gt;&lt;/dates&gt;&lt;isbn&gt;1082-3301&lt;/isbn&gt;&lt;urls&gt;&lt;/urls&gt;&lt;/record&gt;&lt;/Cite&gt;&lt;/EndNote&gt;</w:instrText>
      </w:r>
      <w:r w:rsidRPr="00B93968">
        <w:fldChar w:fldCharType="separate"/>
      </w:r>
      <w:r w:rsidRPr="00B93968">
        <w:t>(Chen &amp; McNamee, 2011; Domínguez et al., 2010)</w:t>
      </w:r>
      <w:r w:rsidRPr="00B93968">
        <w:fldChar w:fldCharType="end"/>
      </w:r>
      <w:r>
        <w:t xml:space="preserve">. In addition, person-centered analysis will explore how children’s individual characteristics contribute to the expression of ATL in the classroom. This analysis can potentially bring forward different groups of students along a continuum of learning approaches </w:t>
      </w:r>
      <w:r w:rsidRPr="000851B8">
        <w:t>(Collie, Martin, Nassar, &amp; Roberts, 2019)</w:t>
      </w:r>
      <w:r>
        <w:t>. Further understanding of how these groups differ in their academic competencies can help researchers understand the foundational nature of ATL. The research questions for this study include 1) ar</w:t>
      </w:r>
      <w:r w:rsidRPr="00C551B0">
        <w:t>e there three distinct dimensions (social, emotional, and cognitive) of ATL conceptually and empirically? How is this model of ATL distinct from other constructs like executive function?</w:t>
      </w:r>
      <w:r w:rsidR="007C1CBE">
        <w:t xml:space="preserve"> </w:t>
      </w:r>
      <w:r>
        <w:t xml:space="preserve">2) can different types of ATL be empirically distinguished? 3) are there profiles which include both positive </w:t>
      </w:r>
      <w:r w:rsidRPr="00886B29">
        <w:t xml:space="preserve">and negative approaches to learning? In what ways do </w:t>
      </w:r>
      <w:r w:rsidRPr="00886B29">
        <w:lastRenderedPageBreak/>
        <w:t xml:space="preserve">profiles change </w:t>
      </w:r>
      <w:r>
        <w:t xml:space="preserve">after including </w:t>
      </w:r>
      <w:r w:rsidRPr="00886B29">
        <w:t>negative approaches to learning?</w:t>
      </w:r>
      <w:r>
        <w:t xml:space="preserve"> 4) h</w:t>
      </w:r>
      <w:r w:rsidRPr="00886B29">
        <w:t>ow do these different profiles of approaches to learning predict academic outcomes?</w:t>
      </w:r>
    </w:p>
    <w:p w14:paraId="3CFC9021" w14:textId="6CEB208E" w:rsidR="005E1CD1" w:rsidRDefault="005E1CD1" w:rsidP="009974B7">
      <w:pPr>
        <w:pStyle w:val="Heading1"/>
      </w:pPr>
      <w:bookmarkStart w:id="166" w:name="_Toc44255208"/>
      <w:bookmarkStart w:id="167" w:name="_Toc46265550"/>
      <w:r>
        <w:t>Methods</w:t>
      </w:r>
      <w:bookmarkEnd w:id="166"/>
      <w:bookmarkEnd w:id="167"/>
    </w:p>
    <w:p w14:paraId="403216BC" w14:textId="7A618CEC" w:rsidR="005E1CD1" w:rsidRPr="00286AEE" w:rsidRDefault="005E1CD1" w:rsidP="00CC6470">
      <w:pPr>
        <w:pStyle w:val="Heading2"/>
      </w:pPr>
      <w:bookmarkStart w:id="168" w:name="_Toc44255209"/>
      <w:bookmarkStart w:id="169" w:name="_Toc46265551"/>
      <w:r>
        <w:t>Data Source</w:t>
      </w:r>
      <w:bookmarkEnd w:id="168"/>
      <w:bookmarkEnd w:id="169"/>
      <w:r>
        <w:t xml:space="preserve"> </w:t>
      </w:r>
    </w:p>
    <w:p w14:paraId="5C9EEE7B" w14:textId="77777777" w:rsidR="005E1CD1" w:rsidRDefault="005E1CD1" w:rsidP="005E1CD1">
      <w:pPr>
        <w:ind w:firstLine="720"/>
        <w:rPr>
          <w:bCs/>
        </w:rPr>
      </w:pPr>
      <w:r>
        <w:rPr>
          <w:rFonts w:eastAsiaTheme="minorEastAsia"/>
        </w:rPr>
        <w:t xml:space="preserve">This study will utilize data from a larger study exploring child, family, and classroom characteristics of a Head Start program, the Preschool Child Assessment Survey (PCAS). PCAS is a series of longitudinal data collection aimed at understanding the experiences of children and families in a local Head Start program. </w:t>
      </w:r>
      <w:r w:rsidRPr="00BF38C7">
        <w:rPr>
          <w:bCs/>
        </w:rPr>
        <w:t>This study uses a multi-stage sampling approach</w:t>
      </w:r>
      <w:r w:rsidRPr="00BF38C7">
        <w:rPr>
          <w:bCs/>
          <w:color w:val="FF0000"/>
        </w:rPr>
        <w:t xml:space="preserve">. </w:t>
      </w:r>
      <w:r w:rsidRPr="00BF38C7">
        <w:rPr>
          <w:bCs/>
        </w:rPr>
        <w:t xml:space="preserve">First, classrooms were randomly chosen from the list of possible Head Start classrooms, with each classroom having an equal probability of selection. Then, six children were selected from each classroom, stratified by gender and home language to match </w:t>
      </w:r>
      <w:r>
        <w:rPr>
          <w:bCs/>
        </w:rPr>
        <w:t>program</w:t>
      </w:r>
      <w:r w:rsidRPr="00BF38C7">
        <w:rPr>
          <w:bCs/>
        </w:rPr>
        <w:t xml:space="preserve"> enrollment. </w:t>
      </w:r>
    </w:p>
    <w:p w14:paraId="582FC9C3" w14:textId="77777777" w:rsidR="005E1CD1" w:rsidRDefault="005E1CD1" w:rsidP="005E1CD1">
      <w:pPr>
        <w:ind w:firstLine="720"/>
        <w:rPr>
          <w:rFonts w:eastAsiaTheme="minorEastAsia"/>
        </w:rPr>
      </w:pPr>
      <w:r>
        <w:rPr>
          <w:bCs/>
        </w:rPr>
        <w:t xml:space="preserve">Table 1 provides a study timeline. </w:t>
      </w:r>
      <w:r w:rsidRPr="00BF38C7">
        <w:rPr>
          <w:bCs/>
        </w:rPr>
        <w:t>Children in this sample were assessed at two time points, the fall and spring of their Head Start year</w:t>
      </w:r>
      <w:r>
        <w:rPr>
          <w:bCs/>
        </w:rPr>
        <w:t>. C</w:t>
      </w:r>
      <w:r w:rsidRPr="00BF38C7">
        <w:rPr>
          <w:bCs/>
        </w:rPr>
        <w:t xml:space="preserve">lassroom observations were conducted in the winter (see Table 1). </w:t>
      </w:r>
      <w:r>
        <w:rPr>
          <w:bCs/>
        </w:rPr>
        <w:t>M</w:t>
      </w:r>
      <w:r w:rsidRPr="00BF38C7">
        <w:rPr>
          <w:bCs/>
        </w:rPr>
        <w:t xml:space="preserve">ultiple methods were used to collect a rich array of information about children and families including direct child assessments, classroom observations, and teacher reports. Additional </w:t>
      </w:r>
      <w:r w:rsidRPr="00BF38C7">
        <w:rPr>
          <w:rFonts w:eastAsiaTheme="minorEastAsia"/>
        </w:rPr>
        <w:t xml:space="preserve">demographic information for the children was collected using program administrative records. </w:t>
      </w:r>
    </w:p>
    <w:p w14:paraId="5AF4F572" w14:textId="77777777" w:rsidR="005E1CD1" w:rsidRDefault="005E1CD1" w:rsidP="005E1CD1">
      <w:pPr>
        <w:jc w:val="both"/>
        <w:rPr>
          <w:rFonts w:eastAsia="Calibri"/>
        </w:rPr>
      </w:pPr>
      <w:r w:rsidRPr="00953E5D">
        <w:rPr>
          <w:rFonts w:eastAsia="Calibri"/>
        </w:rPr>
        <w:t>Table 1</w:t>
      </w:r>
    </w:p>
    <w:p w14:paraId="0278F308" w14:textId="77777777" w:rsidR="005E1CD1" w:rsidRPr="00222DBC" w:rsidRDefault="005E1CD1" w:rsidP="005E1CD1">
      <w:pPr>
        <w:jc w:val="both"/>
        <w:rPr>
          <w:rFonts w:eastAsia="Calibri"/>
          <w:i/>
          <w:iCs/>
        </w:rPr>
      </w:pPr>
      <w:r w:rsidRPr="00222DBC">
        <w:rPr>
          <w:rFonts w:eastAsia="Calibri"/>
          <w:i/>
          <w:iCs/>
        </w:rPr>
        <w:t>Data Collection Timelin</w:t>
      </w:r>
      <w:r>
        <w:rPr>
          <w:rFonts w:eastAsia="Calibri"/>
          <w:i/>
          <w:iCs/>
        </w:rPr>
        <w:t>e</w:t>
      </w:r>
    </w:p>
    <w:tbl>
      <w:tblPr>
        <w:tblW w:w="5000" w:type="pct"/>
        <w:tblLook w:val="04A0" w:firstRow="1" w:lastRow="0" w:firstColumn="1" w:lastColumn="0" w:noHBand="0" w:noVBand="1"/>
      </w:tblPr>
      <w:tblGrid>
        <w:gridCol w:w="2549"/>
        <w:gridCol w:w="2351"/>
        <w:gridCol w:w="2230"/>
        <w:gridCol w:w="2230"/>
      </w:tblGrid>
      <w:tr w:rsidR="005E1CD1" w14:paraId="686F2F0A" w14:textId="77777777" w:rsidTr="002C7E23">
        <w:tc>
          <w:tcPr>
            <w:tcW w:w="1361" w:type="pct"/>
            <w:tcBorders>
              <w:top w:val="single" w:sz="4" w:space="0" w:color="auto"/>
              <w:bottom w:val="single" w:sz="4" w:space="0" w:color="auto"/>
            </w:tcBorders>
          </w:tcPr>
          <w:p w14:paraId="75101A7F" w14:textId="77777777" w:rsidR="005E1CD1" w:rsidRPr="00746849" w:rsidRDefault="005E1CD1" w:rsidP="008127BB">
            <w:pPr>
              <w:spacing w:line="240" w:lineRule="auto"/>
              <w:contextualSpacing/>
              <w:rPr>
                <w:b/>
              </w:rPr>
            </w:pPr>
            <w:r w:rsidRPr="00746849">
              <w:rPr>
                <w:b/>
              </w:rPr>
              <w:t>Data Collection</w:t>
            </w:r>
          </w:p>
        </w:tc>
        <w:tc>
          <w:tcPr>
            <w:tcW w:w="1256" w:type="pct"/>
            <w:tcBorders>
              <w:top w:val="single" w:sz="4" w:space="0" w:color="auto"/>
              <w:bottom w:val="single" w:sz="4" w:space="0" w:color="auto"/>
            </w:tcBorders>
          </w:tcPr>
          <w:p w14:paraId="05D57ADF" w14:textId="77777777" w:rsidR="005E1CD1" w:rsidRPr="00746849" w:rsidRDefault="005E1CD1" w:rsidP="008127BB">
            <w:pPr>
              <w:spacing w:line="240" w:lineRule="auto"/>
              <w:contextualSpacing/>
              <w:rPr>
                <w:b/>
              </w:rPr>
            </w:pPr>
            <w:r w:rsidRPr="00746849">
              <w:rPr>
                <w:b/>
              </w:rPr>
              <w:t xml:space="preserve">Fall </w:t>
            </w:r>
          </w:p>
        </w:tc>
        <w:tc>
          <w:tcPr>
            <w:tcW w:w="1191" w:type="pct"/>
            <w:tcBorders>
              <w:top w:val="single" w:sz="4" w:space="0" w:color="auto"/>
              <w:bottom w:val="single" w:sz="4" w:space="0" w:color="auto"/>
            </w:tcBorders>
          </w:tcPr>
          <w:p w14:paraId="69D76373" w14:textId="77777777" w:rsidR="005E1CD1" w:rsidRPr="00746849" w:rsidRDefault="005E1CD1" w:rsidP="008127BB">
            <w:pPr>
              <w:spacing w:line="240" w:lineRule="auto"/>
              <w:contextualSpacing/>
              <w:rPr>
                <w:b/>
              </w:rPr>
            </w:pPr>
            <w:r w:rsidRPr="00746849">
              <w:rPr>
                <w:b/>
              </w:rPr>
              <w:t>Winter</w:t>
            </w:r>
          </w:p>
        </w:tc>
        <w:tc>
          <w:tcPr>
            <w:tcW w:w="1191" w:type="pct"/>
            <w:tcBorders>
              <w:top w:val="single" w:sz="4" w:space="0" w:color="auto"/>
              <w:bottom w:val="single" w:sz="4" w:space="0" w:color="auto"/>
            </w:tcBorders>
          </w:tcPr>
          <w:p w14:paraId="070F1397" w14:textId="77777777" w:rsidR="005E1CD1" w:rsidRPr="00746849" w:rsidRDefault="005E1CD1" w:rsidP="008127BB">
            <w:pPr>
              <w:spacing w:line="240" w:lineRule="auto"/>
              <w:contextualSpacing/>
              <w:rPr>
                <w:b/>
              </w:rPr>
            </w:pPr>
            <w:r w:rsidRPr="00746849">
              <w:rPr>
                <w:b/>
              </w:rPr>
              <w:t xml:space="preserve">Spring </w:t>
            </w:r>
          </w:p>
        </w:tc>
      </w:tr>
      <w:tr w:rsidR="005E1CD1" w14:paraId="36CC0F71" w14:textId="77777777" w:rsidTr="002C7E23">
        <w:tc>
          <w:tcPr>
            <w:tcW w:w="1361" w:type="pct"/>
            <w:tcBorders>
              <w:top w:val="single" w:sz="4" w:space="0" w:color="auto"/>
              <w:bottom w:val="single" w:sz="4" w:space="0" w:color="auto"/>
            </w:tcBorders>
          </w:tcPr>
          <w:p w14:paraId="0C6C92C3" w14:textId="77777777" w:rsidR="005E1CD1" w:rsidRPr="00746849" w:rsidRDefault="005E1CD1" w:rsidP="008127BB">
            <w:pPr>
              <w:spacing w:line="240" w:lineRule="auto"/>
              <w:contextualSpacing/>
              <w:rPr>
                <w:b/>
              </w:rPr>
            </w:pPr>
            <w:r w:rsidRPr="00746849">
              <w:rPr>
                <w:b/>
              </w:rPr>
              <w:t xml:space="preserve">Assessments </w:t>
            </w:r>
          </w:p>
        </w:tc>
        <w:tc>
          <w:tcPr>
            <w:tcW w:w="1256" w:type="pct"/>
            <w:tcBorders>
              <w:top w:val="single" w:sz="4" w:space="0" w:color="auto"/>
              <w:bottom w:val="single" w:sz="4" w:space="0" w:color="auto"/>
            </w:tcBorders>
          </w:tcPr>
          <w:p w14:paraId="3C470D8B" w14:textId="77777777" w:rsidR="005E1CD1" w:rsidRPr="003A7420" w:rsidRDefault="005E1CD1" w:rsidP="008127BB">
            <w:pPr>
              <w:spacing w:line="240" w:lineRule="auto"/>
              <w:contextualSpacing/>
              <w:rPr>
                <w:bCs/>
              </w:rPr>
            </w:pPr>
            <w:r w:rsidRPr="003A7420">
              <w:rPr>
                <w:bCs/>
              </w:rPr>
              <w:t>DECA</w:t>
            </w:r>
          </w:p>
          <w:p w14:paraId="0CDF6B03" w14:textId="77777777" w:rsidR="005E1CD1" w:rsidRDefault="005E1CD1" w:rsidP="008127BB">
            <w:pPr>
              <w:spacing w:line="240" w:lineRule="auto"/>
              <w:contextualSpacing/>
              <w:rPr>
                <w:bCs/>
              </w:rPr>
            </w:pPr>
            <w:r w:rsidRPr="003A7420">
              <w:rPr>
                <w:bCs/>
              </w:rPr>
              <w:t>Leiter</w:t>
            </w:r>
          </w:p>
          <w:p w14:paraId="7218F993" w14:textId="77777777" w:rsidR="005E1CD1" w:rsidRDefault="005E1CD1" w:rsidP="008127BB">
            <w:pPr>
              <w:spacing w:line="240" w:lineRule="auto"/>
              <w:contextualSpacing/>
              <w:rPr>
                <w:bCs/>
              </w:rPr>
            </w:pPr>
            <w:r>
              <w:rPr>
                <w:bCs/>
              </w:rPr>
              <w:t>Woodcock-Johnson</w:t>
            </w:r>
          </w:p>
          <w:p w14:paraId="432B720A" w14:textId="77777777" w:rsidR="005E1CD1" w:rsidRDefault="005E1CD1" w:rsidP="008127BB">
            <w:pPr>
              <w:spacing w:line="240" w:lineRule="auto"/>
              <w:contextualSpacing/>
              <w:rPr>
                <w:bCs/>
              </w:rPr>
            </w:pPr>
            <w:r>
              <w:rPr>
                <w:bCs/>
              </w:rPr>
              <w:t>BRACKEN</w:t>
            </w:r>
          </w:p>
          <w:p w14:paraId="74C2CA5D" w14:textId="77777777" w:rsidR="005E1CD1" w:rsidRPr="003A7420" w:rsidRDefault="005E1CD1" w:rsidP="008127BB">
            <w:pPr>
              <w:spacing w:line="240" w:lineRule="auto"/>
              <w:contextualSpacing/>
              <w:rPr>
                <w:bCs/>
              </w:rPr>
            </w:pPr>
            <w:r>
              <w:rPr>
                <w:bCs/>
              </w:rPr>
              <w:t xml:space="preserve">Task-Based EF measures </w:t>
            </w:r>
          </w:p>
        </w:tc>
        <w:tc>
          <w:tcPr>
            <w:tcW w:w="1191" w:type="pct"/>
            <w:tcBorders>
              <w:top w:val="single" w:sz="4" w:space="0" w:color="auto"/>
              <w:bottom w:val="single" w:sz="4" w:space="0" w:color="auto"/>
            </w:tcBorders>
          </w:tcPr>
          <w:p w14:paraId="6FDA3EBA" w14:textId="77777777" w:rsidR="005E1CD1" w:rsidRPr="003A7420" w:rsidRDefault="005E1CD1" w:rsidP="008127BB">
            <w:pPr>
              <w:spacing w:line="240" w:lineRule="auto"/>
              <w:contextualSpacing/>
              <w:rPr>
                <w:bCs/>
              </w:rPr>
            </w:pPr>
            <w:r>
              <w:rPr>
                <w:bCs/>
              </w:rPr>
              <w:t>inCLASS</w:t>
            </w:r>
          </w:p>
        </w:tc>
        <w:tc>
          <w:tcPr>
            <w:tcW w:w="1191" w:type="pct"/>
            <w:tcBorders>
              <w:top w:val="single" w:sz="4" w:space="0" w:color="auto"/>
              <w:bottom w:val="single" w:sz="4" w:space="0" w:color="auto"/>
            </w:tcBorders>
          </w:tcPr>
          <w:p w14:paraId="22A569F9" w14:textId="77777777" w:rsidR="005E1CD1" w:rsidRPr="003A7420" w:rsidRDefault="005E1CD1" w:rsidP="008127BB">
            <w:pPr>
              <w:spacing w:line="240" w:lineRule="auto"/>
              <w:contextualSpacing/>
              <w:rPr>
                <w:bCs/>
              </w:rPr>
            </w:pPr>
            <w:r w:rsidRPr="003A7420">
              <w:rPr>
                <w:bCs/>
              </w:rPr>
              <w:t>DECA</w:t>
            </w:r>
          </w:p>
          <w:p w14:paraId="3EDF276F" w14:textId="77777777" w:rsidR="005E1CD1" w:rsidRDefault="005E1CD1" w:rsidP="008127BB">
            <w:pPr>
              <w:spacing w:line="240" w:lineRule="auto"/>
              <w:contextualSpacing/>
              <w:rPr>
                <w:bCs/>
              </w:rPr>
            </w:pPr>
            <w:r w:rsidRPr="003A7420">
              <w:rPr>
                <w:bCs/>
              </w:rPr>
              <w:t>Leiter</w:t>
            </w:r>
          </w:p>
          <w:p w14:paraId="11F8AD16" w14:textId="77777777" w:rsidR="005E1CD1" w:rsidRDefault="005E1CD1" w:rsidP="008127BB">
            <w:pPr>
              <w:spacing w:line="240" w:lineRule="auto"/>
              <w:contextualSpacing/>
              <w:rPr>
                <w:bCs/>
              </w:rPr>
            </w:pPr>
            <w:r>
              <w:rPr>
                <w:bCs/>
              </w:rPr>
              <w:t>Woodcock-Johnson</w:t>
            </w:r>
          </w:p>
          <w:p w14:paraId="0C14DDB7" w14:textId="77777777" w:rsidR="005E1CD1" w:rsidRDefault="005E1CD1" w:rsidP="008127BB">
            <w:pPr>
              <w:spacing w:line="240" w:lineRule="auto"/>
              <w:contextualSpacing/>
              <w:rPr>
                <w:bCs/>
              </w:rPr>
            </w:pPr>
            <w:r>
              <w:rPr>
                <w:bCs/>
              </w:rPr>
              <w:t>BRACKEN</w:t>
            </w:r>
          </w:p>
          <w:p w14:paraId="178A7C37" w14:textId="77777777" w:rsidR="005E1CD1" w:rsidRPr="003A7420" w:rsidRDefault="005E1CD1" w:rsidP="008127BB">
            <w:pPr>
              <w:spacing w:line="240" w:lineRule="auto"/>
              <w:contextualSpacing/>
              <w:rPr>
                <w:bCs/>
              </w:rPr>
            </w:pPr>
            <w:r>
              <w:rPr>
                <w:bCs/>
              </w:rPr>
              <w:t>Task-Based EF measures</w:t>
            </w:r>
          </w:p>
        </w:tc>
      </w:tr>
    </w:tbl>
    <w:p w14:paraId="4D792423" w14:textId="77777777" w:rsidR="005E1CD1" w:rsidRDefault="005E1CD1" w:rsidP="005E1CD1">
      <w:pPr>
        <w:contextualSpacing/>
        <w:rPr>
          <w:b/>
        </w:rPr>
      </w:pPr>
    </w:p>
    <w:p w14:paraId="3B6C347F" w14:textId="32AE71E7" w:rsidR="005E1CD1" w:rsidRPr="006F0289" w:rsidRDefault="005E1CD1" w:rsidP="00CC6470">
      <w:pPr>
        <w:pStyle w:val="Heading2"/>
      </w:pPr>
      <w:bookmarkStart w:id="170" w:name="_Toc44255210"/>
      <w:bookmarkStart w:id="171" w:name="_Toc46265552"/>
      <w:r w:rsidRPr="006F0289">
        <w:t>Participants</w:t>
      </w:r>
      <w:bookmarkEnd w:id="170"/>
      <w:bookmarkEnd w:id="171"/>
      <w:r w:rsidRPr="006F0289">
        <w:t xml:space="preserve"> </w:t>
      </w:r>
    </w:p>
    <w:p w14:paraId="4126C78D" w14:textId="77777777" w:rsidR="005E1CD1" w:rsidRDefault="005E1CD1" w:rsidP="005E1CD1">
      <w:pPr>
        <w:ind w:firstLine="720"/>
        <w:contextualSpacing/>
        <w:rPr>
          <w:bCs/>
        </w:rPr>
      </w:pPr>
      <w:r w:rsidRPr="006F0289">
        <w:rPr>
          <w:bCs/>
        </w:rPr>
        <w:t xml:space="preserve">Participants </w:t>
      </w:r>
      <w:r>
        <w:rPr>
          <w:bCs/>
        </w:rPr>
        <w:t xml:space="preserve">for this study included </w:t>
      </w:r>
      <w:r w:rsidRPr="006F0289">
        <w:rPr>
          <w:bCs/>
        </w:rPr>
        <w:t>children</w:t>
      </w:r>
      <w:r>
        <w:rPr>
          <w:bCs/>
        </w:rPr>
        <w:t xml:space="preserve"> (n = 268)</w:t>
      </w:r>
      <w:r w:rsidRPr="006F0289">
        <w:rPr>
          <w:bCs/>
        </w:rPr>
        <w:t xml:space="preserve"> </w:t>
      </w:r>
      <w:r>
        <w:rPr>
          <w:bCs/>
        </w:rPr>
        <w:t xml:space="preserve">who were </w:t>
      </w:r>
      <w:r w:rsidRPr="006F0289">
        <w:rPr>
          <w:bCs/>
        </w:rPr>
        <w:t xml:space="preserve">enrolled in </w:t>
      </w:r>
      <w:r>
        <w:rPr>
          <w:bCs/>
        </w:rPr>
        <w:t xml:space="preserve">61 classrooms from 1 Head Start program </w:t>
      </w:r>
      <w:r w:rsidRPr="006F0289">
        <w:rPr>
          <w:bCs/>
        </w:rPr>
        <w:t xml:space="preserve">in a medium-sized city in the United States. </w:t>
      </w:r>
      <w:r>
        <w:rPr>
          <w:bCs/>
        </w:rPr>
        <w:t xml:space="preserve">Given that the children qualify for Head Start, </w:t>
      </w:r>
      <w:proofErr w:type="gramStart"/>
      <w:r>
        <w:rPr>
          <w:bCs/>
        </w:rPr>
        <w:t>the vast majority of</w:t>
      </w:r>
      <w:proofErr w:type="gramEnd"/>
      <w:r>
        <w:rPr>
          <w:bCs/>
        </w:rPr>
        <w:t xml:space="preserve"> the sample was low income. Recruitment of the identified children occurred when research assistants approached the child’s parent or guardian before or after school to discuss the study and secured informed consent.</w:t>
      </w:r>
      <w:r w:rsidRPr="006F0289">
        <w:rPr>
          <w:bCs/>
        </w:rPr>
        <w:t xml:space="preserve"> </w:t>
      </w:r>
      <w:r>
        <w:rPr>
          <w:bCs/>
        </w:rPr>
        <w:t>Each c</w:t>
      </w:r>
      <w:r w:rsidRPr="006F0289">
        <w:rPr>
          <w:bCs/>
        </w:rPr>
        <w:t>hild</w:t>
      </w:r>
      <w:r>
        <w:rPr>
          <w:bCs/>
        </w:rPr>
        <w:t xml:space="preserve"> </w:t>
      </w:r>
      <w:r w:rsidRPr="006F0289">
        <w:rPr>
          <w:bCs/>
        </w:rPr>
        <w:t xml:space="preserve">assent to participate </w:t>
      </w:r>
      <w:r>
        <w:rPr>
          <w:bCs/>
        </w:rPr>
        <w:t xml:space="preserve">was monitored during the assessments by the trained assessors; children who became upset or refuse to answer questions were returned to their classrooms. Two additional attempts, on different days, were made to assess children who had previously refused to participate. </w:t>
      </w:r>
    </w:p>
    <w:p w14:paraId="07C236C8" w14:textId="77777777" w:rsidR="005E1CD1" w:rsidRPr="006F0289" w:rsidRDefault="005E1CD1" w:rsidP="005E1CD1">
      <w:pPr>
        <w:ind w:firstLine="720"/>
        <w:contextualSpacing/>
        <w:rPr>
          <w:bCs/>
        </w:rPr>
      </w:pPr>
      <w:r>
        <w:rPr>
          <w:bCs/>
        </w:rPr>
        <w:t xml:space="preserve">Participants ranged in age from 28 to 59 months, although for this study, the 268 children who are either 3 (135) or 4 (133) will be used. </w:t>
      </w:r>
      <w:proofErr w:type="gramStart"/>
      <w:r>
        <w:rPr>
          <w:bCs/>
        </w:rPr>
        <w:t>The majority of</w:t>
      </w:r>
      <w:proofErr w:type="gramEnd"/>
      <w:r>
        <w:rPr>
          <w:bCs/>
        </w:rPr>
        <w:t xml:space="preserve"> participants Hispanic (35%) or Black/African American (25%) or white (19%). There were slightly more boys than girls in the sample (female=43%). Most participants (58.3%) home language was English, while 36.8% of participants’ home language was Spanish. </w:t>
      </w:r>
    </w:p>
    <w:p w14:paraId="40BC3FDE" w14:textId="358EDC08" w:rsidR="005E1CD1" w:rsidRPr="00B141DA" w:rsidRDefault="005E1CD1" w:rsidP="00CC6470">
      <w:pPr>
        <w:pStyle w:val="Heading2"/>
      </w:pPr>
      <w:bookmarkStart w:id="172" w:name="_Toc44255211"/>
      <w:bookmarkStart w:id="173" w:name="_Toc46265553"/>
      <w:r w:rsidRPr="00B141DA">
        <w:t>Measures</w:t>
      </w:r>
      <w:bookmarkEnd w:id="172"/>
      <w:bookmarkEnd w:id="173"/>
      <w:r w:rsidRPr="00B141DA">
        <w:t xml:space="preserve"> </w:t>
      </w:r>
    </w:p>
    <w:p w14:paraId="10EAFDBF" w14:textId="697B4F9E" w:rsidR="005E1CD1" w:rsidRPr="00FE2280" w:rsidRDefault="005E1CD1" w:rsidP="005E1CD1">
      <w:pPr>
        <w:ind w:firstLine="720"/>
        <w:contextualSpacing/>
        <w:rPr>
          <w:bCs/>
        </w:rPr>
      </w:pPr>
      <w:bookmarkStart w:id="174" w:name="_Toc44255212"/>
      <w:bookmarkStart w:id="175" w:name="_Toc46265554"/>
      <w:r>
        <w:rPr>
          <w:rStyle w:val="Heading3Char"/>
        </w:rPr>
        <w:t>Approaches to Learning</w:t>
      </w:r>
      <w:bookmarkEnd w:id="174"/>
      <w:bookmarkEnd w:id="175"/>
      <w:r>
        <w:rPr>
          <w:b/>
        </w:rPr>
        <w:t xml:space="preserve">. </w:t>
      </w:r>
      <w:r>
        <w:rPr>
          <w:bCs/>
        </w:rPr>
        <w:t xml:space="preserve">Children’s ATL will be measured through multiple informants and methods--classroom-based observation, teacher report, and assessor report. These varied approaches will provide a range of information about children’s ATL. </w:t>
      </w:r>
    </w:p>
    <w:p w14:paraId="53C30133" w14:textId="77777777" w:rsidR="00D83970" w:rsidRPr="00062A3E" w:rsidRDefault="005E1CD1" w:rsidP="00D83970">
      <w:pPr>
        <w:pStyle w:val="Heading4"/>
        <w:rPr>
          <w:vanish/>
          <w:specVanish/>
        </w:rPr>
      </w:pPr>
      <w:bookmarkStart w:id="176" w:name="_Toc44255213"/>
      <w:bookmarkStart w:id="177" w:name="_Toc46265555"/>
      <w:r w:rsidRPr="00062A3E">
        <w:t>Individual Classroom Assessment Scoring System</w:t>
      </w:r>
      <w:bookmarkEnd w:id="176"/>
      <w:bookmarkEnd w:id="177"/>
      <w:r w:rsidRPr="00062A3E">
        <w:t xml:space="preserve"> </w:t>
      </w:r>
    </w:p>
    <w:p w14:paraId="2215308D" w14:textId="7B11E999" w:rsidR="005E1CD1" w:rsidRPr="00062A3E" w:rsidRDefault="00D83970" w:rsidP="00D83970">
      <w:pPr>
        <w:rPr>
          <w:vanish/>
          <w:specVanish/>
        </w:rPr>
      </w:pPr>
      <w:r>
        <w:t xml:space="preserve"> </w:t>
      </w:r>
      <w:r w:rsidR="005E1CD1" w:rsidRPr="00062A3E">
        <w:t>(inCLASS; Downer et al., 2010)</w:t>
      </w:r>
      <w:r w:rsidR="005E1CD1">
        <w:t xml:space="preserve">. The Individual Classroom Assessment Scoring System (inCLASS) is a child-focused observational assessment of children’s positive and active engagement with teachers, peer, and </w:t>
      </w:r>
      <w:r w:rsidR="005E1CD1">
        <w:lastRenderedPageBreak/>
        <w:t>tasks in preschool (Downer et al., 2010). During an observation cycle, the target child is observed for ten minutes and then rated along ten dimensions on a seven-point scale from one (low) to seven (high)</w:t>
      </w:r>
      <w:r w:rsidR="005E1CD1" w:rsidRPr="00953E5D">
        <w:t xml:space="preserve"> </w:t>
      </w:r>
      <w:r w:rsidR="005E1CD1" w:rsidRPr="007F2113">
        <w:t xml:space="preserve">(Yoder, Williford, &amp; </w:t>
      </w:r>
      <w:proofErr w:type="spellStart"/>
      <w:r w:rsidR="005E1CD1" w:rsidRPr="007F2113">
        <w:t>Vitiello</w:t>
      </w:r>
      <w:proofErr w:type="spellEnd"/>
      <w:r w:rsidR="005E1CD1" w:rsidRPr="007F2113">
        <w:t>, 2019)</w:t>
      </w:r>
      <w:r w:rsidR="005E1CD1">
        <w:t xml:space="preserve">. Summary scores for each domain are created by averaging items within a domain. Ratings incorporate both the quality and the frequency of the behaviors. The inCLASS also has checklists to record setting-related factors that occur during observation cycles. These include whether the teacher was present, activity settings (large group, small group, free choice, meals, etc.) and whether the teacher was directing the activity. </w:t>
      </w:r>
    </w:p>
    <w:p w14:paraId="53C94FB3" w14:textId="77777777" w:rsidR="00D83970" w:rsidRDefault="00062A3E" w:rsidP="00D83970">
      <w:r>
        <w:t xml:space="preserve"> </w:t>
      </w:r>
    </w:p>
    <w:p w14:paraId="04267E2C" w14:textId="77777777" w:rsidR="00D83970" w:rsidRDefault="005E1CD1" w:rsidP="00D83970">
      <w:pPr>
        <w:ind w:firstLine="720"/>
      </w:pPr>
      <w:r>
        <w:t xml:space="preserve">The inCLASS includes ten dimensions across three domains (teacher interactions, peer interactions, and task orientation). For this study, the domain of task orientation will be explored. This includes three dimensions—engagement within tasks, </w:t>
      </w:r>
      <w:proofErr w:type="gramStart"/>
      <w:r>
        <w:t>self-reliance</w:t>
      </w:r>
      <w:proofErr w:type="gramEnd"/>
      <w:r>
        <w:t xml:space="preserve"> and behavioral control. Engagement within tasks is a measure of the degree to which a child is consistently and actively involved in classroom tasks. Self-reliance measures the degree to which a child takes learning into their own hands, which includes things like opportunity seeking and resource utilization. Finally, behavior control measures the degree to which the child regulates their movements and speech to match the setting. In addition, the domain “conflict interactions” will be used. This domain includes both peer conflict and measures the degree to which children’s interactions are characterized by tension, resistance, and negativity. Confirmatory factor analysis from both the inCLASS pilot and field study indicated that these two dimensions loaded separately onto the conflict interaction domain </w:t>
      </w:r>
      <w:r w:rsidRPr="001378FB">
        <w:t>(University of Virginia CASTL, 2012)</w:t>
      </w:r>
      <w:r>
        <w:t xml:space="preserve">. </w:t>
      </w:r>
    </w:p>
    <w:p w14:paraId="350D40E7" w14:textId="0C892393" w:rsidR="005E1CD1" w:rsidRPr="00D83970" w:rsidRDefault="005E1CD1" w:rsidP="00D83970">
      <w:pPr>
        <w:ind w:firstLine="720"/>
        <w:rPr>
          <w:vanish/>
          <w:specVanish/>
        </w:rPr>
      </w:pPr>
      <w:r w:rsidRPr="0085571F">
        <w:t xml:space="preserve">Several studies have researched the psychometric properties of the inCLASS. For example, Downer et al. (2010) </w:t>
      </w:r>
      <w:r>
        <w:t xml:space="preserve">found support for concurrent validity when </w:t>
      </w:r>
      <w:r w:rsidRPr="0085571F">
        <w:t>the positive engagement with teachers</w:t>
      </w:r>
      <w:r>
        <w:t xml:space="preserve"> inCLASS dimension </w:t>
      </w:r>
      <w:r w:rsidRPr="0085571F">
        <w:t>was positively related to ra</w:t>
      </w:r>
      <w:r>
        <w:t>t</w:t>
      </w:r>
      <w:r w:rsidRPr="0085571F">
        <w:t>ing</w:t>
      </w:r>
      <w:r>
        <w:t>s</w:t>
      </w:r>
      <w:r w:rsidRPr="0085571F">
        <w:t xml:space="preserve"> of teacher-child </w:t>
      </w:r>
      <w:r w:rsidRPr="0085571F">
        <w:lastRenderedPageBreak/>
        <w:t>closeness and child assertiveness</w:t>
      </w:r>
      <w:r>
        <w:rPr>
          <w:color w:val="7030A0"/>
        </w:rPr>
        <w:t xml:space="preserve">. </w:t>
      </w:r>
      <w:r w:rsidRPr="000A3EE1">
        <w:t>The inCLASS has also shown construct and criterion validity specific t</w:t>
      </w:r>
      <w:r>
        <w:t>o</w:t>
      </w:r>
      <w:r w:rsidRPr="000A3EE1">
        <w:t xml:space="preserve"> both positive and negative peer engagement, with studies identifying mil</w:t>
      </w:r>
      <w:r>
        <w:t>d</w:t>
      </w:r>
      <w:r w:rsidRPr="000A3EE1">
        <w:t xml:space="preserve"> or moderate associations between the inCLASS peer dimensions and teacher-rated social skills on measures such as the Teacher-Child Rating </w:t>
      </w:r>
      <w:r>
        <w:t xml:space="preserve">Scale </w:t>
      </w:r>
      <w:r w:rsidRPr="000A3EE1">
        <w:t xml:space="preserve">(Downer et al., 2010). </w:t>
      </w:r>
      <w:r>
        <w:t>The inCLASS also has demonstrated discriminant validity, as the teacher interaction domain was largely unrelated to any task-peer and conflict focused rating scales</w:t>
      </w:r>
      <w:r>
        <w:rPr>
          <w:color w:val="7030A0"/>
        </w:rPr>
        <w:t xml:space="preserve"> </w:t>
      </w:r>
      <w:r w:rsidRPr="00004B4B">
        <w:t>(Downer et al., 2010; Williford et al., 2013)</w:t>
      </w:r>
      <w:r>
        <w:rPr>
          <w:color w:val="7030A0"/>
        </w:rPr>
        <w:t xml:space="preserve"> </w:t>
      </w:r>
      <w:r w:rsidRPr="000A3EE1">
        <w:t>The inCLASS</w:t>
      </w:r>
      <w:r>
        <w:t xml:space="preserve"> was able to maintain measurement properties across demographic groups including poverty status, ethnicity, and gender </w:t>
      </w:r>
      <w:r w:rsidRPr="000A3EE1">
        <w:t>(</w:t>
      </w:r>
      <w:proofErr w:type="spellStart"/>
      <w:r w:rsidRPr="000A3EE1">
        <w:t>Bohlmann</w:t>
      </w:r>
      <w:proofErr w:type="spellEnd"/>
      <w:r w:rsidRPr="000A3EE1">
        <w:t xml:space="preserve"> et al., 2019)</w:t>
      </w:r>
      <w:r>
        <w:t xml:space="preserve">. It has also been associated with measures of school readiness and self-regulation, indicating that the inCLASS is able to capture behaviors relevant to the learning process </w:t>
      </w:r>
      <w:r w:rsidRPr="00C531F7">
        <w:t>(Sabol et al., 2018)</w:t>
      </w:r>
      <w:r>
        <w:t xml:space="preserve">. </w:t>
      </w:r>
    </w:p>
    <w:p w14:paraId="587FC04C" w14:textId="6D0364F6" w:rsidR="005E1CD1" w:rsidRDefault="00D83970" w:rsidP="005E1CD1">
      <w:pPr>
        <w:ind w:firstLine="720"/>
        <w:rPr>
          <w:bCs/>
        </w:rPr>
      </w:pPr>
      <w:r>
        <w:rPr>
          <w:rStyle w:val="Heading4Char"/>
        </w:rPr>
        <w:t xml:space="preserve"> </w:t>
      </w:r>
      <w:bookmarkStart w:id="178" w:name="_Toc44255214"/>
      <w:bookmarkStart w:id="179" w:name="_Toc46265556"/>
      <w:r w:rsidR="005E1CD1" w:rsidRPr="00226569">
        <w:rPr>
          <w:rStyle w:val="Heading4Char"/>
        </w:rPr>
        <w:t>Devereux Early Childhood Assessment, Preschool 2nd edition</w:t>
      </w:r>
      <w:bookmarkEnd w:id="178"/>
      <w:bookmarkEnd w:id="179"/>
      <w:r w:rsidR="005E1CD1" w:rsidRPr="003F1CD0">
        <w:rPr>
          <w:b/>
          <w:i/>
          <w:iCs/>
        </w:rPr>
        <w:t xml:space="preserve"> (DECA</w:t>
      </w:r>
      <w:r w:rsidR="005E1CD1">
        <w:rPr>
          <w:b/>
          <w:i/>
          <w:iCs/>
        </w:rPr>
        <w:t>-2P</w:t>
      </w:r>
      <w:r w:rsidR="005E1CD1" w:rsidRPr="003F1CD0">
        <w:rPr>
          <w:b/>
          <w:i/>
          <w:iCs/>
        </w:rPr>
        <w:t>;</w:t>
      </w:r>
      <w:r w:rsidR="005E1CD1">
        <w:rPr>
          <w:b/>
          <w:i/>
          <w:iCs/>
        </w:rPr>
        <w:t xml:space="preserve"> </w:t>
      </w:r>
      <w:proofErr w:type="spellStart"/>
      <w:r w:rsidR="005E1CD1">
        <w:rPr>
          <w:b/>
          <w:i/>
          <w:iCs/>
        </w:rPr>
        <w:t>LeBuffe</w:t>
      </w:r>
      <w:proofErr w:type="spellEnd"/>
      <w:r w:rsidR="005E1CD1">
        <w:rPr>
          <w:b/>
          <w:i/>
          <w:iCs/>
        </w:rPr>
        <w:t xml:space="preserve"> &amp; </w:t>
      </w:r>
      <w:proofErr w:type="spellStart"/>
      <w:r w:rsidR="005E1CD1">
        <w:rPr>
          <w:b/>
          <w:i/>
          <w:iCs/>
        </w:rPr>
        <w:t>Naglieri</w:t>
      </w:r>
      <w:proofErr w:type="spellEnd"/>
      <w:r w:rsidR="005E1CD1">
        <w:rPr>
          <w:b/>
          <w:i/>
          <w:iCs/>
        </w:rPr>
        <w:t xml:space="preserve">, 1999). </w:t>
      </w:r>
      <w:r w:rsidR="005E1CD1">
        <w:rPr>
          <w:bCs/>
        </w:rPr>
        <w:t>The D</w:t>
      </w:r>
      <w:r w:rsidR="005E1CD1" w:rsidRPr="003F1CD0">
        <w:rPr>
          <w:bCs/>
        </w:rPr>
        <w:t>ECA is a standardized, norm</w:t>
      </w:r>
      <w:r w:rsidR="005E1CD1">
        <w:rPr>
          <w:bCs/>
        </w:rPr>
        <w:t>-</w:t>
      </w:r>
      <w:r w:rsidR="005E1CD1" w:rsidRPr="003F1CD0">
        <w:rPr>
          <w:bCs/>
        </w:rPr>
        <w:t>referenced rating scale used to ass</w:t>
      </w:r>
      <w:r w:rsidR="005E1CD1">
        <w:rPr>
          <w:bCs/>
        </w:rPr>
        <w:t>ess</w:t>
      </w:r>
      <w:r w:rsidR="005E1CD1" w:rsidRPr="003F1CD0">
        <w:rPr>
          <w:bCs/>
        </w:rPr>
        <w:t xml:space="preserve"> </w:t>
      </w:r>
      <w:r w:rsidR="005E1CD1">
        <w:rPr>
          <w:bCs/>
        </w:rPr>
        <w:t>the</w:t>
      </w:r>
      <w:r w:rsidR="005E1CD1" w:rsidRPr="003F1CD0">
        <w:rPr>
          <w:bCs/>
        </w:rPr>
        <w:t xml:space="preserve"> behavior and functioning</w:t>
      </w:r>
      <w:r w:rsidR="005E1CD1">
        <w:rPr>
          <w:bCs/>
        </w:rPr>
        <w:t xml:space="preserve"> of children aged 2 to 5 </w:t>
      </w:r>
      <w:r w:rsidR="005E1CD1" w:rsidRPr="00F546A3">
        <w:t>(</w:t>
      </w:r>
      <w:proofErr w:type="spellStart"/>
      <w:r w:rsidR="005E1CD1" w:rsidRPr="00F546A3">
        <w:t>LeBuffe</w:t>
      </w:r>
      <w:proofErr w:type="spellEnd"/>
      <w:r w:rsidR="005E1CD1" w:rsidRPr="00F546A3">
        <w:t xml:space="preserve"> &amp; Shapiro, 2004)</w:t>
      </w:r>
      <w:r w:rsidR="005E1CD1" w:rsidRPr="003F1CD0">
        <w:rPr>
          <w:bCs/>
        </w:rPr>
        <w:t>. The DECA is a strength-based instrument that helps teachers and parents understand the nature of a child</w:t>
      </w:r>
      <w:r w:rsidR="005E1CD1">
        <w:rPr>
          <w:bCs/>
        </w:rPr>
        <w:t>’</w:t>
      </w:r>
      <w:r w:rsidR="005E1CD1" w:rsidRPr="003F1CD0">
        <w:rPr>
          <w:bCs/>
        </w:rPr>
        <w:t>s social, emo</w:t>
      </w:r>
      <w:r w:rsidR="005E1CD1">
        <w:rPr>
          <w:bCs/>
        </w:rPr>
        <w:t>ti</w:t>
      </w:r>
      <w:r w:rsidR="005E1CD1" w:rsidRPr="003F1CD0">
        <w:rPr>
          <w:bCs/>
        </w:rPr>
        <w:t>o</w:t>
      </w:r>
      <w:r w:rsidR="005E1CD1">
        <w:rPr>
          <w:bCs/>
        </w:rPr>
        <w:t>n</w:t>
      </w:r>
      <w:r w:rsidR="005E1CD1" w:rsidRPr="003F1CD0">
        <w:rPr>
          <w:bCs/>
        </w:rPr>
        <w:t>al, and behavioral functioning</w:t>
      </w:r>
      <w:r w:rsidR="005E1CD1">
        <w:rPr>
          <w:bCs/>
        </w:rPr>
        <w:t xml:space="preserve"> </w:t>
      </w:r>
      <w:r w:rsidR="005E1CD1" w:rsidRPr="00A2576F">
        <w:t xml:space="preserve">(Crane, </w:t>
      </w:r>
      <w:proofErr w:type="spellStart"/>
      <w:r w:rsidR="005E1CD1" w:rsidRPr="00A2576F">
        <w:t>Mincic</w:t>
      </w:r>
      <w:proofErr w:type="spellEnd"/>
      <w:r w:rsidR="005E1CD1" w:rsidRPr="00A2576F">
        <w:t xml:space="preserve">, &amp; </w:t>
      </w:r>
      <w:proofErr w:type="spellStart"/>
      <w:r w:rsidR="005E1CD1" w:rsidRPr="00A2576F">
        <w:t>Winsler</w:t>
      </w:r>
      <w:proofErr w:type="spellEnd"/>
      <w:r w:rsidR="005E1CD1" w:rsidRPr="00A2576F">
        <w:t>, 2011)</w:t>
      </w:r>
      <w:r w:rsidR="005E1CD1" w:rsidRPr="003F1CD0">
        <w:rPr>
          <w:bCs/>
        </w:rPr>
        <w:t>.</w:t>
      </w:r>
      <w:r w:rsidR="005E1CD1">
        <w:rPr>
          <w:bCs/>
        </w:rPr>
        <w:t xml:space="preserve"> In particular, the DECA was designed to help identify children’s strengths and resilience, compared to other measures emphasizing children’s pathology </w:t>
      </w:r>
      <w:r w:rsidR="005E1CD1" w:rsidRPr="00A2576F">
        <w:t>(</w:t>
      </w:r>
      <w:proofErr w:type="spellStart"/>
      <w:r w:rsidR="005E1CD1" w:rsidRPr="00A2576F">
        <w:t>LeBuffe</w:t>
      </w:r>
      <w:proofErr w:type="spellEnd"/>
      <w:r w:rsidR="005E1CD1" w:rsidRPr="00A2576F">
        <w:t xml:space="preserve"> &amp; </w:t>
      </w:r>
      <w:proofErr w:type="spellStart"/>
      <w:r w:rsidR="005E1CD1" w:rsidRPr="00A2576F">
        <w:t>Naglieri</w:t>
      </w:r>
      <w:proofErr w:type="spellEnd"/>
      <w:r w:rsidR="005E1CD1" w:rsidRPr="00A2576F">
        <w:t>, 1999)</w:t>
      </w:r>
      <w:r w:rsidR="005E1CD1">
        <w:rPr>
          <w:bCs/>
        </w:rPr>
        <w:t>.</w:t>
      </w:r>
    </w:p>
    <w:p w14:paraId="38011068" w14:textId="77777777" w:rsidR="005E1CD1" w:rsidRPr="003F1CD0" w:rsidRDefault="005E1CD1" w:rsidP="005E1CD1">
      <w:pPr>
        <w:ind w:firstLine="720"/>
        <w:rPr>
          <w:bCs/>
        </w:rPr>
      </w:pPr>
      <w:r>
        <w:rPr>
          <w:bCs/>
        </w:rPr>
        <w:t xml:space="preserve">Caregivers </w:t>
      </w:r>
      <w:r w:rsidRPr="003F1CD0">
        <w:rPr>
          <w:bCs/>
        </w:rPr>
        <w:t xml:space="preserve">rate children on a 5-point scale according to how often (never, rarely, occasionally, frequently, very frequently) behavior has been observed within the last four months. These ratings produce two different scores: behavioral concerns (10 items) and total protective factors (27 items). </w:t>
      </w:r>
      <w:r>
        <w:rPr>
          <w:bCs/>
        </w:rPr>
        <w:t xml:space="preserve">Factor analysis across multiple studies </w:t>
      </w:r>
      <w:r w:rsidRPr="004268E5">
        <w:t xml:space="preserve">(Crane et al., 2011; </w:t>
      </w:r>
      <w:proofErr w:type="spellStart"/>
      <w:r w:rsidRPr="004268E5">
        <w:t>LeBuffe</w:t>
      </w:r>
      <w:proofErr w:type="spellEnd"/>
      <w:r w:rsidRPr="004268E5">
        <w:t xml:space="preserve"> &amp; Shapiro, 2004)</w:t>
      </w:r>
      <w:r>
        <w:rPr>
          <w:bCs/>
        </w:rPr>
        <w:t xml:space="preserve"> has shown the protective items load onto three factors. These include initiative, the child’s ability to use independent thought and action to meet his/her needs; self-control, the </w:t>
      </w:r>
      <w:r>
        <w:rPr>
          <w:bCs/>
        </w:rPr>
        <w:lastRenderedPageBreak/>
        <w:t xml:space="preserve">child’s ability to experience a range of feelings and express them; and attachment, a measure of the mutual, strong and long-lasting relationship between the child and a significant adult. For this study, initiative and self-control will be explored as well as the behavioral concerns (all items). </w:t>
      </w:r>
    </w:p>
    <w:p w14:paraId="1BDF35BB" w14:textId="77777777" w:rsidR="005E1CD1" w:rsidRDefault="005E1CD1" w:rsidP="005E1CD1">
      <w:pPr>
        <w:ind w:firstLine="720"/>
        <w:rPr>
          <w:rFonts w:eastAsiaTheme="minorEastAsia" w:cstheme="minorHAnsi"/>
        </w:rPr>
      </w:pPr>
      <w:r w:rsidRPr="003F1CD0">
        <w:rPr>
          <w:rFonts w:eastAsiaTheme="minorEastAsia" w:cstheme="minorHAnsi"/>
        </w:rPr>
        <w:t xml:space="preserve">The DECA has demonstrated </w:t>
      </w:r>
      <w:r>
        <w:rPr>
          <w:rFonts w:eastAsiaTheme="minorEastAsia" w:cstheme="minorHAnsi"/>
        </w:rPr>
        <w:t xml:space="preserve">acceptable </w:t>
      </w:r>
      <w:r w:rsidRPr="003F1CD0">
        <w:rPr>
          <w:rFonts w:eastAsiaTheme="minorEastAsia" w:cstheme="minorHAnsi"/>
        </w:rPr>
        <w:t>psychometric properties. For example, to establish criterion validity, the authors conducted a st</w:t>
      </w:r>
      <w:r>
        <w:rPr>
          <w:rFonts w:eastAsiaTheme="minorEastAsia" w:cstheme="minorHAnsi"/>
        </w:rPr>
        <w:t>udy</w:t>
      </w:r>
      <w:r w:rsidRPr="003F1CD0">
        <w:rPr>
          <w:rFonts w:eastAsiaTheme="minorEastAsia" w:cstheme="minorHAnsi"/>
        </w:rPr>
        <w:t xml:space="preserve"> of the predict</w:t>
      </w:r>
      <w:r>
        <w:rPr>
          <w:rFonts w:eastAsiaTheme="minorEastAsia" w:cstheme="minorHAnsi"/>
        </w:rPr>
        <w:t>ive</w:t>
      </w:r>
      <w:r w:rsidRPr="003F1CD0">
        <w:rPr>
          <w:rFonts w:eastAsiaTheme="minorEastAsia" w:cstheme="minorHAnsi"/>
        </w:rPr>
        <w:t xml:space="preserve"> valid</w:t>
      </w:r>
      <w:r>
        <w:rPr>
          <w:rFonts w:eastAsiaTheme="minorEastAsia" w:cstheme="minorHAnsi"/>
        </w:rPr>
        <w:t>it</w:t>
      </w:r>
      <w:r w:rsidRPr="003F1CD0">
        <w:rPr>
          <w:rFonts w:eastAsiaTheme="minorEastAsia" w:cstheme="minorHAnsi"/>
        </w:rPr>
        <w:t>y of the DE</w:t>
      </w:r>
      <w:r>
        <w:rPr>
          <w:rFonts w:eastAsiaTheme="minorEastAsia" w:cstheme="minorHAnsi"/>
        </w:rPr>
        <w:t>C</w:t>
      </w:r>
      <w:r w:rsidRPr="003F1CD0">
        <w:rPr>
          <w:rFonts w:eastAsiaTheme="minorEastAsia" w:cstheme="minorHAnsi"/>
        </w:rPr>
        <w:t>A to correctly identify children as part of a clinical or matched non</w:t>
      </w:r>
      <w:r>
        <w:rPr>
          <w:rFonts w:eastAsiaTheme="minorEastAsia" w:cstheme="minorHAnsi"/>
        </w:rPr>
        <w:t>-</w:t>
      </w:r>
      <w:r w:rsidRPr="003F1CD0">
        <w:rPr>
          <w:rFonts w:eastAsiaTheme="minorEastAsia" w:cstheme="minorHAnsi"/>
        </w:rPr>
        <w:t>referred sample; the total protective facto</w:t>
      </w:r>
      <w:r>
        <w:rPr>
          <w:rFonts w:eastAsiaTheme="minorEastAsia" w:cstheme="minorHAnsi"/>
        </w:rPr>
        <w:t>r</w:t>
      </w:r>
      <w:r w:rsidRPr="003F1CD0">
        <w:rPr>
          <w:rFonts w:eastAsiaTheme="minorEastAsia" w:cstheme="minorHAnsi"/>
        </w:rPr>
        <w:t xml:space="preserve">s were able to correctly classify 69% of the children. </w:t>
      </w:r>
      <w:r>
        <w:rPr>
          <w:rFonts w:eastAsiaTheme="minorEastAsia" w:cstheme="minorHAnsi"/>
        </w:rPr>
        <w:t xml:space="preserve">Lien and Carlson </w:t>
      </w:r>
      <w:r w:rsidRPr="000E6A7A">
        <w:t>(2009)</w:t>
      </w:r>
      <w:r>
        <w:rPr>
          <w:rFonts w:eastAsiaTheme="minorEastAsia" w:cstheme="minorHAnsi"/>
        </w:rPr>
        <w:t xml:space="preserve"> provided evidence that the internal consistency and standard error of measurement values on the DECA for a Head Start sample that closely mirrored those of the standardization sample, indicating that the measure was reliable with Head Start populations. Similarly, Crane et al. </w:t>
      </w:r>
      <w:r w:rsidRPr="00A2576F">
        <w:t>(2011)</w:t>
      </w:r>
      <w:r>
        <w:rPr>
          <w:rFonts w:eastAsiaTheme="minorEastAsia" w:cstheme="minorHAnsi"/>
        </w:rPr>
        <w:t xml:space="preserve"> demonstrated that the measure had internal consistency within a low-income and ethnically diverse sample and that there were no differences in internal consistency between the Spanish and English versions of the DECA. A study by </w:t>
      </w:r>
      <w:proofErr w:type="spellStart"/>
      <w:r>
        <w:rPr>
          <w:rFonts w:eastAsiaTheme="minorEastAsia" w:cstheme="minorHAnsi"/>
        </w:rPr>
        <w:t>LeBuffe</w:t>
      </w:r>
      <w:proofErr w:type="spellEnd"/>
      <w:r>
        <w:rPr>
          <w:rFonts w:eastAsiaTheme="minorEastAsia" w:cstheme="minorHAnsi"/>
        </w:rPr>
        <w:t xml:space="preserve"> and Shapiro (2004) provided evidence that the DECA was able to discriminate between groups of preschoolers with and without emotional difficulties and was able to predict behavioral concerns. </w:t>
      </w:r>
    </w:p>
    <w:p w14:paraId="5D1D1981" w14:textId="4F030A45" w:rsidR="005E1CD1" w:rsidRPr="009B7A3A" w:rsidRDefault="005E1CD1" w:rsidP="005E1CD1">
      <w:pPr>
        <w:ind w:firstLine="720"/>
        <w:rPr>
          <w:rFonts w:eastAsiaTheme="minorEastAsia" w:cstheme="minorHAnsi"/>
        </w:rPr>
      </w:pPr>
      <w:bookmarkStart w:id="180" w:name="_Toc44255215"/>
      <w:bookmarkStart w:id="181" w:name="_Toc46265557"/>
      <w:r w:rsidRPr="00226569">
        <w:rPr>
          <w:rStyle w:val="Heading4Char"/>
          <w:rFonts w:eastAsiaTheme="minorEastAsia"/>
        </w:rPr>
        <w:t>Leiter-3 Examiner Rating Scale (</w:t>
      </w:r>
      <w:proofErr w:type="spellStart"/>
      <w:r w:rsidRPr="00226569">
        <w:rPr>
          <w:rStyle w:val="Heading4Char"/>
          <w:rFonts w:eastAsiaTheme="minorEastAsia"/>
        </w:rPr>
        <w:t>Roid</w:t>
      </w:r>
      <w:proofErr w:type="spellEnd"/>
      <w:r w:rsidRPr="00226569">
        <w:rPr>
          <w:rStyle w:val="Heading4Char"/>
          <w:rFonts w:eastAsiaTheme="minorEastAsia"/>
        </w:rPr>
        <w:t xml:space="preserve"> </w:t>
      </w:r>
      <w:r>
        <w:rPr>
          <w:rStyle w:val="Heading4Char"/>
          <w:rFonts w:eastAsiaTheme="minorEastAsia"/>
        </w:rPr>
        <w:t xml:space="preserve">&amp; </w:t>
      </w:r>
      <w:r w:rsidRPr="00226569">
        <w:rPr>
          <w:rStyle w:val="Heading4Char"/>
          <w:rFonts w:eastAsiaTheme="minorEastAsia"/>
        </w:rPr>
        <w:t>Miller, 1997).</w:t>
      </w:r>
      <w:bookmarkEnd w:id="180"/>
      <w:bookmarkEnd w:id="181"/>
      <w:r>
        <w:rPr>
          <w:rFonts w:eastAsiaTheme="minorEastAsia" w:cstheme="minorHAnsi"/>
          <w:b/>
          <w:bCs/>
          <w:i/>
          <w:iCs/>
        </w:rPr>
        <w:t xml:space="preserve"> </w:t>
      </w:r>
      <w:r>
        <w:rPr>
          <w:rFonts w:eastAsiaTheme="minorEastAsia" w:cstheme="minorHAnsi"/>
        </w:rPr>
        <w:t xml:space="preserve">The Leiter-R is a behavior rating scale that is completed by the assessors after a testing session. The assessor is asked to rate children’s behavior from 0 (rarely) to 3 (always). Children are rated according on eight subscales: attention, organization, activity level, sociability, energy/feelings, regulation and mood regulation, anxiety, and sensitivity reactivity. After scoring, the attention, organization, </w:t>
      </w:r>
      <w:proofErr w:type="gramStart"/>
      <w:r>
        <w:rPr>
          <w:rFonts w:eastAsiaTheme="minorEastAsia" w:cstheme="minorHAnsi"/>
        </w:rPr>
        <w:t>activity</w:t>
      </w:r>
      <w:proofErr w:type="gramEnd"/>
      <w:r>
        <w:rPr>
          <w:rFonts w:eastAsiaTheme="minorEastAsia" w:cstheme="minorHAnsi"/>
        </w:rPr>
        <w:t xml:space="preserve"> and sociability scores are combined to create a cognitive/social composite score, and the energy, regulation, anxiety and sensory reaction scores are added to create an emotion regulation composite score. For this study, the items in the cognitive/social composite will be utilized. This </w:t>
      </w:r>
      <w:r>
        <w:rPr>
          <w:rFonts w:eastAsiaTheme="minorEastAsia" w:cstheme="minorHAnsi"/>
        </w:rPr>
        <w:lastRenderedPageBreak/>
        <w:t xml:space="preserve">includes examples such as the child pays attention, persists (attention), thinks and plans before beginning, independently begins tasks (organization), remains in seat appropriately during test, maintains activity level (activity level), interacts positively, alert (sociability), and positive statements regarding performance, confident (energy/feelings). </w:t>
      </w:r>
    </w:p>
    <w:p w14:paraId="40684A25" w14:textId="669EBA3F" w:rsidR="005E1CD1" w:rsidRPr="00CE026A" w:rsidRDefault="005E1CD1" w:rsidP="005E1CD1">
      <w:pPr>
        <w:ind w:firstLine="720"/>
        <w:rPr>
          <w:bCs/>
        </w:rPr>
      </w:pPr>
      <w:bookmarkStart w:id="182" w:name="_Toc44255216"/>
      <w:bookmarkStart w:id="183" w:name="_Toc46265558"/>
      <w:r w:rsidRPr="00226569">
        <w:rPr>
          <w:rStyle w:val="Heading3Char"/>
        </w:rPr>
        <w:t>Task-based executive function.</w:t>
      </w:r>
      <w:bookmarkEnd w:id="182"/>
      <w:bookmarkEnd w:id="183"/>
      <w:r>
        <w:rPr>
          <w:b/>
        </w:rPr>
        <w:t xml:space="preserve"> </w:t>
      </w:r>
      <w:r w:rsidRPr="008A1D81">
        <w:rPr>
          <w:bCs/>
        </w:rPr>
        <w:t xml:space="preserve">Children’s EF </w:t>
      </w:r>
      <w:r>
        <w:rPr>
          <w:bCs/>
        </w:rPr>
        <w:t xml:space="preserve">will be </w:t>
      </w:r>
      <w:r w:rsidRPr="008A1D81">
        <w:rPr>
          <w:bCs/>
        </w:rPr>
        <w:t>measured using three direct assessments</w:t>
      </w:r>
      <w:r>
        <w:rPr>
          <w:bCs/>
        </w:rPr>
        <w:t xml:space="preserve">: </w:t>
      </w:r>
      <w:proofErr w:type="gramStart"/>
      <w:r>
        <w:rPr>
          <w:bCs/>
        </w:rPr>
        <w:t>the</w:t>
      </w:r>
      <w:proofErr w:type="gramEnd"/>
      <w:r>
        <w:rPr>
          <w:bCs/>
        </w:rPr>
        <w:t xml:space="preserve"> Pencil Tap, Digit Span, and the Head Toes Knees and Shoulders. These three measures are thought to capture the multiple components of executive function—inhibitory control, working memory, and cognitive flexibility. As a measure of inhibitory control, the Pencil Tap is a simple yet objective assessment of the child’s ability to suppress the urge to copy the assessor </w:t>
      </w:r>
      <w:r w:rsidRPr="008A1D81">
        <w:t xml:space="preserve">(Blair &amp; </w:t>
      </w:r>
      <w:proofErr w:type="spellStart"/>
      <w:r w:rsidRPr="008A1D81">
        <w:t>Razza</w:t>
      </w:r>
      <w:proofErr w:type="spellEnd"/>
      <w:r w:rsidRPr="008A1D81">
        <w:t>, 2007; McClelland et al., 2007)</w:t>
      </w:r>
      <w:r>
        <w:rPr>
          <w:bCs/>
        </w:rPr>
        <w:t>. Both the child and the assessor have a pencil; if the assessor taps twice, the child is instructed to tap once and vice versa. Children are given three practice trials, and, upon succeeding, are administered sixteen additional tri</w:t>
      </w:r>
      <w:r w:rsidR="00B45A18">
        <w:rPr>
          <w:bCs/>
        </w:rPr>
        <w:t>a</w:t>
      </w:r>
      <w:r>
        <w:rPr>
          <w:bCs/>
        </w:rPr>
        <w:t xml:space="preserve">ls. Each correct trial is scored a one, such that scores range from 0 to 16. This measure is a widely used measure of EF, particularly for younger children </w:t>
      </w:r>
      <w:r w:rsidRPr="00C531F7">
        <w:t>(</w:t>
      </w:r>
      <w:proofErr w:type="spellStart"/>
      <w:r w:rsidRPr="00C531F7">
        <w:t>Fuhs</w:t>
      </w:r>
      <w:proofErr w:type="spellEnd"/>
      <w:r w:rsidRPr="00C531F7">
        <w:t xml:space="preserve">, </w:t>
      </w:r>
      <w:proofErr w:type="spellStart"/>
      <w:r w:rsidRPr="00C531F7">
        <w:t>Farran</w:t>
      </w:r>
      <w:proofErr w:type="spellEnd"/>
      <w:r w:rsidRPr="00C531F7">
        <w:t xml:space="preserve">, &amp; Nesbitt, 2015; B. Hamre, Hatfield, </w:t>
      </w:r>
      <w:proofErr w:type="spellStart"/>
      <w:r w:rsidRPr="00C531F7">
        <w:t>Pianta</w:t>
      </w:r>
      <w:proofErr w:type="spellEnd"/>
      <w:r w:rsidRPr="00C531F7">
        <w:t xml:space="preserve">, &amp; Jamil, 2014; Smith-Donald, Raver, Hayes, &amp; Richardson, 2007; Weiland, </w:t>
      </w:r>
      <w:proofErr w:type="spellStart"/>
      <w:r w:rsidRPr="00C531F7">
        <w:t>Barata</w:t>
      </w:r>
      <w:proofErr w:type="spellEnd"/>
      <w:r w:rsidRPr="00C531F7">
        <w:t>, &amp; Yoshikawa, 2014)</w:t>
      </w:r>
    </w:p>
    <w:p w14:paraId="7BF156F0" w14:textId="77777777" w:rsidR="005E1CD1" w:rsidRPr="00CE026A" w:rsidRDefault="005E1CD1" w:rsidP="005E1CD1">
      <w:pPr>
        <w:ind w:firstLine="720"/>
        <w:rPr>
          <w:rFonts w:eastAsiaTheme="minorEastAsia" w:cstheme="minorHAnsi"/>
        </w:rPr>
      </w:pPr>
      <w:r>
        <w:rPr>
          <w:rFonts w:eastAsiaTheme="minorEastAsia" w:cstheme="minorHAnsi"/>
        </w:rPr>
        <w:t xml:space="preserve">The Digit Span task is an assessment of children’s working memory </w:t>
      </w:r>
      <w:r w:rsidRPr="00A070AC">
        <w:t>(Gathercole &amp; Pickering, 2000)</w:t>
      </w:r>
      <w:r>
        <w:rPr>
          <w:rFonts w:eastAsiaTheme="minorEastAsia" w:cstheme="minorHAnsi"/>
        </w:rPr>
        <w:t xml:space="preserve">. In this task, children are told a string of numbers and are asked to repeat the numbers back to the assessor in the correct order. Across trials, the number stems get increasingly longer. </w:t>
      </w:r>
      <w:proofErr w:type="gramStart"/>
      <w:r>
        <w:rPr>
          <w:rFonts w:eastAsiaTheme="minorEastAsia" w:cstheme="minorHAnsi"/>
        </w:rPr>
        <w:t>Similar to</w:t>
      </w:r>
      <w:proofErr w:type="gramEnd"/>
      <w:r>
        <w:rPr>
          <w:rFonts w:eastAsiaTheme="minorEastAsia" w:cstheme="minorHAnsi"/>
        </w:rPr>
        <w:t xml:space="preserve"> the Pencil Tap, children are given two practice items, and then trials begin with the first 2-digit number sequence. The trials stop when the child incorrectly repeats two different sequences of the same length. Children receive one point for each correct answer, resulting in a range of possible scores from 0-11. </w:t>
      </w:r>
      <w:r w:rsidRPr="00CE026A">
        <w:rPr>
          <w:rFonts w:eastAsiaTheme="minorEastAsia" w:cstheme="minorHAnsi"/>
        </w:rPr>
        <w:t xml:space="preserve">The Digit Span has been utilized in </w:t>
      </w:r>
      <w:r w:rsidRPr="00CE026A">
        <w:rPr>
          <w:rFonts w:eastAsiaTheme="minorEastAsia" w:cstheme="minorHAnsi"/>
        </w:rPr>
        <w:lastRenderedPageBreak/>
        <w:t xml:space="preserve">several studies </w:t>
      </w:r>
      <w:r>
        <w:rPr>
          <w:rFonts w:eastAsiaTheme="minorEastAsia" w:cstheme="minorHAnsi"/>
        </w:rPr>
        <w:t xml:space="preserve">with young children and represents a valid measure of working memory </w:t>
      </w:r>
      <w:r w:rsidRPr="00A070AC">
        <w:t xml:space="preserve">(Bull, Espy, &amp; </w:t>
      </w:r>
      <w:proofErr w:type="spellStart"/>
      <w:r w:rsidRPr="00A070AC">
        <w:t>Senn</w:t>
      </w:r>
      <w:proofErr w:type="spellEnd"/>
      <w:r w:rsidRPr="00A070AC">
        <w:t xml:space="preserve">, 2004; </w:t>
      </w:r>
      <w:proofErr w:type="spellStart"/>
      <w:r w:rsidRPr="00A070AC">
        <w:t>Mahy</w:t>
      </w:r>
      <w:proofErr w:type="spellEnd"/>
      <w:r w:rsidRPr="00A070AC">
        <w:t xml:space="preserve"> &amp; Moses, 2011; Williford et al., 2013)</w:t>
      </w:r>
      <w:r w:rsidRPr="00CE026A">
        <w:rPr>
          <w:rFonts w:eastAsiaTheme="minorEastAsia" w:cstheme="minorHAnsi"/>
          <w:b/>
          <w:bCs/>
          <w:i/>
          <w:iCs/>
        </w:rPr>
        <w:t>.</w:t>
      </w:r>
    </w:p>
    <w:p w14:paraId="74A12BCC" w14:textId="77777777" w:rsidR="005E1CD1" w:rsidRPr="006F2ABA" w:rsidRDefault="005E1CD1" w:rsidP="005E1CD1">
      <w:pPr>
        <w:ind w:firstLine="720"/>
        <w:rPr>
          <w:rFonts w:eastAsiaTheme="minorEastAsia" w:cstheme="minorHAnsi"/>
        </w:rPr>
      </w:pPr>
      <w:r w:rsidRPr="006F2ABA">
        <w:rPr>
          <w:rFonts w:eastAsiaTheme="minorEastAsia" w:cstheme="minorHAnsi"/>
        </w:rPr>
        <w:t xml:space="preserve">The Head Toes Knees Shoulders task (HTKS) is a measure of children’s overall behavioral control, including their cognitive flexibility and working memory </w:t>
      </w:r>
      <w:r w:rsidRPr="006F2ABA">
        <w:t>(McClelland et al., 2014)</w:t>
      </w:r>
      <w:r>
        <w:rPr>
          <w:rFonts w:eastAsiaTheme="minorEastAsia" w:cstheme="minorHAnsi"/>
        </w:rPr>
        <w:t xml:space="preserve">. The task is appropriate for children from 4 to 8 years old and relies on verbal instructions from the assessor. During the initial phase of the task, children are directed to respond naturally to the directions, i.e., touch your toes would indicate touch your toes. During the next phase, children are instructed to do the opposite—if they are instructed to touch their heads, then they touch their toes. During the final phase, the pairings are switched again. This time, the head goes with the knees. Children only move to the next phase after correctly answering in the previous phase, until they have reached thirty trials. Children receive a score of two per trial if they answer correctly and a one if they answer incorrectly at first but then self-correct. Thus, the possible scores will range from 0 to 60. The HTKS has been used as a measure of executive function in several studies of young children </w:t>
      </w:r>
      <w:r w:rsidRPr="00C531F7">
        <w:t xml:space="preserve">(McClelland &amp; Cameron, 2012; </w:t>
      </w:r>
      <w:proofErr w:type="spellStart"/>
      <w:r w:rsidRPr="00C531F7">
        <w:t>Ponitz</w:t>
      </w:r>
      <w:proofErr w:type="spellEnd"/>
      <w:r w:rsidRPr="00C531F7">
        <w:t xml:space="preserve"> et al., 2009; </w:t>
      </w:r>
      <w:proofErr w:type="spellStart"/>
      <w:r w:rsidRPr="00C531F7">
        <w:t>Wanless</w:t>
      </w:r>
      <w:proofErr w:type="spellEnd"/>
      <w:r w:rsidRPr="00C531F7">
        <w:t xml:space="preserve">, McClelland, </w:t>
      </w:r>
      <w:proofErr w:type="spellStart"/>
      <w:r w:rsidRPr="00C531F7">
        <w:t>Tominey</w:t>
      </w:r>
      <w:proofErr w:type="spellEnd"/>
      <w:r w:rsidRPr="00C531F7">
        <w:t xml:space="preserve">, &amp; </w:t>
      </w:r>
      <w:proofErr w:type="spellStart"/>
      <w:r w:rsidRPr="00C531F7">
        <w:t>Acock</w:t>
      </w:r>
      <w:proofErr w:type="spellEnd"/>
      <w:r w:rsidRPr="00C531F7">
        <w:t>, 2011)</w:t>
      </w:r>
      <w:r>
        <w:rPr>
          <w:rFonts w:eastAsiaTheme="minorEastAsia" w:cstheme="minorHAnsi"/>
        </w:rPr>
        <w:t xml:space="preserve">. Additionally, the task demonstrates strong interrater reliability and construct and predictive validity </w:t>
      </w:r>
      <w:r w:rsidRPr="00392FD4">
        <w:t>(</w:t>
      </w:r>
      <w:proofErr w:type="spellStart"/>
      <w:r w:rsidRPr="00392FD4">
        <w:t>Ponitz</w:t>
      </w:r>
      <w:proofErr w:type="spellEnd"/>
      <w:r w:rsidRPr="00392FD4">
        <w:t xml:space="preserve"> et al., 2009)</w:t>
      </w:r>
      <w:r>
        <w:rPr>
          <w:rFonts w:eastAsiaTheme="minorEastAsia" w:cstheme="minorHAnsi"/>
        </w:rPr>
        <w:t xml:space="preserve">. </w:t>
      </w:r>
    </w:p>
    <w:p w14:paraId="661A1FA0" w14:textId="4C86EF2B" w:rsidR="005E1CD1" w:rsidRDefault="005E1CD1" w:rsidP="005E1CD1">
      <w:pPr>
        <w:ind w:firstLine="720"/>
        <w:contextualSpacing/>
      </w:pPr>
      <w:bookmarkStart w:id="184" w:name="_Toc44255217"/>
      <w:bookmarkStart w:id="185" w:name="_Toc46265559"/>
      <w:r w:rsidRPr="00226569">
        <w:rPr>
          <w:rStyle w:val="Heading3Char"/>
        </w:rPr>
        <w:t>Academic Outcomes.</w:t>
      </w:r>
      <w:bookmarkEnd w:id="184"/>
      <w:bookmarkEnd w:id="185"/>
      <w:r>
        <w:rPr>
          <w:b/>
        </w:rPr>
        <w:t xml:space="preserve"> </w:t>
      </w:r>
      <w:r>
        <w:rPr>
          <w:bCs/>
        </w:rPr>
        <w:t>Children’s math outcomes were measured directly, using two direct assessments—the Woodcock-Johnson and the Bracken School Readiness Assessment</w:t>
      </w:r>
      <w:r w:rsidRPr="00FE2280">
        <w:rPr>
          <w:b/>
          <w:bCs/>
          <w:i/>
          <w:iCs/>
        </w:rPr>
        <w:t>.</w:t>
      </w:r>
      <w:r>
        <w:rPr>
          <w:b/>
          <w:bCs/>
          <w:i/>
          <w:iCs/>
        </w:rPr>
        <w:t xml:space="preserve"> </w:t>
      </w:r>
      <w:r>
        <w:t xml:space="preserve">These separate measurements provide a wider picture of children’s academic outcomes. </w:t>
      </w:r>
    </w:p>
    <w:p w14:paraId="133C3A55" w14:textId="5074A3A9" w:rsidR="005E1CD1" w:rsidRPr="00D815A7" w:rsidRDefault="005E1CD1" w:rsidP="005E1CD1">
      <w:pPr>
        <w:ind w:firstLine="720"/>
        <w:contextualSpacing/>
        <w:rPr>
          <w:bCs/>
        </w:rPr>
      </w:pPr>
      <w:bookmarkStart w:id="186" w:name="_Toc44255218"/>
      <w:bookmarkStart w:id="187" w:name="_Toc46265560"/>
      <w:r w:rsidRPr="00226569">
        <w:rPr>
          <w:rStyle w:val="Heading4Char"/>
        </w:rPr>
        <w:t>Woodcock-Johnson Applied Problems</w:t>
      </w:r>
      <w:bookmarkEnd w:id="186"/>
      <w:bookmarkEnd w:id="187"/>
      <w:r w:rsidRPr="00226569">
        <w:rPr>
          <w:rStyle w:val="Heading4Char"/>
        </w:rPr>
        <w:t xml:space="preserve"> </w:t>
      </w:r>
      <w:r>
        <w:rPr>
          <w:b/>
          <w:bCs/>
          <w:i/>
          <w:iCs/>
        </w:rPr>
        <w:t>(Mather, 2001)</w:t>
      </w:r>
      <w:r>
        <w:t xml:space="preserve">. </w:t>
      </w:r>
      <w:r w:rsidRPr="004F6A72">
        <w:t>The Woodcock</w:t>
      </w:r>
      <w:r>
        <w:t>-</w:t>
      </w:r>
      <w:r w:rsidRPr="004F6A72">
        <w:t>Johnson is a nationally normed assessment of ma</w:t>
      </w:r>
      <w:r>
        <w:t xml:space="preserve">th </w:t>
      </w:r>
      <w:r w:rsidRPr="00757E1A">
        <w:t xml:space="preserve">(Woodcock, </w:t>
      </w:r>
      <w:proofErr w:type="spellStart"/>
      <w:r w:rsidRPr="00757E1A">
        <w:t>Mcgrew</w:t>
      </w:r>
      <w:proofErr w:type="spellEnd"/>
      <w:r w:rsidRPr="00757E1A">
        <w:t>, &amp; Mather, 2001)</w:t>
      </w:r>
      <w:r>
        <w:t xml:space="preserve">. </w:t>
      </w:r>
      <w:r w:rsidRPr="004F6A72">
        <w:t xml:space="preserve">The applied problems portion of the assessment </w:t>
      </w:r>
      <w:r>
        <w:t xml:space="preserve">will be </w:t>
      </w:r>
      <w:r w:rsidRPr="004F6A72">
        <w:t>used</w:t>
      </w:r>
      <w:r>
        <w:t xml:space="preserve">, which </w:t>
      </w:r>
      <w:r w:rsidRPr="004F6A72">
        <w:t xml:space="preserve">measures children’s ability to solve oral problems, including counting pictured objects and simple story problems </w:t>
      </w:r>
      <w:r w:rsidRPr="004F6A72">
        <w:rPr>
          <w:rFonts w:eastAsiaTheme="minorEastAsia"/>
          <w:lang w:eastAsia="ko-KR"/>
        </w:rPr>
        <w:t xml:space="preserve">(e.g., “Show me two </w:t>
      </w:r>
      <w:r w:rsidRPr="004F6A72">
        <w:rPr>
          <w:rFonts w:eastAsiaTheme="minorEastAsia"/>
          <w:lang w:eastAsia="ko-KR"/>
        </w:rPr>
        <w:lastRenderedPageBreak/>
        <w:t>fingers</w:t>
      </w:r>
      <w:r>
        <w:rPr>
          <w:rFonts w:eastAsiaTheme="minorEastAsia"/>
          <w:lang w:eastAsia="ko-KR"/>
        </w:rPr>
        <w:t>,”</w:t>
      </w:r>
      <w:r w:rsidRPr="004F6A72">
        <w:rPr>
          <w:rFonts w:eastAsiaTheme="minorEastAsia"/>
          <w:lang w:eastAsia="ko-KR"/>
        </w:rPr>
        <w:t xml:space="preserve"> “How many ducks are in the water?”).</w:t>
      </w:r>
      <w:r>
        <w:rPr>
          <w:rFonts w:eastAsiaTheme="minorEastAsia"/>
          <w:lang w:eastAsia="ko-KR"/>
        </w:rPr>
        <w:t xml:space="preserve"> In this assessment, children answer questions by looking at pictures presented using a testing flipbook, proceeding through the items until they have reached the ceiling pre-established by the testing manual. T</w:t>
      </w:r>
      <w:r w:rsidRPr="004F6A72">
        <w:t xml:space="preserve">his measure has been used in numerous studies to measure math achievement and has an average </w:t>
      </w:r>
      <w:r w:rsidRPr="004F6A72">
        <w:rPr>
          <w:rFonts w:eastAsiaTheme="minorEastAsia"/>
          <w:lang w:eastAsia="ko-KR"/>
        </w:rPr>
        <w:t>Cronbach’s α</w:t>
      </w:r>
      <w:r w:rsidRPr="004F6A72" w:rsidDel="0019538E">
        <w:t xml:space="preserve"> </w:t>
      </w:r>
      <w:r w:rsidRPr="004F6A72">
        <w:t>for preschool</w:t>
      </w:r>
      <w:r>
        <w:t>-</w:t>
      </w:r>
      <w:r w:rsidRPr="004F6A72">
        <w:t>age children of. 91</w:t>
      </w:r>
      <w:r>
        <w:t xml:space="preserve"> </w:t>
      </w:r>
      <w:r w:rsidRPr="004D49E9">
        <w:t xml:space="preserve">(Rhoades, Warren, </w:t>
      </w:r>
      <w:proofErr w:type="spellStart"/>
      <w:r w:rsidRPr="004D49E9">
        <w:t>Domitrovich</w:t>
      </w:r>
      <w:proofErr w:type="spellEnd"/>
      <w:r w:rsidRPr="004D49E9">
        <w:t>, &amp; Greenberg, 2011)</w:t>
      </w:r>
      <w:r>
        <w:t xml:space="preserve">. </w:t>
      </w:r>
      <w:r w:rsidRPr="004F6A72">
        <w:rPr>
          <w:rFonts w:eastAsiaTheme="minorEastAsia"/>
          <w:lang w:eastAsia="ko-KR"/>
        </w:rPr>
        <w:t>In the current study, the total standardized score, which accounts for the child’s age, w</w:t>
      </w:r>
      <w:r>
        <w:rPr>
          <w:rFonts w:eastAsiaTheme="minorEastAsia"/>
          <w:lang w:eastAsia="ko-KR"/>
        </w:rPr>
        <w:t xml:space="preserve">ill be </w:t>
      </w:r>
      <w:r w:rsidRPr="004F6A72">
        <w:rPr>
          <w:rFonts w:eastAsiaTheme="minorEastAsia"/>
          <w:lang w:eastAsia="ko-KR"/>
        </w:rPr>
        <w:t xml:space="preserve">used. </w:t>
      </w:r>
      <w:r w:rsidRPr="00806482">
        <w:t>The subtest’s internal reliability is 0.92 for 3-year-old children and 0.94 for 4-year-old children for the WJ III and 0.93 for 4-year-old children for the WM III</w:t>
      </w:r>
      <w:r>
        <w:t xml:space="preserve"> </w:t>
      </w:r>
      <w:r w:rsidRPr="0057665F">
        <w:t>(Woodcock</w:t>
      </w:r>
      <w:r>
        <w:t xml:space="preserve"> </w:t>
      </w:r>
      <w:r w:rsidRPr="0057665F">
        <w:t>et al., 2001)</w:t>
      </w:r>
      <w:r w:rsidRPr="00806482">
        <w:t xml:space="preserve"> </w:t>
      </w:r>
    </w:p>
    <w:p w14:paraId="0896965D" w14:textId="7F1987CE" w:rsidR="005E1CD1" w:rsidRPr="00D815A7" w:rsidRDefault="005E1CD1" w:rsidP="005E1CD1">
      <w:pPr>
        <w:ind w:firstLine="720"/>
        <w:rPr>
          <w:rFonts w:eastAsiaTheme="minorEastAsia" w:cstheme="minorHAnsi"/>
        </w:rPr>
      </w:pPr>
      <w:bookmarkStart w:id="188" w:name="_Toc44255219"/>
      <w:bookmarkStart w:id="189" w:name="_Toc46265561"/>
      <w:r w:rsidRPr="00226569">
        <w:rPr>
          <w:rStyle w:val="Heading4Char"/>
        </w:rPr>
        <w:t>Bracken School Readiness Assessment</w:t>
      </w:r>
      <w:bookmarkEnd w:id="188"/>
      <w:bookmarkEnd w:id="189"/>
      <w:r>
        <w:rPr>
          <w:b/>
          <w:i/>
          <w:iCs/>
        </w:rPr>
        <w:t xml:space="preserve"> </w:t>
      </w:r>
      <w:r w:rsidRPr="002773C7">
        <w:rPr>
          <w:b/>
          <w:i/>
          <w:iCs/>
        </w:rPr>
        <w:t>(BSRA; Bracken, 2007</w:t>
      </w:r>
      <w:r w:rsidRPr="0057665F">
        <w:t>)</w:t>
      </w:r>
      <w:r w:rsidRPr="00D815A7">
        <w:rPr>
          <w:b/>
          <w:i/>
          <w:iCs/>
        </w:rPr>
        <w:t xml:space="preserve">. </w:t>
      </w:r>
      <w:bookmarkStart w:id="190" w:name="_Hlk18937621"/>
      <w:r w:rsidRPr="00D815A7">
        <w:rPr>
          <w:rFonts w:eastAsiaTheme="minorEastAsia" w:cstheme="minorHAnsi"/>
        </w:rPr>
        <w:t xml:space="preserve">The Bracken School Readiness Assessment </w:t>
      </w:r>
      <w:bookmarkEnd w:id="190"/>
      <w:r>
        <w:rPr>
          <w:rFonts w:eastAsiaTheme="minorEastAsia" w:cstheme="minorHAnsi"/>
        </w:rPr>
        <w:t xml:space="preserve">consists of 88 items aimed to measure children’s school readiness </w:t>
      </w:r>
      <w:r w:rsidRPr="00D815A7">
        <w:t>(</w:t>
      </w:r>
      <w:proofErr w:type="spellStart"/>
      <w:r w:rsidRPr="00D815A7">
        <w:t>Panter</w:t>
      </w:r>
      <w:proofErr w:type="spellEnd"/>
      <w:r w:rsidRPr="00D815A7">
        <w:t xml:space="preserve"> &amp; Bracken, 2009)</w:t>
      </w:r>
      <w:r>
        <w:rPr>
          <w:rFonts w:eastAsiaTheme="minorEastAsia" w:cstheme="minorHAnsi"/>
        </w:rPr>
        <w:t xml:space="preserve">. Using a flipbook with visual supports, children are assessed over colors, letters, numbers, sizes, comparisons, and shapes. The assessment takes approximately 15 minutes to administer. Each of the scores from the subtest is summed to provide a raw score, which then is converted to a scaled score based on the child’s age. The Bracken has been normed on a sample of children ranging from 2 to 8 years old </w:t>
      </w:r>
      <w:r w:rsidRPr="0057665F">
        <w:t>(Bracken, 2007)</w:t>
      </w:r>
      <w:r>
        <w:rPr>
          <w:rFonts w:eastAsiaTheme="minorEastAsia" w:cstheme="minorHAnsi"/>
        </w:rPr>
        <w:t xml:space="preserve">. The Bracken has also been used as a measure of school readiness in several studies with young children </w:t>
      </w:r>
      <w:r w:rsidRPr="008D586B">
        <w:t>(</w:t>
      </w:r>
      <w:proofErr w:type="spellStart"/>
      <w:r w:rsidRPr="008D586B">
        <w:t>Caughy</w:t>
      </w:r>
      <w:proofErr w:type="spellEnd"/>
      <w:r w:rsidRPr="008D586B">
        <w:t xml:space="preserve"> &amp; Owen, 2015; Graziano, </w:t>
      </w:r>
      <w:proofErr w:type="spellStart"/>
      <w:r w:rsidRPr="008D586B">
        <w:t>Slavec</w:t>
      </w:r>
      <w:proofErr w:type="spellEnd"/>
      <w:r w:rsidRPr="008D586B">
        <w:t>, Hart, Garcia, &amp; Pelham, 2014; Wilson, 2004)</w:t>
      </w:r>
      <w:r>
        <w:rPr>
          <w:rFonts w:eastAsiaTheme="minorEastAsia" w:cstheme="minorHAnsi"/>
        </w:rPr>
        <w:t xml:space="preserve"> </w:t>
      </w:r>
    </w:p>
    <w:p w14:paraId="14132C34" w14:textId="79471D59" w:rsidR="005E1CD1" w:rsidRPr="0064583C" w:rsidRDefault="005E1CD1" w:rsidP="00CC6470">
      <w:pPr>
        <w:pStyle w:val="Heading2"/>
      </w:pPr>
      <w:bookmarkStart w:id="191" w:name="_Toc44255220"/>
      <w:bookmarkStart w:id="192" w:name="_Toc46265562"/>
      <w:r>
        <w:t>Procedures</w:t>
      </w:r>
      <w:bookmarkEnd w:id="191"/>
      <w:bookmarkEnd w:id="192"/>
      <w:r>
        <w:t xml:space="preserve"> </w:t>
      </w:r>
    </w:p>
    <w:p w14:paraId="3E938621" w14:textId="00F45EF0" w:rsidR="005E1CD1" w:rsidRPr="00150470" w:rsidRDefault="005E1CD1" w:rsidP="005E1CD1">
      <w:pPr>
        <w:ind w:firstLine="720"/>
        <w:rPr>
          <w:bCs/>
        </w:rPr>
      </w:pPr>
      <w:r>
        <w:rPr>
          <w:rFonts w:eastAsiaTheme="minorEastAsia"/>
          <w:b/>
          <w:bCs/>
        </w:rPr>
        <w:t xml:space="preserve">Training. </w:t>
      </w:r>
      <w:r>
        <w:rPr>
          <w:rFonts w:eastAsiaTheme="minorEastAsia"/>
        </w:rPr>
        <w:t>All assessments were administered by trained assessors.</w:t>
      </w:r>
      <w:r w:rsidRPr="00BF38C7">
        <w:rPr>
          <w:bCs/>
        </w:rPr>
        <w:t xml:space="preserve"> </w:t>
      </w:r>
      <w:r>
        <w:rPr>
          <w:bCs/>
        </w:rPr>
        <w:t>Prior to data collection, assessors were provided with extensive training on each of the child assessment measures (</w:t>
      </w:r>
      <w:proofErr w:type="spellStart"/>
      <w:r>
        <w:rPr>
          <w:bCs/>
        </w:rPr>
        <w:t>Woodock</w:t>
      </w:r>
      <w:proofErr w:type="spellEnd"/>
      <w:r>
        <w:rPr>
          <w:bCs/>
        </w:rPr>
        <w:t>-Johnson, Bracken, task-based EF measures). During this training, assessors reviewed manuals and conducted practice assessments</w:t>
      </w:r>
      <w:r w:rsidR="007C1CBE">
        <w:rPr>
          <w:bCs/>
        </w:rPr>
        <w:t xml:space="preserve"> </w:t>
      </w:r>
      <w:r>
        <w:rPr>
          <w:bCs/>
        </w:rPr>
        <w:t xml:space="preserve">Assessors met reliability criteria established by the research team or by the authors of various measures and were then certified by </w:t>
      </w:r>
      <w:r>
        <w:rPr>
          <w:bCs/>
        </w:rPr>
        <w:lastRenderedPageBreak/>
        <w:t>the PCAS training coordinator prior to administering assessment to study children. Similarly,</w:t>
      </w:r>
      <w:r w:rsidR="007C1CBE">
        <w:rPr>
          <w:bCs/>
        </w:rPr>
        <w:t xml:space="preserve"> </w:t>
      </w:r>
      <w:r>
        <w:rPr>
          <w:bCs/>
        </w:rPr>
        <w:t xml:space="preserve">for the classroom observations, assessors were </w:t>
      </w:r>
      <w:r w:rsidRPr="00BF38C7">
        <w:rPr>
          <w:bCs/>
        </w:rPr>
        <w:t>attended two days of training on the inCLASS</w:t>
      </w:r>
      <w:r>
        <w:rPr>
          <w:bCs/>
        </w:rPr>
        <w:t xml:space="preserve">, where they watched videos, practiced coding using the inCLASS manual, and discussed results. Assessors then independently coded video clips and had to score within 1 point of a master coder on 80% of scoring to be deemed reliable and ready for data collection. </w:t>
      </w:r>
    </w:p>
    <w:p w14:paraId="3C8D8584" w14:textId="77777777" w:rsidR="005E1CD1" w:rsidRDefault="005E1CD1" w:rsidP="005E1CD1">
      <w:pPr>
        <w:ind w:firstLine="720"/>
        <w:rPr>
          <w:rFonts w:eastAsiaTheme="minorEastAsia"/>
        </w:rPr>
      </w:pPr>
      <w:r>
        <w:rPr>
          <w:rFonts w:eastAsiaTheme="minorEastAsia"/>
          <w:b/>
          <w:bCs/>
        </w:rPr>
        <w:t xml:space="preserve">Data collection. </w:t>
      </w:r>
      <w:r>
        <w:rPr>
          <w:rFonts w:eastAsiaTheme="minorEastAsia"/>
        </w:rPr>
        <w:t xml:space="preserve">As noted in Table 1, child assessments were conducted during the fall and spring. Research teams of three to four assessors were assigned to a school site to conduct the child assessments. Children were assessed one-on-one with a trained assessor in an isolated area of the Head Start classroom or hallway. Child assessments were conducted over two mornings, with the task-based EF measures conducted on one day and the academic assessments conducted on the following day, with each assessment period lasting approximately 30 minutes. Immediately following the second day of assessment, the assessor completed the Leiter-R assessment on the child. While assessors were on-site conducting assessments, they collected the teacher-reported measures. </w:t>
      </w:r>
    </w:p>
    <w:p w14:paraId="1C47F784" w14:textId="77777777" w:rsidR="005E1CD1" w:rsidRDefault="005E1CD1" w:rsidP="005E1CD1">
      <w:pPr>
        <w:ind w:firstLine="720"/>
        <w:rPr>
          <w:bCs/>
        </w:rPr>
      </w:pPr>
      <w:r>
        <w:rPr>
          <w:rFonts w:eastAsiaTheme="minorEastAsia"/>
        </w:rPr>
        <w:t xml:space="preserve">For the classroom-based observations, a research team member was assigned to a participating classroom to conduct observations, which lasted </w:t>
      </w:r>
      <w:r w:rsidRPr="002306B9">
        <w:rPr>
          <w:bCs/>
        </w:rPr>
        <w:t>approximately four hours.</w:t>
      </w:r>
      <w:r>
        <w:rPr>
          <w:bCs/>
        </w:rPr>
        <w:t xml:space="preserve"> Each child in the study was observed for approximately ten minutes, following by five minutes of scoring. Observations </w:t>
      </w:r>
      <w:r w:rsidRPr="00E32BA7">
        <w:rPr>
          <w:bCs/>
        </w:rPr>
        <w:t xml:space="preserve">continued throughout the day, until naptime </w:t>
      </w:r>
      <w:proofErr w:type="gramStart"/>
      <w:r w:rsidRPr="00E32BA7">
        <w:rPr>
          <w:bCs/>
        </w:rPr>
        <w:t>in order to</w:t>
      </w:r>
      <w:proofErr w:type="gramEnd"/>
      <w:r w:rsidRPr="00E32BA7">
        <w:rPr>
          <w:bCs/>
        </w:rPr>
        <w:t xml:space="preserve"> obtain as m</w:t>
      </w:r>
      <w:r>
        <w:rPr>
          <w:bCs/>
        </w:rPr>
        <w:t>any</w:t>
      </w:r>
      <w:r w:rsidRPr="00E32BA7">
        <w:rPr>
          <w:bCs/>
        </w:rPr>
        <w:t xml:space="preserve"> cycles per study child as possible (mean cycles = 3.67).</w:t>
      </w:r>
      <w:r>
        <w:rPr>
          <w:bCs/>
        </w:rPr>
        <w:t xml:space="preserve"> </w:t>
      </w:r>
    </w:p>
    <w:p w14:paraId="0FEF3F46" w14:textId="77777777" w:rsidR="005E1CD1" w:rsidRPr="00252783" w:rsidRDefault="005E1CD1" w:rsidP="005E1CD1">
      <w:pPr>
        <w:ind w:firstLine="720"/>
        <w:rPr>
          <w:rFonts w:eastAsiaTheme="minorEastAsia"/>
        </w:rPr>
      </w:pPr>
      <w:r>
        <w:rPr>
          <w:b/>
        </w:rPr>
        <w:t xml:space="preserve">Data Entry. </w:t>
      </w:r>
      <w:r>
        <w:rPr>
          <w:bCs/>
        </w:rPr>
        <w:t xml:space="preserve">Immediately following child assessments or observations, assessors entered data into an Excel spreadsheet, where the child was assigned an ID, and the data was de-identified. Then, the excel spreadsheet was converted to SPSS for analysis. </w:t>
      </w:r>
    </w:p>
    <w:p w14:paraId="685B1C5F" w14:textId="3777F605" w:rsidR="005E1CD1" w:rsidRDefault="005E1CD1" w:rsidP="00CC6470">
      <w:pPr>
        <w:pStyle w:val="Heading2"/>
      </w:pPr>
      <w:bookmarkStart w:id="193" w:name="_Toc44255221"/>
      <w:bookmarkStart w:id="194" w:name="_Toc46265563"/>
      <w:r>
        <w:t>Plan of Analysis</w:t>
      </w:r>
      <w:bookmarkEnd w:id="193"/>
      <w:bookmarkEnd w:id="194"/>
      <w:r>
        <w:t xml:space="preserve"> </w:t>
      </w:r>
    </w:p>
    <w:p w14:paraId="0A5C4E58" w14:textId="77777777" w:rsidR="005E1CD1" w:rsidRDefault="005E1CD1" w:rsidP="005E1CD1">
      <w:pPr>
        <w:pStyle w:val="NormalWeb"/>
        <w:shd w:val="clear" w:color="auto" w:fill="FFFFFF"/>
        <w:spacing w:after="255"/>
        <w:ind w:firstLine="720"/>
        <w:contextualSpacing/>
      </w:pPr>
      <w:r>
        <w:lastRenderedPageBreak/>
        <w:t xml:space="preserve">All data will be analyzed using SPSS and Stata. SPSS will be used for descriptive analysis (means and standard deviations) and to check the characteristics of the data to determine if assumptions for various analyses are met. An analysis of missing data will also be conducted </w:t>
      </w:r>
      <w:proofErr w:type="gramStart"/>
      <w:r>
        <w:t>in order to</w:t>
      </w:r>
      <w:proofErr w:type="gramEnd"/>
      <w:r>
        <w:t xml:space="preserve"> determine how missing data will be handled. </w:t>
      </w:r>
    </w:p>
    <w:p w14:paraId="123633AE" w14:textId="77777777" w:rsidR="005E1CD1" w:rsidRDefault="005E1CD1" w:rsidP="005E1CD1">
      <w:pPr>
        <w:pStyle w:val="NormalWeb"/>
        <w:shd w:val="clear" w:color="auto" w:fill="FFFFFF"/>
        <w:spacing w:after="255"/>
        <w:ind w:firstLine="720"/>
        <w:contextualSpacing/>
      </w:pPr>
      <w:r>
        <w:t xml:space="preserve">A table summarizing the research questions, instruments and data analysis techniques is listed in Table 2. </w:t>
      </w:r>
    </w:p>
    <w:p w14:paraId="4469460B" w14:textId="77777777" w:rsidR="005E1CD1" w:rsidRDefault="005E1CD1" w:rsidP="005E1CD1">
      <w:pPr>
        <w:pStyle w:val="NormalWeb"/>
        <w:shd w:val="clear" w:color="auto" w:fill="FFFFFF"/>
        <w:spacing w:after="255"/>
        <w:ind w:left="90" w:hanging="90"/>
        <w:contextualSpacing/>
      </w:pPr>
      <w:r>
        <w:t xml:space="preserve">Table 2. </w:t>
      </w:r>
    </w:p>
    <w:p w14:paraId="15B0F7CE" w14:textId="77777777" w:rsidR="005E1CD1" w:rsidRPr="00222DBC" w:rsidRDefault="005E1CD1" w:rsidP="005E1CD1">
      <w:pPr>
        <w:pStyle w:val="NormalWeb"/>
        <w:shd w:val="clear" w:color="auto" w:fill="FFFFFF"/>
        <w:spacing w:after="255"/>
        <w:contextualSpacing/>
        <w:rPr>
          <w:i/>
          <w:iCs/>
        </w:rPr>
      </w:pPr>
      <w:r w:rsidRPr="00222DBC">
        <w:rPr>
          <w:i/>
          <w:iCs/>
        </w:rPr>
        <w:t xml:space="preserve">Research Questions and Data Analysis Techniques </w:t>
      </w:r>
    </w:p>
    <w:tbl>
      <w:tblPr>
        <w:tblW w:w="5000" w:type="pct"/>
        <w:tblLook w:val="04A0" w:firstRow="1" w:lastRow="0" w:firstColumn="1" w:lastColumn="0" w:noHBand="0" w:noVBand="1"/>
      </w:tblPr>
      <w:tblGrid>
        <w:gridCol w:w="2866"/>
        <w:gridCol w:w="1520"/>
        <w:gridCol w:w="4974"/>
      </w:tblGrid>
      <w:tr w:rsidR="005E1CD1" w:rsidRPr="00191961" w14:paraId="2CC7787D" w14:textId="77777777" w:rsidTr="002C7E23">
        <w:trPr>
          <w:trHeight w:val="421"/>
        </w:trPr>
        <w:tc>
          <w:tcPr>
            <w:tcW w:w="1531" w:type="pct"/>
            <w:tcBorders>
              <w:top w:val="single" w:sz="4" w:space="0" w:color="auto"/>
              <w:bottom w:val="single" w:sz="4" w:space="0" w:color="auto"/>
            </w:tcBorders>
          </w:tcPr>
          <w:p w14:paraId="411F4B37" w14:textId="77777777" w:rsidR="005E1CD1" w:rsidRPr="00777DCE" w:rsidRDefault="005E1CD1" w:rsidP="008127BB">
            <w:pPr>
              <w:spacing w:line="240" w:lineRule="auto"/>
              <w:contextualSpacing/>
              <w:rPr>
                <w:b/>
                <w:bCs/>
              </w:rPr>
            </w:pPr>
            <w:r w:rsidRPr="00777DCE">
              <w:rPr>
                <w:b/>
                <w:bCs/>
              </w:rPr>
              <w:t>Research Question</w:t>
            </w:r>
          </w:p>
        </w:tc>
        <w:tc>
          <w:tcPr>
            <w:tcW w:w="812" w:type="pct"/>
            <w:tcBorders>
              <w:top w:val="single" w:sz="4" w:space="0" w:color="auto"/>
              <w:bottom w:val="single" w:sz="4" w:space="0" w:color="auto"/>
            </w:tcBorders>
          </w:tcPr>
          <w:p w14:paraId="68954B5A" w14:textId="77777777" w:rsidR="005E1CD1" w:rsidRPr="00777DCE" w:rsidRDefault="005E1CD1" w:rsidP="008127BB">
            <w:pPr>
              <w:spacing w:line="240" w:lineRule="auto"/>
              <w:contextualSpacing/>
              <w:rPr>
                <w:b/>
                <w:bCs/>
              </w:rPr>
            </w:pPr>
            <w:r w:rsidRPr="00777DCE">
              <w:rPr>
                <w:b/>
                <w:bCs/>
              </w:rPr>
              <w:t>Data Source</w:t>
            </w:r>
          </w:p>
        </w:tc>
        <w:tc>
          <w:tcPr>
            <w:tcW w:w="2657" w:type="pct"/>
            <w:tcBorders>
              <w:top w:val="single" w:sz="4" w:space="0" w:color="auto"/>
              <w:bottom w:val="single" w:sz="4" w:space="0" w:color="auto"/>
            </w:tcBorders>
          </w:tcPr>
          <w:p w14:paraId="4278BBBF" w14:textId="77777777" w:rsidR="005E1CD1" w:rsidRPr="00777DCE" w:rsidRDefault="005E1CD1" w:rsidP="008127BB">
            <w:pPr>
              <w:spacing w:line="240" w:lineRule="auto"/>
              <w:contextualSpacing/>
              <w:rPr>
                <w:b/>
                <w:bCs/>
              </w:rPr>
            </w:pPr>
            <w:r w:rsidRPr="00777DCE">
              <w:rPr>
                <w:b/>
                <w:bCs/>
              </w:rPr>
              <w:t xml:space="preserve">Data Analysis Technique </w:t>
            </w:r>
          </w:p>
        </w:tc>
      </w:tr>
      <w:tr w:rsidR="005E1CD1" w:rsidRPr="00191961" w14:paraId="3C3E7615" w14:textId="77777777" w:rsidTr="002C7E23">
        <w:trPr>
          <w:trHeight w:val="1267"/>
        </w:trPr>
        <w:tc>
          <w:tcPr>
            <w:tcW w:w="1531" w:type="pct"/>
            <w:tcBorders>
              <w:top w:val="single" w:sz="4" w:space="0" w:color="auto"/>
            </w:tcBorders>
          </w:tcPr>
          <w:p w14:paraId="7B660EAD" w14:textId="7FE0E09A" w:rsidR="005E1CD1" w:rsidRPr="008127BB" w:rsidRDefault="005E1CD1" w:rsidP="008127BB">
            <w:pPr>
              <w:spacing w:line="240" w:lineRule="auto"/>
              <w:contextualSpacing/>
            </w:pPr>
            <w:r w:rsidRPr="008127BB">
              <w:rPr>
                <w:rFonts w:eastAsia="Times New Roman"/>
              </w:rPr>
              <w:t>Are there three distinct dimensions (social, emotional, and cognitive) of ATL conceptually and empirically? How is this model of ATL distinct from other constructs like executive function?</w:t>
            </w:r>
            <w:r w:rsidR="007C1CBE">
              <w:rPr>
                <w:rFonts w:eastAsia="Times New Roman"/>
              </w:rPr>
              <w:t xml:space="preserve"> </w:t>
            </w:r>
          </w:p>
        </w:tc>
        <w:tc>
          <w:tcPr>
            <w:tcW w:w="812" w:type="pct"/>
            <w:tcBorders>
              <w:top w:val="single" w:sz="4" w:space="0" w:color="auto"/>
            </w:tcBorders>
          </w:tcPr>
          <w:p w14:paraId="154DF6B1" w14:textId="77777777" w:rsidR="005E1CD1" w:rsidRDefault="005E1CD1" w:rsidP="008127BB">
            <w:pPr>
              <w:spacing w:line="240" w:lineRule="auto"/>
              <w:contextualSpacing/>
            </w:pPr>
            <w:r>
              <w:t>DECA</w:t>
            </w:r>
          </w:p>
          <w:p w14:paraId="6AFD90E1" w14:textId="77777777" w:rsidR="005E1CD1" w:rsidRDefault="005E1CD1" w:rsidP="008127BB">
            <w:pPr>
              <w:spacing w:line="240" w:lineRule="auto"/>
              <w:contextualSpacing/>
            </w:pPr>
            <w:r>
              <w:t>Leiter</w:t>
            </w:r>
          </w:p>
          <w:p w14:paraId="1CAC0ADE" w14:textId="77777777" w:rsidR="005E1CD1" w:rsidRDefault="005E1CD1" w:rsidP="008127BB">
            <w:pPr>
              <w:spacing w:line="240" w:lineRule="auto"/>
              <w:contextualSpacing/>
            </w:pPr>
            <w:r>
              <w:t>InCLASS</w:t>
            </w:r>
          </w:p>
          <w:p w14:paraId="0F299555" w14:textId="77777777" w:rsidR="005E1CD1" w:rsidRDefault="005E1CD1" w:rsidP="008127BB">
            <w:pPr>
              <w:spacing w:line="240" w:lineRule="auto"/>
              <w:contextualSpacing/>
            </w:pPr>
          </w:p>
          <w:p w14:paraId="49529793" w14:textId="77777777" w:rsidR="005E1CD1" w:rsidRPr="00191961" w:rsidRDefault="005E1CD1" w:rsidP="008127BB">
            <w:pPr>
              <w:spacing w:line="240" w:lineRule="auto"/>
              <w:contextualSpacing/>
            </w:pPr>
            <w:r>
              <w:t xml:space="preserve">Task-based EF measures </w:t>
            </w:r>
          </w:p>
        </w:tc>
        <w:tc>
          <w:tcPr>
            <w:tcW w:w="2657" w:type="pct"/>
            <w:tcBorders>
              <w:top w:val="single" w:sz="4" w:space="0" w:color="auto"/>
            </w:tcBorders>
          </w:tcPr>
          <w:p w14:paraId="008DB700" w14:textId="77777777" w:rsidR="005E1CD1" w:rsidRDefault="005E1CD1" w:rsidP="008127BB">
            <w:pPr>
              <w:spacing w:line="240" w:lineRule="auto"/>
              <w:contextualSpacing/>
            </w:pPr>
            <w:r>
              <w:t xml:space="preserve">Confirmatory Factor Analysis </w:t>
            </w:r>
          </w:p>
          <w:p w14:paraId="57B2313F" w14:textId="77777777" w:rsidR="005E1CD1" w:rsidRDefault="005E1CD1" w:rsidP="008127BB">
            <w:pPr>
              <w:spacing w:line="240" w:lineRule="auto"/>
              <w:contextualSpacing/>
            </w:pPr>
            <w:r>
              <w:t xml:space="preserve">--Do the assessment level items load onto the latent constructs (social, emotional, and cognitive) </w:t>
            </w:r>
          </w:p>
          <w:p w14:paraId="6A182B35" w14:textId="77777777" w:rsidR="005E1CD1" w:rsidRPr="00E93A09" w:rsidRDefault="005E1CD1" w:rsidP="008127BB">
            <w:pPr>
              <w:spacing w:line="240" w:lineRule="auto"/>
              <w:contextualSpacing/>
            </w:pPr>
            <w:r>
              <w:t xml:space="preserve">--Do the three latent constructs load onto an </w:t>
            </w:r>
            <w:proofErr w:type="gramStart"/>
            <w:r>
              <w:t>approaches</w:t>
            </w:r>
            <w:proofErr w:type="gramEnd"/>
            <w:r>
              <w:t xml:space="preserve"> to learning latent construct? </w:t>
            </w:r>
          </w:p>
        </w:tc>
      </w:tr>
      <w:tr w:rsidR="005E1CD1" w:rsidRPr="00191961" w14:paraId="6F8EFD4D" w14:textId="77777777" w:rsidTr="002C7E23">
        <w:trPr>
          <w:trHeight w:val="1022"/>
        </w:trPr>
        <w:tc>
          <w:tcPr>
            <w:tcW w:w="1531" w:type="pct"/>
          </w:tcPr>
          <w:p w14:paraId="4344D7B3" w14:textId="77777777" w:rsidR="005E1CD1" w:rsidRPr="008127BB" w:rsidRDefault="005E1CD1" w:rsidP="008127BB">
            <w:pPr>
              <w:spacing w:line="240" w:lineRule="auto"/>
              <w:contextualSpacing/>
            </w:pPr>
            <w:r w:rsidRPr="008127BB">
              <w:rPr>
                <w:rFonts w:eastAsia="Times New Roman"/>
              </w:rPr>
              <w:t xml:space="preserve">Can </w:t>
            </w:r>
            <w:proofErr w:type="gramStart"/>
            <w:r w:rsidRPr="008127BB">
              <w:rPr>
                <w:rFonts w:eastAsia="Times New Roman"/>
              </w:rPr>
              <w:t>different</w:t>
            </w:r>
            <w:proofErr w:type="gramEnd"/>
            <w:r w:rsidRPr="008127BB">
              <w:rPr>
                <w:rFonts w:eastAsia="Times New Roman"/>
              </w:rPr>
              <w:t xml:space="preserve"> types of approaches to learning be empirically distinguished?</w:t>
            </w:r>
          </w:p>
        </w:tc>
        <w:tc>
          <w:tcPr>
            <w:tcW w:w="812" w:type="pct"/>
          </w:tcPr>
          <w:p w14:paraId="4313C039" w14:textId="77777777" w:rsidR="005E1CD1" w:rsidRDefault="005E1CD1" w:rsidP="008127BB">
            <w:pPr>
              <w:spacing w:line="240" w:lineRule="auto"/>
              <w:contextualSpacing/>
            </w:pPr>
            <w:r>
              <w:t>DECA</w:t>
            </w:r>
          </w:p>
          <w:p w14:paraId="67C22E82" w14:textId="77777777" w:rsidR="005E1CD1" w:rsidRDefault="005E1CD1" w:rsidP="008127BB">
            <w:pPr>
              <w:spacing w:line="240" w:lineRule="auto"/>
              <w:contextualSpacing/>
            </w:pPr>
            <w:r>
              <w:t>Leiter</w:t>
            </w:r>
          </w:p>
          <w:p w14:paraId="1F7F2F55" w14:textId="77777777" w:rsidR="005E1CD1" w:rsidRPr="00191961" w:rsidRDefault="005E1CD1" w:rsidP="008127BB">
            <w:pPr>
              <w:spacing w:line="240" w:lineRule="auto"/>
              <w:contextualSpacing/>
            </w:pPr>
            <w:r>
              <w:t>InCLASS</w:t>
            </w:r>
          </w:p>
        </w:tc>
        <w:tc>
          <w:tcPr>
            <w:tcW w:w="2657" w:type="pct"/>
          </w:tcPr>
          <w:p w14:paraId="6D479E40" w14:textId="77777777" w:rsidR="005E1CD1" w:rsidRPr="004D1C9A" w:rsidRDefault="005E1CD1" w:rsidP="008127BB">
            <w:pPr>
              <w:spacing w:line="240" w:lineRule="auto"/>
              <w:contextualSpacing/>
            </w:pPr>
            <w:r>
              <w:t xml:space="preserve">Latent Profile Analysis—using items from DECA, Leiter and inCLASS </w:t>
            </w:r>
          </w:p>
        </w:tc>
      </w:tr>
      <w:tr w:rsidR="005E1CD1" w:rsidRPr="00191961" w14:paraId="34DC8269" w14:textId="77777777" w:rsidTr="002C7E23">
        <w:trPr>
          <w:trHeight w:val="936"/>
        </w:trPr>
        <w:tc>
          <w:tcPr>
            <w:tcW w:w="1531" w:type="pct"/>
          </w:tcPr>
          <w:p w14:paraId="5B985D25" w14:textId="77777777" w:rsidR="005E1CD1" w:rsidRPr="008127BB" w:rsidRDefault="005E1CD1" w:rsidP="008127BB">
            <w:pPr>
              <w:spacing w:line="240" w:lineRule="auto"/>
              <w:contextualSpacing/>
            </w:pPr>
            <w:r w:rsidRPr="008127BB">
              <w:rPr>
                <w:rFonts w:eastAsia="Times New Roman"/>
              </w:rPr>
              <w:t xml:space="preserve">Are there profiles which include both positive and negative approaches to learning? In what ways do profiles change when considering negative approaches to learning? </w:t>
            </w:r>
          </w:p>
        </w:tc>
        <w:tc>
          <w:tcPr>
            <w:tcW w:w="812" w:type="pct"/>
          </w:tcPr>
          <w:p w14:paraId="7F3A3D1D" w14:textId="77777777" w:rsidR="005E1CD1" w:rsidRDefault="005E1CD1" w:rsidP="008127BB">
            <w:pPr>
              <w:spacing w:line="240" w:lineRule="auto"/>
              <w:contextualSpacing/>
            </w:pPr>
            <w:r>
              <w:t>DECA—behavior problems subscale</w:t>
            </w:r>
          </w:p>
          <w:p w14:paraId="78477838" w14:textId="77777777" w:rsidR="005E1CD1" w:rsidRDefault="005E1CD1" w:rsidP="008127BB">
            <w:pPr>
              <w:spacing w:line="240" w:lineRule="auto"/>
              <w:contextualSpacing/>
            </w:pPr>
          </w:p>
          <w:p w14:paraId="68DBF1C1" w14:textId="77777777" w:rsidR="005E1CD1" w:rsidRPr="00191961" w:rsidRDefault="005E1CD1" w:rsidP="008127BB">
            <w:pPr>
              <w:spacing w:line="240" w:lineRule="auto"/>
              <w:contextualSpacing/>
            </w:pPr>
            <w:r>
              <w:t xml:space="preserve">InCLASS—teacher and peer conflict domains </w:t>
            </w:r>
          </w:p>
        </w:tc>
        <w:tc>
          <w:tcPr>
            <w:tcW w:w="2657" w:type="pct"/>
          </w:tcPr>
          <w:p w14:paraId="58D66B3A" w14:textId="77777777" w:rsidR="005E1CD1" w:rsidRPr="00191961" w:rsidRDefault="005E1CD1" w:rsidP="008127BB">
            <w:pPr>
              <w:spacing w:line="240" w:lineRule="auto"/>
              <w:contextualSpacing/>
            </w:pPr>
            <w:r>
              <w:t xml:space="preserve">Latent Profile Analysis which incorporates both positive and negative ATL </w:t>
            </w:r>
          </w:p>
        </w:tc>
      </w:tr>
      <w:tr w:rsidR="005E1CD1" w:rsidRPr="00191961" w14:paraId="433E6C58" w14:textId="77777777" w:rsidTr="002C7E23">
        <w:trPr>
          <w:trHeight w:val="1979"/>
        </w:trPr>
        <w:tc>
          <w:tcPr>
            <w:tcW w:w="1531" w:type="pct"/>
            <w:tcBorders>
              <w:top w:val="single" w:sz="4" w:space="0" w:color="7F7F7F" w:themeColor="text1" w:themeTint="80"/>
              <w:bottom w:val="single" w:sz="4" w:space="0" w:color="auto"/>
            </w:tcBorders>
          </w:tcPr>
          <w:p w14:paraId="0A83D708" w14:textId="77777777" w:rsidR="005E1CD1" w:rsidRPr="008127BB" w:rsidRDefault="005E1CD1" w:rsidP="008127BB">
            <w:pPr>
              <w:spacing w:line="240" w:lineRule="auto"/>
              <w:contextualSpacing/>
            </w:pPr>
            <w:r w:rsidRPr="008127BB">
              <w:rPr>
                <w:rFonts w:eastAsia="Times New Roman"/>
              </w:rPr>
              <w:lastRenderedPageBreak/>
              <w:t>How do these different profiles of approaches to learning predict academic outcomes?</w:t>
            </w:r>
          </w:p>
        </w:tc>
        <w:tc>
          <w:tcPr>
            <w:tcW w:w="812" w:type="pct"/>
            <w:tcBorders>
              <w:top w:val="single" w:sz="4" w:space="0" w:color="7F7F7F" w:themeColor="text1" w:themeTint="80"/>
              <w:bottom w:val="single" w:sz="4" w:space="0" w:color="auto"/>
            </w:tcBorders>
          </w:tcPr>
          <w:p w14:paraId="7EDCFC0F" w14:textId="77777777" w:rsidR="005E1CD1" w:rsidRDefault="005E1CD1" w:rsidP="008127BB">
            <w:pPr>
              <w:spacing w:line="240" w:lineRule="auto"/>
              <w:contextualSpacing/>
            </w:pPr>
            <w:r>
              <w:t>DECA</w:t>
            </w:r>
          </w:p>
          <w:p w14:paraId="7EBEC774" w14:textId="77777777" w:rsidR="005E1CD1" w:rsidRDefault="005E1CD1" w:rsidP="008127BB">
            <w:pPr>
              <w:spacing w:line="240" w:lineRule="auto"/>
              <w:contextualSpacing/>
            </w:pPr>
            <w:r>
              <w:t>Leiter</w:t>
            </w:r>
          </w:p>
          <w:p w14:paraId="77F69EA7" w14:textId="77777777" w:rsidR="005E1CD1" w:rsidRPr="00191961" w:rsidRDefault="005E1CD1" w:rsidP="008127BB">
            <w:pPr>
              <w:spacing w:line="240" w:lineRule="auto"/>
              <w:contextualSpacing/>
            </w:pPr>
            <w:r>
              <w:t>InCLASS</w:t>
            </w:r>
          </w:p>
        </w:tc>
        <w:tc>
          <w:tcPr>
            <w:tcW w:w="2657" w:type="pct"/>
            <w:tcBorders>
              <w:top w:val="single" w:sz="4" w:space="0" w:color="7F7F7F" w:themeColor="text1" w:themeTint="80"/>
              <w:bottom w:val="single" w:sz="4" w:space="0" w:color="auto"/>
            </w:tcBorders>
          </w:tcPr>
          <w:p w14:paraId="4B317410" w14:textId="77777777" w:rsidR="005E1CD1" w:rsidRPr="000D75F0" w:rsidRDefault="005E1CD1" w:rsidP="008127BB">
            <w:pPr>
              <w:spacing w:line="240" w:lineRule="auto"/>
            </w:pPr>
            <w:r>
              <w:t>Regression Model where latent class is a categorical variable and is used along with co-variates to test the association between the latent class and math outcomes</w:t>
            </w:r>
          </w:p>
        </w:tc>
      </w:tr>
    </w:tbl>
    <w:p w14:paraId="4CCF4056" w14:textId="77777777" w:rsidR="005E1CD1" w:rsidRDefault="005E1CD1" w:rsidP="005E1CD1">
      <w:pPr>
        <w:pStyle w:val="NormalWeb"/>
        <w:shd w:val="clear" w:color="auto" w:fill="FFFFFF"/>
        <w:spacing w:after="255"/>
        <w:contextualSpacing/>
      </w:pPr>
    </w:p>
    <w:p w14:paraId="45E41150" w14:textId="77777777" w:rsidR="005E1CD1" w:rsidRDefault="005E1CD1" w:rsidP="005E1CD1">
      <w:pPr>
        <w:pStyle w:val="NormalWeb"/>
        <w:shd w:val="clear" w:color="auto" w:fill="FFFFFF"/>
        <w:spacing w:after="255"/>
        <w:ind w:firstLine="720"/>
        <w:contextualSpacing/>
      </w:pPr>
      <w:proofErr w:type="gramStart"/>
      <w:r>
        <w:t>In order to</w:t>
      </w:r>
      <w:proofErr w:type="gramEnd"/>
      <w:r>
        <w:t xml:space="preserve"> answer RQ1 (what does ATL look like across various measurements), confirmatory factor analysis (CFA) will be used. First, item-level analysis will be done to test whether questionnaire items load onto three latent constructs—social, cognitive, and emotional components of ATL (see Figure 3). Next, CFA will be employed to test whether these constructs load onto an ATL latent construct. Model fit indices and factor loadings will be used to determine the strength of the model. An additional measurement model will be used where the task-based EF measures are loaded onto the latent variables (cognitive, social, and emotional) as well as separately (into a latent EF construct) to compare model fits. This will also ensure that the ATL construct is measuring ATL and not EF. </w:t>
      </w:r>
    </w:p>
    <w:p w14:paraId="5978FD62" w14:textId="77777777" w:rsidR="005E1CD1" w:rsidRDefault="005E1CD1" w:rsidP="005E1CD1">
      <w:pPr>
        <w:pStyle w:val="NormalWeb"/>
        <w:shd w:val="clear" w:color="auto" w:fill="FFFFFF"/>
        <w:spacing w:after="255"/>
        <w:ind w:firstLine="720"/>
        <w:contextualSpacing/>
      </w:pPr>
      <w:r>
        <w:t xml:space="preserve">In order to answer RQ2 (can </w:t>
      </w:r>
      <w:proofErr w:type="gramStart"/>
      <w:r>
        <w:t>different</w:t>
      </w:r>
      <w:proofErr w:type="gramEnd"/>
      <w:r>
        <w:t xml:space="preserve"> types of ATL be empirically distinguished), latent profile analysis (LPA) will be used. LPA us a form of mixture modeling in which continuous observed variables are represented by latent categorical variables such that patterns of </w:t>
      </w:r>
      <w:proofErr w:type="gramStart"/>
      <w:r>
        <w:t>empirically-derived</w:t>
      </w:r>
      <w:proofErr w:type="gramEnd"/>
      <w:r>
        <w:t xml:space="preserve"> dimensions within children </w:t>
      </w:r>
      <w:r w:rsidRPr="00DC30D4">
        <w:t>(</w:t>
      </w:r>
      <w:proofErr w:type="spellStart"/>
      <w:r w:rsidRPr="00DC30D4">
        <w:t>Muthen</w:t>
      </w:r>
      <w:proofErr w:type="spellEnd"/>
      <w:r w:rsidRPr="00DC30D4">
        <w:t>, 2001)</w:t>
      </w:r>
      <w:r>
        <w:t xml:space="preserve">. Before estimating the models, all variables included will be standardized such that profile means represent differences from the sample in standard deviation units and aid in interpretation. Then, a series of LPA models of ATL will be examined based on the eight measures of ATL. Model estimation will begin with a 1-class solution and add an additional class in each successive model until a model has been reached that is guided by both fit statistics and conceptual interpretability. Model fit will be </w:t>
      </w:r>
      <w:r>
        <w:lastRenderedPageBreak/>
        <w:t xml:space="preserve">estimated using various fit statistics (e.g., Akaike Information Criteria, </w:t>
      </w:r>
      <w:proofErr w:type="spellStart"/>
      <w:r>
        <w:t>Bayesain</w:t>
      </w:r>
      <w:proofErr w:type="spellEnd"/>
      <w:r>
        <w:t xml:space="preserve"> Information Criteria). Finally, </w:t>
      </w:r>
      <w:proofErr w:type="gramStart"/>
      <w:r>
        <w:t>in order to</w:t>
      </w:r>
      <w:proofErr w:type="gramEnd"/>
      <w:r>
        <w:t xml:space="preserve"> better understand the profile membership, a final step will be to test between-profile difference on demographic characteristics (sex, age). Using </w:t>
      </w:r>
      <w:proofErr w:type="spellStart"/>
      <w:r>
        <w:t>Mplus</w:t>
      </w:r>
      <w:proofErr w:type="spellEnd"/>
      <w:r>
        <w:t xml:space="preserve">, LPA models will be estimated using sandwich estimators to adjust the standard errors of the parameters, as is necessary within a multilevel framework </w:t>
      </w:r>
      <w:r w:rsidRPr="00A32C10">
        <w:t>(</w:t>
      </w:r>
      <w:proofErr w:type="spellStart"/>
      <w:r w:rsidRPr="00A32C10">
        <w:t>Muthén</w:t>
      </w:r>
      <w:proofErr w:type="spellEnd"/>
      <w:r w:rsidRPr="00A32C10">
        <w:t>, 1989)</w:t>
      </w:r>
      <w:r>
        <w:t>.</w:t>
      </w:r>
      <w:r w:rsidRPr="00E56C21">
        <w:t xml:space="preserve"> </w:t>
      </w:r>
      <w:r>
        <w:t xml:space="preserve">The group assignment for each child will be saved to the data file as a categorical variable. </w:t>
      </w:r>
    </w:p>
    <w:p w14:paraId="119D71D8" w14:textId="77777777" w:rsidR="005E1CD1" w:rsidRPr="002F1979" w:rsidRDefault="005E1CD1" w:rsidP="005E1CD1">
      <w:pPr>
        <w:pStyle w:val="NormalWeb"/>
        <w:shd w:val="clear" w:color="auto" w:fill="FFFFFF"/>
        <w:spacing w:after="255"/>
        <w:ind w:firstLine="720"/>
        <w:contextualSpacing/>
      </w:pPr>
      <w:proofErr w:type="gramStart"/>
      <w:r>
        <w:t>In order to</w:t>
      </w:r>
      <w:proofErr w:type="gramEnd"/>
      <w:r>
        <w:t xml:space="preserve"> answer RQ3, (the relationship between positive and negative ATL), latent profile analysis will be employed using a process similar to what is described above. However, in order to understand the relationship between children’s ATL and problem behaviors, additional variables will be entered into the equation (DECA behavior problems and inCLASS teacher and peer conflict) that account for children’s negative ATL. Profile membership will be compared across both models in order to see whether the additional measures provide a better model fit and whether class membership changes. </w:t>
      </w:r>
    </w:p>
    <w:p w14:paraId="60252BC1" w14:textId="77777777" w:rsidR="005E1CD1" w:rsidRDefault="005E1CD1" w:rsidP="005E1CD1">
      <w:pPr>
        <w:pStyle w:val="NormalWeb"/>
        <w:shd w:val="clear" w:color="auto" w:fill="FFFFFF"/>
        <w:spacing w:after="255"/>
        <w:ind w:firstLine="720"/>
        <w:contextualSpacing/>
      </w:pPr>
      <w:proofErr w:type="gramStart"/>
      <w:r>
        <w:t>In order to</w:t>
      </w:r>
      <w:proofErr w:type="gramEnd"/>
      <w:r>
        <w:t xml:space="preserve"> answer RQ4 (does profile membership predict academic outcomes), multilevel regression models will be conducted that take into account children’s profile membership. First, children’s profile type will be dummy coded so that the child will receive a code of 1 for classification in one profile type. These profiles, which represent children’s ATL, will be entered as predictors, along with demographic covariates and fall academic scores in a regression equation predicting children’s spring academic outcomes. </w:t>
      </w:r>
    </w:p>
    <w:p w14:paraId="0D0C857A" w14:textId="3FCB9A9D" w:rsidR="005E1CD1" w:rsidRPr="002F1979" w:rsidRDefault="005E1CD1" w:rsidP="00CC6470">
      <w:pPr>
        <w:pStyle w:val="Heading2"/>
      </w:pPr>
      <w:bookmarkStart w:id="195" w:name="_Toc44255222"/>
      <w:bookmarkStart w:id="196" w:name="_Toc46265564"/>
      <w:r w:rsidRPr="002F1979">
        <w:t>Potential Limitations</w:t>
      </w:r>
      <w:bookmarkEnd w:id="195"/>
      <w:bookmarkEnd w:id="196"/>
      <w:r w:rsidRPr="002F1979">
        <w:t xml:space="preserve"> </w:t>
      </w:r>
    </w:p>
    <w:p w14:paraId="34693E30" w14:textId="77777777" w:rsidR="005E1CD1" w:rsidRDefault="005E1CD1" w:rsidP="005E1CD1">
      <w:r w:rsidRPr="00A2383F">
        <w:tab/>
      </w:r>
      <w:r>
        <w:t xml:space="preserve">This study has a few limitations that may limit the generalizability of the findings. First, data were collected from one Head Start program, thus may not be representative of other Head </w:t>
      </w:r>
      <w:r>
        <w:lastRenderedPageBreak/>
        <w:t xml:space="preserve">Start programs across the country. Secondly, the math measures, although robust, may not provide the most accurate picture of children’s math achievement. For example, other measure measures (Test of Early Math Ability, Early Childhood Assessment in Mathematics) may highlight other dimensions of children’s math development, including their geometry and numeracy skills, better than the Woodcock Johnson or Bracken alone. Finally, this study represents children in the pre-k year. The results of this study could be strengthened if children’s ATL and problem behaviors were assessed as they transition into kindergarten and beyond. Despite these limitations, this study has the potential to highlight the varied constructs of approaches to learning and the relationship between this variability and children’s academic outcomes. Using both positive and negative approaches can highlight a wide variety of children’s patterns of behaviors. This can be helpful in designing targeted interventions or informing classroom practices. </w:t>
      </w:r>
    </w:p>
    <w:p w14:paraId="44837900" w14:textId="77777777" w:rsidR="005E1CD1" w:rsidRPr="002773C7" w:rsidRDefault="005E1CD1" w:rsidP="005E1CD1"/>
    <w:p w14:paraId="02C5CC5F" w14:textId="77777777" w:rsidR="005E1CD1" w:rsidRPr="002773C7" w:rsidRDefault="005E1CD1" w:rsidP="005E1CD1"/>
    <w:p w14:paraId="793E040B" w14:textId="0CFAA903" w:rsidR="005E1CD1" w:rsidRDefault="005E1CD1" w:rsidP="005E1CD1"/>
    <w:p w14:paraId="07329772" w14:textId="3AE8A6DA" w:rsidR="002C7E23" w:rsidRDefault="002C7E23" w:rsidP="005E1CD1"/>
    <w:p w14:paraId="0A55BE65" w14:textId="6F60DDF7" w:rsidR="002C7E23" w:rsidRDefault="002C7E23" w:rsidP="005E1CD1"/>
    <w:p w14:paraId="723049C8" w14:textId="4DFA9583" w:rsidR="002C7E23" w:rsidRDefault="002C7E23" w:rsidP="005E1CD1"/>
    <w:p w14:paraId="2146AB6B" w14:textId="510CE24D" w:rsidR="002C7E23" w:rsidRDefault="002C7E23" w:rsidP="005E1CD1"/>
    <w:p w14:paraId="7652884C" w14:textId="5845CCCA" w:rsidR="002C7E23" w:rsidRDefault="002C7E23" w:rsidP="005E1CD1"/>
    <w:p w14:paraId="08CE50F4" w14:textId="58E6C697" w:rsidR="002C7E23" w:rsidRDefault="002C7E23" w:rsidP="005E1CD1"/>
    <w:p w14:paraId="285D701D" w14:textId="03045B28" w:rsidR="002C7E23" w:rsidRDefault="002C7E23" w:rsidP="005E1CD1"/>
    <w:p w14:paraId="5929AF8C" w14:textId="77777777" w:rsidR="002C7E23" w:rsidRPr="002773C7" w:rsidRDefault="002C7E23" w:rsidP="005E1CD1"/>
    <w:p w14:paraId="5B2E084B" w14:textId="052E9335" w:rsidR="005E1CD1" w:rsidRPr="00226569" w:rsidRDefault="005E1CD1" w:rsidP="009974B7">
      <w:pPr>
        <w:pStyle w:val="Heading1"/>
      </w:pPr>
      <w:bookmarkStart w:id="197" w:name="_Toc44255223"/>
      <w:bookmarkStart w:id="198" w:name="_Toc46265565"/>
      <w:r>
        <w:lastRenderedPageBreak/>
        <w:t>R</w:t>
      </w:r>
      <w:r w:rsidRPr="00226569">
        <w:t>eferences</w:t>
      </w:r>
      <w:bookmarkEnd w:id="197"/>
      <w:bookmarkEnd w:id="198"/>
    </w:p>
    <w:p w14:paraId="1000FE30" w14:textId="77777777" w:rsidR="005E1CD1" w:rsidRDefault="005E1CD1" w:rsidP="005E1CD1">
      <w:pPr>
        <w:pStyle w:val="Bibliography"/>
      </w:pPr>
      <w:proofErr w:type="spellStart"/>
      <w:r>
        <w:t>Abenavoli</w:t>
      </w:r>
      <w:proofErr w:type="spellEnd"/>
      <w:r>
        <w:t xml:space="preserve">, R. M., Greenberg, M. T., &amp; Bierman, K. L. (2017). Identification and validation of school readiness profiles among high-risk kindergartners. </w:t>
      </w:r>
      <w:r>
        <w:rPr>
          <w:i/>
          <w:iCs/>
        </w:rPr>
        <w:t>Early Childhood Research Quarterly</w:t>
      </w:r>
      <w:r>
        <w:t xml:space="preserve">, </w:t>
      </w:r>
      <w:r>
        <w:rPr>
          <w:i/>
          <w:iCs/>
        </w:rPr>
        <w:t>38</w:t>
      </w:r>
      <w:r>
        <w:t>, 33–43. https://doi.org/10.1016/j.ecresq.2016.09.001</w:t>
      </w:r>
    </w:p>
    <w:p w14:paraId="11244238" w14:textId="77777777" w:rsidR="005E1CD1" w:rsidRDefault="005E1CD1" w:rsidP="005E1CD1">
      <w:pPr>
        <w:pStyle w:val="Bibliography"/>
      </w:pPr>
      <w:r>
        <w:t xml:space="preserve">Alexander, K. L., &amp; </w:t>
      </w:r>
      <w:proofErr w:type="spellStart"/>
      <w:r>
        <w:t>Entwisle</w:t>
      </w:r>
      <w:proofErr w:type="spellEnd"/>
      <w:r>
        <w:t xml:space="preserve">, D. R. (1988). Achievement in the first 2 years of school: Patterns and processes. </w:t>
      </w:r>
      <w:r>
        <w:rPr>
          <w:i/>
          <w:iCs/>
        </w:rPr>
        <w:t>Monographs of the Society for Research in Child Development</w:t>
      </w:r>
      <w:r>
        <w:t xml:space="preserve">, </w:t>
      </w:r>
      <w:r>
        <w:rPr>
          <w:i/>
          <w:iCs/>
        </w:rPr>
        <w:t>53</w:t>
      </w:r>
      <w:r>
        <w:t>(2), 1–157.</w:t>
      </w:r>
    </w:p>
    <w:p w14:paraId="370D1C76" w14:textId="77777777" w:rsidR="005E1CD1" w:rsidRDefault="005E1CD1" w:rsidP="005E1CD1">
      <w:pPr>
        <w:pStyle w:val="Bibliography"/>
      </w:pPr>
      <w:r>
        <w:t xml:space="preserve">Ansari, A., &amp; Gershoff, E. (2015). Learning-related social skills as a mediator between teacher instruction and child achievement in Head Start: Learning-related social skills and teacher instruction. </w:t>
      </w:r>
      <w:r>
        <w:rPr>
          <w:i/>
          <w:iCs/>
        </w:rPr>
        <w:t>Social Development</w:t>
      </w:r>
      <w:r>
        <w:t xml:space="preserve">, </w:t>
      </w:r>
      <w:r>
        <w:rPr>
          <w:i/>
          <w:iCs/>
        </w:rPr>
        <w:t>24</w:t>
      </w:r>
      <w:r>
        <w:t>(4), 699–715. https://doi.org/10.1111/sode.12124</w:t>
      </w:r>
    </w:p>
    <w:p w14:paraId="0D09A49A" w14:textId="77777777" w:rsidR="005E1CD1" w:rsidRDefault="005E1CD1" w:rsidP="005E1CD1">
      <w:pPr>
        <w:pStyle w:val="Bibliography"/>
      </w:pPr>
      <w:r>
        <w:t xml:space="preserve">Arnold, D. H., </w:t>
      </w:r>
      <w:proofErr w:type="spellStart"/>
      <w:r>
        <w:t>Kupersmidt</w:t>
      </w:r>
      <w:proofErr w:type="spellEnd"/>
      <w:r>
        <w:t xml:space="preserve">, J. B., </w:t>
      </w:r>
      <w:proofErr w:type="spellStart"/>
      <w:r>
        <w:t>Voegler</w:t>
      </w:r>
      <w:proofErr w:type="spellEnd"/>
      <w:r>
        <w:t xml:space="preserve">-Lee, M. E., &amp; Marshall, N. A. (2012). The association between preschool children’s social functioning and their emergent academic skills. </w:t>
      </w:r>
      <w:r>
        <w:rPr>
          <w:i/>
          <w:iCs/>
        </w:rPr>
        <w:t>Early Childhood Research Quarterly</w:t>
      </w:r>
      <w:r>
        <w:t xml:space="preserve">, </w:t>
      </w:r>
      <w:r>
        <w:rPr>
          <w:i/>
          <w:iCs/>
        </w:rPr>
        <w:t>27</w:t>
      </w:r>
      <w:r>
        <w:t>(3), 376–386. https://doi.org/10.1016/j.ecresq.2011.12.009</w:t>
      </w:r>
    </w:p>
    <w:p w14:paraId="45FC513B" w14:textId="77777777" w:rsidR="005E1CD1" w:rsidRDefault="005E1CD1" w:rsidP="005E1CD1">
      <w:pPr>
        <w:pStyle w:val="Bibliography"/>
      </w:pPr>
      <w:r>
        <w:t xml:space="preserve">Bailey, C. S., Denham, S. A., </w:t>
      </w:r>
      <w:proofErr w:type="spellStart"/>
      <w:r>
        <w:t>Curby</w:t>
      </w:r>
      <w:proofErr w:type="spellEnd"/>
      <w:r>
        <w:t xml:space="preserve">, T. W., &amp; Bassett, H. H. (2016). Emotional and organizational supports for preschoolers’ emotion regulation: Relations with school adjustment. </w:t>
      </w:r>
      <w:r>
        <w:rPr>
          <w:i/>
          <w:iCs/>
        </w:rPr>
        <w:t>Emotion</w:t>
      </w:r>
      <w:r>
        <w:t xml:space="preserve">, </w:t>
      </w:r>
      <w:r>
        <w:rPr>
          <w:i/>
          <w:iCs/>
        </w:rPr>
        <w:t>16</w:t>
      </w:r>
      <w:r>
        <w:t>(2), 263–279. https://doi.org/10.1037/a0039772</w:t>
      </w:r>
    </w:p>
    <w:p w14:paraId="7BC5217E" w14:textId="77777777" w:rsidR="005E1CD1" w:rsidRDefault="005E1CD1" w:rsidP="005E1CD1">
      <w:pPr>
        <w:pStyle w:val="Bibliography"/>
      </w:pPr>
      <w:r>
        <w:t xml:space="preserve">Baptista, J., </w:t>
      </w:r>
      <w:proofErr w:type="spellStart"/>
      <w:r>
        <w:t>Osório</w:t>
      </w:r>
      <w:proofErr w:type="spellEnd"/>
      <w:r>
        <w:t xml:space="preserve">, A., Martins, E. C., </w:t>
      </w:r>
      <w:proofErr w:type="spellStart"/>
      <w:r>
        <w:t>Verissimo</w:t>
      </w:r>
      <w:proofErr w:type="spellEnd"/>
      <w:r>
        <w:t xml:space="preserve">, M., &amp; Martins, C. (2016). Does social–behavioral adjustment mediate the relation between executive function and academic readiness? </w:t>
      </w:r>
      <w:r>
        <w:rPr>
          <w:i/>
          <w:iCs/>
        </w:rPr>
        <w:t>Journal of Applied Developmental Psychology</w:t>
      </w:r>
      <w:r>
        <w:t xml:space="preserve">, </w:t>
      </w:r>
      <w:r>
        <w:rPr>
          <w:i/>
          <w:iCs/>
        </w:rPr>
        <w:t>46</w:t>
      </w:r>
      <w:r>
        <w:t>, 22–30. https://doi.org/10.1016/j.appdev.2016.05.004</w:t>
      </w:r>
    </w:p>
    <w:p w14:paraId="54A2CF8A" w14:textId="77777777" w:rsidR="005E1CD1" w:rsidRDefault="005E1CD1" w:rsidP="005E1CD1">
      <w:pPr>
        <w:pStyle w:val="Bibliography"/>
      </w:pPr>
      <w:proofErr w:type="spellStart"/>
      <w:r>
        <w:t>Barbu</w:t>
      </w:r>
      <w:proofErr w:type="spellEnd"/>
      <w:r>
        <w:t xml:space="preserve">, O. C., </w:t>
      </w:r>
      <w:proofErr w:type="spellStart"/>
      <w:r>
        <w:t>Yaden</w:t>
      </w:r>
      <w:proofErr w:type="spellEnd"/>
      <w:r>
        <w:t>, D. B., Levine-</w:t>
      </w:r>
      <w:proofErr w:type="spellStart"/>
      <w:r>
        <w:t>Donnerstein</w:t>
      </w:r>
      <w:proofErr w:type="spellEnd"/>
      <w:r>
        <w:t xml:space="preserve">, D., &amp; Marx, R. W. (2015). Assessing approaches to learning in school readiness: Comparing the Devereux Early Childhood Assessment to an early learning standards-based measure. </w:t>
      </w:r>
      <w:r>
        <w:rPr>
          <w:i/>
          <w:iCs/>
        </w:rPr>
        <w:t>AERA Open</w:t>
      </w:r>
      <w:r>
        <w:t xml:space="preserve">, </w:t>
      </w:r>
      <w:r>
        <w:rPr>
          <w:i/>
          <w:iCs/>
        </w:rPr>
        <w:t>1</w:t>
      </w:r>
      <w:r>
        <w:t>(3). https://doi.org/10.1177/2332858415593923</w:t>
      </w:r>
    </w:p>
    <w:p w14:paraId="0500C936" w14:textId="0C1323A0" w:rsidR="005E1CD1" w:rsidRDefault="005E1CD1" w:rsidP="005E1CD1">
      <w:pPr>
        <w:pStyle w:val="Bibliography"/>
      </w:pPr>
      <w:r>
        <w:t xml:space="preserve">Bierman, K. L., Torres, M. M., </w:t>
      </w:r>
      <w:proofErr w:type="spellStart"/>
      <w:r>
        <w:t>Domitrovich</w:t>
      </w:r>
      <w:proofErr w:type="spellEnd"/>
      <w:r>
        <w:t xml:space="preserve">, C. E., Welsh, J. A., &amp; Gest, S. D. (2009). Behavioral and cognitive readiness for school: Cross-domain associations for children attending head start. </w:t>
      </w:r>
      <w:r>
        <w:rPr>
          <w:i/>
          <w:iCs/>
        </w:rPr>
        <w:t>Social Development</w:t>
      </w:r>
      <w:r>
        <w:t xml:space="preserve">, </w:t>
      </w:r>
      <w:r>
        <w:rPr>
          <w:i/>
          <w:iCs/>
        </w:rPr>
        <w:t>18</w:t>
      </w:r>
      <w:r>
        <w:t>(2), 305–323. https://doi.org/10.1111/j.1467-9507.2008.00490.x</w:t>
      </w:r>
    </w:p>
    <w:p w14:paraId="0A33DB90" w14:textId="77777777" w:rsidR="005E1CD1" w:rsidRDefault="005E1CD1" w:rsidP="005E1CD1">
      <w:pPr>
        <w:pStyle w:val="Bibliography"/>
      </w:pPr>
      <w:r>
        <w:t xml:space="preserve">Blair, C. (2002). School readiness: Integrating cognition and emotion in a neurobiological conceptualization of children’s functioning at school entry. </w:t>
      </w:r>
      <w:r>
        <w:rPr>
          <w:i/>
          <w:iCs/>
        </w:rPr>
        <w:t>American Psychologist</w:t>
      </w:r>
      <w:r>
        <w:t xml:space="preserve">, </w:t>
      </w:r>
      <w:r>
        <w:rPr>
          <w:i/>
          <w:iCs/>
        </w:rPr>
        <w:t>57</w:t>
      </w:r>
      <w:r>
        <w:t>(2), 111–127. https://doi.org/10.1037//0003-066X.57.2.111</w:t>
      </w:r>
    </w:p>
    <w:p w14:paraId="027AC69C" w14:textId="77777777" w:rsidR="005E1CD1" w:rsidRDefault="005E1CD1" w:rsidP="005E1CD1">
      <w:pPr>
        <w:pStyle w:val="Bibliography"/>
      </w:pPr>
      <w:r>
        <w:t xml:space="preserve">Blair, C., &amp; </w:t>
      </w:r>
      <w:proofErr w:type="spellStart"/>
      <w:r>
        <w:t>Razza</w:t>
      </w:r>
      <w:proofErr w:type="spellEnd"/>
      <w:r>
        <w:t xml:space="preserve">, R. P. (2007). Relating effortful control, executive function, and false belief understanding to emerging math and literacy ability in kindergarten. </w:t>
      </w:r>
      <w:r>
        <w:rPr>
          <w:i/>
          <w:iCs/>
        </w:rPr>
        <w:t>Child Development</w:t>
      </w:r>
      <w:r>
        <w:t xml:space="preserve">, </w:t>
      </w:r>
      <w:r>
        <w:rPr>
          <w:i/>
          <w:iCs/>
        </w:rPr>
        <w:t>78</w:t>
      </w:r>
      <w:r>
        <w:t>(2), 647–663. https://doi.org/10.1111/j.1467-8624.2007.01019.x</w:t>
      </w:r>
    </w:p>
    <w:p w14:paraId="3B21F0FD" w14:textId="77777777" w:rsidR="005E1CD1" w:rsidRDefault="005E1CD1" w:rsidP="005E1CD1">
      <w:pPr>
        <w:pStyle w:val="Bibliography"/>
      </w:pPr>
      <w:proofErr w:type="spellStart"/>
      <w:r>
        <w:lastRenderedPageBreak/>
        <w:t>Bohlmann</w:t>
      </w:r>
      <w:proofErr w:type="spellEnd"/>
      <w:r>
        <w:t xml:space="preserve">, N. L., Downer, J. T., Williford, A. P., Maier, M. F., </w:t>
      </w:r>
      <w:proofErr w:type="spellStart"/>
      <w:r>
        <w:t>Booren</w:t>
      </w:r>
      <w:proofErr w:type="spellEnd"/>
      <w:r>
        <w:t xml:space="preserve">, L. M., &amp; Howes, C. (2019). Observing children’s engagement: Examining factorial validity of the inCLASS across demographic groups. </w:t>
      </w:r>
      <w:r>
        <w:rPr>
          <w:i/>
          <w:iCs/>
        </w:rPr>
        <w:t>Journal of Applied Developmental Psychology</w:t>
      </w:r>
      <w:r>
        <w:t xml:space="preserve">, </w:t>
      </w:r>
      <w:r>
        <w:rPr>
          <w:i/>
          <w:iCs/>
        </w:rPr>
        <w:t>60</w:t>
      </w:r>
      <w:r>
        <w:t>, 166–176. https://doi.org/10.1016/j.appdev.2018.08.007</w:t>
      </w:r>
    </w:p>
    <w:p w14:paraId="2026FB19" w14:textId="77777777" w:rsidR="005E1CD1" w:rsidRDefault="005E1CD1" w:rsidP="005E1CD1">
      <w:pPr>
        <w:pStyle w:val="Bibliography"/>
      </w:pPr>
      <w:proofErr w:type="spellStart"/>
      <w:r>
        <w:t>Booren</w:t>
      </w:r>
      <w:proofErr w:type="spellEnd"/>
      <w:r>
        <w:t xml:space="preserve">, L. M., Downer, J. T., &amp; </w:t>
      </w:r>
      <w:proofErr w:type="spellStart"/>
      <w:r>
        <w:t>Vitiello</w:t>
      </w:r>
      <w:proofErr w:type="spellEnd"/>
      <w:r>
        <w:t xml:space="preserve">, V. E. (2012). Observations of children’s interactions with teachers, peers, and tasks across preschool classroom activity settings. </w:t>
      </w:r>
      <w:r>
        <w:rPr>
          <w:i/>
          <w:iCs/>
        </w:rPr>
        <w:t>Early Education and Development</w:t>
      </w:r>
      <w:r>
        <w:t xml:space="preserve">, </w:t>
      </w:r>
      <w:r>
        <w:rPr>
          <w:i/>
          <w:iCs/>
        </w:rPr>
        <w:t>23</w:t>
      </w:r>
      <w:r>
        <w:t>(4), 517–538. https://doi.org/10.1080/10409289.2010.548767</w:t>
      </w:r>
    </w:p>
    <w:p w14:paraId="127BA8C1" w14:textId="77777777" w:rsidR="005E1CD1" w:rsidRDefault="005E1CD1" w:rsidP="005E1CD1">
      <w:pPr>
        <w:pStyle w:val="Bibliography"/>
      </w:pPr>
      <w:r>
        <w:t xml:space="preserve">Bracken, B. A. (2007). </w:t>
      </w:r>
      <w:r>
        <w:rPr>
          <w:i/>
          <w:iCs/>
        </w:rPr>
        <w:t xml:space="preserve">Bracken basic concept </w:t>
      </w:r>
      <w:proofErr w:type="gramStart"/>
      <w:r>
        <w:rPr>
          <w:i/>
          <w:iCs/>
        </w:rPr>
        <w:t>scale-revised</w:t>
      </w:r>
      <w:proofErr w:type="gramEnd"/>
      <w:r>
        <w:rPr>
          <w:i/>
          <w:iCs/>
        </w:rPr>
        <w:t>.</w:t>
      </w:r>
      <w:r>
        <w:t xml:space="preserve"> (3rd ed.). San Antonio, TX: Psychological Corporation.</w:t>
      </w:r>
    </w:p>
    <w:p w14:paraId="2D05B035" w14:textId="77777777" w:rsidR="005E1CD1" w:rsidRDefault="005E1CD1" w:rsidP="005E1CD1">
      <w:pPr>
        <w:pStyle w:val="Bibliography"/>
      </w:pPr>
      <w:r>
        <w:t xml:space="preserve">Bronfenbrenner, U. (2005). Ecological systems theory (1992). In </w:t>
      </w:r>
      <w:r>
        <w:rPr>
          <w:i/>
          <w:iCs/>
        </w:rPr>
        <w:t>Making human beings human: Bioecological perspectives on human development</w:t>
      </w:r>
      <w:r>
        <w:t xml:space="preserve"> (pp. 106–173). Thousand Oaks, CA: Sage Publications Ltd.</w:t>
      </w:r>
    </w:p>
    <w:p w14:paraId="4E45AEA7" w14:textId="77777777" w:rsidR="005E1CD1" w:rsidRDefault="005E1CD1" w:rsidP="005E1CD1">
      <w:pPr>
        <w:pStyle w:val="Bibliography"/>
      </w:pPr>
      <w:r>
        <w:t xml:space="preserve">Bronfenbrenner, U., &amp; Morris, P. A. (1998). The ecology of developmental processes. In </w:t>
      </w:r>
      <w:r>
        <w:rPr>
          <w:i/>
          <w:iCs/>
        </w:rPr>
        <w:t>Handbook of child psychology: Theoretical models of human development, Volume 1, 5th ed</w:t>
      </w:r>
      <w:r>
        <w:t xml:space="preserve"> (pp. 993–1028). Hoboken, NJ, US: John Wiley &amp; Sons Inc.</w:t>
      </w:r>
    </w:p>
    <w:p w14:paraId="624A2EDB" w14:textId="77777777" w:rsidR="005E1CD1" w:rsidRDefault="005E1CD1" w:rsidP="005E1CD1">
      <w:pPr>
        <w:pStyle w:val="Bibliography"/>
      </w:pPr>
      <w:r>
        <w:t xml:space="preserve">Bull, R., Espy, K. A., &amp; </w:t>
      </w:r>
      <w:proofErr w:type="spellStart"/>
      <w:r>
        <w:t>Senn</w:t>
      </w:r>
      <w:proofErr w:type="spellEnd"/>
      <w:r>
        <w:t xml:space="preserve">, T. E. (2004). A comparison of performance on the Towers of London and Hanoi in young children. </w:t>
      </w:r>
      <w:r>
        <w:rPr>
          <w:i/>
          <w:iCs/>
        </w:rPr>
        <w:t>Journal of Child Psychology and Psychiatry</w:t>
      </w:r>
      <w:r>
        <w:t xml:space="preserve">, </w:t>
      </w:r>
      <w:r>
        <w:rPr>
          <w:i/>
          <w:iCs/>
        </w:rPr>
        <w:t>45</w:t>
      </w:r>
      <w:r>
        <w:t>(4), 743–754. https://doi.org/10.1111/j.1469-7610.2004.00268.x</w:t>
      </w:r>
    </w:p>
    <w:p w14:paraId="52F480DE" w14:textId="77777777" w:rsidR="005E1CD1" w:rsidRDefault="005E1CD1" w:rsidP="005E1CD1">
      <w:pPr>
        <w:pStyle w:val="Bibliography"/>
      </w:pPr>
      <w:proofErr w:type="spellStart"/>
      <w:r>
        <w:t>Bulotsky</w:t>
      </w:r>
      <w:proofErr w:type="spellEnd"/>
      <w:r>
        <w:t xml:space="preserve">-Shearer, R., Dominguez, X., &amp; Bell, E. R. (2012). Preschool classroom behavioral context and school readiness outcomes for low-income children: A multilevel examination of child- and classroom-level influences. </w:t>
      </w:r>
      <w:r>
        <w:rPr>
          <w:i/>
          <w:iCs/>
        </w:rPr>
        <w:t>Journal of Educational Psychology</w:t>
      </w:r>
      <w:r>
        <w:t xml:space="preserve">, </w:t>
      </w:r>
      <w:r>
        <w:rPr>
          <w:i/>
          <w:iCs/>
        </w:rPr>
        <w:t>104</w:t>
      </w:r>
      <w:r>
        <w:t>(2), 421–438. http://dx.doi.org.ezproxy.lib.ou.edu/10.1037/a0026301</w:t>
      </w:r>
    </w:p>
    <w:p w14:paraId="0900A16A" w14:textId="77777777" w:rsidR="005E1CD1" w:rsidRDefault="005E1CD1" w:rsidP="005E1CD1">
      <w:pPr>
        <w:pStyle w:val="Bibliography"/>
      </w:pPr>
      <w:proofErr w:type="spellStart"/>
      <w:r>
        <w:t>Bulotsky</w:t>
      </w:r>
      <w:proofErr w:type="spellEnd"/>
      <w:r>
        <w:t xml:space="preserve">-Shearer, R., Fernandez, V., Dominguez, X., &amp; Rouse, H. L. (2011). Behavioral problems in learning activities and social interaction in Head Start classrooms and early reading math and approaches to learning. </w:t>
      </w:r>
      <w:r>
        <w:rPr>
          <w:i/>
          <w:iCs/>
        </w:rPr>
        <w:t>School Psychology Review</w:t>
      </w:r>
      <w:r>
        <w:t xml:space="preserve">, </w:t>
      </w:r>
      <w:r>
        <w:rPr>
          <w:i/>
          <w:iCs/>
        </w:rPr>
        <w:t>40</w:t>
      </w:r>
      <w:r>
        <w:t>(1), 39–56.</w:t>
      </w:r>
    </w:p>
    <w:p w14:paraId="783D0E09" w14:textId="77777777" w:rsidR="005E1CD1" w:rsidRDefault="005E1CD1" w:rsidP="005E1CD1">
      <w:pPr>
        <w:pStyle w:val="Bibliography"/>
      </w:pPr>
      <w:proofErr w:type="spellStart"/>
      <w:r>
        <w:t>Bulotsky</w:t>
      </w:r>
      <w:proofErr w:type="spellEnd"/>
      <w:r>
        <w:t xml:space="preserve">-Shearer, R. J., Bell, E. R., &amp; Domínguez, X. (2012). Latent profiles of problem behavior within learning, peer, and teacher contexts: Identifying subgroups of children at academic risk across the preschool year. </w:t>
      </w:r>
      <w:r>
        <w:rPr>
          <w:i/>
          <w:iCs/>
        </w:rPr>
        <w:t>Journal of School Psychology</w:t>
      </w:r>
      <w:r>
        <w:t xml:space="preserve">, </w:t>
      </w:r>
      <w:r>
        <w:rPr>
          <w:i/>
          <w:iCs/>
        </w:rPr>
        <w:t>50</w:t>
      </w:r>
      <w:r>
        <w:t>(6), 775–798. https://doi.org/10.1016/j.jsp.2012.08.001</w:t>
      </w:r>
    </w:p>
    <w:p w14:paraId="595067C1" w14:textId="77777777" w:rsidR="005E1CD1" w:rsidRDefault="005E1CD1" w:rsidP="005E1CD1">
      <w:pPr>
        <w:pStyle w:val="Bibliography"/>
      </w:pPr>
      <w:r>
        <w:t xml:space="preserve">Bustamante, A. S., &amp; Hindman, A. H. (2019). Classroom quality and academic school readiness outcomes in Head Start: The indirect effect of approaches to learning. </w:t>
      </w:r>
      <w:r>
        <w:rPr>
          <w:i/>
          <w:iCs/>
        </w:rPr>
        <w:t>Early Education and Development</w:t>
      </w:r>
      <w:r>
        <w:t xml:space="preserve">, </w:t>
      </w:r>
      <w:r>
        <w:rPr>
          <w:i/>
          <w:iCs/>
        </w:rPr>
        <w:t>30</w:t>
      </w:r>
      <w:r>
        <w:t>(1), 19–35. https://doi.org/10.1080/10409289.2018.1540249</w:t>
      </w:r>
    </w:p>
    <w:p w14:paraId="7CA933F2" w14:textId="77777777" w:rsidR="005E1CD1" w:rsidRDefault="005E1CD1" w:rsidP="005E1CD1">
      <w:pPr>
        <w:pStyle w:val="Bibliography"/>
      </w:pPr>
      <w:r>
        <w:t xml:space="preserve">Bustamante, A. S., White, L. J., &amp; Greenfield, D. B. (2017). Approaches to learning and school readiness in Head Start: Applications to preschool science. </w:t>
      </w:r>
      <w:r>
        <w:rPr>
          <w:i/>
          <w:iCs/>
        </w:rPr>
        <w:t>Learning and Individual Differences</w:t>
      </w:r>
      <w:r>
        <w:t xml:space="preserve">, </w:t>
      </w:r>
      <w:r>
        <w:rPr>
          <w:i/>
          <w:iCs/>
        </w:rPr>
        <w:t>56</w:t>
      </w:r>
      <w:r>
        <w:t>, 112–118. https://doi.org/10.1016/j.lindif.2016.10.012</w:t>
      </w:r>
    </w:p>
    <w:p w14:paraId="023ACD25" w14:textId="77777777" w:rsidR="005E1CD1" w:rsidRDefault="005E1CD1" w:rsidP="005E1CD1">
      <w:pPr>
        <w:pStyle w:val="Bibliography"/>
      </w:pPr>
      <w:r>
        <w:lastRenderedPageBreak/>
        <w:t xml:space="preserve">Bustamante, A. S., White, L. J., &amp; Greenfield, D. B. (2018). Approaches to learning and science education in Head Start: Examining bidirectionality. </w:t>
      </w:r>
      <w:r>
        <w:rPr>
          <w:i/>
          <w:iCs/>
        </w:rPr>
        <w:t>Early Childhood Research Quarterly</w:t>
      </w:r>
      <w:r>
        <w:t xml:space="preserve">, </w:t>
      </w:r>
      <w:r>
        <w:rPr>
          <w:i/>
          <w:iCs/>
        </w:rPr>
        <w:t>44</w:t>
      </w:r>
      <w:r>
        <w:t>, 34–42. https://doi.org/10.1016/j.ecresq.2018.02.013</w:t>
      </w:r>
    </w:p>
    <w:p w14:paraId="24DCAC3B" w14:textId="77777777" w:rsidR="005E1CD1" w:rsidRDefault="005E1CD1" w:rsidP="005E1CD1">
      <w:pPr>
        <w:pStyle w:val="Bibliography"/>
      </w:pPr>
      <w:proofErr w:type="spellStart"/>
      <w:r>
        <w:t>Caughy</w:t>
      </w:r>
      <w:proofErr w:type="spellEnd"/>
      <w:r>
        <w:t xml:space="preserve">, M. O., &amp; Owen, M. T. (2015). Cultural socialization and school readiness of African American and Latino preschoolers. </w:t>
      </w:r>
      <w:r>
        <w:rPr>
          <w:i/>
          <w:iCs/>
        </w:rPr>
        <w:t>Cultural Diversity &amp; Ethnic Minority Psychology</w:t>
      </w:r>
      <w:r>
        <w:t xml:space="preserve">, </w:t>
      </w:r>
      <w:r>
        <w:rPr>
          <w:i/>
          <w:iCs/>
        </w:rPr>
        <w:t>21</w:t>
      </w:r>
      <w:r>
        <w:t>(3), 391–399. https://doi.org/10.1037/a0037928</w:t>
      </w:r>
    </w:p>
    <w:p w14:paraId="40C81838" w14:textId="77777777" w:rsidR="005E1CD1" w:rsidRDefault="005E1CD1" w:rsidP="005E1CD1">
      <w:pPr>
        <w:pStyle w:val="Bibliography"/>
      </w:pPr>
      <w:r>
        <w:t xml:space="preserve">Cerda, C. A., Im, M. H., &amp; Hughes, J. N. (2014). Learning-related skills and academic achievement in academically at-risk first graders. </w:t>
      </w:r>
      <w:r>
        <w:rPr>
          <w:i/>
          <w:iCs/>
        </w:rPr>
        <w:t>Journal of Applied Developmental Psychology</w:t>
      </w:r>
      <w:r>
        <w:t xml:space="preserve">, </w:t>
      </w:r>
      <w:r>
        <w:rPr>
          <w:i/>
          <w:iCs/>
        </w:rPr>
        <w:t>35</w:t>
      </w:r>
      <w:r>
        <w:t>(5), 433–443. https://doi.org/10.1016/j.appdev.2014.08.001</w:t>
      </w:r>
    </w:p>
    <w:p w14:paraId="57560372" w14:textId="77777777" w:rsidR="005E1CD1" w:rsidRDefault="005E1CD1" w:rsidP="005E1CD1">
      <w:pPr>
        <w:pStyle w:val="Bibliography"/>
      </w:pPr>
      <w:r>
        <w:t xml:space="preserve">Chang, F., Crawford, G., Early, D., Bryant, D., Howes, C., </w:t>
      </w:r>
      <w:proofErr w:type="spellStart"/>
      <w:r>
        <w:t>Burchinal</w:t>
      </w:r>
      <w:proofErr w:type="spellEnd"/>
      <w:r>
        <w:t xml:space="preserve">, M., … </w:t>
      </w:r>
      <w:proofErr w:type="spellStart"/>
      <w:r>
        <w:t>Pianta</w:t>
      </w:r>
      <w:proofErr w:type="spellEnd"/>
      <w:r>
        <w:t xml:space="preserve">, R. (2007). Spanish-speaking children’s social and language development in pre-kindergarten classrooms. </w:t>
      </w:r>
      <w:r>
        <w:rPr>
          <w:i/>
          <w:iCs/>
        </w:rPr>
        <w:t>Early Education and Development</w:t>
      </w:r>
      <w:r>
        <w:t xml:space="preserve">, </w:t>
      </w:r>
      <w:r>
        <w:rPr>
          <w:i/>
          <w:iCs/>
        </w:rPr>
        <w:t>18</w:t>
      </w:r>
      <w:r>
        <w:t>(2), 243–269. https://doi.org/10.1080/10409280701282959</w:t>
      </w:r>
    </w:p>
    <w:p w14:paraId="19CF03DC" w14:textId="77777777" w:rsidR="005E1CD1" w:rsidRDefault="005E1CD1" w:rsidP="005E1CD1">
      <w:pPr>
        <w:pStyle w:val="Bibliography"/>
      </w:pPr>
      <w:r>
        <w:t xml:space="preserve">Chen, J.-Q., &amp; McNamee, G. D. (2011). Positive approaches to learning in the context of preschool classroom activities. </w:t>
      </w:r>
      <w:r>
        <w:rPr>
          <w:i/>
          <w:iCs/>
        </w:rPr>
        <w:t>Early Childhood Education Journal</w:t>
      </w:r>
      <w:r>
        <w:t xml:space="preserve">, </w:t>
      </w:r>
      <w:r>
        <w:rPr>
          <w:i/>
          <w:iCs/>
        </w:rPr>
        <w:t>39</w:t>
      </w:r>
      <w:r>
        <w:t>(1), 71–78. https://doi.org/10.1007/s10643-010-0441-x</w:t>
      </w:r>
    </w:p>
    <w:p w14:paraId="35D3C16D" w14:textId="77777777" w:rsidR="005E1CD1" w:rsidRDefault="005E1CD1" w:rsidP="005E1CD1">
      <w:pPr>
        <w:pStyle w:val="Bibliography"/>
      </w:pPr>
      <w:r>
        <w:t xml:space="preserve">Collie, R. J., Martin, A. J., Nassar, N., &amp; Roberts, C. L. (2019). Social and emotional behavioral profiles in kindergarten: A population-based latent profile analysis of links to socio-educational characteristics and later achievement. </w:t>
      </w:r>
      <w:r>
        <w:rPr>
          <w:i/>
          <w:iCs/>
        </w:rPr>
        <w:t>Journal of Educational Psychology</w:t>
      </w:r>
      <w:r>
        <w:t xml:space="preserve">, </w:t>
      </w:r>
      <w:r>
        <w:rPr>
          <w:i/>
          <w:iCs/>
        </w:rPr>
        <w:t>111</w:t>
      </w:r>
      <w:r>
        <w:t>(1), 170–187. http://dx.doi.org.ezproxy.lib.ou.edu/10.1037/edu0000262</w:t>
      </w:r>
    </w:p>
    <w:p w14:paraId="17B03669" w14:textId="77777777" w:rsidR="005E1CD1" w:rsidRDefault="005E1CD1" w:rsidP="005E1CD1">
      <w:pPr>
        <w:pStyle w:val="Bibliography"/>
      </w:pPr>
      <w:r>
        <w:t xml:space="preserve">Crane, J., </w:t>
      </w:r>
      <w:proofErr w:type="spellStart"/>
      <w:r>
        <w:t>Mincic</w:t>
      </w:r>
      <w:proofErr w:type="spellEnd"/>
      <w:r>
        <w:t xml:space="preserve">, M. S., &amp; </w:t>
      </w:r>
      <w:proofErr w:type="spellStart"/>
      <w:r>
        <w:t>Winsler</w:t>
      </w:r>
      <w:proofErr w:type="spellEnd"/>
      <w:r>
        <w:t xml:space="preserve">, A. (2011). Parent–teacher agreement and reliability on the Devereux Early Childhood Assessment (DECA) in English and Spanish for ethnically diverse children living in poverty. </w:t>
      </w:r>
      <w:r>
        <w:rPr>
          <w:i/>
          <w:iCs/>
        </w:rPr>
        <w:t>Early Education and Development</w:t>
      </w:r>
      <w:r>
        <w:t xml:space="preserve">, </w:t>
      </w:r>
      <w:r>
        <w:rPr>
          <w:i/>
          <w:iCs/>
        </w:rPr>
        <w:t>22</w:t>
      </w:r>
      <w:r>
        <w:t>(3), 520–547. https://doi.org/10.1080/10409289.2011.565722</w:t>
      </w:r>
    </w:p>
    <w:p w14:paraId="5E241C61" w14:textId="77777777" w:rsidR="005E1CD1" w:rsidRDefault="005E1CD1" w:rsidP="005E1CD1">
      <w:pPr>
        <w:pStyle w:val="Bibliography"/>
      </w:pPr>
      <w:r>
        <w:t xml:space="preserve">Daniels, D. H. (2014). Children’s affective orientations in preschool and their initial adjustment to kindergarten: Children’s affective orientations in preschool. </w:t>
      </w:r>
      <w:r>
        <w:rPr>
          <w:i/>
          <w:iCs/>
        </w:rPr>
        <w:t>Psychology in the Schools</w:t>
      </w:r>
      <w:r>
        <w:t xml:space="preserve">, </w:t>
      </w:r>
      <w:r>
        <w:rPr>
          <w:i/>
          <w:iCs/>
        </w:rPr>
        <w:t>51</w:t>
      </w:r>
      <w:r>
        <w:t>(3), 256–272. https://doi.org/10.1002/pits.21748</w:t>
      </w:r>
    </w:p>
    <w:p w14:paraId="2A61A4F5" w14:textId="77777777" w:rsidR="005E1CD1" w:rsidRDefault="005E1CD1" w:rsidP="005E1CD1">
      <w:pPr>
        <w:pStyle w:val="Bibliography"/>
      </w:pPr>
      <w:r>
        <w:t>Degnan, K. A., Calkins, S. D., Keane, S. P., &amp; Hill-</w:t>
      </w:r>
      <w:proofErr w:type="spellStart"/>
      <w:r>
        <w:t>Soderlund</w:t>
      </w:r>
      <w:proofErr w:type="spellEnd"/>
      <w:r>
        <w:t xml:space="preserve">, A. L. (2008). Profiles of disruptive behavior across early childhood: Contributions of frustration reactivity, physiological regulation, and maternal behavior. </w:t>
      </w:r>
      <w:r>
        <w:rPr>
          <w:i/>
          <w:iCs/>
        </w:rPr>
        <w:t>Child Development</w:t>
      </w:r>
      <w:r>
        <w:t xml:space="preserve">, </w:t>
      </w:r>
      <w:r>
        <w:rPr>
          <w:i/>
          <w:iCs/>
        </w:rPr>
        <w:t>79</w:t>
      </w:r>
      <w:r>
        <w:t>(5), 1357–1376. https://doi.org/10.1111/j.1467-8624.2008.01193.x</w:t>
      </w:r>
    </w:p>
    <w:p w14:paraId="7F021E2C" w14:textId="77777777" w:rsidR="005E1CD1" w:rsidRDefault="005E1CD1" w:rsidP="005E1CD1">
      <w:pPr>
        <w:pStyle w:val="Bibliography"/>
      </w:pPr>
      <w:r>
        <w:t xml:space="preserve">Denham, S., Bassett, H. H., </w:t>
      </w:r>
      <w:proofErr w:type="spellStart"/>
      <w:r>
        <w:t>Mincic</w:t>
      </w:r>
      <w:proofErr w:type="spellEnd"/>
      <w:r>
        <w:t xml:space="preserve">, M., Kalb, S., Way, E., Wyatt, T., &amp; Segal, Y. (2012). Social-emotional learning profiles of preschoolers’ early school success: A person-centered approach. </w:t>
      </w:r>
      <w:r>
        <w:rPr>
          <w:i/>
          <w:iCs/>
        </w:rPr>
        <w:t>Learning and Individual Differences</w:t>
      </w:r>
      <w:r>
        <w:t xml:space="preserve">, </w:t>
      </w:r>
      <w:r>
        <w:rPr>
          <w:i/>
          <w:iCs/>
        </w:rPr>
        <w:t>22</w:t>
      </w:r>
      <w:r>
        <w:t>(2), 178–189. https://doi.org/10.1016/j.lindif.2011.05.001</w:t>
      </w:r>
    </w:p>
    <w:p w14:paraId="0F4C6FA7" w14:textId="77777777" w:rsidR="005E1CD1" w:rsidRDefault="005E1CD1" w:rsidP="005E1CD1">
      <w:pPr>
        <w:pStyle w:val="Bibliography"/>
      </w:pPr>
      <w:r>
        <w:lastRenderedPageBreak/>
        <w:t xml:space="preserve">Denham, S., &amp; Brown, C. (2010). “Plays nice with others”: Social–emotional learning and academic success. </w:t>
      </w:r>
      <w:r>
        <w:rPr>
          <w:i/>
          <w:iCs/>
        </w:rPr>
        <w:t>Early Education &amp; Development</w:t>
      </w:r>
      <w:r>
        <w:t xml:space="preserve">, </w:t>
      </w:r>
      <w:r>
        <w:rPr>
          <w:i/>
          <w:iCs/>
        </w:rPr>
        <w:t>21</w:t>
      </w:r>
      <w:r>
        <w:t>(5), 652–680. https://doi.org/10.1080/10409289.2010.497450</w:t>
      </w:r>
    </w:p>
    <w:p w14:paraId="02642247" w14:textId="77777777" w:rsidR="005E1CD1" w:rsidRDefault="005E1CD1" w:rsidP="005E1CD1">
      <w:pPr>
        <w:pStyle w:val="Bibliography"/>
      </w:pPr>
      <w:r>
        <w:t xml:space="preserve">Dobbs-Oates, J., &amp; Robinson, C. (2012). Preschoolers’ mathematics skills and behavior: Analysis of a national sample. </w:t>
      </w:r>
      <w:r>
        <w:rPr>
          <w:i/>
          <w:iCs/>
        </w:rPr>
        <w:t>School Psychology Review</w:t>
      </w:r>
      <w:r>
        <w:t xml:space="preserve">, </w:t>
      </w:r>
      <w:r>
        <w:rPr>
          <w:i/>
          <w:iCs/>
        </w:rPr>
        <w:t>41</w:t>
      </w:r>
      <w:r>
        <w:t>(4), 371–386.</w:t>
      </w:r>
    </w:p>
    <w:p w14:paraId="5683B1A4" w14:textId="77777777" w:rsidR="005E1CD1" w:rsidRDefault="005E1CD1" w:rsidP="005E1CD1">
      <w:pPr>
        <w:pStyle w:val="Bibliography"/>
      </w:pPr>
      <w:r>
        <w:t xml:space="preserve">Domínguez, X., </w:t>
      </w:r>
      <w:proofErr w:type="spellStart"/>
      <w:r>
        <w:t>Vitiello</w:t>
      </w:r>
      <w:proofErr w:type="spellEnd"/>
      <w:r>
        <w:t xml:space="preserve">, V. E., </w:t>
      </w:r>
      <w:proofErr w:type="spellStart"/>
      <w:r>
        <w:t>Fuccillo</w:t>
      </w:r>
      <w:proofErr w:type="spellEnd"/>
      <w:r>
        <w:t xml:space="preserve">, J. M., Greenfield, D. B., &amp; </w:t>
      </w:r>
      <w:proofErr w:type="spellStart"/>
      <w:r>
        <w:t>Bulotsky</w:t>
      </w:r>
      <w:proofErr w:type="spellEnd"/>
      <w:r>
        <w:t xml:space="preserve">-Shearer, R. J. (2011). The role of context in preschool learning: A multilevel examination of the contribution of context-specific problem behaviors and classroom process quality to low-income children’s approaches to learning. </w:t>
      </w:r>
      <w:r>
        <w:rPr>
          <w:i/>
          <w:iCs/>
        </w:rPr>
        <w:t>Journal of School Psychology</w:t>
      </w:r>
      <w:r>
        <w:t xml:space="preserve">, </w:t>
      </w:r>
      <w:r>
        <w:rPr>
          <w:i/>
          <w:iCs/>
        </w:rPr>
        <w:t>49</w:t>
      </w:r>
      <w:r>
        <w:t>(2), 175–195. https://doi.org/10.1016/j.jsp.2010.11.002</w:t>
      </w:r>
    </w:p>
    <w:p w14:paraId="1542D519" w14:textId="77777777" w:rsidR="005E1CD1" w:rsidRDefault="005E1CD1" w:rsidP="005E1CD1">
      <w:pPr>
        <w:pStyle w:val="Bibliography"/>
      </w:pPr>
      <w:r>
        <w:t xml:space="preserve">Domínguez, X., </w:t>
      </w:r>
      <w:proofErr w:type="spellStart"/>
      <w:r>
        <w:t>Vitiello</w:t>
      </w:r>
      <w:proofErr w:type="spellEnd"/>
      <w:r>
        <w:t xml:space="preserve">, V. E., Maier, M. F., &amp; Greenfield, D. B. (2010). A longitudinal examination of young children’s learning behavior: Child-level and classroom-level predictors of change throughout the preschool year. </w:t>
      </w:r>
      <w:r>
        <w:rPr>
          <w:i/>
          <w:iCs/>
        </w:rPr>
        <w:t>School Psychology Review</w:t>
      </w:r>
      <w:r>
        <w:t xml:space="preserve">, </w:t>
      </w:r>
      <w:r>
        <w:rPr>
          <w:i/>
          <w:iCs/>
        </w:rPr>
        <w:t>39</w:t>
      </w:r>
      <w:r>
        <w:t>(1), 29.</w:t>
      </w:r>
    </w:p>
    <w:p w14:paraId="3FF5D582" w14:textId="77777777" w:rsidR="005E1CD1" w:rsidRDefault="005E1CD1" w:rsidP="005E1CD1">
      <w:pPr>
        <w:pStyle w:val="Bibliography"/>
      </w:pPr>
      <w:r>
        <w:t xml:space="preserve">Downer, J. T., </w:t>
      </w:r>
      <w:proofErr w:type="spellStart"/>
      <w:r>
        <w:t>Booren</w:t>
      </w:r>
      <w:proofErr w:type="spellEnd"/>
      <w:r>
        <w:t xml:space="preserve">, L. M., Lima, O. K., </w:t>
      </w:r>
      <w:proofErr w:type="spellStart"/>
      <w:r>
        <w:t>Luckner</w:t>
      </w:r>
      <w:proofErr w:type="spellEnd"/>
      <w:r>
        <w:t xml:space="preserve">, A. E., &amp; </w:t>
      </w:r>
      <w:proofErr w:type="spellStart"/>
      <w:r>
        <w:t>Pianta</w:t>
      </w:r>
      <w:proofErr w:type="spellEnd"/>
      <w:r>
        <w:t xml:space="preserve">, R. C. (2010a). The Individualized Classroom Assessment Scoring System (inCLASS): Preliminary reliability and validity of a system for observing preschoolers’ competence in classroom interactions. </w:t>
      </w:r>
      <w:r>
        <w:rPr>
          <w:i/>
          <w:iCs/>
        </w:rPr>
        <w:t>Early Childhood Research Quarterly</w:t>
      </w:r>
      <w:r>
        <w:t xml:space="preserve">, </w:t>
      </w:r>
      <w:r>
        <w:rPr>
          <w:i/>
          <w:iCs/>
        </w:rPr>
        <w:t>25</w:t>
      </w:r>
      <w:r>
        <w:t>(1), 1–16. https://doi.org/10.1016/j.ecresq.2009.08.004</w:t>
      </w:r>
    </w:p>
    <w:p w14:paraId="550CA342" w14:textId="77777777" w:rsidR="005E1CD1" w:rsidRDefault="005E1CD1" w:rsidP="005E1CD1">
      <w:pPr>
        <w:pStyle w:val="Bibliography"/>
      </w:pPr>
      <w:r>
        <w:t xml:space="preserve">Downer, J. T., </w:t>
      </w:r>
      <w:proofErr w:type="spellStart"/>
      <w:r>
        <w:t>Booren</w:t>
      </w:r>
      <w:proofErr w:type="spellEnd"/>
      <w:r>
        <w:t xml:space="preserve">, L. M., Lima, O. K., </w:t>
      </w:r>
      <w:proofErr w:type="spellStart"/>
      <w:r>
        <w:t>Luckner</w:t>
      </w:r>
      <w:proofErr w:type="spellEnd"/>
      <w:r>
        <w:t xml:space="preserve">, A. E., &amp; </w:t>
      </w:r>
      <w:proofErr w:type="spellStart"/>
      <w:r>
        <w:t>Pianta</w:t>
      </w:r>
      <w:proofErr w:type="spellEnd"/>
      <w:r>
        <w:t xml:space="preserve">, R. C. (2010b). The Individualized Classroom Assessment Scoring System (inCLASS): Preliminary reliability and validity of a system for observing preschoolers’ competence in classroom interactions. </w:t>
      </w:r>
      <w:r>
        <w:rPr>
          <w:i/>
          <w:iCs/>
        </w:rPr>
        <w:t>Early Childhood Research Quarterly</w:t>
      </w:r>
      <w:r>
        <w:t xml:space="preserve">, </w:t>
      </w:r>
      <w:r>
        <w:rPr>
          <w:i/>
          <w:iCs/>
        </w:rPr>
        <w:t>25</w:t>
      </w:r>
      <w:r>
        <w:t>(1), 1–16. https://doi.org/10.1016/j.ecresq.2009.08.004</w:t>
      </w:r>
    </w:p>
    <w:p w14:paraId="60DFFC4F" w14:textId="77777777" w:rsidR="005E1CD1" w:rsidRDefault="005E1CD1" w:rsidP="005E1CD1">
      <w:pPr>
        <w:pStyle w:val="Bibliography"/>
      </w:pPr>
      <w:r>
        <w:t xml:space="preserve">Elliott, L. (2019). Profiles of academic, cognitive, and behavioral development from kindergarten to third grade. </w:t>
      </w:r>
      <w:r>
        <w:rPr>
          <w:i/>
          <w:iCs/>
        </w:rPr>
        <w:t>Learning and Individual Differences</w:t>
      </w:r>
      <w:r>
        <w:t xml:space="preserve">, </w:t>
      </w:r>
      <w:r>
        <w:rPr>
          <w:i/>
          <w:iCs/>
        </w:rPr>
        <w:t>70</w:t>
      </w:r>
      <w:r>
        <w:t>, 109–120. https://doi.org/10.1016/j.lindif.2019.01.010</w:t>
      </w:r>
    </w:p>
    <w:p w14:paraId="0BDF3AAB" w14:textId="77777777" w:rsidR="005E1CD1" w:rsidRDefault="005E1CD1" w:rsidP="005E1CD1">
      <w:pPr>
        <w:pStyle w:val="Bibliography"/>
      </w:pPr>
      <w:proofErr w:type="spellStart"/>
      <w:r>
        <w:t>Fantuzzo</w:t>
      </w:r>
      <w:proofErr w:type="spellEnd"/>
      <w:r>
        <w:t xml:space="preserve">, J., </w:t>
      </w:r>
      <w:proofErr w:type="spellStart"/>
      <w:r>
        <w:t>Bulotsky</w:t>
      </w:r>
      <w:proofErr w:type="spellEnd"/>
      <w:r>
        <w:t xml:space="preserve">-Shearer, R., Fusco, R. A., &amp; McWayne, C. (2005). An investigation of preschool classroom behavioral adjustment problems and social–emotional school readiness competencies. </w:t>
      </w:r>
      <w:r>
        <w:rPr>
          <w:i/>
          <w:iCs/>
        </w:rPr>
        <w:t>Early Childhood Research Quarterly</w:t>
      </w:r>
      <w:r>
        <w:t xml:space="preserve">, </w:t>
      </w:r>
      <w:r>
        <w:rPr>
          <w:i/>
          <w:iCs/>
        </w:rPr>
        <w:t>20</w:t>
      </w:r>
      <w:r>
        <w:t>(3), 259–275. https://doi.org/10.1016/j.ecresq.2005.07.001</w:t>
      </w:r>
    </w:p>
    <w:p w14:paraId="0DDA6F0B" w14:textId="77777777" w:rsidR="005E1CD1" w:rsidRDefault="005E1CD1" w:rsidP="005E1CD1">
      <w:pPr>
        <w:pStyle w:val="Bibliography"/>
      </w:pPr>
      <w:proofErr w:type="spellStart"/>
      <w:r>
        <w:t>Fantuzzo</w:t>
      </w:r>
      <w:proofErr w:type="spellEnd"/>
      <w:r>
        <w:t xml:space="preserve">, J., </w:t>
      </w:r>
      <w:proofErr w:type="spellStart"/>
      <w:r>
        <w:t>Bulotsky</w:t>
      </w:r>
      <w:proofErr w:type="spellEnd"/>
      <w:r>
        <w:t xml:space="preserve">-Shearer, R., McDermott, P., McWayne, C., Frye, D., &amp; Perlman, S. (2007). Investigation of dimensions of social-emotional classroom behavior and school readiness for low-income urban preschool children. </w:t>
      </w:r>
      <w:r>
        <w:rPr>
          <w:i/>
          <w:iCs/>
        </w:rPr>
        <w:t>Social Psychology Review</w:t>
      </w:r>
      <w:r>
        <w:t xml:space="preserve">, </w:t>
      </w:r>
      <w:r>
        <w:rPr>
          <w:i/>
          <w:iCs/>
        </w:rPr>
        <w:t>36</w:t>
      </w:r>
      <w:r>
        <w:t>(1), 44–62.</w:t>
      </w:r>
    </w:p>
    <w:p w14:paraId="0FE29FF6" w14:textId="77777777" w:rsidR="005E1CD1" w:rsidRDefault="005E1CD1" w:rsidP="005E1CD1">
      <w:pPr>
        <w:pStyle w:val="Bibliography"/>
      </w:pPr>
      <w:proofErr w:type="spellStart"/>
      <w:r>
        <w:lastRenderedPageBreak/>
        <w:t>Fantuzzo</w:t>
      </w:r>
      <w:proofErr w:type="spellEnd"/>
      <w:r>
        <w:t xml:space="preserve">, J., Perry, M. A., &amp; McDermott, P. (2004). Preschool approaches to learning and their relationship to other relevant classroom competencies for low-income children. </w:t>
      </w:r>
      <w:r>
        <w:rPr>
          <w:i/>
          <w:iCs/>
        </w:rPr>
        <w:t>School Psychology Quarterly</w:t>
      </w:r>
      <w:r>
        <w:t xml:space="preserve">, </w:t>
      </w:r>
      <w:r>
        <w:rPr>
          <w:i/>
          <w:iCs/>
        </w:rPr>
        <w:t>19</w:t>
      </w:r>
      <w:r>
        <w:t>(3), 212–230. https://doi.org/10.1521/scpq.19.3.212.40276</w:t>
      </w:r>
    </w:p>
    <w:p w14:paraId="041F653B" w14:textId="77777777" w:rsidR="005E1CD1" w:rsidRDefault="005E1CD1" w:rsidP="005E1CD1">
      <w:pPr>
        <w:pStyle w:val="Bibliography"/>
      </w:pPr>
      <w:r>
        <w:t xml:space="preserve">Fitzpatrick, C., &amp; Pagani, L. S. (2013). Task-oriented kindergarten behavior pays off in later childhood. </w:t>
      </w:r>
      <w:r>
        <w:rPr>
          <w:i/>
          <w:iCs/>
        </w:rPr>
        <w:t>Journal of Developmental &amp; Behavioral Pediatrics</w:t>
      </w:r>
      <w:r>
        <w:t xml:space="preserve">, </w:t>
      </w:r>
      <w:r>
        <w:rPr>
          <w:i/>
          <w:iCs/>
        </w:rPr>
        <w:t>34</w:t>
      </w:r>
      <w:r>
        <w:t>(2), 94–101. https://doi.org/10.1097/DBP.0b013e31827a3779</w:t>
      </w:r>
    </w:p>
    <w:p w14:paraId="437B3923" w14:textId="77777777" w:rsidR="005E1CD1" w:rsidRDefault="005E1CD1" w:rsidP="005E1CD1">
      <w:pPr>
        <w:pStyle w:val="Bibliography"/>
      </w:pPr>
      <w:r>
        <w:t xml:space="preserve">Fredricks, J. A., Blumenfeld, P. C., &amp; Paris, A. H. (2004). School engagement: Potential of the concept, state of the evidence. </w:t>
      </w:r>
      <w:r>
        <w:rPr>
          <w:i/>
          <w:iCs/>
        </w:rPr>
        <w:t>Review of Educational Research</w:t>
      </w:r>
      <w:r>
        <w:t xml:space="preserve">, </w:t>
      </w:r>
      <w:r>
        <w:rPr>
          <w:i/>
          <w:iCs/>
        </w:rPr>
        <w:t>74</w:t>
      </w:r>
      <w:r>
        <w:t>(1), 59–109. https://doi.org/10.3102/00346543074001059</w:t>
      </w:r>
    </w:p>
    <w:p w14:paraId="694BD019" w14:textId="77777777" w:rsidR="005E1CD1" w:rsidRDefault="005E1CD1" w:rsidP="005E1CD1">
      <w:pPr>
        <w:pStyle w:val="Bibliography"/>
      </w:pPr>
      <w:proofErr w:type="spellStart"/>
      <w:r>
        <w:t>Fuhs</w:t>
      </w:r>
      <w:proofErr w:type="spellEnd"/>
      <w:r>
        <w:t xml:space="preserve">, M., </w:t>
      </w:r>
      <w:proofErr w:type="spellStart"/>
      <w:r>
        <w:t>Farran</w:t>
      </w:r>
      <w:proofErr w:type="spellEnd"/>
      <w:r>
        <w:t xml:space="preserve">, D. C., &amp; Nesbitt, K. T. (2015). Prekindergarten children’s executive functioning skills and achievement gains: The utility of direct assessments and teacher ratings. </w:t>
      </w:r>
      <w:r>
        <w:rPr>
          <w:i/>
          <w:iCs/>
        </w:rPr>
        <w:t>Journal of Educational Psychology</w:t>
      </w:r>
      <w:r>
        <w:t xml:space="preserve">, </w:t>
      </w:r>
      <w:r>
        <w:rPr>
          <w:i/>
          <w:iCs/>
        </w:rPr>
        <w:t>107</w:t>
      </w:r>
      <w:r>
        <w:t>(1), 207–221. http://dx.doi.org.ezproxy.lib.ou.edu/10.1037/a0037366</w:t>
      </w:r>
    </w:p>
    <w:p w14:paraId="1C7B4DDD" w14:textId="77777777" w:rsidR="005E1CD1" w:rsidRDefault="005E1CD1" w:rsidP="005E1CD1">
      <w:pPr>
        <w:pStyle w:val="Bibliography"/>
      </w:pPr>
      <w:r>
        <w:t xml:space="preserve">Gathercole, S. E., &amp; Pickering, S. J. (2000). Working memory deficits in children with low achievements in the national curriculum at 7 years of age. </w:t>
      </w:r>
      <w:r>
        <w:rPr>
          <w:i/>
          <w:iCs/>
        </w:rPr>
        <w:t>British Journal of Educational Psychology</w:t>
      </w:r>
      <w:r>
        <w:t xml:space="preserve">, </w:t>
      </w:r>
      <w:r>
        <w:rPr>
          <w:i/>
          <w:iCs/>
        </w:rPr>
        <w:t>70</w:t>
      </w:r>
      <w:r>
        <w:t>(2), 177–194. https://doi.org/10.1348/000709900158047</w:t>
      </w:r>
    </w:p>
    <w:p w14:paraId="4166D7A6" w14:textId="77777777" w:rsidR="005E1CD1" w:rsidRDefault="005E1CD1" w:rsidP="005E1CD1">
      <w:pPr>
        <w:pStyle w:val="Bibliography"/>
      </w:pPr>
      <w:r>
        <w:t xml:space="preserve">George, J., &amp; Greenfield, D. B. (2005). Examination of a structured problem-solving flexibility task for assessing approaches to learning in young children: Relation to teacher ratings and children’s achievement. </w:t>
      </w:r>
      <w:r>
        <w:rPr>
          <w:i/>
          <w:iCs/>
        </w:rPr>
        <w:t>Journal of Applied Developmental Psychology</w:t>
      </w:r>
      <w:r>
        <w:t xml:space="preserve">, </w:t>
      </w:r>
      <w:r>
        <w:rPr>
          <w:i/>
          <w:iCs/>
        </w:rPr>
        <w:t>26</w:t>
      </w:r>
      <w:r>
        <w:t>(1), 69–84. https://doi.org/10.1016/j.appdev.2004.10.006</w:t>
      </w:r>
    </w:p>
    <w:p w14:paraId="216BD645" w14:textId="77777777" w:rsidR="005E1CD1" w:rsidRDefault="005E1CD1" w:rsidP="005E1CD1">
      <w:pPr>
        <w:pStyle w:val="Bibliography"/>
      </w:pPr>
      <w:r>
        <w:t xml:space="preserve">Graziano, P. A., &amp; Hart, K. (2016). Beyond behavior modification: Benefits of social–emotional/self-regulation training for preschoolers with behavior problems. </w:t>
      </w:r>
      <w:r>
        <w:rPr>
          <w:i/>
          <w:iCs/>
        </w:rPr>
        <w:t>Journal of School Psychology</w:t>
      </w:r>
      <w:r>
        <w:t xml:space="preserve">, </w:t>
      </w:r>
      <w:r>
        <w:rPr>
          <w:i/>
          <w:iCs/>
        </w:rPr>
        <w:t>58</w:t>
      </w:r>
      <w:r>
        <w:t>, 91–111. https://doi.org/10.1016/j.jsp.2016.07.004</w:t>
      </w:r>
    </w:p>
    <w:p w14:paraId="4107DC2C" w14:textId="77777777" w:rsidR="005E1CD1" w:rsidRDefault="005E1CD1" w:rsidP="005E1CD1">
      <w:pPr>
        <w:pStyle w:val="Bibliography"/>
      </w:pPr>
      <w:r>
        <w:t xml:space="preserve">Graziano, P. A., </w:t>
      </w:r>
      <w:proofErr w:type="spellStart"/>
      <w:r>
        <w:t>Slavec</w:t>
      </w:r>
      <w:proofErr w:type="spellEnd"/>
      <w:r>
        <w:t xml:space="preserve">, J., Hart, K., Garcia, A., &amp; Pelham, W. E. (2014). Improving school readiness in preschoolers with behavior problems: Results from a summer treatment program. </w:t>
      </w:r>
      <w:r>
        <w:rPr>
          <w:i/>
          <w:iCs/>
        </w:rPr>
        <w:t>Journal of Psychopathology and Behavioral Assessment</w:t>
      </w:r>
      <w:r>
        <w:t xml:space="preserve">, </w:t>
      </w:r>
      <w:r>
        <w:rPr>
          <w:i/>
          <w:iCs/>
        </w:rPr>
        <w:t>36</w:t>
      </w:r>
      <w:r>
        <w:t>(4), 555–569. https://doi.org/10.1007/s10862-014-9418-1</w:t>
      </w:r>
    </w:p>
    <w:p w14:paraId="65966C48" w14:textId="77777777" w:rsidR="005E1CD1" w:rsidRDefault="005E1CD1" w:rsidP="005E1CD1">
      <w:pPr>
        <w:pStyle w:val="Bibliography"/>
      </w:pPr>
      <w:r>
        <w:t>Hair, E., Halle, T., Terry-</w:t>
      </w:r>
      <w:proofErr w:type="spellStart"/>
      <w:r>
        <w:t>Humen</w:t>
      </w:r>
      <w:proofErr w:type="spellEnd"/>
      <w:r>
        <w:t xml:space="preserve">, E., Lavelle, B., &amp; Calkins, J. (2006). Children’s school readiness in the ECLS-K: Predictions to academic, health, and social outcomes in first grade. </w:t>
      </w:r>
      <w:r>
        <w:rPr>
          <w:i/>
          <w:iCs/>
        </w:rPr>
        <w:t>Early Childhood Research Quarterly</w:t>
      </w:r>
      <w:r>
        <w:t xml:space="preserve">, </w:t>
      </w:r>
      <w:r>
        <w:rPr>
          <w:i/>
          <w:iCs/>
        </w:rPr>
        <w:t>21</w:t>
      </w:r>
      <w:r>
        <w:t>(4), 431–454. https://doi.org/10.1016/j.ecresq.2006.09.005</w:t>
      </w:r>
    </w:p>
    <w:p w14:paraId="56C5005D" w14:textId="77777777" w:rsidR="005E1CD1" w:rsidRDefault="005E1CD1" w:rsidP="005E1CD1">
      <w:pPr>
        <w:pStyle w:val="Bibliography"/>
      </w:pPr>
      <w:r>
        <w:t xml:space="preserve">Halliday, S. E., Calkins, S. D., &amp; </w:t>
      </w:r>
      <w:proofErr w:type="spellStart"/>
      <w:r>
        <w:t>Leerkes</w:t>
      </w:r>
      <w:proofErr w:type="spellEnd"/>
      <w:r>
        <w:t xml:space="preserve">, E. M. (2018). Measuring preschool learning engagement in the laboratory. </w:t>
      </w:r>
      <w:r>
        <w:rPr>
          <w:i/>
          <w:iCs/>
        </w:rPr>
        <w:t>Journal of Experimental Child Psychology</w:t>
      </w:r>
      <w:r>
        <w:t xml:space="preserve">, </w:t>
      </w:r>
      <w:r>
        <w:rPr>
          <w:i/>
          <w:iCs/>
        </w:rPr>
        <w:t>167</w:t>
      </w:r>
      <w:r>
        <w:t>, 93–116. https://doi.org/10.1016/j.jecp.2017.10.006</w:t>
      </w:r>
    </w:p>
    <w:p w14:paraId="5EABD370" w14:textId="77777777" w:rsidR="005E1CD1" w:rsidRDefault="005E1CD1" w:rsidP="005E1CD1">
      <w:pPr>
        <w:pStyle w:val="Bibliography"/>
      </w:pPr>
      <w:r>
        <w:lastRenderedPageBreak/>
        <w:t xml:space="preserve">Hamre, B., Hatfield, B., </w:t>
      </w:r>
      <w:proofErr w:type="spellStart"/>
      <w:r>
        <w:t>Pianta</w:t>
      </w:r>
      <w:proofErr w:type="spellEnd"/>
      <w:r>
        <w:t xml:space="preserve">, R., &amp; Jamil, F. (2014). Evidence for general and domain-specific elements of teacher–child interactions: Associations with preschool children’s development. </w:t>
      </w:r>
      <w:r>
        <w:rPr>
          <w:i/>
          <w:iCs/>
        </w:rPr>
        <w:t>Child Development</w:t>
      </w:r>
      <w:r>
        <w:t xml:space="preserve">, </w:t>
      </w:r>
      <w:r>
        <w:rPr>
          <w:i/>
          <w:iCs/>
        </w:rPr>
        <w:t>85</w:t>
      </w:r>
      <w:r>
        <w:t>(3), 1257–1274. https://doi.org/10.1111/cdev.12184</w:t>
      </w:r>
    </w:p>
    <w:p w14:paraId="00DB5FDC" w14:textId="77777777" w:rsidR="005E1CD1" w:rsidRDefault="005E1CD1" w:rsidP="005E1CD1">
      <w:pPr>
        <w:pStyle w:val="Bibliography"/>
      </w:pPr>
      <w:r>
        <w:t xml:space="preserve">Hamre, B. K., &amp; </w:t>
      </w:r>
      <w:proofErr w:type="spellStart"/>
      <w:r>
        <w:t>Pianta</w:t>
      </w:r>
      <w:proofErr w:type="spellEnd"/>
      <w:r>
        <w:t xml:space="preserve">, R. C. (2001). Early teacher–child relationships and the trajectory of children’s school outcomes through eighth grade. </w:t>
      </w:r>
      <w:r>
        <w:rPr>
          <w:i/>
          <w:iCs/>
        </w:rPr>
        <w:t>Child Development</w:t>
      </w:r>
      <w:r>
        <w:t xml:space="preserve">, </w:t>
      </w:r>
      <w:r>
        <w:rPr>
          <w:i/>
          <w:iCs/>
        </w:rPr>
        <w:t>72</w:t>
      </w:r>
      <w:r>
        <w:t>(2), 625–638. https://doi.org/10.1111/1467-8624.00301</w:t>
      </w:r>
    </w:p>
    <w:p w14:paraId="7AF92B2C" w14:textId="77777777" w:rsidR="005E1CD1" w:rsidRDefault="005E1CD1" w:rsidP="005E1CD1">
      <w:pPr>
        <w:pStyle w:val="Bibliography"/>
      </w:pPr>
      <w:r>
        <w:t xml:space="preserve">Hooper, S. R., Roberts, J., Sideris, J., </w:t>
      </w:r>
      <w:proofErr w:type="spellStart"/>
      <w:r>
        <w:t>Burchinal</w:t>
      </w:r>
      <w:proofErr w:type="spellEnd"/>
      <w:r>
        <w:t xml:space="preserve">, M., &amp; Zeisel, S. (2010). Longitudinal predictors of reading and math trajectories through middle school for African American versus Caucasian students across two samples. </w:t>
      </w:r>
      <w:r>
        <w:rPr>
          <w:i/>
          <w:iCs/>
        </w:rPr>
        <w:t>Developmental Psychology</w:t>
      </w:r>
      <w:r>
        <w:t xml:space="preserve">, </w:t>
      </w:r>
      <w:r>
        <w:rPr>
          <w:i/>
          <w:iCs/>
        </w:rPr>
        <w:t>46</w:t>
      </w:r>
      <w:r>
        <w:t>(5), 1018–1029. http://dx.doi.org.ezproxy.lib.ou.edu/10.1037/a0018877</w:t>
      </w:r>
    </w:p>
    <w:p w14:paraId="43FA364A" w14:textId="77777777" w:rsidR="005E1CD1" w:rsidRDefault="005E1CD1" w:rsidP="005E1CD1">
      <w:pPr>
        <w:pStyle w:val="Bibliography"/>
      </w:pPr>
      <w:r>
        <w:t xml:space="preserve">Howard, M. C., &amp; Hoffman, M. E. (2018). Variable-Centered, Person-Centered, and Person-Specific Approaches: Where Theory Meets the Method. </w:t>
      </w:r>
      <w:r>
        <w:rPr>
          <w:i/>
          <w:iCs/>
        </w:rPr>
        <w:t>Organizational Research Methods</w:t>
      </w:r>
      <w:r>
        <w:t xml:space="preserve">, </w:t>
      </w:r>
      <w:r>
        <w:rPr>
          <w:i/>
          <w:iCs/>
        </w:rPr>
        <w:t>21</w:t>
      </w:r>
      <w:r>
        <w:t>(4), 846–876. https://doi.org/10.1177/1094428117744021</w:t>
      </w:r>
    </w:p>
    <w:p w14:paraId="71018B46" w14:textId="77777777" w:rsidR="005E1CD1" w:rsidRDefault="005E1CD1" w:rsidP="005E1CD1">
      <w:pPr>
        <w:pStyle w:val="Bibliography"/>
      </w:pPr>
      <w:r>
        <w:t xml:space="preserve">Hunt, J. B., Carolina, N., Engler, J., Graves, W., Patton, P. E., Romer, R., … Riley, R. W. (1998). National Education Goals Panel. </w:t>
      </w:r>
      <w:r>
        <w:rPr>
          <w:i/>
          <w:iCs/>
        </w:rPr>
        <w:t>Ready Schools</w:t>
      </w:r>
      <w:r>
        <w:t>, 40.</w:t>
      </w:r>
    </w:p>
    <w:p w14:paraId="6348E6D3" w14:textId="77777777" w:rsidR="005E1CD1" w:rsidRDefault="005E1CD1" w:rsidP="005E1CD1">
      <w:pPr>
        <w:pStyle w:val="Bibliography"/>
      </w:pPr>
      <w:r>
        <w:t xml:space="preserve">Hyson, M. (2008). </w:t>
      </w:r>
      <w:r>
        <w:rPr>
          <w:i/>
          <w:iCs/>
        </w:rPr>
        <w:t>Enthusiastic and engaged learners</w:t>
      </w:r>
      <w:r>
        <w:t>. New York, NY: Teachers College Press.</w:t>
      </w:r>
    </w:p>
    <w:p w14:paraId="7ECC2A27" w14:textId="77777777" w:rsidR="005E1CD1" w:rsidRDefault="005E1CD1" w:rsidP="005E1CD1">
      <w:pPr>
        <w:pStyle w:val="Bibliography"/>
      </w:pPr>
      <w:r>
        <w:t xml:space="preserve">Johnson, A. D., Finch, J. E., &amp; Phillips, D. A. (2019). Associations between publicly funded preschool and low-income children’s kindergarten readiness: The moderating role of child temperament. </w:t>
      </w:r>
      <w:r>
        <w:rPr>
          <w:i/>
          <w:iCs/>
        </w:rPr>
        <w:t>Developmental Psychology</w:t>
      </w:r>
      <w:r>
        <w:t xml:space="preserve">, </w:t>
      </w:r>
      <w:r>
        <w:rPr>
          <w:i/>
          <w:iCs/>
        </w:rPr>
        <w:t>55</w:t>
      </w:r>
      <w:r>
        <w:t>(3), 623–636. http://dx.doi.org.ezproxy.lib.ou.edu/10.1037/dev0000651</w:t>
      </w:r>
    </w:p>
    <w:p w14:paraId="797A23E2" w14:textId="77777777" w:rsidR="005E1CD1" w:rsidRDefault="005E1CD1" w:rsidP="005E1CD1">
      <w:pPr>
        <w:pStyle w:val="Bibliography"/>
      </w:pPr>
      <w:r>
        <w:t xml:space="preserve">Jones, S. M., Bailey, R., Barnes, S. P., &amp; Partee, A. (2016). </w:t>
      </w:r>
      <w:r>
        <w:rPr>
          <w:i/>
          <w:iCs/>
        </w:rPr>
        <w:t>Executive function mapping project: Untangling the terms and skills related to executive function and self-regulation in early childhood</w:t>
      </w:r>
      <w:r>
        <w:t xml:space="preserve"> (No. OPRE Report # 2016-88). Washington, DC: Office of Planning, Research and Evaluation.</w:t>
      </w:r>
    </w:p>
    <w:p w14:paraId="5DBF8FE8" w14:textId="77777777" w:rsidR="005E1CD1" w:rsidRDefault="005E1CD1" w:rsidP="005E1CD1">
      <w:pPr>
        <w:pStyle w:val="Bibliography"/>
      </w:pPr>
      <w:r>
        <w:t xml:space="preserve">Kagan, S., Moore, E., &amp; Bredekamp, S. (1995). </w:t>
      </w:r>
      <w:r>
        <w:rPr>
          <w:i/>
          <w:iCs/>
        </w:rPr>
        <w:t>Reconsidering children’s early learning and development: Toward common views and vocabulary</w:t>
      </w:r>
      <w:r>
        <w:t>. Washington, DC: National Education Goals Panel.</w:t>
      </w:r>
    </w:p>
    <w:p w14:paraId="1900AC66" w14:textId="77777777" w:rsidR="005E1CD1" w:rsidRDefault="005E1CD1" w:rsidP="005E1CD1">
      <w:pPr>
        <w:pStyle w:val="Bibliography"/>
      </w:pPr>
      <w:proofErr w:type="spellStart"/>
      <w:r>
        <w:t>Konold</w:t>
      </w:r>
      <w:proofErr w:type="spellEnd"/>
      <w:r>
        <w:t xml:space="preserve">, T. R., &amp; </w:t>
      </w:r>
      <w:proofErr w:type="spellStart"/>
      <w:r>
        <w:t>Pianta</w:t>
      </w:r>
      <w:proofErr w:type="spellEnd"/>
      <w:r>
        <w:t xml:space="preserve">, R. C. (2005). </w:t>
      </w:r>
      <w:proofErr w:type="gramStart"/>
      <w:r>
        <w:t>Empirically-derived</w:t>
      </w:r>
      <w:proofErr w:type="gramEnd"/>
      <w:r>
        <w:t xml:space="preserve">, person-oriented patterns of school readiness in typically-developing children: Description and prediction to first-grade achievement. </w:t>
      </w:r>
      <w:r>
        <w:rPr>
          <w:i/>
          <w:iCs/>
        </w:rPr>
        <w:t>Applied Developmental Science</w:t>
      </w:r>
      <w:r>
        <w:t xml:space="preserve">, </w:t>
      </w:r>
      <w:r>
        <w:rPr>
          <w:i/>
          <w:iCs/>
        </w:rPr>
        <w:t>9</w:t>
      </w:r>
      <w:r>
        <w:t>(4), 174–187. https://doi.org/10.1207/s1532480xads0904_1</w:t>
      </w:r>
    </w:p>
    <w:p w14:paraId="49E274DC" w14:textId="77777777" w:rsidR="005E1CD1" w:rsidRDefault="005E1CD1" w:rsidP="005E1CD1">
      <w:pPr>
        <w:pStyle w:val="Bibliography"/>
      </w:pPr>
      <w:proofErr w:type="spellStart"/>
      <w:r>
        <w:t>Kontos</w:t>
      </w:r>
      <w:proofErr w:type="spellEnd"/>
      <w:r>
        <w:t xml:space="preserve">, S., &amp; Keyes, L. (1999). An </w:t>
      </w:r>
      <w:proofErr w:type="spellStart"/>
      <w:r>
        <w:t>ecobehavioral</w:t>
      </w:r>
      <w:proofErr w:type="spellEnd"/>
      <w:r>
        <w:t xml:space="preserve"> analysis of early childhood classrooms. </w:t>
      </w:r>
      <w:r>
        <w:rPr>
          <w:i/>
          <w:iCs/>
        </w:rPr>
        <w:t>Early Childhood Research Quarterly</w:t>
      </w:r>
      <w:r>
        <w:t xml:space="preserve">, </w:t>
      </w:r>
      <w:r>
        <w:rPr>
          <w:i/>
          <w:iCs/>
        </w:rPr>
        <w:t>14</w:t>
      </w:r>
      <w:r>
        <w:t>(1), 35–50. https://doi.org/10.1016/S0885-2006(99)80003-9</w:t>
      </w:r>
    </w:p>
    <w:p w14:paraId="0FA9F16B" w14:textId="77777777" w:rsidR="005E1CD1" w:rsidRDefault="005E1CD1" w:rsidP="005E1CD1">
      <w:pPr>
        <w:pStyle w:val="Bibliography"/>
      </w:pPr>
      <w:r>
        <w:lastRenderedPageBreak/>
        <w:t xml:space="preserve">Ladd, G. W., &amp; Burgess, K. B. (2001). Do relational risks and protective factors moderate the linkages between childhood aggression and early psychological and school adjustment? </w:t>
      </w:r>
      <w:r>
        <w:rPr>
          <w:i/>
          <w:iCs/>
        </w:rPr>
        <w:t>Child Development</w:t>
      </w:r>
      <w:r>
        <w:t xml:space="preserve">, </w:t>
      </w:r>
      <w:r>
        <w:rPr>
          <w:i/>
          <w:iCs/>
        </w:rPr>
        <w:t>72</w:t>
      </w:r>
      <w:r>
        <w:t>(5), 1579–1601. Retrieved from JSTOR.</w:t>
      </w:r>
    </w:p>
    <w:p w14:paraId="059F5304" w14:textId="77777777" w:rsidR="005E1CD1" w:rsidRDefault="005E1CD1" w:rsidP="005E1CD1">
      <w:pPr>
        <w:pStyle w:val="Bibliography"/>
      </w:pPr>
      <w:proofErr w:type="spellStart"/>
      <w:r>
        <w:t>LeBuffe</w:t>
      </w:r>
      <w:proofErr w:type="spellEnd"/>
      <w:r>
        <w:t xml:space="preserve">, P., &amp; </w:t>
      </w:r>
      <w:proofErr w:type="spellStart"/>
      <w:r>
        <w:t>Naglieri</w:t>
      </w:r>
      <w:proofErr w:type="spellEnd"/>
      <w:r>
        <w:t xml:space="preserve">, J. (1999). </w:t>
      </w:r>
      <w:r>
        <w:rPr>
          <w:i/>
          <w:iCs/>
        </w:rPr>
        <w:t>The Devereux Early Childhood Assessment</w:t>
      </w:r>
      <w:r>
        <w:t>. Lewisville, NC: Kaplan Press Publishing.</w:t>
      </w:r>
    </w:p>
    <w:p w14:paraId="4C407C52" w14:textId="77777777" w:rsidR="005E1CD1" w:rsidRDefault="005E1CD1" w:rsidP="005E1CD1">
      <w:pPr>
        <w:pStyle w:val="Bibliography"/>
      </w:pPr>
      <w:proofErr w:type="spellStart"/>
      <w:r>
        <w:t>LeBuffe</w:t>
      </w:r>
      <w:proofErr w:type="spellEnd"/>
      <w:r>
        <w:t xml:space="preserve">, P., &amp; Shapiro, V. (2004). Lending “strength” to the assessment of preschool social-emotional health. </w:t>
      </w:r>
      <w:r>
        <w:rPr>
          <w:i/>
          <w:iCs/>
        </w:rPr>
        <w:t>The California School Psychologist</w:t>
      </w:r>
      <w:r>
        <w:t xml:space="preserve">, </w:t>
      </w:r>
      <w:r>
        <w:rPr>
          <w:i/>
          <w:iCs/>
        </w:rPr>
        <w:t>9</w:t>
      </w:r>
      <w:r>
        <w:t>, 51–61.</w:t>
      </w:r>
    </w:p>
    <w:p w14:paraId="60EE34A6" w14:textId="77777777" w:rsidR="005E1CD1" w:rsidRDefault="005E1CD1" w:rsidP="005E1CD1">
      <w:pPr>
        <w:pStyle w:val="Bibliography"/>
      </w:pPr>
      <w:r>
        <w:t xml:space="preserve">Lien, M. T., &amp; Carlson, J. S. (2009). Psychometric properties of the Devereux Early Childhood Assessment in a Head Start sample. </w:t>
      </w:r>
      <w:r>
        <w:rPr>
          <w:i/>
          <w:iCs/>
        </w:rPr>
        <w:t>Journal of Psychoeducational Assessment</w:t>
      </w:r>
      <w:r>
        <w:t xml:space="preserve">, </w:t>
      </w:r>
      <w:r>
        <w:rPr>
          <w:i/>
          <w:iCs/>
        </w:rPr>
        <w:t>27</w:t>
      </w:r>
      <w:r>
        <w:t>(5), 386–396. https://doi.org/10.1177/0734282909331754</w:t>
      </w:r>
    </w:p>
    <w:p w14:paraId="2D669C7F" w14:textId="77777777" w:rsidR="005E1CD1" w:rsidRDefault="005E1CD1" w:rsidP="005E1CD1">
      <w:pPr>
        <w:pStyle w:val="Bibliography"/>
      </w:pPr>
      <w:r>
        <w:t>Li-</w:t>
      </w:r>
      <w:proofErr w:type="spellStart"/>
      <w:r>
        <w:t>Grining</w:t>
      </w:r>
      <w:proofErr w:type="spellEnd"/>
      <w:r>
        <w:t>, C. P., Votruba-</w:t>
      </w:r>
      <w:proofErr w:type="spellStart"/>
      <w:r>
        <w:t>Drzal</w:t>
      </w:r>
      <w:proofErr w:type="spellEnd"/>
      <w:r>
        <w:t>, E., Maldonado-</w:t>
      </w:r>
      <w:proofErr w:type="spellStart"/>
      <w:r>
        <w:t>Carreno</w:t>
      </w:r>
      <w:proofErr w:type="spellEnd"/>
      <w:r>
        <w:t xml:space="preserve">, C., &amp; Haas, K. (2010). Children’s early approaches to learning and academic trajectories through fifth grade. </w:t>
      </w:r>
      <w:r>
        <w:rPr>
          <w:i/>
          <w:iCs/>
        </w:rPr>
        <w:t>Developmental Psychology</w:t>
      </w:r>
      <w:r>
        <w:t xml:space="preserve">, </w:t>
      </w:r>
      <w:r>
        <w:rPr>
          <w:i/>
          <w:iCs/>
        </w:rPr>
        <w:t>46</w:t>
      </w:r>
      <w:r>
        <w:t>(5), 1062–1077. https://doi.org/10.1037/a0020066</w:t>
      </w:r>
    </w:p>
    <w:p w14:paraId="548E85F5" w14:textId="77777777" w:rsidR="005E1CD1" w:rsidRDefault="005E1CD1" w:rsidP="005E1CD1">
      <w:pPr>
        <w:pStyle w:val="Bibliography"/>
      </w:pPr>
      <w:r>
        <w:t xml:space="preserve">Lutz, M. N., </w:t>
      </w:r>
      <w:proofErr w:type="spellStart"/>
      <w:r>
        <w:t>Fantuzzo</w:t>
      </w:r>
      <w:proofErr w:type="spellEnd"/>
      <w:r>
        <w:t xml:space="preserve">, J., &amp; McDermott, P. (2002). Multidimensional assessment of emotional and behavioral adjustment problems of low-income preschool children: Development and initial validation. </w:t>
      </w:r>
      <w:r>
        <w:rPr>
          <w:i/>
          <w:iCs/>
        </w:rPr>
        <w:t>Early Childhood Research Quarterly</w:t>
      </w:r>
      <w:r>
        <w:t xml:space="preserve">, </w:t>
      </w:r>
      <w:r>
        <w:rPr>
          <w:i/>
          <w:iCs/>
        </w:rPr>
        <w:t>17</w:t>
      </w:r>
      <w:r>
        <w:t>(3), 338–355. https://doi.org/10.1016/S0885-2006(02)00168-0</w:t>
      </w:r>
    </w:p>
    <w:p w14:paraId="7AB5EF54" w14:textId="3CED6672" w:rsidR="005E1CD1" w:rsidRDefault="005E1CD1" w:rsidP="005E1CD1">
      <w:pPr>
        <w:pStyle w:val="Bibliography"/>
      </w:pPr>
      <w:proofErr w:type="spellStart"/>
      <w:r>
        <w:t>Mahy</w:t>
      </w:r>
      <w:proofErr w:type="spellEnd"/>
      <w:r>
        <w:t xml:space="preserve">, C. E. V., &amp; Moses, L. J. (2011). Executive functioning and prospective memory in young children. </w:t>
      </w:r>
      <w:r>
        <w:rPr>
          <w:i/>
          <w:iCs/>
        </w:rPr>
        <w:t>Cognitive Development</w:t>
      </w:r>
      <w:r>
        <w:t>, S0885201411000384. https://doi.org/10.1016/j.cogdev.2011.06.002</w:t>
      </w:r>
    </w:p>
    <w:p w14:paraId="30AB55DD" w14:textId="77777777" w:rsidR="005E1CD1" w:rsidRDefault="005E1CD1" w:rsidP="005E1CD1">
      <w:pPr>
        <w:pStyle w:val="Bibliography"/>
      </w:pPr>
      <w:r>
        <w:t xml:space="preserve">McClelland, M. M., </w:t>
      </w:r>
      <w:proofErr w:type="spellStart"/>
      <w:r>
        <w:t>Acock</w:t>
      </w:r>
      <w:proofErr w:type="spellEnd"/>
      <w:r>
        <w:t xml:space="preserve">, A. C., &amp; Morrison, F. J. (2006). The impact of kindergarten learning-related skills on academic trajectories at the end of elementary school. </w:t>
      </w:r>
      <w:r>
        <w:rPr>
          <w:i/>
          <w:iCs/>
        </w:rPr>
        <w:t>Early Childhood Research Quarterly</w:t>
      </w:r>
      <w:r>
        <w:t xml:space="preserve">, </w:t>
      </w:r>
      <w:r>
        <w:rPr>
          <w:i/>
          <w:iCs/>
        </w:rPr>
        <w:t>21</w:t>
      </w:r>
      <w:r>
        <w:t>(4), 471–490. https://doi.org/10.1016/j.ecresq.2006.09.003</w:t>
      </w:r>
    </w:p>
    <w:p w14:paraId="3809CBF0" w14:textId="77777777" w:rsidR="005E1CD1" w:rsidRDefault="005E1CD1" w:rsidP="005E1CD1">
      <w:pPr>
        <w:pStyle w:val="Bibliography"/>
      </w:pPr>
      <w:r>
        <w:t xml:space="preserve">McClelland, M. M., &amp; Cameron, C. E. (2012). Self-regulation in early childhood: Improving conceptual clarity and developing ecologically valid measures. </w:t>
      </w:r>
      <w:r>
        <w:rPr>
          <w:i/>
          <w:iCs/>
        </w:rPr>
        <w:t>Child Development Perspectives</w:t>
      </w:r>
      <w:r>
        <w:t xml:space="preserve">, </w:t>
      </w:r>
      <w:r>
        <w:rPr>
          <w:i/>
          <w:iCs/>
        </w:rPr>
        <w:t>6</w:t>
      </w:r>
      <w:r>
        <w:t>(2), 136–142. https://doi.org/10.1111/j.1750-8606.2011.00191.x</w:t>
      </w:r>
    </w:p>
    <w:p w14:paraId="6AE1890E" w14:textId="77777777" w:rsidR="005E1CD1" w:rsidRDefault="005E1CD1" w:rsidP="005E1CD1">
      <w:pPr>
        <w:pStyle w:val="Bibliography"/>
      </w:pPr>
      <w:r>
        <w:t xml:space="preserve">McClelland, M. M., Cameron, C. E., Duncan, R., Bowles, R. P., </w:t>
      </w:r>
      <w:proofErr w:type="spellStart"/>
      <w:r>
        <w:t>Acock</w:t>
      </w:r>
      <w:proofErr w:type="spellEnd"/>
      <w:r>
        <w:t xml:space="preserve">, A. C., Miao, A., &amp; Pratt, M. E. (2014). Predictors of early growth in academic achievement: The head-toes-knees-shoulders task. </w:t>
      </w:r>
      <w:r>
        <w:rPr>
          <w:i/>
          <w:iCs/>
        </w:rPr>
        <w:t>Frontiers in Psychology</w:t>
      </w:r>
      <w:r>
        <w:t xml:space="preserve">, </w:t>
      </w:r>
      <w:r>
        <w:rPr>
          <w:i/>
          <w:iCs/>
        </w:rPr>
        <w:t>5</w:t>
      </w:r>
      <w:r>
        <w:t>. https://doi.org/10.3389/fpsyg.2014.00599</w:t>
      </w:r>
    </w:p>
    <w:p w14:paraId="6953DA3D" w14:textId="77777777" w:rsidR="005E1CD1" w:rsidRDefault="005E1CD1" w:rsidP="005E1CD1">
      <w:pPr>
        <w:pStyle w:val="Bibliography"/>
      </w:pPr>
      <w:r>
        <w:t xml:space="preserve">McClelland, M. M., Cameron, C. E., </w:t>
      </w:r>
      <w:proofErr w:type="spellStart"/>
      <w:r>
        <w:t>Wanless</w:t>
      </w:r>
      <w:proofErr w:type="spellEnd"/>
      <w:r>
        <w:t xml:space="preserve">, S. B., Murry, A., </w:t>
      </w:r>
      <w:proofErr w:type="spellStart"/>
      <w:r>
        <w:t>Saracho</w:t>
      </w:r>
      <w:proofErr w:type="spellEnd"/>
      <w:r>
        <w:t xml:space="preserve">, O., &amp; </w:t>
      </w:r>
      <w:proofErr w:type="spellStart"/>
      <w:r>
        <w:t>Spodek</w:t>
      </w:r>
      <w:proofErr w:type="spellEnd"/>
      <w:r>
        <w:t xml:space="preserve">, B. (2007). Executive function, behavioral self-regulation, and social-emotional competence. In O. </w:t>
      </w:r>
      <w:proofErr w:type="spellStart"/>
      <w:r>
        <w:t>Saracho</w:t>
      </w:r>
      <w:proofErr w:type="spellEnd"/>
      <w:r>
        <w:t xml:space="preserve"> (Ed.), </w:t>
      </w:r>
      <w:r>
        <w:rPr>
          <w:i/>
          <w:iCs/>
        </w:rPr>
        <w:t>Contemporary perspectives on social learning in early childhood education</w:t>
      </w:r>
      <w:r>
        <w:t xml:space="preserve"> (pp. 113–137). Charlotte, NC: Information Age Publishing.</w:t>
      </w:r>
    </w:p>
    <w:p w14:paraId="50E8559D" w14:textId="77777777" w:rsidR="005E1CD1" w:rsidRDefault="005E1CD1" w:rsidP="005E1CD1">
      <w:pPr>
        <w:pStyle w:val="Bibliography"/>
      </w:pPr>
      <w:r>
        <w:lastRenderedPageBreak/>
        <w:t xml:space="preserve">McClelland, M. M., &amp; Morrison, F. J. (2003). The emergence of learning-related social skills in preschool children. </w:t>
      </w:r>
      <w:r>
        <w:rPr>
          <w:i/>
          <w:iCs/>
        </w:rPr>
        <w:t>Early Childhood Research Quarterly</w:t>
      </w:r>
      <w:r>
        <w:t xml:space="preserve">, </w:t>
      </w:r>
      <w:r>
        <w:rPr>
          <w:i/>
          <w:iCs/>
        </w:rPr>
        <w:t>18</w:t>
      </w:r>
      <w:r>
        <w:t>(2), 206–224. https://doi.org/10.1016/S0885-2006(03)00026-7</w:t>
      </w:r>
    </w:p>
    <w:p w14:paraId="7C2940BF" w14:textId="77777777" w:rsidR="005E1CD1" w:rsidRDefault="005E1CD1" w:rsidP="005E1CD1">
      <w:pPr>
        <w:pStyle w:val="Bibliography"/>
      </w:pPr>
      <w:r>
        <w:t xml:space="preserve">McDermott, P. A., </w:t>
      </w:r>
      <w:proofErr w:type="spellStart"/>
      <w:r>
        <w:t>Rikoon</w:t>
      </w:r>
      <w:proofErr w:type="spellEnd"/>
      <w:r>
        <w:t xml:space="preserve">, S. H., &amp; </w:t>
      </w:r>
      <w:proofErr w:type="spellStart"/>
      <w:r>
        <w:t>Fantuzzo</w:t>
      </w:r>
      <w:proofErr w:type="spellEnd"/>
      <w:r>
        <w:t xml:space="preserve">, J. W. (2014). Tracing children’s approaches to learning through Head Start, kindergarten, and first grade: Different pathways to different outcomes. </w:t>
      </w:r>
      <w:r>
        <w:rPr>
          <w:i/>
          <w:iCs/>
        </w:rPr>
        <w:t>Journal of Educational Psychology</w:t>
      </w:r>
      <w:r>
        <w:t xml:space="preserve">, </w:t>
      </w:r>
      <w:r>
        <w:rPr>
          <w:i/>
          <w:iCs/>
        </w:rPr>
        <w:t>106</w:t>
      </w:r>
      <w:r>
        <w:t>(1), 200–213. http://dx.doi.org.ezproxy.lib.ou.edu/10.1037/a0033547</w:t>
      </w:r>
    </w:p>
    <w:p w14:paraId="55A5E1FC" w14:textId="77777777" w:rsidR="005E1CD1" w:rsidRDefault="005E1CD1" w:rsidP="005E1CD1">
      <w:pPr>
        <w:pStyle w:val="Bibliography"/>
      </w:pPr>
      <w:r>
        <w:t xml:space="preserve">McDermott, P. A., </w:t>
      </w:r>
      <w:proofErr w:type="spellStart"/>
      <w:r>
        <w:t>Rovine</w:t>
      </w:r>
      <w:proofErr w:type="spellEnd"/>
      <w:r>
        <w:t xml:space="preserve">, M. J., Reyes, R. S., Chao, J. L., Scruggs, R., </w:t>
      </w:r>
      <w:proofErr w:type="spellStart"/>
      <w:r>
        <w:t>Buek</w:t>
      </w:r>
      <w:proofErr w:type="spellEnd"/>
      <w:r>
        <w:t xml:space="preserve">, K., &amp; </w:t>
      </w:r>
      <w:proofErr w:type="spellStart"/>
      <w:r>
        <w:t>Fantuzzo</w:t>
      </w:r>
      <w:proofErr w:type="spellEnd"/>
      <w:r>
        <w:t xml:space="preserve">, J. W. (2018). Trajectories of early education learning behaviors among children at risk: A growth mixture modeling approach. </w:t>
      </w:r>
      <w:r>
        <w:rPr>
          <w:i/>
          <w:iCs/>
        </w:rPr>
        <w:t>Psychology in the Schools</w:t>
      </w:r>
      <w:r>
        <w:t xml:space="preserve">, </w:t>
      </w:r>
      <w:r>
        <w:rPr>
          <w:i/>
          <w:iCs/>
        </w:rPr>
        <w:t>55</w:t>
      </w:r>
      <w:r>
        <w:t>(10), 1205–1223. https://doi.org/10.1002/pits.22145</w:t>
      </w:r>
    </w:p>
    <w:p w14:paraId="57DB7176" w14:textId="77777777" w:rsidR="005E1CD1" w:rsidRDefault="005E1CD1" w:rsidP="005E1CD1">
      <w:pPr>
        <w:pStyle w:val="Bibliography"/>
      </w:pPr>
      <w:r>
        <w:t xml:space="preserve">McWayne, C., Cheung, K., Wright, L. E., &amp; </w:t>
      </w:r>
      <w:proofErr w:type="spellStart"/>
      <w:r>
        <w:t>Hahs</w:t>
      </w:r>
      <w:proofErr w:type="spellEnd"/>
      <w:r>
        <w:t xml:space="preserve">-Vaughn, D. L. (2012). Patterns of school readiness among head start children: Meaningful within-group variability during the transition to kindergarten. </w:t>
      </w:r>
      <w:r>
        <w:rPr>
          <w:i/>
          <w:iCs/>
        </w:rPr>
        <w:t>Journal of Educational Psychology</w:t>
      </w:r>
      <w:r>
        <w:t xml:space="preserve">, </w:t>
      </w:r>
      <w:r>
        <w:rPr>
          <w:i/>
          <w:iCs/>
        </w:rPr>
        <w:t>104</w:t>
      </w:r>
      <w:r>
        <w:t>(3), 862–878. https://doi.org/10.1037/a0028884</w:t>
      </w:r>
    </w:p>
    <w:p w14:paraId="189CB1CF" w14:textId="77777777" w:rsidR="005E1CD1" w:rsidRDefault="005E1CD1" w:rsidP="005E1CD1">
      <w:pPr>
        <w:pStyle w:val="Bibliography"/>
      </w:pPr>
      <w:r>
        <w:t xml:space="preserve">McWayne, C., </w:t>
      </w:r>
      <w:proofErr w:type="spellStart"/>
      <w:r>
        <w:t>Fantuzzo</w:t>
      </w:r>
      <w:proofErr w:type="spellEnd"/>
      <w:r>
        <w:t xml:space="preserve">, J. W., &amp; McDermott, P. A. (2004). Preschool competency in context: An investigation of the unique contribution of child competencies to early academic success. </w:t>
      </w:r>
      <w:r>
        <w:rPr>
          <w:i/>
          <w:iCs/>
        </w:rPr>
        <w:t>Developmental Psychology</w:t>
      </w:r>
      <w:r>
        <w:t xml:space="preserve">, </w:t>
      </w:r>
      <w:r>
        <w:rPr>
          <w:i/>
          <w:iCs/>
        </w:rPr>
        <w:t>40</w:t>
      </w:r>
      <w:r>
        <w:t>(4), 633–645. http://dx.doi.org.ezproxy.lib.ou.edu/10.1037/0012-1649.40.4.633</w:t>
      </w:r>
    </w:p>
    <w:p w14:paraId="4E5E01EE" w14:textId="77777777" w:rsidR="005E1CD1" w:rsidRDefault="005E1CD1" w:rsidP="005E1CD1">
      <w:pPr>
        <w:pStyle w:val="Bibliography"/>
      </w:pPr>
      <w:r>
        <w:t xml:space="preserve">McWayne, C., </w:t>
      </w:r>
      <w:proofErr w:type="spellStart"/>
      <w:r>
        <w:t>Hahs</w:t>
      </w:r>
      <w:proofErr w:type="spellEnd"/>
      <w:r>
        <w:t xml:space="preserve">-Vaughn, D. L., Cheung, K., &amp; Wright, L. E. G. (2012). National profiles of school readiness skills for Head Start children: An investigation of stability and change. </w:t>
      </w:r>
      <w:r>
        <w:rPr>
          <w:i/>
          <w:iCs/>
        </w:rPr>
        <w:t>Early Childhood Research Quarterly</w:t>
      </w:r>
      <w:r>
        <w:t xml:space="preserve">, </w:t>
      </w:r>
      <w:r>
        <w:rPr>
          <w:i/>
          <w:iCs/>
        </w:rPr>
        <w:t>27</w:t>
      </w:r>
      <w:r>
        <w:t>(4), 668–683. https://doi.org/10.1016/j.ecresq.2011.10.002</w:t>
      </w:r>
    </w:p>
    <w:p w14:paraId="077CD5FD" w14:textId="77777777" w:rsidR="005E1CD1" w:rsidRDefault="005E1CD1" w:rsidP="005E1CD1">
      <w:pPr>
        <w:pStyle w:val="Bibliography"/>
      </w:pPr>
      <w:r>
        <w:t xml:space="preserve">Meng, C. (2015). Classroom quality and academic skills: Approaches to learning as a moderator. </w:t>
      </w:r>
      <w:r>
        <w:rPr>
          <w:i/>
          <w:iCs/>
        </w:rPr>
        <w:t>School Psychology Quarterly</w:t>
      </w:r>
      <w:r>
        <w:t xml:space="preserve">, </w:t>
      </w:r>
      <w:r>
        <w:rPr>
          <w:i/>
          <w:iCs/>
        </w:rPr>
        <w:t>30</w:t>
      </w:r>
      <w:r>
        <w:t>(4), 553–563. https://doi.org/10.1037/spq0000108</w:t>
      </w:r>
    </w:p>
    <w:p w14:paraId="5B2A0C2C" w14:textId="77777777" w:rsidR="005E1CD1" w:rsidRDefault="005E1CD1" w:rsidP="005E1CD1">
      <w:pPr>
        <w:pStyle w:val="Bibliography"/>
      </w:pPr>
      <w:proofErr w:type="spellStart"/>
      <w:r>
        <w:t>Montroy</w:t>
      </w:r>
      <w:proofErr w:type="spellEnd"/>
      <w:r>
        <w:t xml:space="preserve">, J. J., Bowles, R. P., </w:t>
      </w:r>
      <w:proofErr w:type="spellStart"/>
      <w:r>
        <w:t>Skibbe</w:t>
      </w:r>
      <w:proofErr w:type="spellEnd"/>
      <w:r>
        <w:t xml:space="preserve">, L. E., &amp; Foster, T. D. (2014). Social skills and problem behaviors as mediators of the relationship between behavioral self-regulation and academic achievement. </w:t>
      </w:r>
      <w:r>
        <w:rPr>
          <w:i/>
          <w:iCs/>
        </w:rPr>
        <w:t>Early Childhood Research Quarterly</w:t>
      </w:r>
      <w:r>
        <w:t xml:space="preserve">, </w:t>
      </w:r>
      <w:r>
        <w:rPr>
          <w:i/>
          <w:iCs/>
        </w:rPr>
        <w:t>29</w:t>
      </w:r>
      <w:r>
        <w:t>(3), 298–309. https://doi.org/10.1016/j.ecresq.2014.03.002</w:t>
      </w:r>
    </w:p>
    <w:p w14:paraId="7721D5D6" w14:textId="77777777" w:rsidR="005E1CD1" w:rsidRDefault="005E1CD1" w:rsidP="005E1CD1">
      <w:pPr>
        <w:pStyle w:val="Bibliography"/>
      </w:pPr>
      <w:r>
        <w:t xml:space="preserve">Morgan, P. L., Farkas, G., &amp; </w:t>
      </w:r>
      <w:proofErr w:type="spellStart"/>
      <w:r>
        <w:t>Qiong</w:t>
      </w:r>
      <w:proofErr w:type="spellEnd"/>
      <w:r>
        <w:t xml:space="preserve"> Wu. (2009). Five-year growth trajectories of kindergarten children with learning difficulties in mathematics. </w:t>
      </w:r>
      <w:r>
        <w:rPr>
          <w:i/>
          <w:iCs/>
        </w:rPr>
        <w:t>Journal of Learning Disabilities</w:t>
      </w:r>
      <w:r>
        <w:t xml:space="preserve">, </w:t>
      </w:r>
      <w:r>
        <w:rPr>
          <w:i/>
          <w:iCs/>
        </w:rPr>
        <w:t>42</w:t>
      </w:r>
      <w:r>
        <w:t>(4), 306–321. https://doi.org/10.1177/0022219408331037</w:t>
      </w:r>
    </w:p>
    <w:p w14:paraId="68157B7C" w14:textId="77777777" w:rsidR="005E1CD1" w:rsidRDefault="005E1CD1" w:rsidP="005E1CD1">
      <w:pPr>
        <w:pStyle w:val="Bibliography"/>
      </w:pPr>
      <w:r>
        <w:t xml:space="preserve">Morrison, F. J., </w:t>
      </w:r>
      <w:proofErr w:type="spellStart"/>
      <w:r>
        <w:t>Ponitz</w:t>
      </w:r>
      <w:proofErr w:type="spellEnd"/>
      <w:r>
        <w:t xml:space="preserve">, C. C., &amp; McClelland, M. M. (2010). Self-regulation and academic achievement in the transition to school. In S. D. Calkins &amp; M. A. Bell (Eds.), </w:t>
      </w:r>
      <w:r>
        <w:rPr>
          <w:i/>
          <w:iCs/>
        </w:rPr>
        <w:t>Child development at the intersection of emotion and cognition</w:t>
      </w:r>
      <w:r>
        <w:t xml:space="preserve"> (pp. 203–224). Washington, DC: American Psychological Association.</w:t>
      </w:r>
    </w:p>
    <w:p w14:paraId="1B2F30EC" w14:textId="77777777" w:rsidR="005E1CD1" w:rsidRDefault="005E1CD1" w:rsidP="005E1CD1">
      <w:pPr>
        <w:pStyle w:val="Bibliography"/>
      </w:pPr>
      <w:proofErr w:type="spellStart"/>
      <w:r>
        <w:lastRenderedPageBreak/>
        <w:t>Muthen</w:t>
      </w:r>
      <w:proofErr w:type="spellEnd"/>
      <w:r>
        <w:t xml:space="preserve">, B. (2001). Latent variable mixture modeling. In G. </w:t>
      </w:r>
      <w:proofErr w:type="spellStart"/>
      <w:r>
        <w:t>Marcoulides</w:t>
      </w:r>
      <w:proofErr w:type="spellEnd"/>
      <w:r>
        <w:t xml:space="preserve"> &amp; R. </w:t>
      </w:r>
      <w:proofErr w:type="spellStart"/>
      <w:r>
        <w:t>Schumacker</w:t>
      </w:r>
      <w:proofErr w:type="spellEnd"/>
      <w:r>
        <w:t xml:space="preserve"> (Eds.), </w:t>
      </w:r>
      <w:r>
        <w:rPr>
          <w:i/>
          <w:iCs/>
        </w:rPr>
        <w:t>New Developments and Techniques in Structural Equation Modeling</w:t>
      </w:r>
      <w:r>
        <w:t xml:space="preserve">. New York: </w:t>
      </w:r>
      <w:proofErr w:type="spellStart"/>
      <w:r>
        <w:t>Physchology</w:t>
      </w:r>
      <w:proofErr w:type="spellEnd"/>
      <w:r>
        <w:t xml:space="preserve"> Press.</w:t>
      </w:r>
    </w:p>
    <w:p w14:paraId="7C747E49" w14:textId="77777777" w:rsidR="005E1CD1" w:rsidRDefault="005E1CD1" w:rsidP="005E1CD1">
      <w:pPr>
        <w:pStyle w:val="Bibliography"/>
      </w:pPr>
      <w:proofErr w:type="spellStart"/>
      <w:r>
        <w:t>Muthén</w:t>
      </w:r>
      <w:proofErr w:type="spellEnd"/>
      <w:r>
        <w:t xml:space="preserve">, B. O. (1989). Latent variable modeling in heterogeneous populations. </w:t>
      </w:r>
      <w:proofErr w:type="spellStart"/>
      <w:r>
        <w:rPr>
          <w:i/>
          <w:iCs/>
        </w:rPr>
        <w:t>Psychometrika</w:t>
      </w:r>
      <w:proofErr w:type="spellEnd"/>
      <w:r>
        <w:t xml:space="preserve">, </w:t>
      </w:r>
      <w:r>
        <w:rPr>
          <w:i/>
          <w:iCs/>
        </w:rPr>
        <w:t>54</w:t>
      </w:r>
      <w:r>
        <w:t>(4), 557–585. https://doi.org/10.1007/BF02296397</w:t>
      </w:r>
    </w:p>
    <w:p w14:paraId="1C1DAB56" w14:textId="77777777" w:rsidR="005E1CD1" w:rsidRDefault="005E1CD1" w:rsidP="005E1CD1">
      <w:pPr>
        <w:pStyle w:val="Bibliography"/>
      </w:pPr>
      <w:r>
        <w:t xml:space="preserve">Nelson, T. D., Nelson, J. M., James, T. D., Clark, C. A. C., Kidwell, K. M., &amp; Espy, K. A. (2017). Executive control goes to school: Implications of preschool executive performance for observed elementary classroom learning engagement. </w:t>
      </w:r>
      <w:r>
        <w:rPr>
          <w:i/>
          <w:iCs/>
        </w:rPr>
        <w:t>Developmental Psychology</w:t>
      </w:r>
      <w:r>
        <w:t xml:space="preserve">, </w:t>
      </w:r>
      <w:r>
        <w:rPr>
          <w:i/>
          <w:iCs/>
        </w:rPr>
        <w:t>53</w:t>
      </w:r>
      <w:r>
        <w:t>(5), 836–844. http://dx.doi.org.ezproxy.lib.ou.edu/10.1037/dev0000296</w:t>
      </w:r>
    </w:p>
    <w:p w14:paraId="3942BC9D" w14:textId="77777777" w:rsidR="005E1CD1" w:rsidRDefault="005E1CD1" w:rsidP="005E1CD1">
      <w:pPr>
        <w:pStyle w:val="Bibliography"/>
      </w:pPr>
      <w:r>
        <w:t xml:space="preserve">Nesbitt, K. T., </w:t>
      </w:r>
      <w:proofErr w:type="spellStart"/>
      <w:r>
        <w:t>Farran</w:t>
      </w:r>
      <w:proofErr w:type="spellEnd"/>
      <w:r>
        <w:t xml:space="preserve">, D. C., &amp; </w:t>
      </w:r>
      <w:proofErr w:type="spellStart"/>
      <w:r>
        <w:t>Fuhs</w:t>
      </w:r>
      <w:proofErr w:type="spellEnd"/>
      <w:r>
        <w:t xml:space="preserve">, M. W. (2015). Executive function skills and academic achievement gains in prekindergarten: Contributions of learning-related behaviors. </w:t>
      </w:r>
      <w:r>
        <w:rPr>
          <w:i/>
          <w:iCs/>
        </w:rPr>
        <w:t>Developmental Psychology</w:t>
      </w:r>
      <w:r>
        <w:t xml:space="preserve">, </w:t>
      </w:r>
      <w:r>
        <w:rPr>
          <w:i/>
          <w:iCs/>
        </w:rPr>
        <w:t>51</w:t>
      </w:r>
      <w:r>
        <w:t>(7), 865–878. https://doi.org/10.1037/dev0000021</w:t>
      </w:r>
    </w:p>
    <w:p w14:paraId="504A999E" w14:textId="77777777" w:rsidR="005E1CD1" w:rsidRDefault="005E1CD1" w:rsidP="005E1CD1">
      <w:pPr>
        <w:pStyle w:val="Bibliography"/>
      </w:pPr>
      <w:r>
        <w:t xml:space="preserve">Neuenschwander, R., </w:t>
      </w:r>
      <w:proofErr w:type="spellStart"/>
      <w:r>
        <w:t>Röthlisberger</w:t>
      </w:r>
      <w:proofErr w:type="spellEnd"/>
      <w:r>
        <w:t xml:space="preserve">, M., </w:t>
      </w:r>
      <w:proofErr w:type="spellStart"/>
      <w:r>
        <w:t>Cimeli</w:t>
      </w:r>
      <w:proofErr w:type="spellEnd"/>
      <w:r>
        <w:t xml:space="preserve">, P., &amp; </w:t>
      </w:r>
      <w:proofErr w:type="spellStart"/>
      <w:r>
        <w:t>Roebers</w:t>
      </w:r>
      <w:proofErr w:type="spellEnd"/>
      <w:r>
        <w:t xml:space="preserve">, C. M. (2012). How do different aspects of self-regulation predict successful adaptation to school? </w:t>
      </w:r>
      <w:r>
        <w:rPr>
          <w:i/>
          <w:iCs/>
        </w:rPr>
        <w:t>Journal of Experimental Child Psychology</w:t>
      </w:r>
      <w:r>
        <w:t xml:space="preserve">, </w:t>
      </w:r>
      <w:r>
        <w:rPr>
          <w:i/>
          <w:iCs/>
        </w:rPr>
        <w:t>113</w:t>
      </w:r>
      <w:r>
        <w:t>(3), 353–371. https://doi.org/10.1016/j.jecp.2012.07.004</w:t>
      </w:r>
    </w:p>
    <w:p w14:paraId="58F42048" w14:textId="77777777" w:rsidR="005E1CD1" w:rsidRDefault="005E1CD1" w:rsidP="005E1CD1">
      <w:pPr>
        <w:pStyle w:val="Bibliography"/>
      </w:pPr>
      <w:r>
        <w:t xml:space="preserve">Pagani, L. S., Fitzpatrick, C., &amp; Parent, S. (2012). Relating Kindergarten Attention to Subsequent Developmental Pathways of Classroom Engagement in Elementary School. </w:t>
      </w:r>
      <w:r>
        <w:rPr>
          <w:i/>
          <w:iCs/>
        </w:rPr>
        <w:t>Journal of Abnormal Child Psychology</w:t>
      </w:r>
      <w:r>
        <w:t xml:space="preserve">, </w:t>
      </w:r>
      <w:r>
        <w:rPr>
          <w:i/>
          <w:iCs/>
        </w:rPr>
        <w:t>40</w:t>
      </w:r>
      <w:r>
        <w:t>(5), 715–725. https://doi.org/10.1007/s10802-011-9605-4</w:t>
      </w:r>
    </w:p>
    <w:p w14:paraId="28875ADA" w14:textId="77777777" w:rsidR="005E1CD1" w:rsidRDefault="005E1CD1" w:rsidP="005E1CD1">
      <w:pPr>
        <w:pStyle w:val="Bibliography"/>
      </w:pPr>
      <w:proofErr w:type="spellStart"/>
      <w:r>
        <w:t>Panter</w:t>
      </w:r>
      <w:proofErr w:type="spellEnd"/>
      <w:r>
        <w:t xml:space="preserve">, J. E., &amp; Bracken, B. A. (2009). Validity of the Bracken School Readiness Assessment for predicting first grade readiness. </w:t>
      </w:r>
      <w:r>
        <w:rPr>
          <w:i/>
          <w:iCs/>
        </w:rPr>
        <w:t>Psychology in the Schools</w:t>
      </w:r>
      <w:r>
        <w:t xml:space="preserve">, </w:t>
      </w:r>
      <w:r>
        <w:rPr>
          <w:i/>
          <w:iCs/>
        </w:rPr>
        <w:t>46</w:t>
      </w:r>
      <w:r>
        <w:t>(5), 397–409. https://doi.org/10.1002/pits.20385</w:t>
      </w:r>
    </w:p>
    <w:p w14:paraId="6BB517DD" w14:textId="77777777" w:rsidR="005E1CD1" w:rsidRDefault="005E1CD1" w:rsidP="005E1CD1">
      <w:pPr>
        <w:pStyle w:val="Bibliography"/>
      </w:pPr>
      <w:proofErr w:type="spellStart"/>
      <w:r>
        <w:t>Ponitz</w:t>
      </w:r>
      <w:proofErr w:type="spellEnd"/>
      <w:r>
        <w:t xml:space="preserve">, C. C., McClelland, M. M., Matthews, J. S., &amp; Morrison, F. J. (2009). A structured observation of behavioral self-regulation and its contribution to kindergarten outcomes. </w:t>
      </w:r>
      <w:r>
        <w:rPr>
          <w:i/>
          <w:iCs/>
        </w:rPr>
        <w:t>Developmental Psychology</w:t>
      </w:r>
      <w:r>
        <w:t xml:space="preserve">, </w:t>
      </w:r>
      <w:r>
        <w:rPr>
          <w:i/>
          <w:iCs/>
        </w:rPr>
        <w:t>45</w:t>
      </w:r>
      <w:r>
        <w:t>(3), 605–619. https://doi.org/10.1037/a0015365</w:t>
      </w:r>
    </w:p>
    <w:p w14:paraId="1D615BBE" w14:textId="77777777" w:rsidR="005E1CD1" w:rsidRDefault="005E1CD1" w:rsidP="005E1CD1">
      <w:pPr>
        <w:pStyle w:val="Bibliography"/>
      </w:pPr>
      <w:r>
        <w:t xml:space="preserve">Pratt, M. E., Swanson, J., van </w:t>
      </w:r>
      <w:proofErr w:type="spellStart"/>
      <w:r>
        <w:t>Huisstede</w:t>
      </w:r>
      <w:proofErr w:type="spellEnd"/>
      <w:r>
        <w:t xml:space="preserve">, L., &amp; </w:t>
      </w:r>
      <w:proofErr w:type="spellStart"/>
      <w:r>
        <w:t>Gaias</w:t>
      </w:r>
      <w:proofErr w:type="spellEnd"/>
      <w:r>
        <w:t xml:space="preserve">, L. M. (2019). Cumulative family stressors and kindergarten adjustment: The exacerbating role of teacher–child conflict. </w:t>
      </w:r>
      <w:r>
        <w:rPr>
          <w:i/>
          <w:iCs/>
        </w:rPr>
        <w:t>Merrill-Palmer Quarterly</w:t>
      </w:r>
      <w:r>
        <w:t xml:space="preserve">, </w:t>
      </w:r>
      <w:r>
        <w:rPr>
          <w:i/>
          <w:iCs/>
        </w:rPr>
        <w:t>65</w:t>
      </w:r>
      <w:r>
        <w:t>(1), 28–53. Retrieved from JSTOR.</w:t>
      </w:r>
    </w:p>
    <w:p w14:paraId="3B095593" w14:textId="77777777" w:rsidR="005E1CD1" w:rsidRDefault="005E1CD1" w:rsidP="005E1CD1">
      <w:pPr>
        <w:pStyle w:val="Bibliography"/>
      </w:pPr>
      <w:proofErr w:type="spellStart"/>
      <w:r>
        <w:t>Racz</w:t>
      </w:r>
      <w:proofErr w:type="spellEnd"/>
      <w:r>
        <w:t xml:space="preserve">, S. J., </w:t>
      </w:r>
      <w:proofErr w:type="spellStart"/>
      <w:r>
        <w:t>O’Brennan</w:t>
      </w:r>
      <w:proofErr w:type="spellEnd"/>
      <w:r>
        <w:t xml:space="preserve">, L. M., Bradshaw, C. P., &amp; Leaf, P. J. (2016). The influence of family and teacher factors on early disruptive school behaviors: A latent profile transition analysis. </w:t>
      </w:r>
      <w:r>
        <w:rPr>
          <w:i/>
          <w:iCs/>
        </w:rPr>
        <w:t>Journal of Emotional and Behavioral Disorders</w:t>
      </w:r>
      <w:r>
        <w:t xml:space="preserve">, </w:t>
      </w:r>
      <w:r>
        <w:rPr>
          <w:i/>
          <w:iCs/>
        </w:rPr>
        <w:t>24</w:t>
      </w:r>
      <w:r>
        <w:t>(2), 67–81. https://doi.org/10.1177/1063426615599541</w:t>
      </w:r>
    </w:p>
    <w:p w14:paraId="7024C22A" w14:textId="77777777" w:rsidR="005E1CD1" w:rsidRDefault="005E1CD1" w:rsidP="005E1CD1">
      <w:pPr>
        <w:pStyle w:val="Bibliography"/>
      </w:pPr>
      <w:proofErr w:type="spellStart"/>
      <w:r>
        <w:t>Razza</w:t>
      </w:r>
      <w:proofErr w:type="spellEnd"/>
      <w:r>
        <w:t xml:space="preserve">, R. A., Martin, A., &amp; Brooks-Gunn, J. (2012). The implications of early attentional regulation for school success among low-income children. </w:t>
      </w:r>
      <w:r>
        <w:rPr>
          <w:i/>
          <w:iCs/>
        </w:rPr>
        <w:t xml:space="preserve">Journal of Applied </w:t>
      </w:r>
      <w:r>
        <w:rPr>
          <w:i/>
          <w:iCs/>
        </w:rPr>
        <w:lastRenderedPageBreak/>
        <w:t>Developmental Psychology</w:t>
      </w:r>
      <w:r>
        <w:t xml:space="preserve">, </w:t>
      </w:r>
      <w:r>
        <w:rPr>
          <w:i/>
          <w:iCs/>
        </w:rPr>
        <w:t>33</w:t>
      </w:r>
      <w:r>
        <w:t>(6), 311–319. https://doi.org/10.1016/j.appdev.2012.07.005</w:t>
      </w:r>
    </w:p>
    <w:p w14:paraId="4D39B653" w14:textId="77777777" w:rsidR="005E1CD1" w:rsidRDefault="005E1CD1" w:rsidP="005E1CD1">
      <w:pPr>
        <w:pStyle w:val="Bibliography"/>
      </w:pPr>
      <w:proofErr w:type="spellStart"/>
      <w:r>
        <w:t>Razza</w:t>
      </w:r>
      <w:proofErr w:type="spellEnd"/>
      <w:r>
        <w:t xml:space="preserve">, R. A., Martin, A., &amp; Brooks-Gunn, J. (2015). Are approaches to learning in kindergarten associated with academic and social competence similarly? </w:t>
      </w:r>
      <w:r>
        <w:rPr>
          <w:i/>
          <w:iCs/>
        </w:rPr>
        <w:t>Child &amp; Youth Care Forum</w:t>
      </w:r>
      <w:r>
        <w:t xml:space="preserve">, </w:t>
      </w:r>
      <w:r>
        <w:rPr>
          <w:i/>
          <w:iCs/>
        </w:rPr>
        <w:t>44</w:t>
      </w:r>
      <w:r>
        <w:t>(6), 757–776. https://doi.org/10.1007/s10566-015-9307-0</w:t>
      </w:r>
    </w:p>
    <w:p w14:paraId="3A146BBD" w14:textId="77777777" w:rsidR="005E1CD1" w:rsidRDefault="005E1CD1" w:rsidP="005E1CD1">
      <w:pPr>
        <w:pStyle w:val="Bibliography"/>
      </w:pPr>
      <w:r>
        <w:t xml:space="preserve">Rhoades, B. L., Greenberg, M. T., &amp; </w:t>
      </w:r>
      <w:proofErr w:type="spellStart"/>
      <w:r>
        <w:t>Domitrovich</w:t>
      </w:r>
      <w:proofErr w:type="spellEnd"/>
      <w:r>
        <w:t xml:space="preserve">, C. E. (2009). The contribution of inhibitory control to preschoolers’ social–emotional competence. </w:t>
      </w:r>
      <w:r>
        <w:rPr>
          <w:i/>
          <w:iCs/>
        </w:rPr>
        <w:t>Journal of Applied Developmental Psychology</w:t>
      </w:r>
      <w:r>
        <w:t xml:space="preserve">, </w:t>
      </w:r>
      <w:r>
        <w:rPr>
          <w:i/>
          <w:iCs/>
        </w:rPr>
        <w:t>30</w:t>
      </w:r>
      <w:r>
        <w:t>(3), 310–320. https://doi.org/10.1016/j.appdev.2008.12.012</w:t>
      </w:r>
    </w:p>
    <w:p w14:paraId="3C76067B" w14:textId="77777777" w:rsidR="005E1CD1" w:rsidRDefault="005E1CD1" w:rsidP="005E1CD1">
      <w:pPr>
        <w:pStyle w:val="Bibliography"/>
      </w:pPr>
      <w:r>
        <w:t xml:space="preserve">Rhoades, B. L., Warren, H. K., </w:t>
      </w:r>
      <w:proofErr w:type="spellStart"/>
      <w:r>
        <w:t>Domitrovich</w:t>
      </w:r>
      <w:proofErr w:type="spellEnd"/>
      <w:r>
        <w:t xml:space="preserve">, C. E., &amp; Greenberg, M. T. (2011). Examining the link between preschool social–emotional competence and first grade academic achievement: The role of attention skills. </w:t>
      </w:r>
      <w:r>
        <w:rPr>
          <w:i/>
          <w:iCs/>
        </w:rPr>
        <w:t>Early Childhood Research Quarterly</w:t>
      </w:r>
      <w:r>
        <w:t xml:space="preserve">, </w:t>
      </w:r>
      <w:r>
        <w:rPr>
          <w:i/>
          <w:iCs/>
        </w:rPr>
        <w:t>26</w:t>
      </w:r>
      <w:r>
        <w:t>(2), 182–191. https://doi.org/10.1016/j.ecresq.2010.07.003</w:t>
      </w:r>
    </w:p>
    <w:p w14:paraId="16E367D7" w14:textId="77777777" w:rsidR="005E1CD1" w:rsidRDefault="005E1CD1" w:rsidP="005E1CD1">
      <w:pPr>
        <w:pStyle w:val="Bibliography"/>
      </w:pPr>
      <w:proofErr w:type="spellStart"/>
      <w:r>
        <w:t>Rimm</w:t>
      </w:r>
      <w:proofErr w:type="spellEnd"/>
      <w:r>
        <w:t xml:space="preserve">-Kaufman, S. E., &amp; </w:t>
      </w:r>
      <w:proofErr w:type="spellStart"/>
      <w:r>
        <w:t>Pianta</w:t>
      </w:r>
      <w:proofErr w:type="spellEnd"/>
      <w:r>
        <w:t xml:space="preserve">, R. C. (2000). An ecological perspective on the transition to kindergarten: A theoretical framework to guide empirical research. </w:t>
      </w:r>
      <w:r>
        <w:rPr>
          <w:i/>
          <w:iCs/>
        </w:rPr>
        <w:t>Journal of Applied Developmental Psychology</w:t>
      </w:r>
      <w:r>
        <w:t xml:space="preserve">, </w:t>
      </w:r>
      <w:r>
        <w:rPr>
          <w:i/>
          <w:iCs/>
        </w:rPr>
        <w:t>21</w:t>
      </w:r>
      <w:r>
        <w:t>(5), 491–511. https://doi.org/10.1016/S0193-3973(00)00051-4</w:t>
      </w:r>
    </w:p>
    <w:p w14:paraId="2D135DB3" w14:textId="77777777" w:rsidR="005E1CD1" w:rsidRDefault="005E1CD1" w:rsidP="005E1CD1">
      <w:pPr>
        <w:pStyle w:val="Bibliography"/>
      </w:pPr>
      <w:r>
        <w:t xml:space="preserve">Robinson, K. (2013). Early disparities in mathematics gains among poor and non-poor children: Examining the role of behavioral engagement in learning. </w:t>
      </w:r>
      <w:r>
        <w:rPr>
          <w:i/>
          <w:iCs/>
        </w:rPr>
        <w:t>The Elementary School Journal</w:t>
      </w:r>
      <w:r>
        <w:t xml:space="preserve">, </w:t>
      </w:r>
      <w:r>
        <w:rPr>
          <w:i/>
          <w:iCs/>
        </w:rPr>
        <w:t>114</w:t>
      </w:r>
      <w:r>
        <w:t>(1), 22–47. https://doi.org/10.1086/670737</w:t>
      </w:r>
    </w:p>
    <w:p w14:paraId="5AFE7783" w14:textId="77777777" w:rsidR="005E1CD1" w:rsidRDefault="005E1CD1" w:rsidP="005E1CD1">
      <w:pPr>
        <w:pStyle w:val="Bibliography"/>
      </w:pPr>
      <w:r>
        <w:t xml:space="preserve">Rothbart, M. K., Posner, M. I., &amp; </w:t>
      </w:r>
      <w:proofErr w:type="spellStart"/>
      <w:r>
        <w:t>Kieras</w:t>
      </w:r>
      <w:proofErr w:type="spellEnd"/>
      <w:r>
        <w:t xml:space="preserve">, J. (2006). Temperament, attention, and the development of self-regulation. In </w:t>
      </w:r>
      <w:r>
        <w:rPr>
          <w:i/>
          <w:iCs/>
        </w:rPr>
        <w:t>Blackwell handbook of early childhood development</w:t>
      </w:r>
      <w:r>
        <w:t xml:space="preserve"> (pp. 338–357). https://doi.org/10.1002/9780470757703.ch17</w:t>
      </w:r>
    </w:p>
    <w:p w14:paraId="6F3BD479" w14:textId="77777777" w:rsidR="005E1CD1" w:rsidRDefault="005E1CD1" w:rsidP="005E1CD1">
      <w:pPr>
        <w:pStyle w:val="Bibliography"/>
      </w:pPr>
      <w:r>
        <w:t xml:space="preserve">Russo, J. M., Williford, A. P., Markowitz, A. J., </w:t>
      </w:r>
      <w:proofErr w:type="spellStart"/>
      <w:r>
        <w:t>Vitiello</w:t>
      </w:r>
      <w:proofErr w:type="spellEnd"/>
      <w:r>
        <w:t xml:space="preserve">, V. E., &amp; </w:t>
      </w:r>
      <w:proofErr w:type="spellStart"/>
      <w:r>
        <w:t>Bassok</w:t>
      </w:r>
      <w:proofErr w:type="spellEnd"/>
      <w:r>
        <w:t xml:space="preserve">, D. (2019). Examining the validity of a </w:t>
      </w:r>
      <w:proofErr w:type="gramStart"/>
      <w:r>
        <w:t>widely-used</w:t>
      </w:r>
      <w:proofErr w:type="gramEnd"/>
      <w:r>
        <w:t xml:space="preserve"> school readiness assessment: Implications for teachers and early childhood programs. </w:t>
      </w:r>
      <w:r>
        <w:rPr>
          <w:i/>
          <w:iCs/>
        </w:rPr>
        <w:t>Early Childhood Research Quarterly</w:t>
      </w:r>
      <w:r>
        <w:t xml:space="preserve">, </w:t>
      </w:r>
      <w:r>
        <w:rPr>
          <w:i/>
          <w:iCs/>
        </w:rPr>
        <w:t>48</w:t>
      </w:r>
      <w:r>
        <w:t>, 14–25. https://doi.org/10.1016/j.ecresq.2019.02.003</w:t>
      </w:r>
    </w:p>
    <w:p w14:paraId="655317C5" w14:textId="77777777" w:rsidR="005E1CD1" w:rsidRDefault="005E1CD1" w:rsidP="005E1CD1">
      <w:pPr>
        <w:pStyle w:val="Bibliography"/>
      </w:pPr>
      <w:r>
        <w:t xml:space="preserve">Sabol, T. J., </w:t>
      </w:r>
      <w:proofErr w:type="spellStart"/>
      <w:r>
        <w:t>Bohlmann</w:t>
      </w:r>
      <w:proofErr w:type="spellEnd"/>
      <w:r>
        <w:t xml:space="preserve">, N. L., &amp; Downer, J. T. (2018). Low‐income ethnically diverse children’s engagement as a predictor of school readiness above preschool classroom quality. </w:t>
      </w:r>
      <w:r>
        <w:rPr>
          <w:i/>
          <w:iCs/>
        </w:rPr>
        <w:t>Child Development</w:t>
      </w:r>
      <w:r>
        <w:t xml:space="preserve">, </w:t>
      </w:r>
      <w:r>
        <w:rPr>
          <w:i/>
          <w:iCs/>
        </w:rPr>
        <w:t>89</w:t>
      </w:r>
      <w:r>
        <w:t>(2), 556–576. https://doi.org/10.1111/cdev.12832</w:t>
      </w:r>
    </w:p>
    <w:p w14:paraId="3FC3DD79" w14:textId="77777777" w:rsidR="005E1CD1" w:rsidRDefault="005E1CD1" w:rsidP="005E1CD1">
      <w:pPr>
        <w:pStyle w:val="Bibliography"/>
      </w:pPr>
      <w:r>
        <w:t xml:space="preserve">Sabol, T. J., &amp; </w:t>
      </w:r>
      <w:proofErr w:type="spellStart"/>
      <w:r>
        <w:t>Pianta</w:t>
      </w:r>
      <w:proofErr w:type="spellEnd"/>
      <w:r>
        <w:t xml:space="preserve">, R. C. (2012). Patterns of school readiness forecast achievement and socioemotional development at the end of elementary school. </w:t>
      </w:r>
      <w:r>
        <w:rPr>
          <w:i/>
          <w:iCs/>
        </w:rPr>
        <w:t>Child Development</w:t>
      </w:r>
      <w:r>
        <w:t xml:space="preserve">, </w:t>
      </w:r>
      <w:r>
        <w:rPr>
          <w:i/>
          <w:iCs/>
        </w:rPr>
        <w:t>83</w:t>
      </w:r>
      <w:r>
        <w:t>(1), 282–299. https://doi.org/10.1111/j.1467-8624.2011.01678.x</w:t>
      </w:r>
    </w:p>
    <w:p w14:paraId="58143CED" w14:textId="77777777" w:rsidR="005E1CD1" w:rsidRDefault="005E1CD1" w:rsidP="005E1CD1">
      <w:pPr>
        <w:pStyle w:val="Bibliography"/>
      </w:pPr>
      <w:r>
        <w:t xml:space="preserve">Sasser, T. R., Bierman, K. L., &amp; Heinrichs, B. (2015). Executive functioning and school adjustment: The mediational role of pre-kindergarten learning-related behaviors. </w:t>
      </w:r>
      <w:r>
        <w:rPr>
          <w:i/>
          <w:iCs/>
        </w:rPr>
        <w:t>Early Childhood Research Quarterly</w:t>
      </w:r>
      <w:r>
        <w:t xml:space="preserve">, </w:t>
      </w:r>
      <w:r>
        <w:rPr>
          <w:i/>
          <w:iCs/>
        </w:rPr>
        <w:t>30</w:t>
      </w:r>
      <w:r>
        <w:t>, 70–79. https://doi.org/10.1016/j.ecresq.2014.09.001</w:t>
      </w:r>
    </w:p>
    <w:p w14:paraId="1B72455D" w14:textId="77777777" w:rsidR="005E1CD1" w:rsidRDefault="005E1CD1" w:rsidP="005E1CD1">
      <w:pPr>
        <w:pStyle w:val="Bibliography"/>
      </w:pPr>
      <w:r>
        <w:lastRenderedPageBreak/>
        <w:t xml:space="preserve">Smith-Donald, R., Raver, C. C., Hayes, T., &amp; Richardson, B. (2007). Preliminary construct and concurrent validity of the Preschool Self-regulation Assessment (PSRA) for field-based research. </w:t>
      </w:r>
      <w:r>
        <w:rPr>
          <w:i/>
          <w:iCs/>
        </w:rPr>
        <w:t>Early Childhood Research Quarterly</w:t>
      </w:r>
      <w:r>
        <w:t xml:space="preserve">, </w:t>
      </w:r>
      <w:r>
        <w:rPr>
          <w:i/>
          <w:iCs/>
        </w:rPr>
        <w:t>22</w:t>
      </w:r>
      <w:r>
        <w:t>(2), 173–187. https://doi.org/10.1016/j.ecresq.2007.01.002</w:t>
      </w:r>
    </w:p>
    <w:p w14:paraId="09DBBE88" w14:textId="77777777" w:rsidR="005E1CD1" w:rsidRDefault="005E1CD1" w:rsidP="005E1CD1">
      <w:pPr>
        <w:pStyle w:val="Bibliography"/>
      </w:pPr>
      <w:r>
        <w:t xml:space="preserve">Snyder, T., de Brey, C., &amp; </w:t>
      </w:r>
      <w:proofErr w:type="spellStart"/>
      <w:r>
        <w:t>Dillow</w:t>
      </w:r>
      <w:proofErr w:type="spellEnd"/>
      <w:r>
        <w:t xml:space="preserve">, S. (2018). </w:t>
      </w:r>
      <w:r>
        <w:rPr>
          <w:i/>
          <w:iCs/>
        </w:rPr>
        <w:t>Digest of Education Statistics 2016</w:t>
      </w:r>
      <w:r>
        <w:t xml:space="preserve"> (No. NCES 2017-094). U.S. Department of Education, Washington DC: Institute of Education Sciences National </w:t>
      </w:r>
      <w:proofErr w:type="spellStart"/>
      <w:r>
        <w:t>National</w:t>
      </w:r>
      <w:proofErr w:type="spellEnd"/>
      <w:r>
        <w:t xml:space="preserve"> Center for Educational Statistics.</w:t>
      </w:r>
    </w:p>
    <w:p w14:paraId="4E290E4B" w14:textId="77777777" w:rsidR="005E1CD1" w:rsidRDefault="005E1CD1" w:rsidP="005E1CD1">
      <w:pPr>
        <w:pStyle w:val="Bibliography"/>
      </w:pPr>
      <w:r>
        <w:t xml:space="preserve">Stipek, D., Newton, S., &amp; </w:t>
      </w:r>
      <w:proofErr w:type="spellStart"/>
      <w:r>
        <w:t>Chudgar</w:t>
      </w:r>
      <w:proofErr w:type="spellEnd"/>
      <w:r>
        <w:t xml:space="preserve">, A. (2010). Learning-related behaviors and literacy achievement in elementary school-aged children. </w:t>
      </w:r>
      <w:r>
        <w:rPr>
          <w:i/>
          <w:iCs/>
        </w:rPr>
        <w:t>Early Childhood Research Quarterly</w:t>
      </w:r>
      <w:r>
        <w:t xml:space="preserve">, </w:t>
      </w:r>
      <w:r>
        <w:rPr>
          <w:i/>
          <w:iCs/>
        </w:rPr>
        <w:t>25</w:t>
      </w:r>
      <w:r>
        <w:t>(3), 385–395. https://doi.org/10.1016/j.ecresq.2009.12.001</w:t>
      </w:r>
    </w:p>
    <w:p w14:paraId="18163781" w14:textId="77777777" w:rsidR="005E1CD1" w:rsidRDefault="005E1CD1" w:rsidP="005E1CD1">
      <w:pPr>
        <w:pStyle w:val="Bibliography"/>
      </w:pPr>
      <w:r>
        <w:t xml:space="preserve">Sung, J., &amp; </w:t>
      </w:r>
      <w:proofErr w:type="spellStart"/>
      <w:r>
        <w:t>Wickrama</w:t>
      </w:r>
      <w:proofErr w:type="spellEnd"/>
      <w:r>
        <w:t xml:space="preserve">, K. A. S. (2018). Longitudinal relationship between early academic achievement and executive function: Mediating role of approaches to learning. </w:t>
      </w:r>
      <w:r>
        <w:rPr>
          <w:i/>
          <w:iCs/>
        </w:rPr>
        <w:t>Contemporary Educational Psychology</w:t>
      </w:r>
      <w:r>
        <w:t xml:space="preserve">, </w:t>
      </w:r>
      <w:r>
        <w:rPr>
          <w:i/>
          <w:iCs/>
        </w:rPr>
        <w:t>54</w:t>
      </w:r>
      <w:r>
        <w:t>, 171–183. https://doi.org/10.1016/j.cedpsych.2018.06.010</w:t>
      </w:r>
    </w:p>
    <w:p w14:paraId="275C04B1" w14:textId="77777777" w:rsidR="005E1CD1" w:rsidRDefault="005E1CD1" w:rsidP="005E1CD1">
      <w:pPr>
        <w:pStyle w:val="Bibliography"/>
      </w:pPr>
      <w:r>
        <w:t xml:space="preserve">Tan, M., &amp; Dobbs-Oates, J. (2013). Relationship between emergent literacy and early social–emotional development in preschool children from low-income backgrounds. </w:t>
      </w:r>
      <w:r>
        <w:rPr>
          <w:i/>
          <w:iCs/>
        </w:rPr>
        <w:t>Early Child Development and Care</w:t>
      </w:r>
      <w:r>
        <w:t xml:space="preserve">, </w:t>
      </w:r>
      <w:r>
        <w:rPr>
          <w:i/>
          <w:iCs/>
        </w:rPr>
        <w:t>183</w:t>
      </w:r>
      <w:r>
        <w:t>(11), 1509–1530. https://doi.org/10.1080/03004430.2012.729051</w:t>
      </w:r>
    </w:p>
    <w:p w14:paraId="102CAFF4" w14:textId="77777777" w:rsidR="005E1CD1" w:rsidRDefault="005E1CD1" w:rsidP="005E1CD1">
      <w:pPr>
        <w:pStyle w:val="Bibliography"/>
      </w:pPr>
      <w:r>
        <w:t xml:space="preserve">Thomson, K. C., </w:t>
      </w:r>
      <w:proofErr w:type="spellStart"/>
      <w:r>
        <w:t>Guhn</w:t>
      </w:r>
      <w:proofErr w:type="spellEnd"/>
      <w:r>
        <w:t xml:space="preserve">, M., Richardson, C. G., Ark, T. K., &amp; </w:t>
      </w:r>
      <w:proofErr w:type="spellStart"/>
      <w:r>
        <w:t>Shoveller</w:t>
      </w:r>
      <w:proofErr w:type="spellEnd"/>
      <w:r>
        <w:t xml:space="preserve">, J. (2017). Profiles of children’s social–emotional health at school entry and associated income, </w:t>
      </w:r>
      <w:proofErr w:type="gramStart"/>
      <w:r>
        <w:t>gender</w:t>
      </w:r>
      <w:proofErr w:type="gramEnd"/>
      <w:r>
        <w:t xml:space="preserve"> and language inequalities: A cross-sectional population-based study in British Columbia, Canada. </w:t>
      </w:r>
      <w:r>
        <w:rPr>
          <w:i/>
          <w:iCs/>
        </w:rPr>
        <w:t>BMJ Open</w:t>
      </w:r>
      <w:r>
        <w:t xml:space="preserve">, </w:t>
      </w:r>
      <w:r>
        <w:rPr>
          <w:i/>
          <w:iCs/>
        </w:rPr>
        <w:t>7</w:t>
      </w:r>
      <w:r>
        <w:t>(7), e015353. https://doi.org/10.1136/bmjopen-2016-015353</w:t>
      </w:r>
    </w:p>
    <w:p w14:paraId="1D66D937" w14:textId="77777777" w:rsidR="005E1CD1" w:rsidRDefault="005E1CD1" w:rsidP="005E1CD1">
      <w:pPr>
        <w:pStyle w:val="Bibliography"/>
      </w:pPr>
      <w:r>
        <w:t xml:space="preserve">University of Virginia CASTL. (2012). </w:t>
      </w:r>
      <w:r>
        <w:rPr>
          <w:i/>
          <w:iCs/>
        </w:rPr>
        <w:t xml:space="preserve">The Individualized </w:t>
      </w:r>
      <w:proofErr w:type="spellStart"/>
      <w:r>
        <w:rPr>
          <w:i/>
          <w:iCs/>
        </w:rPr>
        <w:t>Clasroom</w:t>
      </w:r>
      <w:proofErr w:type="spellEnd"/>
      <w:r>
        <w:rPr>
          <w:i/>
          <w:iCs/>
        </w:rPr>
        <w:t xml:space="preserve"> Assessment Scoring System Pre-</w:t>
      </w:r>
      <w:proofErr w:type="gramStart"/>
      <w:r>
        <w:rPr>
          <w:i/>
          <w:iCs/>
        </w:rPr>
        <w:t>k</w:t>
      </w:r>
      <w:proofErr w:type="gramEnd"/>
      <w:r>
        <w:rPr>
          <w:i/>
          <w:iCs/>
        </w:rPr>
        <w:t xml:space="preserve"> Technical Manual</w:t>
      </w:r>
      <w:r>
        <w:t xml:space="preserve">. </w:t>
      </w:r>
      <w:proofErr w:type="spellStart"/>
      <w:r>
        <w:t>Charlottesvill</w:t>
      </w:r>
      <w:proofErr w:type="spellEnd"/>
      <w:r>
        <w:t>, VA: Center for Advanced Study of Teaching and Learning, University of Virginia.</w:t>
      </w:r>
    </w:p>
    <w:p w14:paraId="0DA7E7F4" w14:textId="77777777" w:rsidR="005E1CD1" w:rsidRDefault="005E1CD1" w:rsidP="005E1CD1">
      <w:pPr>
        <w:pStyle w:val="Bibliography"/>
      </w:pPr>
      <w:proofErr w:type="spellStart"/>
      <w:r>
        <w:t>Ursache</w:t>
      </w:r>
      <w:proofErr w:type="spellEnd"/>
      <w:r>
        <w:t xml:space="preserve">, A., Blair, C., &amp; Raver, C. C. (2012). The promotion of self-regulation as a means of enhancing school readiness and early achievement in children at risk for school failure. </w:t>
      </w:r>
      <w:r>
        <w:rPr>
          <w:i/>
          <w:iCs/>
        </w:rPr>
        <w:t>Child Development Perspectives</w:t>
      </w:r>
      <w:r>
        <w:t xml:space="preserve">, </w:t>
      </w:r>
      <w:r>
        <w:rPr>
          <w:i/>
          <w:iCs/>
        </w:rPr>
        <w:t>6</w:t>
      </w:r>
      <w:r>
        <w:t>(2), 122–128. https://doi.org/10.1111/j.1750-8606.2011.00209.x</w:t>
      </w:r>
    </w:p>
    <w:p w14:paraId="7D7A2E5D" w14:textId="77777777" w:rsidR="005E1CD1" w:rsidRDefault="005E1CD1" w:rsidP="005E1CD1">
      <w:pPr>
        <w:pStyle w:val="Bibliography"/>
      </w:pPr>
      <w:r>
        <w:t xml:space="preserve">Vaughn, M. G., </w:t>
      </w:r>
      <w:proofErr w:type="spellStart"/>
      <w:r>
        <w:t>DeLisi</w:t>
      </w:r>
      <w:proofErr w:type="spellEnd"/>
      <w:r>
        <w:t xml:space="preserve">, M., Beaver, K. M., &amp; Wright, J. P. (2009). Identifying latent classes of behavioral risk based on early childhood: Manifestations of self-control. </w:t>
      </w:r>
      <w:r>
        <w:rPr>
          <w:i/>
          <w:iCs/>
        </w:rPr>
        <w:t>Youth Violence and Juvenile Justice</w:t>
      </w:r>
      <w:r>
        <w:t xml:space="preserve">, </w:t>
      </w:r>
      <w:r>
        <w:rPr>
          <w:i/>
          <w:iCs/>
        </w:rPr>
        <w:t>7</w:t>
      </w:r>
      <w:r>
        <w:t>(1), 16–31. https://doi.org/10.1177/1541204008324911</w:t>
      </w:r>
    </w:p>
    <w:p w14:paraId="5351A4DD" w14:textId="77777777" w:rsidR="005E1CD1" w:rsidRDefault="005E1CD1" w:rsidP="005E1CD1">
      <w:pPr>
        <w:pStyle w:val="Bibliography"/>
      </w:pPr>
      <w:proofErr w:type="spellStart"/>
      <w:r>
        <w:t>Vitiello</w:t>
      </w:r>
      <w:proofErr w:type="spellEnd"/>
      <w:r>
        <w:t xml:space="preserve">, V. E., </w:t>
      </w:r>
      <w:proofErr w:type="spellStart"/>
      <w:r>
        <w:t>Booren</w:t>
      </w:r>
      <w:proofErr w:type="spellEnd"/>
      <w:r>
        <w:t xml:space="preserve">, L. M., Downer, J. T., &amp; Williford, A. P. (2012). Variation in children’s classroom engagement throughout a day in preschool: Relations to classroom and child factors. </w:t>
      </w:r>
      <w:r>
        <w:rPr>
          <w:i/>
          <w:iCs/>
        </w:rPr>
        <w:t>Early Childhood Research Quarterly</w:t>
      </w:r>
      <w:r>
        <w:t xml:space="preserve">, </w:t>
      </w:r>
      <w:r>
        <w:rPr>
          <w:i/>
          <w:iCs/>
        </w:rPr>
        <w:t>27</w:t>
      </w:r>
      <w:r>
        <w:t>(2), 210–220. https://doi.org/10.1016/j.ecresq.2011.08.005</w:t>
      </w:r>
    </w:p>
    <w:p w14:paraId="7E2E8E85" w14:textId="77777777" w:rsidR="005E1CD1" w:rsidRDefault="005E1CD1" w:rsidP="005E1CD1">
      <w:pPr>
        <w:pStyle w:val="Bibliography"/>
      </w:pPr>
      <w:proofErr w:type="spellStart"/>
      <w:r>
        <w:lastRenderedPageBreak/>
        <w:t>Vitiello</w:t>
      </w:r>
      <w:proofErr w:type="spellEnd"/>
      <w:r>
        <w:t xml:space="preserve">, V. E., &amp; Greenfield, D. B. (2017). Executive functions and approaches to learning in predicting school readiness. </w:t>
      </w:r>
      <w:r>
        <w:rPr>
          <w:i/>
          <w:iCs/>
        </w:rPr>
        <w:t>Journal of Applied Developmental Psychology</w:t>
      </w:r>
      <w:r>
        <w:t xml:space="preserve">, </w:t>
      </w:r>
      <w:r>
        <w:rPr>
          <w:i/>
          <w:iCs/>
        </w:rPr>
        <w:t>53</w:t>
      </w:r>
      <w:r>
        <w:t>, 1–9. https://doi.org/10.1016/j.appdev.2017.08.004</w:t>
      </w:r>
    </w:p>
    <w:p w14:paraId="5B1E7528" w14:textId="77777777" w:rsidR="005E1CD1" w:rsidRDefault="005E1CD1" w:rsidP="005E1CD1">
      <w:pPr>
        <w:pStyle w:val="Bibliography"/>
      </w:pPr>
      <w:proofErr w:type="spellStart"/>
      <w:r>
        <w:t>Vitiello</w:t>
      </w:r>
      <w:proofErr w:type="spellEnd"/>
      <w:r>
        <w:t xml:space="preserve">, V. E., Greenfield, D. B., Munis, P., &amp; George, J. (2011). </w:t>
      </w:r>
      <w:proofErr w:type="gramStart"/>
      <w:r>
        <w:t>Cognitive flexibility,</w:t>
      </w:r>
      <w:proofErr w:type="gramEnd"/>
      <w:r>
        <w:t xml:space="preserve"> approaches to learning, and academic school readiness in Head Start preschool children. </w:t>
      </w:r>
      <w:r>
        <w:rPr>
          <w:i/>
          <w:iCs/>
        </w:rPr>
        <w:t>Early Education and Development</w:t>
      </w:r>
      <w:r>
        <w:t xml:space="preserve">, </w:t>
      </w:r>
      <w:r>
        <w:rPr>
          <w:i/>
          <w:iCs/>
        </w:rPr>
        <w:t>22</w:t>
      </w:r>
      <w:r>
        <w:t>(3), 388–410. https://doi.org/10.1080/10409289.2011.538366</w:t>
      </w:r>
    </w:p>
    <w:p w14:paraId="3A816EA7" w14:textId="77777777" w:rsidR="005E1CD1" w:rsidRDefault="005E1CD1" w:rsidP="005E1CD1">
      <w:pPr>
        <w:pStyle w:val="Bibliography"/>
      </w:pPr>
      <w:r>
        <w:t xml:space="preserve">Volpe, R. J., </w:t>
      </w:r>
      <w:proofErr w:type="spellStart"/>
      <w:r>
        <w:t>DiPerna</w:t>
      </w:r>
      <w:proofErr w:type="spellEnd"/>
      <w:r>
        <w:t xml:space="preserve">, J. C., Hintze, J. M., &amp; Shapiro, E. S. (2005). Observing students in classroom settings: A review of seven coding schemes. </w:t>
      </w:r>
      <w:r>
        <w:rPr>
          <w:i/>
          <w:iCs/>
        </w:rPr>
        <w:t>School Psychology Review</w:t>
      </w:r>
      <w:r>
        <w:t xml:space="preserve">, </w:t>
      </w:r>
      <w:r>
        <w:rPr>
          <w:i/>
          <w:iCs/>
        </w:rPr>
        <w:t>34</w:t>
      </w:r>
      <w:r>
        <w:t>(4), 454–474.</w:t>
      </w:r>
    </w:p>
    <w:p w14:paraId="127EBE75" w14:textId="77777777" w:rsidR="005E1CD1" w:rsidRDefault="005E1CD1" w:rsidP="005E1CD1">
      <w:pPr>
        <w:pStyle w:val="Bibliography"/>
      </w:pPr>
      <w:proofErr w:type="spellStart"/>
      <w:r>
        <w:t>Wanless</w:t>
      </w:r>
      <w:proofErr w:type="spellEnd"/>
      <w:r>
        <w:t xml:space="preserve">, S. B., McClelland, M. M., </w:t>
      </w:r>
      <w:proofErr w:type="spellStart"/>
      <w:r>
        <w:t>Tominey</w:t>
      </w:r>
      <w:proofErr w:type="spellEnd"/>
      <w:r>
        <w:t xml:space="preserve">, S., &amp; </w:t>
      </w:r>
      <w:proofErr w:type="spellStart"/>
      <w:r>
        <w:t>Acock</w:t>
      </w:r>
      <w:proofErr w:type="spellEnd"/>
      <w:r>
        <w:t xml:space="preserve">, A. (2011). The influence of demographic risk factors on children’s behavioral regulation in prekindergarten and kindergarten. </w:t>
      </w:r>
      <w:r>
        <w:rPr>
          <w:i/>
          <w:iCs/>
        </w:rPr>
        <w:t>Early Education &amp; Development</w:t>
      </w:r>
      <w:r>
        <w:t xml:space="preserve">, </w:t>
      </w:r>
      <w:r>
        <w:rPr>
          <w:i/>
          <w:iCs/>
        </w:rPr>
        <w:t>22</w:t>
      </w:r>
      <w:r>
        <w:t>(3), 461–488.</w:t>
      </w:r>
    </w:p>
    <w:p w14:paraId="235D546A" w14:textId="77777777" w:rsidR="005E1CD1" w:rsidRDefault="005E1CD1" w:rsidP="005E1CD1">
      <w:pPr>
        <w:pStyle w:val="Bibliography"/>
      </w:pPr>
      <w:r>
        <w:t xml:space="preserve">Weiland, C., </w:t>
      </w:r>
      <w:proofErr w:type="spellStart"/>
      <w:r>
        <w:t>Barata</w:t>
      </w:r>
      <w:proofErr w:type="spellEnd"/>
      <w:r>
        <w:t xml:space="preserve">, M. C., &amp; Yoshikawa, H. (2014). The Co-Occurring Development of Executive Function Skills and Receptive Vocabulary in Preschool-Aged Children: A Look at the Direction of the Developmental Pathways: Executive Function and Receptive Vocabulary Development in Preschool. </w:t>
      </w:r>
      <w:r>
        <w:rPr>
          <w:i/>
          <w:iCs/>
        </w:rPr>
        <w:t>Infant and Child Development</w:t>
      </w:r>
      <w:r>
        <w:t xml:space="preserve">, </w:t>
      </w:r>
      <w:r>
        <w:rPr>
          <w:i/>
          <w:iCs/>
        </w:rPr>
        <w:t>23</w:t>
      </w:r>
      <w:r>
        <w:t>(1), 4–21. https://doi.org/10.1002/icd.1829</w:t>
      </w:r>
    </w:p>
    <w:p w14:paraId="4E7C2C0A" w14:textId="77777777" w:rsidR="005E1CD1" w:rsidRDefault="005E1CD1" w:rsidP="005E1CD1">
      <w:pPr>
        <w:pStyle w:val="Bibliography"/>
      </w:pPr>
      <w:r>
        <w:t xml:space="preserve">Williford, A. P., Whittaker, J. E. V., </w:t>
      </w:r>
      <w:proofErr w:type="spellStart"/>
      <w:r>
        <w:t>Vitiello</w:t>
      </w:r>
      <w:proofErr w:type="spellEnd"/>
      <w:r>
        <w:t xml:space="preserve">, V. E., &amp; Downer, J. T. (2013). Children’s engagement within the preschool classroom and their development of self-regulation. </w:t>
      </w:r>
      <w:r>
        <w:rPr>
          <w:i/>
          <w:iCs/>
        </w:rPr>
        <w:t>Early Education and Development</w:t>
      </w:r>
      <w:r>
        <w:t xml:space="preserve">, </w:t>
      </w:r>
      <w:r>
        <w:rPr>
          <w:i/>
          <w:iCs/>
        </w:rPr>
        <w:t>24</w:t>
      </w:r>
      <w:r>
        <w:t>(2), 162–187. https://doi.org/10.1080/10409289.2011.628270</w:t>
      </w:r>
    </w:p>
    <w:p w14:paraId="0CB26B0E" w14:textId="77777777" w:rsidR="005E1CD1" w:rsidRDefault="005E1CD1" w:rsidP="005E1CD1">
      <w:pPr>
        <w:pStyle w:val="Bibliography"/>
      </w:pPr>
      <w:r>
        <w:t xml:space="preserve">Wilson, P. (2004). A preliminary investigation of an early intervention program: Examining the intervention effectiveness of the Bracken Concept Development Program and the Bracken Basic Concept Scale‐Revised with Head Start students. </w:t>
      </w:r>
      <w:r>
        <w:rPr>
          <w:i/>
          <w:iCs/>
        </w:rPr>
        <w:t>Psychology in the Schools</w:t>
      </w:r>
      <w:r>
        <w:t xml:space="preserve">, </w:t>
      </w:r>
      <w:r>
        <w:rPr>
          <w:i/>
          <w:iCs/>
        </w:rPr>
        <w:t>41</w:t>
      </w:r>
      <w:r>
        <w:t>(3), 301–311. https://doi.org/10.1002/pits.10159</w:t>
      </w:r>
    </w:p>
    <w:p w14:paraId="33C1AF62" w14:textId="77777777" w:rsidR="005E1CD1" w:rsidRDefault="005E1CD1" w:rsidP="005E1CD1">
      <w:pPr>
        <w:pStyle w:val="Bibliography"/>
      </w:pPr>
      <w:r>
        <w:t xml:space="preserve">Woodcock, R.W., </w:t>
      </w:r>
      <w:proofErr w:type="spellStart"/>
      <w:r>
        <w:t>Mcgrew</w:t>
      </w:r>
      <w:proofErr w:type="spellEnd"/>
      <w:r>
        <w:t xml:space="preserve">, K. S., &amp; Mather, N. (2001). </w:t>
      </w:r>
      <w:r>
        <w:rPr>
          <w:i/>
          <w:iCs/>
        </w:rPr>
        <w:t>Woodcock-Johnson III Tests of Achievement</w:t>
      </w:r>
      <w:r>
        <w:t>. Rolling Meadows, IL: Riverside Publishers.</w:t>
      </w:r>
    </w:p>
    <w:p w14:paraId="28721E64" w14:textId="77777777" w:rsidR="005E1CD1" w:rsidRDefault="005E1CD1" w:rsidP="005E1CD1">
      <w:pPr>
        <w:pStyle w:val="Bibliography"/>
      </w:pPr>
      <w:r>
        <w:t xml:space="preserve">Yoder, M. L., Williford, A. P., &amp; </w:t>
      </w:r>
      <w:proofErr w:type="spellStart"/>
      <w:r>
        <w:t>Vitiello</w:t>
      </w:r>
      <w:proofErr w:type="spellEnd"/>
      <w:r>
        <w:t xml:space="preserve">, V. E. (2019). Observed quality of classroom peer engagement in a sample of preschoolers displaying disruptive behaviors. </w:t>
      </w:r>
      <w:r>
        <w:rPr>
          <w:i/>
          <w:iCs/>
        </w:rPr>
        <w:t>Early Childhood Research Quarterly</w:t>
      </w:r>
      <w:r>
        <w:t xml:space="preserve">, </w:t>
      </w:r>
      <w:r>
        <w:rPr>
          <w:i/>
          <w:iCs/>
        </w:rPr>
        <w:t>47</w:t>
      </w:r>
      <w:r>
        <w:t>, 206–217. https://doi.org/10.1016/j.ecresq.2018.12.011</w:t>
      </w:r>
    </w:p>
    <w:p w14:paraId="3D04A95C" w14:textId="77777777" w:rsidR="005E1CD1" w:rsidRDefault="005E1CD1" w:rsidP="005E1CD1">
      <w:pPr>
        <w:pStyle w:val="Bibliography"/>
      </w:pPr>
      <w:proofErr w:type="spellStart"/>
      <w:r>
        <w:t>Youn</w:t>
      </w:r>
      <w:proofErr w:type="spellEnd"/>
      <w:r>
        <w:t xml:space="preserve">, M. (2016). The effects of Head Start duration on the behavioral competence of socially disadvantaged children. </w:t>
      </w:r>
      <w:r>
        <w:rPr>
          <w:i/>
          <w:iCs/>
        </w:rPr>
        <w:t>Journal of Community Psychology</w:t>
      </w:r>
      <w:r>
        <w:t xml:space="preserve">, </w:t>
      </w:r>
      <w:r>
        <w:rPr>
          <w:i/>
          <w:iCs/>
        </w:rPr>
        <w:t>44</w:t>
      </w:r>
      <w:r>
        <w:t>(8), 980–996. https://doi.org/10.1002/jcop.21822</w:t>
      </w:r>
    </w:p>
    <w:p w14:paraId="76E20FC0" w14:textId="77777777" w:rsidR="005E1CD1" w:rsidRDefault="005E1CD1" w:rsidP="005E1CD1">
      <w:pPr>
        <w:pStyle w:val="Bibliography"/>
      </w:pPr>
      <w:proofErr w:type="spellStart"/>
      <w:r>
        <w:lastRenderedPageBreak/>
        <w:t>Zentner</w:t>
      </w:r>
      <w:proofErr w:type="spellEnd"/>
      <w:r>
        <w:t xml:space="preserve">, M., &amp; Bates, J. E. (2008). Child temperament: An integrative review of concepts, research programs, and measures. </w:t>
      </w:r>
      <w:r>
        <w:rPr>
          <w:i/>
          <w:iCs/>
        </w:rPr>
        <w:t>International Journal of Developmental Science</w:t>
      </w:r>
      <w:r>
        <w:t xml:space="preserve">, </w:t>
      </w:r>
      <w:r>
        <w:rPr>
          <w:i/>
          <w:iCs/>
        </w:rPr>
        <w:t>2</w:t>
      </w:r>
      <w:r>
        <w:t>(1–2), 7–37. https://doi.org/10.3233/DEV-2008-21203</w:t>
      </w:r>
    </w:p>
    <w:p w14:paraId="59833714" w14:textId="77777777" w:rsidR="005E1CD1" w:rsidRDefault="005E1CD1" w:rsidP="005E1CD1">
      <w:pPr>
        <w:pStyle w:val="Bibliography"/>
      </w:pPr>
      <w:r>
        <w:t xml:space="preserve">Zhou, Q., Chen, S. H., &amp; Main, A. (2012). Commonalities and differences in the research on children’s effortful control and executive function: A call for an integrated model of self-regulation. </w:t>
      </w:r>
      <w:r>
        <w:rPr>
          <w:i/>
          <w:iCs/>
        </w:rPr>
        <w:t>Child Development Perspectives</w:t>
      </w:r>
      <w:r>
        <w:t xml:space="preserve">, </w:t>
      </w:r>
      <w:r>
        <w:rPr>
          <w:i/>
          <w:iCs/>
        </w:rPr>
        <w:t>6</w:t>
      </w:r>
      <w:r>
        <w:t>(2), 112–121. https://doi.org/10.1111/j.1750-8606.2011.00176.x</w:t>
      </w:r>
    </w:p>
    <w:p w14:paraId="19E4DDB3" w14:textId="77777777" w:rsidR="005E1CD1" w:rsidRDefault="005E1CD1" w:rsidP="005E1CD1">
      <w:pPr>
        <w:pStyle w:val="Bibliography"/>
        <w:rPr>
          <w:rFonts w:cs="Times New Roman"/>
        </w:rPr>
      </w:pPr>
    </w:p>
    <w:p w14:paraId="7C19D0EC" w14:textId="77777777" w:rsidR="005E1CD1" w:rsidRDefault="005E1CD1" w:rsidP="009974B7">
      <w:pPr>
        <w:pStyle w:val="TOCHeading"/>
      </w:pPr>
    </w:p>
    <w:p w14:paraId="0570F715" w14:textId="77777777" w:rsidR="005E1CD1" w:rsidRDefault="005E1CD1" w:rsidP="009974B7">
      <w:pPr>
        <w:pStyle w:val="TOCHeading"/>
      </w:pPr>
    </w:p>
    <w:p w14:paraId="59C39228" w14:textId="77777777" w:rsidR="005E1CD1" w:rsidRPr="005C1CCB" w:rsidRDefault="005E1CD1" w:rsidP="005E1CD1"/>
    <w:p w14:paraId="3ECAE4D8" w14:textId="77777777" w:rsidR="005E1CD1" w:rsidRDefault="005E1CD1" w:rsidP="009974B7">
      <w:pPr>
        <w:pStyle w:val="TOCHeading"/>
      </w:pPr>
    </w:p>
    <w:p w14:paraId="08BA03EB" w14:textId="626B09B1" w:rsidR="002C7E23" w:rsidRDefault="002C7E23">
      <w:r>
        <w:br w:type="page"/>
      </w:r>
    </w:p>
    <w:p w14:paraId="3F5FA6CA" w14:textId="77777777" w:rsidR="005E1CD1" w:rsidRPr="002773C7" w:rsidRDefault="005E1CD1" w:rsidP="005E1CD1"/>
    <w:p w14:paraId="0FCFCDF1" w14:textId="235F1C46" w:rsidR="005E1CD1" w:rsidRPr="00473814" w:rsidRDefault="005E1CD1" w:rsidP="00062A3E">
      <w:pPr>
        <w:pStyle w:val="Heading1"/>
      </w:pPr>
      <w:bookmarkStart w:id="199" w:name="_Toc44255224"/>
      <w:bookmarkStart w:id="200" w:name="_Toc46265566"/>
      <w:r>
        <w:t>A</w:t>
      </w:r>
      <w:r w:rsidRPr="007B1246">
        <w:t xml:space="preserve">ppendix </w:t>
      </w:r>
      <w:r>
        <w:t>A Measurement Models</w:t>
      </w:r>
      <w:bookmarkEnd w:id="199"/>
      <w:bookmarkEnd w:id="200"/>
      <w:r>
        <w:t xml:space="preserve"> </w:t>
      </w:r>
    </w:p>
    <w:p w14:paraId="096E0381" w14:textId="77777777" w:rsidR="008127BB" w:rsidRDefault="008127BB" w:rsidP="008127BB">
      <w:pPr>
        <w:spacing w:line="240" w:lineRule="auto"/>
        <w:contextualSpacing/>
      </w:pPr>
    </w:p>
    <w:p w14:paraId="321C41A3" w14:textId="6529A363" w:rsidR="005E1CD1" w:rsidRPr="007F6D07" w:rsidRDefault="005E1CD1" w:rsidP="008127BB">
      <w:pPr>
        <w:spacing w:line="240" w:lineRule="auto"/>
        <w:contextualSpacing/>
      </w:pPr>
      <w:r>
        <w:t xml:space="preserve">Figure 3. </w:t>
      </w:r>
      <w:r>
        <w:rPr>
          <w:i/>
          <w:iCs/>
        </w:rPr>
        <w:t>Proposed Measurement Model.</w:t>
      </w:r>
    </w:p>
    <w:p w14:paraId="010ECEB4" w14:textId="77777777" w:rsidR="005E1CD1" w:rsidRDefault="005E1CD1" w:rsidP="005E1CD1">
      <w:r>
        <w:rPr>
          <w:noProof/>
        </w:rPr>
        <w:drawing>
          <wp:inline distT="0" distB="0" distL="0" distR="0" wp14:anchorId="665CF67D" wp14:editId="03975950">
            <wp:extent cx="5589917" cy="6162644"/>
            <wp:effectExtent l="0" t="0" r="0" b="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proaches to learning.png"/>
                    <pic:cNvPicPr/>
                  </pic:nvPicPr>
                  <pic:blipFill>
                    <a:blip r:embed="rId32">
                      <a:extLst>
                        <a:ext uri="{28A0092B-C50C-407E-A947-70E740481C1C}">
                          <a14:useLocalDpi xmlns:a14="http://schemas.microsoft.com/office/drawing/2010/main" val="0"/>
                        </a:ext>
                      </a:extLst>
                    </a:blip>
                    <a:stretch>
                      <a:fillRect/>
                    </a:stretch>
                  </pic:blipFill>
                  <pic:spPr>
                    <a:xfrm>
                      <a:off x="0" y="0"/>
                      <a:ext cx="5621451" cy="6197408"/>
                    </a:xfrm>
                    <a:prstGeom prst="rect">
                      <a:avLst/>
                    </a:prstGeom>
                  </pic:spPr>
                </pic:pic>
              </a:graphicData>
            </a:graphic>
          </wp:inline>
        </w:drawing>
      </w:r>
    </w:p>
    <w:p w14:paraId="301C839E" w14:textId="77777777" w:rsidR="005E1CD1" w:rsidRPr="007F6D07" w:rsidRDefault="005E1CD1" w:rsidP="005E1CD1">
      <w:pPr>
        <w:rPr>
          <w:i/>
          <w:iCs/>
        </w:rPr>
      </w:pPr>
      <w:r w:rsidRPr="007F6D07">
        <w:rPr>
          <w:i/>
          <w:iCs/>
        </w:rPr>
        <w:t>Figure 3</w:t>
      </w:r>
      <w:r>
        <w:rPr>
          <w:i/>
          <w:iCs/>
        </w:rPr>
        <w:t xml:space="preserve">. </w:t>
      </w:r>
      <w:r>
        <w:t xml:space="preserve">Proposed measurement model. The words in circles represent latent constructs, while the words in rectangles represent subscales from measurements. </w:t>
      </w:r>
    </w:p>
    <w:p w14:paraId="71376195" w14:textId="6C53C176" w:rsidR="005E1CD1" w:rsidRDefault="005E1CD1" w:rsidP="005E1CD1">
      <w:r>
        <w:lastRenderedPageBreak/>
        <w:t xml:space="preserve">Table 3 </w:t>
      </w:r>
    </w:p>
    <w:p w14:paraId="74A79826" w14:textId="77777777" w:rsidR="005E1CD1" w:rsidRPr="007F6D07" w:rsidRDefault="005E1CD1" w:rsidP="005E1CD1">
      <w:pPr>
        <w:rPr>
          <w:i/>
          <w:iCs/>
        </w:rPr>
      </w:pPr>
      <w:r w:rsidRPr="007F6D07">
        <w:rPr>
          <w:i/>
          <w:iCs/>
        </w:rPr>
        <w:t xml:space="preserve">Item-Level Responses and Corresponding Latent Variables by Measurement </w:t>
      </w:r>
    </w:p>
    <w:tbl>
      <w:tblPr>
        <w:tblW w:w="5000" w:type="pct"/>
        <w:tblLook w:val="04A0" w:firstRow="1" w:lastRow="0" w:firstColumn="1" w:lastColumn="0" w:noHBand="0" w:noVBand="1"/>
      </w:tblPr>
      <w:tblGrid>
        <w:gridCol w:w="2232"/>
        <w:gridCol w:w="2231"/>
        <w:gridCol w:w="2231"/>
        <w:gridCol w:w="2666"/>
      </w:tblGrid>
      <w:tr w:rsidR="005E1CD1" w14:paraId="54BCB05D" w14:textId="77777777" w:rsidTr="002C7E23">
        <w:tc>
          <w:tcPr>
            <w:tcW w:w="1192" w:type="pct"/>
            <w:tcBorders>
              <w:top w:val="single" w:sz="4" w:space="0" w:color="auto"/>
              <w:bottom w:val="single" w:sz="4" w:space="0" w:color="auto"/>
            </w:tcBorders>
          </w:tcPr>
          <w:p w14:paraId="5C84CFEE" w14:textId="77777777" w:rsidR="005E1CD1" w:rsidRDefault="005E1CD1" w:rsidP="005E1CD1">
            <w:pPr>
              <w:contextualSpacing/>
              <w:jc w:val="center"/>
            </w:pPr>
          </w:p>
        </w:tc>
        <w:tc>
          <w:tcPr>
            <w:tcW w:w="3808" w:type="pct"/>
            <w:gridSpan w:val="3"/>
            <w:tcBorders>
              <w:top w:val="single" w:sz="4" w:space="0" w:color="auto"/>
              <w:bottom w:val="single" w:sz="4" w:space="0" w:color="auto"/>
            </w:tcBorders>
          </w:tcPr>
          <w:p w14:paraId="6E29CD7A" w14:textId="77777777" w:rsidR="005E1CD1" w:rsidRPr="00E05AE4" w:rsidRDefault="005E1CD1" w:rsidP="005E1CD1">
            <w:pPr>
              <w:contextualSpacing/>
              <w:jc w:val="center"/>
              <w:rPr>
                <w:b/>
                <w:bCs/>
              </w:rPr>
            </w:pPr>
            <w:r w:rsidRPr="00E05AE4">
              <w:rPr>
                <w:b/>
                <w:bCs/>
              </w:rPr>
              <w:t>Components</w:t>
            </w:r>
          </w:p>
        </w:tc>
      </w:tr>
      <w:tr w:rsidR="005E1CD1" w14:paraId="47155B39" w14:textId="77777777" w:rsidTr="002C7E23">
        <w:tc>
          <w:tcPr>
            <w:tcW w:w="1192" w:type="pct"/>
            <w:tcBorders>
              <w:top w:val="single" w:sz="4" w:space="0" w:color="auto"/>
              <w:bottom w:val="single" w:sz="4" w:space="0" w:color="auto"/>
            </w:tcBorders>
          </w:tcPr>
          <w:p w14:paraId="65C6C11D" w14:textId="77777777" w:rsidR="005E1CD1" w:rsidRPr="007F6D07" w:rsidRDefault="005E1CD1" w:rsidP="008127BB">
            <w:pPr>
              <w:spacing w:line="240" w:lineRule="auto"/>
              <w:contextualSpacing/>
              <w:jc w:val="center"/>
              <w:rPr>
                <w:b/>
                <w:bCs/>
              </w:rPr>
            </w:pPr>
            <w:r>
              <w:rPr>
                <w:b/>
                <w:bCs/>
              </w:rPr>
              <w:t xml:space="preserve">Assessment </w:t>
            </w:r>
          </w:p>
        </w:tc>
        <w:tc>
          <w:tcPr>
            <w:tcW w:w="1192" w:type="pct"/>
            <w:tcBorders>
              <w:top w:val="single" w:sz="4" w:space="0" w:color="auto"/>
              <w:bottom w:val="single" w:sz="4" w:space="0" w:color="auto"/>
            </w:tcBorders>
          </w:tcPr>
          <w:p w14:paraId="14EB73DE" w14:textId="77777777" w:rsidR="005E1CD1" w:rsidRDefault="005E1CD1" w:rsidP="008127BB">
            <w:pPr>
              <w:spacing w:line="240" w:lineRule="auto"/>
              <w:contextualSpacing/>
              <w:jc w:val="center"/>
            </w:pPr>
            <w:r>
              <w:t>Social</w:t>
            </w:r>
          </w:p>
        </w:tc>
        <w:tc>
          <w:tcPr>
            <w:tcW w:w="1192" w:type="pct"/>
            <w:tcBorders>
              <w:top w:val="single" w:sz="4" w:space="0" w:color="auto"/>
              <w:bottom w:val="single" w:sz="4" w:space="0" w:color="auto"/>
            </w:tcBorders>
          </w:tcPr>
          <w:p w14:paraId="27C8C891" w14:textId="77777777" w:rsidR="005E1CD1" w:rsidRDefault="005E1CD1" w:rsidP="008127BB">
            <w:pPr>
              <w:spacing w:line="240" w:lineRule="auto"/>
              <w:contextualSpacing/>
              <w:jc w:val="center"/>
            </w:pPr>
            <w:r>
              <w:t xml:space="preserve">Emotional </w:t>
            </w:r>
          </w:p>
        </w:tc>
        <w:tc>
          <w:tcPr>
            <w:tcW w:w="1424" w:type="pct"/>
            <w:tcBorders>
              <w:top w:val="single" w:sz="4" w:space="0" w:color="auto"/>
              <w:bottom w:val="single" w:sz="4" w:space="0" w:color="auto"/>
            </w:tcBorders>
          </w:tcPr>
          <w:p w14:paraId="5CC33000" w14:textId="77777777" w:rsidR="005E1CD1" w:rsidRDefault="005E1CD1" w:rsidP="008127BB">
            <w:pPr>
              <w:spacing w:line="240" w:lineRule="auto"/>
              <w:contextualSpacing/>
              <w:jc w:val="center"/>
            </w:pPr>
            <w:r>
              <w:t xml:space="preserve">Cognitive </w:t>
            </w:r>
          </w:p>
        </w:tc>
      </w:tr>
      <w:tr w:rsidR="005E1CD1" w14:paraId="3219D758" w14:textId="77777777" w:rsidTr="002C7E23">
        <w:tc>
          <w:tcPr>
            <w:tcW w:w="1192" w:type="pct"/>
            <w:vMerge w:val="restart"/>
            <w:tcBorders>
              <w:top w:val="single" w:sz="4" w:space="0" w:color="auto"/>
            </w:tcBorders>
          </w:tcPr>
          <w:p w14:paraId="195970C7" w14:textId="77777777" w:rsidR="005E1CD1" w:rsidRPr="00E05AE4" w:rsidRDefault="005E1CD1" w:rsidP="008127BB">
            <w:pPr>
              <w:spacing w:line="240" w:lineRule="auto"/>
              <w:contextualSpacing/>
              <w:rPr>
                <w:b/>
                <w:bCs/>
              </w:rPr>
            </w:pPr>
            <w:r w:rsidRPr="00E05AE4">
              <w:rPr>
                <w:b/>
                <w:bCs/>
              </w:rPr>
              <w:t>DECA</w:t>
            </w:r>
          </w:p>
        </w:tc>
        <w:tc>
          <w:tcPr>
            <w:tcW w:w="1192" w:type="pct"/>
            <w:tcBorders>
              <w:top w:val="single" w:sz="4" w:space="0" w:color="auto"/>
              <w:bottom w:val="nil"/>
            </w:tcBorders>
          </w:tcPr>
          <w:p w14:paraId="17483852" w14:textId="77777777" w:rsidR="005E1CD1" w:rsidRDefault="005E1CD1" w:rsidP="008127BB">
            <w:pPr>
              <w:spacing w:line="240" w:lineRule="auto"/>
              <w:contextualSpacing/>
            </w:pPr>
            <w:r>
              <w:t>Cooperates with others</w:t>
            </w:r>
          </w:p>
        </w:tc>
        <w:tc>
          <w:tcPr>
            <w:tcW w:w="1192" w:type="pct"/>
            <w:tcBorders>
              <w:top w:val="single" w:sz="4" w:space="0" w:color="auto"/>
              <w:bottom w:val="nil"/>
            </w:tcBorders>
          </w:tcPr>
          <w:p w14:paraId="48A553D7" w14:textId="77777777" w:rsidR="005E1CD1" w:rsidRDefault="005E1CD1" w:rsidP="008127BB">
            <w:pPr>
              <w:spacing w:line="240" w:lineRule="auto"/>
              <w:contextualSpacing/>
            </w:pPr>
            <w:r>
              <w:t>Controls his/her anger</w:t>
            </w:r>
          </w:p>
        </w:tc>
        <w:tc>
          <w:tcPr>
            <w:tcW w:w="1424" w:type="pct"/>
            <w:tcBorders>
              <w:top w:val="single" w:sz="4" w:space="0" w:color="auto"/>
              <w:bottom w:val="nil"/>
            </w:tcBorders>
          </w:tcPr>
          <w:p w14:paraId="098E45D6" w14:textId="77777777" w:rsidR="005E1CD1" w:rsidRDefault="005E1CD1" w:rsidP="008127BB">
            <w:pPr>
              <w:spacing w:line="240" w:lineRule="auto"/>
              <w:contextualSpacing/>
            </w:pPr>
            <w:r>
              <w:t>Try different ways to solve a problem</w:t>
            </w:r>
          </w:p>
        </w:tc>
      </w:tr>
      <w:tr w:rsidR="005E1CD1" w14:paraId="48A65272" w14:textId="77777777" w:rsidTr="002C7E23">
        <w:tc>
          <w:tcPr>
            <w:tcW w:w="1192" w:type="pct"/>
            <w:vMerge/>
          </w:tcPr>
          <w:p w14:paraId="24671214" w14:textId="77777777" w:rsidR="005E1CD1" w:rsidRPr="00E05AE4" w:rsidRDefault="005E1CD1" w:rsidP="008127BB">
            <w:pPr>
              <w:spacing w:line="240" w:lineRule="auto"/>
              <w:contextualSpacing/>
              <w:rPr>
                <w:b/>
                <w:bCs/>
              </w:rPr>
            </w:pPr>
          </w:p>
        </w:tc>
        <w:tc>
          <w:tcPr>
            <w:tcW w:w="1192" w:type="pct"/>
            <w:tcBorders>
              <w:top w:val="nil"/>
              <w:bottom w:val="nil"/>
            </w:tcBorders>
          </w:tcPr>
          <w:p w14:paraId="212D4B34" w14:textId="77777777" w:rsidR="005E1CD1" w:rsidRDefault="005E1CD1" w:rsidP="008127BB">
            <w:pPr>
              <w:spacing w:line="240" w:lineRule="auto"/>
              <w:contextualSpacing/>
            </w:pPr>
            <w:r>
              <w:t>Shares with other children</w:t>
            </w:r>
          </w:p>
        </w:tc>
        <w:tc>
          <w:tcPr>
            <w:tcW w:w="1192" w:type="pct"/>
            <w:tcBorders>
              <w:top w:val="nil"/>
              <w:bottom w:val="nil"/>
            </w:tcBorders>
          </w:tcPr>
          <w:p w14:paraId="61AADDBC" w14:textId="77777777" w:rsidR="005E1CD1" w:rsidRDefault="005E1CD1" w:rsidP="008127BB">
            <w:pPr>
              <w:spacing w:line="240" w:lineRule="auto"/>
              <w:contextualSpacing/>
            </w:pPr>
            <w:r>
              <w:t>Handles frustration well</w:t>
            </w:r>
          </w:p>
        </w:tc>
        <w:tc>
          <w:tcPr>
            <w:tcW w:w="1424" w:type="pct"/>
            <w:tcBorders>
              <w:top w:val="nil"/>
              <w:bottom w:val="nil"/>
            </w:tcBorders>
          </w:tcPr>
          <w:p w14:paraId="730958F3" w14:textId="77777777" w:rsidR="005E1CD1" w:rsidRDefault="005E1CD1" w:rsidP="008127BB">
            <w:pPr>
              <w:spacing w:line="240" w:lineRule="auto"/>
              <w:contextualSpacing/>
            </w:pPr>
            <w:r>
              <w:t>Make decisions for himself/herself</w:t>
            </w:r>
          </w:p>
        </w:tc>
      </w:tr>
      <w:tr w:rsidR="005E1CD1" w14:paraId="7B765E43" w14:textId="77777777" w:rsidTr="002C7E23">
        <w:tc>
          <w:tcPr>
            <w:tcW w:w="1192" w:type="pct"/>
            <w:vMerge/>
          </w:tcPr>
          <w:p w14:paraId="2FB5B61B" w14:textId="77777777" w:rsidR="005E1CD1" w:rsidRPr="00E05AE4" w:rsidRDefault="005E1CD1" w:rsidP="008127BB">
            <w:pPr>
              <w:spacing w:line="240" w:lineRule="auto"/>
              <w:contextualSpacing/>
              <w:rPr>
                <w:b/>
                <w:bCs/>
              </w:rPr>
            </w:pPr>
          </w:p>
        </w:tc>
        <w:tc>
          <w:tcPr>
            <w:tcW w:w="1192" w:type="pct"/>
            <w:tcBorders>
              <w:top w:val="nil"/>
              <w:bottom w:val="nil"/>
            </w:tcBorders>
          </w:tcPr>
          <w:p w14:paraId="691809B7" w14:textId="77777777" w:rsidR="005E1CD1" w:rsidRDefault="005E1CD1" w:rsidP="008127BB">
            <w:pPr>
              <w:spacing w:line="240" w:lineRule="auto"/>
              <w:contextualSpacing/>
            </w:pPr>
            <w:r>
              <w:t>Appears happy when playing with others</w:t>
            </w:r>
          </w:p>
        </w:tc>
        <w:tc>
          <w:tcPr>
            <w:tcW w:w="1192" w:type="pct"/>
            <w:tcBorders>
              <w:top w:val="nil"/>
              <w:bottom w:val="nil"/>
            </w:tcBorders>
          </w:tcPr>
          <w:p w14:paraId="5A399E80" w14:textId="77777777" w:rsidR="005E1CD1" w:rsidRDefault="005E1CD1" w:rsidP="008127BB">
            <w:pPr>
              <w:spacing w:line="240" w:lineRule="auto"/>
              <w:contextualSpacing/>
            </w:pPr>
            <w:r>
              <w:t>Shows patience</w:t>
            </w:r>
          </w:p>
        </w:tc>
        <w:tc>
          <w:tcPr>
            <w:tcW w:w="1424" w:type="pct"/>
            <w:tcBorders>
              <w:top w:val="nil"/>
              <w:bottom w:val="nil"/>
            </w:tcBorders>
          </w:tcPr>
          <w:p w14:paraId="6F82795A" w14:textId="77777777" w:rsidR="005E1CD1" w:rsidRDefault="005E1CD1" w:rsidP="008127BB">
            <w:pPr>
              <w:spacing w:line="240" w:lineRule="auto"/>
              <w:contextualSpacing/>
            </w:pPr>
            <w:r>
              <w:t>Chooses to do a task that was hard</w:t>
            </w:r>
          </w:p>
        </w:tc>
      </w:tr>
      <w:tr w:rsidR="005E1CD1" w14:paraId="6740FD17" w14:textId="77777777" w:rsidTr="002C7E23">
        <w:tc>
          <w:tcPr>
            <w:tcW w:w="1192" w:type="pct"/>
            <w:vMerge/>
          </w:tcPr>
          <w:p w14:paraId="070B3830" w14:textId="77777777" w:rsidR="005E1CD1" w:rsidRPr="00E05AE4" w:rsidRDefault="005E1CD1" w:rsidP="008127BB">
            <w:pPr>
              <w:spacing w:line="240" w:lineRule="auto"/>
              <w:contextualSpacing/>
              <w:rPr>
                <w:b/>
                <w:bCs/>
              </w:rPr>
            </w:pPr>
          </w:p>
        </w:tc>
        <w:tc>
          <w:tcPr>
            <w:tcW w:w="1192" w:type="pct"/>
            <w:tcBorders>
              <w:top w:val="nil"/>
              <w:bottom w:val="nil"/>
            </w:tcBorders>
          </w:tcPr>
          <w:p w14:paraId="5477490D" w14:textId="77777777" w:rsidR="005E1CD1" w:rsidRDefault="005E1CD1" w:rsidP="008127BB">
            <w:pPr>
              <w:spacing w:line="240" w:lineRule="auto"/>
              <w:contextualSpacing/>
            </w:pPr>
          </w:p>
        </w:tc>
        <w:tc>
          <w:tcPr>
            <w:tcW w:w="1192" w:type="pct"/>
            <w:tcBorders>
              <w:top w:val="nil"/>
              <w:bottom w:val="nil"/>
            </w:tcBorders>
          </w:tcPr>
          <w:p w14:paraId="7F3A59BA" w14:textId="77777777" w:rsidR="005E1CD1" w:rsidRDefault="005E1CD1" w:rsidP="008127BB">
            <w:pPr>
              <w:spacing w:line="240" w:lineRule="auto"/>
              <w:contextualSpacing/>
            </w:pPr>
            <w:r>
              <w:t>Accepts another choice</w:t>
            </w:r>
          </w:p>
        </w:tc>
        <w:tc>
          <w:tcPr>
            <w:tcW w:w="1424" w:type="pct"/>
            <w:tcBorders>
              <w:top w:val="nil"/>
              <w:bottom w:val="nil"/>
            </w:tcBorders>
          </w:tcPr>
          <w:p w14:paraId="7C9124E2" w14:textId="77777777" w:rsidR="005E1CD1" w:rsidRDefault="005E1CD1" w:rsidP="008127BB">
            <w:pPr>
              <w:spacing w:line="240" w:lineRule="auto"/>
              <w:contextualSpacing/>
            </w:pPr>
          </w:p>
        </w:tc>
      </w:tr>
      <w:tr w:rsidR="005E1CD1" w14:paraId="6598091C" w14:textId="77777777" w:rsidTr="002C7E23">
        <w:tc>
          <w:tcPr>
            <w:tcW w:w="1192" w:type="pct"/>
            <w:vMerge/>
          </w:tcPr>
          <w:p w14:paraId="433A5976" w14:textId="77777777" w:rsidR="005E1CD1" w:rsidRPr="00E05AE4" w:rsidRDefault="005E1CD1" w:rsidP="008127BB">
            <w:pPr>
              <w:spacing w:line="240" w:lineRule="auto"/>
              <w:contextualSpacing/>
              <w:rPr>
                <w:b/>
                <w:bCs/>
              </w:rPr>
            </w:pPr>
          </w:p>
        </w:tc>
        <w:tc>
          <w:tcPr>
            <w:tcW w:w="1192" w:type="pct"/>
            <w:tcBorders>
              <w:top w:val="nil"/>
              <w:bottom w:val="nil"/>
            </w:tcBorders>
          </w:tcPr>
          <w:p w14:paraId="3086D23E" w14:textId="77777777" w:rsidR="005E1CD1" w:rsidRDefault="005E1CD1" w:rsidP="008127BB">
            <w:pPr>
              <w:spacing w:line="240" w:lineRule="auto"/>
              <w:contextualSpacing/>
            </w:pPr>
          </w:p>
        </w:tc>
        <w:tc>
          <w:tcPr>
            <w:tcW w:w="1192" w:type="pct"/>
            <w:tcBorders>
              <w:top w:val="nil"/>
              <w:bottom w:val="nil"/>
            </w:tcBorders>
          </w:tcPr>
          <w:p w14:paraId="3F3C6E37" w14:textId="77777777" w:rsidR="005E1CD1" w:rsidRDefault="005E1CD1" w:rsidP="008127BB">
            <w:pPr>
              <w:spacing w:line="240" w:lineRule="auto"/>
              <w:contextualSpacing/>
            </w:pPr>
            <w:r>
              <w:t>Shows an interest in learning new things</w:t>
            </w:r>
          </w:p>
        </w:tc>
        <w:tc>
          <w:tcPr>
            <w:tcW w:w="1424" w:type="pct"/>
            <w:tcBorders>
              <w:top w:val="nil"/>
              <w:bottom w:val="nil"/>
            </w:tcBorders>
          </w:tcPr>
          <w:p w14:paraId="0C5CF7B8" w14:textId="77777777" w:rsidR="005E1CD1" w:rsidRDefault="005E1CD1" w:rsidP="008127BB">
            <w:pPr>
              <w:spacing w:line="240" w:lineRule="auto"/>
              <w:contextualSpacing/>
            </w:pPr>
          </w:p>
        </w:tc>
      </w:tr>
      <w:tr w:rsidR="005E1CD1" w14:paraId="2D549431" w14:textId="77777777" w:rsidTr="002C7E23">
        <w:tc>
          <w:tcPr>
            <w:tcW w:w="1192" w:type="pct"/>
            <w:vMerge/>
          </w:tcPr>
          <w:p w14:paraId="14A26B04" w14:textId="77777777" w:rsidR="005E1CD1" w:rsidRPr="00E05AE4" w:rsidRDefault="005E1CD1" w:rsidP="008127BB">
            <w:pPr>
              <w:spacing w:line="240" w:lineRule="auto"/>
              <w:contextualSpacing/>
              <w:rPr>
                <w:b/>
                <w:bCs/>
              </w:rPr>
            </w:pPr>
          </w:p>
        </w:tc>
        <w:tc>
          <w:tcPr>
            <w:tcW w:w="1192" w:type="pct"/>
            <w:tcBorders>
              <w:top w:val="nil"/>
              <w:bottom w:val="nil"/>
            </w:tcBorders>
          </w:tcPr>
          <w:p w14:paraId="35F024E3" w14:textId="77777777" w:rsidR="005E1CD1" w:rsidRDefault="005E1CD1" w:rsidP="008127BB">
            <w:pPr>
              <w:spacing w:line="240" w:lineRule="auto"/>
              <w:contextualSpacing/>
            </w:pPr>
          </w:p>
        </w:tc>
        <w:tc>
          <w:tcPr>
            <w:tcW w:w="1192" w:type="pct"/>
            <w:tcBorders>
              <w:top w:val="nil"/>
              <w:bottom w:val="nil"/>
            </w:tcBorders>
          </w:tcPr>
          <w:p w14:paraId="58C3E74A" w14:textId="77777777" w:rsidR="005E1CD1" w:rsidRDefault="005E1CD1" w:rsidP="008127BB">
            <w:pPr>
              <w:spacing w:line="240" w:lineRule="auto"/>
              <w:contextualSpacing/>
            </w:pPr>
            <w:r>
              <w:t>Keeps trying when unsuccessful</w:t>
            </w:r>
          </w:p>
        </w:tc>
        <w:tc>
          <w:tcPr>
            <w:tcW w:w="1424" w:type="pct"/>
            <w:tcBorders>
              <w:top w:val="nil"/>
              <w:bottom w:val="nil"/>
            </w:tcBorders>
          </w:tcPr>
          <w:p w14:paraId="6E8CDF04" w14:textId="77777777" w:rsidR="005E1CD1" w:rsidRDefault="005E1CD1" w:rsidP="008127BB">
            <w:pPr>
              <w:spacing w:line="240" w:lineRule="auto"/>
              <w:contextualSpacing/>
            </w:pPr>
          </w:p>
        </w:tc>
      </w:tr>
      <w:tr w:rsidR="005E1CD1" w14:paraId="320A82D9" w14:textId="77777777" w:rsidTr="002C7E23">
        <w:tc>
          <w:tcPr>
            <w:tcW w:w="1192" w:type="pct"/>
            <w:vMerge/>
            <w:tcBorders>
              <w:bottom w:val="nil"/>
            </w:tcBorders>
          </w:tcPr>
          <w:p w14:paraId="20C5D978" w14:textId="77777777" w:rsidR="005E1CD1" w:rsidRPr="00E05AE4" w:rsidRDefault="005E1CD1" w:rsidP="008127BB">
            <w:pPr>
              <w:spacing w:line="240" w:lineRule="auto"/>
              <w:contextualSpacing/>
              <w:rPr>
                <w:b/>
                <w:bCs/>
              </w:rPr>
            </w:pPr>
          </w:p>
        </w:tc>
        <w:tc>
          <w:tcPr>
            <w:tcW w:w="1192" w:type="pct"/>
            <w:tcBorders>
              <w:top w:val="nil"/>
              <w:bottom w:val="nil"/>
            </w:tcBorders>
          </w:tcPr>
          <w:p w14:paraId="613496E0" w14:textId="77777777" w:rsidR="005E1CD1" w:rsidRDefault="005E1CD1" w:rsidP="008127BB">
            <w:pPr>
              <w:spacing w:line="240" w:lineRule="auto"/>
              <w:contextualSpacing/>
            </w:pPr>
          </w:p>
        </w:tc>
        <w:tc>
          <w:tcPr>
            <w:tcW w:w="1192" w:type="pct"/>
            <w:tcBorders>
              <w:top w:val="nil"/>
              <w:bottom w:val="nil"/>
            </w:tcBorders>
          </w:tcPr>
          <w:p w14:paraId="398CF7C0" w14:textId="77777777" w:rsidR="005E1CD1" w:rsidRDefault="005E1CD1" w:rsidP="008127BB">
            <w:pPr>
              <w:spacing w:line="240" w:lineRule="auto"/>
              <w:contextualSpacing/>
            </w:pPr>
            <w:r>
              <w:t>Tries new things</w:t>
            </w:r>
          </w:p>
        </w:tc>
        <w:tc>
          <w:tcPr>
            <w:tcW w:w="1424" w:type="pct"/>
            <w:tcBorders>
              <w:top w:val="nil"/>
              <w:bottom w:val="nil"/>
            </w:tcBorders>
          </w:tcPr>
          <w:p w14:paraId="70095B8F" w14:textId="77777777" w:rsidR="005E1CD1" w:rsidRDefault="005E1CD1" w:rsidP="008127BB">
            <w:pPr>
              <w:spacing w:line="240" w:lineRule="auto"/>
              <w:contextualSpacing/>
            </w:pPr>
          </w:p>
        </w:tc>
      </w:tr>
      <w:tr w:rsidR="005E1CD1" w14:paraId="61792A5E" w14:textId="77777777" w:rsidTr="002C7E23">
        <w:tc>
          <w:tcPr>
            <w:tcW w:w="1192" w:type="pct"/>
            <w:vMerge w:val="restart"/>
            <w:tcBorders>
              <w:top w:val="nil"/>
              <w:bottom w:val="nil"/>
            </w:tcBorders>
          </w:tcPr>
          <w:p w14:paraId="584A8916" w14:textId="77777777" w:rsidR="005E1CD1" w:rsidRPr="00E05AE4" w:rsidRDefault="005E1CD1" w:rsidP="008127BB">
            <w:pPr>
              <w:spacing w:line="240" w:lineRule="auto"/>
              <w:contextualSpacing/>
              <w:rPr>
                <w:b/>
                <w:bCs/>
              </w:rPr>
            </w:pPr>
            <w:r w:rsidRPr="00E05AE4">
              <w:rPr>
                <w:b/>
                <w:bCs/>
              </w:rPr>
              <w:t>inCLASS</w:t>
            </w:r>
          </w:p>
        </w:tc>
        <w:tc>
          <w:tcPr>
            <w:tcW w:w="1192" w:type="pct"/>
            <w:tcBorders>
              <w:top w:val="nil"/>
              <w:bottom w:val="nil"/>
            </w:tcBorders>
          </w:tcPr>
          <w:p w14:paraId="3E79EB0E" w14:textId="77777777" w:rsidR="005E1CD1" w:rsidRDefault="005E1CD1" w:rsidP="008127BB">
            <w:pPr>
              <w:spacing w:line="240" w:lineRule="auto"/>
              <w:contextualSpacing/>
            </w:pPr>
            <w:r>
              <w:t>Proximity seeking</w:t>
            </w:r>
          </w:p>
        </w:tc>
        <w:tc>
          <w:tcPr>
            <w:tcW w:w="1192" w:type="pct"/>
            <w:tcBorders>
              <w:top w:val="nil"/>
              <w:bottom w:val="nil"/>
            </w:tcBorders>
          </w:tcPr>
          <w:p w14:paraId="663B5EA9" w14:textId="77777777" w:rsidR="005E1CD1" w:rsidRDefault="005E1CD1" w:rsidP="008127BB">
            <w:pPr>
              <w:spacing w:line="240" w:lineRule="auto"/>
              <w:contextualSpacing/>
            </w:pPr>
            <w:r>
              <w:t>Enthusiasm</w:t>
            </w:r>
          </w:p>
        </w:tc>
        <w:tc>
          <w:tcPr>
            <w:tcW w:w="1424" w:type="pct"/>
            <w:tcBorders>
              <w:top w:val="nil"/>
              <w:bottom w:val="nil"/>
            </w:tcBorders>
          </w:tcPr>
          <w:p w14:paraId="0EAB6CCA" w14:textId="77777777" w:rsidR="005E1CD1" w:rsidRDefault="005E1CD1" w:rsidP="008127BB">
            <w:pPr>
              <w:spacing w:line="240" w:lineRule="auto"/>
              <w:contextualSpacing/>
            </w:pPr>
            <w:r>
              <w:t>Sustained attention</w:t>
            </w:r>
          </w:p>
        </w:tc>
      </w:tr>
      <w:tr w:rsidR="005E1CD1" w14:paraId="5126C4F2" w14:textId="77777777" w:rsidTr="002C7E23">
        <w:tc>
          <w:tcPr>
            <w:tcW w:w="1192" w:type="pct"/>
            <w:vMerge/>
            <w:tcBorders>
              <w:top w:val="nil"/>
              <w:bottom w:val="nil"/>
            </w:tcBorders>
          </w:tcPr>
          <w:p w14:paraId="005B3FB4" w14:textId="77777777" w:rsidR="005E1CD1" w:rsidRPr="00E05AE4" w:rsidRDefault="005E1CD1" w:rsidP="008127BB">
            <w:pPr>
              <w:spacing w:line="240" w:lineRule="auto"/>
              <w:contextualSpacing/>
              <w:rPr>
                <w:b/>
                <w:bCs/>
              </w:rPr>
            </w:pPr>
          </w:p>
        </w:tc>
        <w:tc>
          <w:tcPr>
            <w:tcW w:w="1192" w:type="pct"/>
            <w:tcBorders>
              <w:top w:val="nil"/>
              <w:bottom w:val="nil"/>
            </w:tcBorders>
          </w:tcPr>
          <w:p w14:paraId="47A790EA" w14:textId="77777777" w:rsidR="005E1CD1" w:rsidRDefault="005E1CD1" w:rsidP="008127BB">
            <w:pPr>
              <w:spacing w:line="240" w:lineRule="auto"/>
              <w:contextualSpacing/>
            </w:pPr>
            <w:r>
              <w:t>Shared positive affect</w:t>
            </w:r>
          </w:p>
        </w:tc>
        <w:tc>
          <w:tcPr>
            <w:tcW w:w="1192" w:type="pct"/>
            <w:tcBorders>
              <w:top w:val="nil"/>
              <w:bottom w:val="nil"/>
            </w:tcBorders>
          </w:tcPr>
          <w:p w14:paraId="026F4784" w14:textId="77777777" w:rsidR="005E1CD1" w:rsidRDefault="005E1CD1" w:rsidP="008127BB">
            <w:pPr>
              <w:spacing w:line="240" w:lineRule="auto"/>
              <w:contextualSpacing/>
            </w:pPr>
            <w:r>
              <w:t>Personal initiative</w:t>
            </w:r>
          </w:p>
        </w:tc>
        <w:tc>
          <w:tcPr>
            <w:tcW w:w="1424" w:type="pct"/>
            <w:tcBorders>
              <w:top w:val="nil"/>
              <w:bottom w:val="nil"/>
            </w:tcBorders>
          </w:tcPr>
          <w:p w14:paraId="0217410A" w14:textId="77777777" w:rsidR="005E1CD1" w:rsidRDefault="005E1CD1" w:rsidP="008127BB">
            <w:pPr>
              <w:spacing w:line="240" w:lineRule="auto"/>
              <w:contextualSpacing/>
            </w:pPr>
            <w:r>
              <w:t>Self-directed learning</w:t>
            </w:r>
          </w:p>
        </w:tc>
      </w:tr>
      <w:tr w:rsidR="005E1CD1" w14:paraId="747C27A6" w14:textId="77777777" w:rsidTr="002C7E23">
        <w:tc>
          <w:tcPr>
            <w:tcW w:w="1192" w:type="pct"/>
            <w:vMerge/>
            <w:tcBorders>
              <w:top w:val="nil"/>
              <w:bottom w:val="nil"/>
            </w:tcBorders>
          </w:tcPr>
          <w:p w14:paraId="575E5E1C" w14:textId="77777777" w:rsidR="005E1CD1" w:rsidRPr="00E05AE4" w:rsidRDefault="005E1CD1" w:rsidP="008127BB">
            <w:pPr>
              <w:spacing w:line="240" w:lineRule="auto"/>
              <w:contextualSpacing/>
              <w:rPr>
                <w:b/>
                <w:bCs/>
              </w:rPr>
            </w:pPr>
          </w:p>
        </w:tc>
        <w:tc>
          <w:tcPr>
            <w:tcW w:w="1192" w:type="pct"/>
            <w:tcBorders>
              <w:top w:val="nil"/>
              <w:bottom w:val="nil"/>
            </w:tcBorders>
          </w:tcPr>
          <w:p w14:paraId="5A4D4770" w14:textId="77777777" w:rsidR="005E1CD1" w:rsidRDefault="005E1CD1" w:rsidP="008127BB">
            <w:pPr>
              <w:spacing w:line="240" w:lineRule="auto"/>
              <w:contextualSpacing/>
            </w:pPr>
            <w:r>
              <w:t>Popularity</w:t>
            </w:r>
          </w:p>
        </w:tc>
        <w:tc>
          <w:tcPr>
            <w:tcW w:w="1192" w:type="pct"/>
            <w:tcBorders>
              <w:top w:val="nil"/>
              <w:bottom w:val="nil"/>
            </w:tcBorders>
          </w:tcPr>
          <w:p w14:paraId="61BA89C6" w14:textId="77777777" w:rsidR="005E1CD1" w:rsidRDefault="005E1CD1" w:rsidP="008127BB">
            <w:pPr>
              <w:spacing w:line="240" w:lineRule="auto"/>
              <w:contextualSpacing/>
            </w:pPr>
            <w:r>
              <w:t>Independence</w:t>
            </w:r>
          </w:p>
        </w:tc>
        <w:tc>
          <w:tcPr>
            <w:tcW w:w="1424" w:type="pct"/>
            <w:tcBorders>
              <w:top w:val="nil"/>
              <w:bottom w:val="nil"/>
            </w:tcBorders>
          </w:tcPr>
          <w:p w14:paraId="4C4454F5" w14:textId="77777777" w:rsidR="005E1CD1" w:rsidRDefault="005E1CD1" w:rsidP="008127BB">
            <w:pPr>
              <w:spacing w:line="240" w:lineRule="auto"/>
              <w:contextualSpacing/>
            </w:pPr>
          </w:p>
        </w:tc>
      </w:tr>
      <w:tr w:rsidR="005E1CD1" w14:paraId="55E9CAB1" w14:textId="77777777" w:rsidTr="002C7E23">
        <w:tc>
          <w:tcPr>
            <w:tcW w:w="1192" w:type="pct"/>
            <w:vMerge/>
            <w:tcBorders>
              <w:top w:val="nil"/>
              <w:bottom w:val="nil"/>
            </w:tcBorders>
          </w:tcPr>
          <w:p w14:paraId="5A09F3AE" w14:textId="77777777" w:rsidR="005E1CD1" w:rsidRPr="00E05AE4" w:rsidRDefault="005E1CD1" w:rsidP="008127BB">
            <w:pPr>
              <w:spacing w:line="240" w:lineRule="auto"/>
              <w:contextualSpacing/>
              <w:rPr>
                <w:b/>
                <w:bCs/>
              </w:rPr>
            </w:pPr>
          </w:p>
        </w:tc>
        <w:tc>
          <w:tcPr>
            <w:tcW w:w="1192" w:type="pct"/>
            <w:tcBorders>
              <w:top w:val="nil"/>
              <w:bottom w:val="nil"/>
            </w:tcBorders>
          </w:tcPr>
          <w:p w14:paraId="4AD63519" w14:textId="77777777" w:rsidR="005E1CD1" w:rsidRDefault="005E1CD1" w:rsidP="008127BB">
            <w:pPr>
              <w:spacing w:line="240" w:lineRule="auto"/>
              <w:contextualSpacing/>
            </w:pPr>
            <w:r>
              <w:t>Perspective-taking</w:t>
            </w:r>
          </w:p>
        </w:tc>
        <w:tc>
          <w:tcPr>
            <w:tcW w:w="1192" w:type="pct"/>
            <w:tcBorders>
              <w:top w:val="nil"/>
              <w:bottom w:val="nil"/>
            </w:tcBorders>
          </w:tcPr>
          <w:p w14:paraId="16BFE696" w14:textId="77777777" w:rsidR="005E1CD1" w:rsidRDefault="005E1CD1" w:rsidP="008127BB">
            <w:pPr>
              <w:spacing w:line="240" w:lineRule="auto"/>
              <w:contextualSpacing/>
            </w:pPr>
            <w:r>
              <w:t>Persistence</w:t>
            </w:r>
          </w:p>
        </w:tc>
        <w:tc>
          <w:tcPr>
            <w:tcW w:w="1424" w:type="pct"/>
            <w:tcBorders>
              <w:top w:val="nil"/>
              <w:bottom w:val="nil"/>
            </w:tcBorders>
          </w:tcPr>
          <w:p w14:paraId="5AFDCE8C" w14:textId="77777777" w:rsidR="005E1CD1" w:rsidRDefault="005E1CD1" w:rsidP="008127BB">
            <w:pPr>
              <w:spacing w:line="240" w:lineRule="auto"/>
              <w:contextualSpacing/>
            </w:pPr>
          </w:p>
        </w:tc>
      </w:tr>
      <w:tr w:rsidR="005E1CD1" w14:paraId="3B4609C5" w14:textId="77777777" w:rsidTr="002C7E23">
        <w:tc>
          <w:tcPr>
            <w:tcW w:w="1192" w:type="pct"/>
            <w:vMerge/>
            <w:tcBorders>
              <w:top w:val="nil"/>
              <w:bottom w:val="nil"/>
            </w:tcBorders>
          </w:tcPr>
          <w:p w14:paraId="0511CF7B" w14:textId="77777777" w:rsidR="005E1CD1" w:rsidRPr="00E05AE4" w:rsidRDefault="005E1CD1" w:rsidP="008127BB">
            <w:pPr>
              <w:spacing w:line="240" w:lineRule="auto"/>
              <w:contextualSpacing/>
              <w:rPr>
                <w:b/>
                <w:bCs/>
              </w:rPr>
            </w:pPr>
          </w:p>
        </w:tc>
        <w:tc>
          <w:tcPr>
            <w:tcW w:w="1192" w:type="pct"/>
            <w:tcBorders>
              <w:top w:val="nil"/>
              <w:bottom w:val="nil"/>
            </w:tcBorders>
          </w:tcPr>
          <w:p w14:paraId="175159BC" w14:textId="77777777" w:rsidR="005E1CD1" w:rsidRDefault="005E1CD1" w:rsidP="008127BB">
            <w:pPr>
              <w:spacing w:line="240" w:lineRule="auto"/>
              <w:contextualSpacing/>
            </w:pPr>
            <w:r>
              <w:t>Cooperation</w:t>
            </w:r>
          </w:p>
        </w:tc>
        <w:tc>
          <w:tcPr>
            <w:tcW w:w="1192" w:type="pct"/>
            <w:tcBorders>
              <w:top w:val="nil"/>
              <w:bottom w:val="nil"/>
            </w:tcBorders>
          </w:tcPr>
          <w:p w14:paraId="26EC2FAE" w14:textId="77777777" w:rsidR="005E1CD1" w:rsidRDefault="005E1CD1" w:rsidP="008127BB">
            <w:pPr>
              <w:spacing w:line="240" w:lineRule="auto"/>
              <w:contextualSpacing/>
            </w:pPr>
          </w:p>
        </w:tc>
        <w:tc>
          <w:tcPr>
            <w:tcW w:w="1424" w:type="pct"/>
            <w:tcBorders>
              <w:top w:val="nil"/>
              <w:bottom w:val="nil"/>
            </w:tcBorders>
          </w:tcPr>
          <w:p w14:paraId="4DEDEA65" w14:textId="77777777" w:rsidR="005E1CD1" w:rsidRDefault="005E1CD1" w:rsidP="008127BB">
            <w:pPr>
              <w:spacing w:line="240" w:lineRule="auto"/>
              <w:contextualSpacing/>
            </w:pPr>
          </w:p>
        </w:tc>
      </w:tr>
      <w:tr w:rsidR="005E1CD1" w14:paraId="186FACE1" w14:textId="77777777" w:rsidTr="002C7E23">
        <w:tc>
          <w:tcPr>
            <w:tcW w:w="1192" w:type="pct"/>
            <w:vMerge w:val="restart"/>
            <w:tcBorders>
              <w:top w:val="nil"/>
              <w:bottom w:val="single" w:sz="4" w:space="0" w:color="auto"/>
            </w:tcBorders>
          </w:tcPr>
          <w:p w14:paraId="08F1A5AF" w14:textId="77777777" w:rsidR="005E1CD1" w:rsidRPr="00E05AE4" w:rsidRDefault="005E1CD1" w:rsidP="008127BB">
            <w:pPr>
              <w:spacing w:line="240" w:lineRule="auto"/>
              <w:contextualSpacing/>
              <w:rPr>
                <w:b/>
                <w:bCs/>
              </w:rPr>
            </w:pPr>
            <w:r w:rsidRPr="00E05AE4">
              <w:rPr>
                <w:b/>
                <w:bCs/>
              </w:rPr>
              <w:t>Leiter</w:t>
            </w:r>
          </w:p>
        </w:tc>
        <w:tc>
          <w:tcPr>
            <w:tcW w:w="1192" w:type="pct"/>
            <w:tcBorders>
              <w:top w:val="nil"/>
              <w:bottom w:val="nil"/>
            </w:tcBorders>
          </w:tcPr>
          <w:p w14:paraId="396DD941" w14:textId="77777777" w:rsidR="005E1CD1" w:rsidRDefault="005E1CD1" w:rsidP="008127BB">
            <w:pPr>
              <w:spacing w:line="240" w:lineRule="auto"/>
              <w:contextualSpacing/>
            </w:pPr>
          </w:p>
        </w:tc>
        <w:tc>
          <w:tcPr>
            <w:tcW w:w="1192" w:type="pct"/>
            <w:tcBorders>
              <w:top w:val="nil"/>
              <w:bottom w:val="nil"/>
            </w:tcBorders>
          </w:tcPr>
          <w:p w14:paraId="463472AC" w14:textId="77777777" w:rsidR="005E1CD1" w:rsidRDefault="005E1CD1" w:rsidP="008127BB">
            <w:pPr>
              <w:spacing w:line="240" w:lineRule="auto"/>
              <w:contextualSpacing/>
            </w:pPr>
            <w:r>
              <w:t>Inhibits verbalizations appropriately (does not blurt out)</w:t>
            </w:r>
          </w:p>
        </w:tc>
        <w:tc>
          <w:tcPr>
            <w:tcW w:w="1424" w:type="pct"/>
            <w:tcBorders>
              <w:top w:val="nil"/>
              <w:bottom w:val="nil"/>
            </w:tcBorders>
          </w:tcPr>
          <w:p w14:paraId="65200514" w14:textId="77777777" w:rsidR="005E1CD1" w:rsidRDefault="005E1CD1" w:rsidP="008127BB">
            <w:pPr>
              <w:spacing w:line="240" w:lineRule="auto"/>
              <w:contextualSpacing/>
            </w:pPr>
            <w:r>
              <w:t>Pays attention</w:t>
            </w:r>
          </w:p>
        </w:tc>
      </w:tr>
      <w:tr w:rsidR="005E1CD1" w14:paraId="6DC9EF89" w14:textId="77777777" w:rsidTr="002C7E23">
        <w:tc>
          <w:tcPr>
            <w:tcW w:w="1192" w:type="pct"/>
            <w:vMerge/>
            <w:tcBorders>
              <w:top w:val="nil"/>
              <w:bottom w:val="single" w:sz="4" w:space="0" w:color="auto"/>
            </w:tcBorders>
          </w:tcPr>
          <w:p w14:paraId="0F47FAB3" w14:textId="77777777" w:rsidR="005E1CD1" w:rsidRDefault="005E1CD1" w:rsidP="008127BB">
            <w:pPr>
              <w:spacing w:line="240" w:lineRule="auto"/>
              <w:contextualSpacing/>
            </w:pPr>
          </w:p>
        </w:tc>
        <w:tc>
          <w:tcPr>
            <w:tcW w:w="1192" w:type="pct"/>
            <w:tcBorders>
              <w:top w:val="nil"/>
              <w:bottom w:val="nil"/>
            </w:tcBorders>
          </w:tcPr>
          <w:p w14:paraId="57695907" w14:textId="77777777" w:rsidR="005E1CD1" w:rsidRDefault="005E1CD1" w:rsidP="008127BB">
            <w:pPr>
              <w:spacing w:line="240" w:lineRule="auto"/>
              <w:contextualSpacing/>
            </w:pPr>
          </w:p>
        </w:tc>
        <w:tc>
          <w:tcPr>
            <w:tcW w:w="1192" w:type="pct"/>
            <w:tcBorders>
              <w:top w:val="nil"/>
              <w:bottom w:val="nil"/>
            </w:tcBorders>
          </w:tcPr>
          <w:p w14:paraId="7F893DA0" w14:textId="77777777" w:rsidR="005E1CD1" w:rsidRDefault="005E1CD1" w:rsidP="008127BB">
            <w:pPr>
              <w:spacing w:line="240" w:lineRule="auto"/>
              <w:contextualSpacing/>
            </w:pPr>
            <w:proofErr w:type="spellStart"/>
            <w:r>
              <w:t>Lets</w:t>
            </w:r>
            <w:proofErr w:type="spellEnd"/>
            <w:r>
              <w:t xml:space="preserve"> examiner finish before starting task</w:t>
            </w:r>
          </w:p>
        </w:tc>
        <w:tc>
          <w:tcPr>
            <w:tcW w:w="1424" w:type="pct"/>
            <w:tcBorders>
              <w:top w:val="nil"/>
              <w:bottom w:val="nil"/>
            </w:tcBorders>
          </w:tcPr>
          <w:p w14:paraId="4F0E2C65" w14:textId="77777777" w:rsidR="005E1CD1" w:rsidRDefault="005E1CD1" w:rsidP="008127BB">
            <w:pPr>
              <w:spacing w:line="240" w:lineRule="auto"/>
              <w:contextualSpacing/>
            </w:pPr>
            <w:r>
              <w:t>Interested in accuracy</w:t>
            </w:r>
          </w:p>
        </w:tc>
      </w:tr>
      <w:tr w:rsidR="005E1CD1" w14:paraId="4D3A9895" w14:textId="77777777" w:rsidTr="002C7E23">
        <w:tc>
          <w:tcPr>
            <w:tcW w:w="1192" w:type="pct"/>
            <w:vMerge/>
            <w:tcBorders>
              <w:top w:val="nil"/>
              <w:bottom w:val="single" w:sz="4" w:space="0" w:color="auto"/>
            </w:tcBorders>
          </w:tcPr>
          <w:p w14:paraId="76F75A98" w14:textId="77777777" w:rsidR="005E1CD1" w:rsidRDefault="005E1CD1" w:rsidP="008127BB">
            <w:pPr>
              <w:spacing w:line="240" w:lineRule="auto"/>
              <w:contextualSpacing/>
            </w:pPr>
          </w:p>
        </w:tc>
        <w:tc>
          <w:tcPr>
            <w:tcW w:w="1192" w:type="pct"/>
            <w:tcBorders>
              <w:top w:val="nil"/>
              <w:bottom w:val="nil"/>
            </w:tcBorders>
          </w:tcPr>
          <w:p w14:paraId="0A5B74EE" w14:textId="77777777" w:rsidR="005E1CD1" w:rsidRDefault="005E1CD1" w:rsidP="008127BB">
            <w:pPr>
              <w:spacing w:line="240" w:lineRule="auto"/>
              <w:contextualSpacing/>
            </w:pPr>
          </w:p>
        </w:tc>
        <w:tc>
          <w:tcPr>
            <w:tcW w:w="1192" w:type="pct"/>
            <w:tcBorders>
              <w:top w:val="nil"/>
              <w:bottom w:val="nil"/>
            </w:tcBorders>
          </w:tcPr>
          <w:p w14:paraId="71A17DBD" w14:textId="77777777" w:rsidR="005E1CD1" w:rsidRDefault="005E1CD1" w:rsidP="008127BB">
            <w:pPr>
              <w:spacing w:line="240" w:lineRule="auto"/>
              <w:contextualSpacing/>
            </w:pPr>
            <w:r>
              <w:t>Refrains from touching materials</w:t>
            </w:r>
          </w:p>
        </w:tc>
        <w:tc>
          <w:tcPr>
            <w:tcW w:w="1424" w:type="pct"/>
            <w:tcBorders>
              <w:top w:val="nil"/>
              <w:bottom w:val="nil"/>
            </w:tcBorders>
          </w:tcPr>
          <w:p w14:paraId="5B61AD1A" w14:textId="77777777" w:rsidR="005E1CD1" w:rsidRDefault="005E1CD1" w:rsidP="008127BB">
            <w:pPr>
              <w:spacing w:line="240" w:lineRule="auto"/>
              <w:contextualSpacing/>
            </w:pPr>
            <w:r>
              <w:t>Sustain concentration</w:t>
            </w:r>
          </w:p>
        </w:tc>
      </w:tr>
      <w:tr w:rsidR="005E1CD1" w14:paraId="10A79837" w14:textId="77777777" w:rsidTr="002C7E23">
        <w:tc>
          <w:tcPr>
            <w:tcW w:w="1192" w:type="pct"/>
            <w:vMerge/>
            <w:tcBorders>
              <w:top w:val="nil"/>
              <w:bottom w:val="single" w:sz="4" w:space="0" w:color="auto"/>
            </w:tcBorders>
          </w:tcPr>
          <w:p w14:paraId="5BFC79AC" w14:textId="77777777" w:rsidR="005E1CD1" w:rsidRDefault="005E1CD1" w:rsidP="008127BB">
            <w:pPr>
              <w:spacing w:line="240" w:lineRule="auto"/>
              <w:contextualSpacing/>
            </w:pPr>
          </w:p>
        </w:tc>
        <w:tc>
          <w:tcPr>
            <w:tcW w:w="1192" w:type="pct"/>
            <w:tcBorders>
              <w:top w:val="nil"/>
              <w:bottom w:val="nil"/>
            </w:tcBorders>
          </w:tcPr>
          <w:p w14:paraId="7FD4AAC0" w14:textId="77777777" w:rsidR="005E1CD1" w:rsidRDefault="005E1CD1" w:rsidP="008127BB">
            <w:pPr>
              <w:spacing w:line="240" w:lineRule="auto"/>
              <w:contextualSpacing/>
            </w:pPr>
          </w:p>
        </w:tc>
        <w:tc>
          <w:tcPr>
            <w:tcW w:w="1192" w:type="pct"/>
            <w:tcBorders>
              <w:top w:val="nil"/>
              <w:bottom w:val="nil"/>
            </w:tcBorders>
          </w:tcPr>
          <w:p w14:paraId="1CA77DD7" w14:textId="77777777" w:rsidR="005E1CD1" w:rsidRDefault="005E1CD1" w:rsidP="008127BB">
            <w:pPr>
              <w:spacing w:line="240" w:lineRule="auto"/>
              <w:contextualSpacing/>
            </w:pPr>
            <w:r>
              <w:t>Focuses without fidgeting</w:t>
            </w:r>
          </w:p>
        </w:tc>
        <w:tc>
          <w:tcPr>
            <w:tcW w:w="1424" w:type="pct"/>
            <w:tcBorders>
              <w:top w:val="nil"/>
              <w:bottom w:val="nil"/>
            </w:tcBorders>
          </w:tcPr>
          <w:p w14:paraId="60935EC5" w14:textId="77777777" w:rsidR="005E1CD1" w:rsidRDefault="005E1CD1" w:rsidP="008127BB">
            <w:pPr>
              <w:spacing w:line="240" w:lineRule="auto"/>
              <w:contextualSpacing/>
            </w:pPr>
            <w:r>
              <w:t>Stays on task</w:t>
            </w:r>
          </w:p>
        </w:tc>
      </w:tr>
      <w:tr w:rsidR="005E1CD1" w14:paraId="5F5E6FCD" w14:textId="77777777" w:rsidTr="002C7E23">
        <w:tc>
          <w:tcPr>
            <w:tcW w:w="1192" w:type="pct"/>
            <w:vMerge/>
            <w:tcBorders>
              <w:top w:val="nil"/>
              <w:bottom w:val="single" w:sz="4" w:space="0" w:color="auto"/>
            </w:tcBorders>
          </w:tcPr>
          <w:p w14:paraId="088737FF" w14:textId="77777777" w:rsidR="005E1CD1" w:rsidRDefault="005E1CD1" w:rsidP="008127BB">
            <w:pPr>
              <w:spacing w:line="240" w:lineRule="auto"/>
              <w:contextualSpacing/>
            </w:pPr>
          </w:p>
        </w:tc>
        <w:tc>
          <w:tcPr>
            <w:tcW w:w="1192" w:type="pct"/>
            <w:tcBorders>
              <w:top w:val="nil"/>
              <w:bottom w:val="nil"/>
            </w:tcBorders>
          </w:tcPr>
          <w:p w14:paraId="467BE616" w14:textId="77777777" w:rsidR="005E1CD1" w:rsidRDefault="005E1CD1" w:rsidP="008127BB">
            <w:pPr>
              <w:spacing w:line="240" w:lineRule="auto"/>
              <w:contextualSpacing/>
            </w:pPr>
          </w:p>
        </w:tc>
        <w:tc>
          <w:tcPr>
            <w:tcW w:w="1192" w:type="pct"/>
            <w:tcBorders>
              <w:top w:val="nil"/>
              <w:bottom w:val="nil"/>
            </w:tcBorders>
          </w:tcPr>
          <w:p w14:paraId="1A36B987" w14:textId="77777777" w:rsidR="005E1CD1" w:rsidRDefault="005E1CD1" w:rsidP="008127BB">
            <w:pPr>
              <w:spacing w:line="240" w:lineRule="auto"/>
              <w:contextualSpacing/>
            </w:pPr>
            <w:r>
              <w:t>Remains in seat appropriately</w:t>
            </w:r>
          </w:p>
        </w:tc>
        <w:tc>
          <w:tcPr>
            <w:tcW w:w="1424" w:type="pct"/>
            <w:tcBorders>
              <w:top w:val="nil"/>
              <w:bottom w:val="nil"/>
            </w:tcBorders>
          </w:tcPr>
          <w:p w14:paraId="40783A39" w14:textId="77777777" w:rsidR="005E1CD1" w:rsidRDefault="005E1CD1" w:rsidP="008127BB">
            <w:pPr>
              <w:spacing w:line="240" w:lineRule="auto"/>
              <w:contextualSpacing/>
            </w:pPr>
            <w:r>
              <w:t>Focused on task</w:t>
            </w:r>
          </w:p>
        </w:tc>
      </w:tr>
      <w:tr w:rsidR="005E1CD1" w14:paraId="3212FF09" w14:textId="77777777" w:rsidTr="002C7E23">
        <w:tc>
          <w:tcPr>
            <w:tcW w:w="1192" w:type="pct"/>
            <w:vMerge/>
            <w:tcBorders>
              <w:top w:val="nil"/>
              <w:bottom w:val="single" w:sz="4" w:space="0" w:color="auto"/>
            </w:tcBorders>
          </w:tcPr>
          <w:p w14:paraId="44F3F62C" w14:textId="77777777" w:rsidR="005E1CD1" w:rsidRDefault="005E1CD1" w:rsidP="008127BB">
            <w:pPr>
              <w:spacing w:line="240" w:lineRule="auto"/>
              <w:contextualSpacing/>
            </w:pPr>
          </w:p>
        </w:tc>
        <w:tc>
          <w:tcPr>
            <w:tcW w:w="1192" w:type="pct"/>
            <w:tcBorders>
              <w:top w:val="nil"/>
              <w:bottom w:val="nil"/>
            </w:tcBorders>
          </w:tcPr>
          <w:p w14:paraId="5E37C2A2" w14:textId="77777777" w:rsidR="005E1CD1" w:rsidRDefault="005E1CD1" w:rsidP="008127BB">
            <w:pPr>
              <w:spacing w:line="240" w:lineRule="auto"/>
              <w:contextualSpacing/>
            </w:pPr>
          </w:p>
        </w:tc>
        <w:tc>
          <w:tcPr>
            <w:tcW w:w="1192" w:type="pct"/>
            <w:tcBorders>
              <w:top w:val="nil"/>
              <w:bottom w:val="nil"/>
            </w:tcBorders>
          </w:tcPr>
          <w:p w14:paraId="1C32BA17" w14:textId="77777777" w:rsidR="005E1CD1" w:rsidRDefault="005E1CD1" w:rsidP="008127BB">
            <w:pPr>
              <w:spacing w:line="240" w:lineRule="auto"/>
              <w:contextualSpacing/>
            </w:pPr>
          </w:p>
        </w:tc>
        <w:tc>
          <w:tcPr>
            <w:tcW w:w="1424" w:type="pct"/>
            <w:tcBorders>
              <w:top w:val="nil"/>
              <w:bottom w:val="nil"/>
            </w:tcBorders>
          </w:tcPr>
          <w:p w14:paraId="6119B3C9" w14:textId="77777777" w:rsidR="005E1CD1" w:rsidRDefault="005E1CD1" w:rsidP="008127BB">
            <w:pPr>
              <w:spacing w:line="240" w:lineRule="auto"/>
              <w:contextualSpacing/>
            </w:pPr>
            <w:r>
              <w:t>Thinks and plans before beginning</w:t>
            </w:r>
          </w:p>
        </w:tc>
      </w:tr>
      <w:tr w:rsidR="005E1CD1" w14:paraId="53FB83B4" w14:textId="77777777" w:rsidTr="002C7E23">
        <w:trPr>
          <w:trHeight w:val="377"/>
        </w:trPr>
        <w:tc>
          <w:tcPr>
            <w:tcW w:w="1192" w:type="pct"/>
            <w:vMerge/>
            <w:tcBorders>
              <w:top w:val="nil"/>
              <w:bottom w:val="single" w:sz="4" w:space="0" w:color="auto"/>
            </w:tcBorders>
          </w:tcPr>
          <w:p w14:paraId="1DCECE05" w14:textId="77777777" w:rsidR="005E1CD1" w:rsidRDefault="005E1CD1" w:rsidP="008127BB">
            <w:pPr>
              <w:spacing w:line="240" w:lineRule="auto"/>
              <w:contextualSpacing/>
            </w:pPr>
          </w:p>
        </w:tc>
        <w:tc>
          <w:tcPr>
            <w:tcW w:w="1192" w:type="pct"/>
            <w:tcBorders>
              <w:top w:val="nil"/>
              <w:bottom w:val="nil"/>
            </w:tcBorders>
          </w:tcPr>
          <w:p w14:paraId="21C24FD0" w14:textId="77777777" w:rsidR="005E1CD1" w:rsidRDefault="005E1CD1" w:rsidP="008127BB">
            <w:pPr>
              <w:spacing w:line="240" w:lineRule="auto"/>
              <w:contextualSpacing/>
            </w:pPr>
          </w:p>
        </w:tc>
        <w:tc>
          <w:tcPr>
            <w:tcW w:w="1192" w:type="pct"/>
            <w:tcBorders>
              <w:top w:val="nil"/>
              <w:bottom w:val="nil"/>
            </w:tcBorders>
          </w:tcPr>
          <w:p w14:paraId="367CA8AB" w14:textId="77777777" w:rsidR="005E1CD1" w:rsidRDefault="005E1CD1" w:rsidP="008127BB">
            <w:pPr>
              <w:spacing w:line="240" w:lineRule="auto"/>
              <w:contextualSpacing/>
            </w:pPr>
          </w:p>
        </w:tc>
        <w:tc>
          <w:tcPr>
            <w:tcW w:w="1424" w:type="pct"/>
            <w:tcBorders>
              <w:top w:val="nil"/>
              <w:bottom w:val="nil"/>
            </w:tcBorders>
          </w:tcPr>
          <w:p w14:paraId="675F743F" w14:textId="77777777" w:rsidR="005E1CD1" w:rsidRDefault="005E1CD1" w:rsidP="008127BB">
            <w:pPr>
              <w:spacing w:line="240" w:lineRule="auto"/>
              <w:contextualSpacing/>
            </w:pPr>
            <w:r>
              <w:t xml:space="preserve">Indicates if </w:t>
            </w:r>
            <w:proofErr w:type="gramStart"/>
            <w:r>
              <w:t>doesn’t</w:t>
            </w:r>
            <w:proofErr w:type="gramEnd"/>
            <w:r>
              <w:t xml:space="preserve"> understand task</w:t>
            </w:r>
          </w:p>
        </w:tc>
      </w:tr>
      <w:tr w:rsidR="005E1CD1" w14:paraId="5CFDA6E4" w14:textId="77777777" w:rsidTr="002C7E23">
        <w:trPr>
          <w:trHeight w:val="413"/>
        </w:trPr>
        <w:tc>
          <w:tcPr>
            <w:tcW w:w="1192" w:type="pct"/>
            <w:vMerge/>
            <w:tcBorders>
              <w:top w:val="nil"/>
              <w:bottom w:val="single" w:sz="4" w:space="0" w:color="auto"/>
            </w:tcBorders>
          </w:tcPr>
          <w:p w14:paraId="72F88307" w14:textId="77777777" w:rsidR="005E1CD1" w:rsidRDefault="005E1CD1" w:rsidP="008127BB">
            <w:pPr>
              <w:spacing w:line="240" w:lineRule="auto"/>
              <w:contextualSpacing/>
            </w:pPr>
          </w:p>
        </w:tc>
        <w:tc>
          <w:tcPr>
            <w:tcW w:w="1192" w:type="pct"/>
            <w:tcBorders>
              <w:top w:val="nil"/>
              <w:bottom w:val="single" w:sz="4" w:space="0" w:color="auto"/>
            </w:tcBorders>
          </w:tcPr>
          <w:p w14:paraId="42C7A04C" w14:textId="77777777" w:rsidR="005E1CD1" w:rsidRDefault="005E1CD1" w:rsidP="008127BB">
            <w:pPr>
              <w:spacing w:line="240" w:lineRule="auto"/>
              <w:contextualSpacing/>
            </w:pPr>
          </w:p>
        </w:tc>
        <w:tc>
          <w:tcPr>
            <w:tcW w:w="1192" w:type="pct"/>
            <w:tcBorders>
              <w:top w:val="nil"/>
              <w:bottom w:val="single" w:sz="4" w:space="0" w:color="auto"/>
            </w:tcBorders>
          </w:tcPr>
          <w:p w14:paraId="7F5D6E14" w14:textId="77777777" w:rsidR="005E1CD1" w:rsidRDefault="005E1CD1" w:rsidP="008127BB">
            <w:pPr>
              <w:spacing w:line="240" w:lineRule="auto"/>
              <w:contextualSpacing/>
            </w:pPr>
          </w:p>
        </w:tc>
        <w:tc>
          <w:tcPr>
            <w:tcW w:w="1424" w:type="pct"/>
            <w:tcBorders>
              <w:top w:val="nil"/>
              <w:bottom w:val="single" w:sz="4" w:space="0" w:color="auto"/>
            </w:tcBorders>
          </w:tcPr>
          <w:p w14:paraId="3E54F9BD" w14:textId="77777777" w:rsidR="005E1CD1" w:rsidRDefault="005E1CD1" w:rsidP="008127BB">
            <w:pPr>
              <w:spacing w:line="240" w:lineRule="auto"/>
              <w:contextualSpacing/>
            </w:pPr>
            <w:r>
              <w:t>Organized</w:t>
            </w:r>
          </w:p>
        </w:tc>
      </w:tr>
    </w:tbl>
    <w:p w14:paraId="09F873DD" w14:textId="77777777" w:rsidR="005E1CD1" w:rsidRDefault="005E1CD1" w:rsidP="005E1CD1"/>
    <w:p w14:paraId="5925D8DE" w14:textId="6E024538" w:rsidR="005E1CD1" w:rsidRPr="007B1246" w:rsidRDefault="005E1CD1" w:rsidP="009974B7">
      <w:pPr>
        <w:pStyle w:val="Heading1"/>
      </w:pPr>
      <w:bookmarkStart w:id="201" w:name="_Toc44255225"/>
      <w:bookmarkStart w:id="202" w:name="_Toc46265567"/>
      <w:r w:rsidRPr="007B1246">
        <w:t xml:space="preserve">Appendix </w:t>
      </w:r>
      <w:r>
        <w:t>B</w:t>
      </w:r>
      <w:r w:rsidRPr="007B1246">
        <w:t xml:space="preserve"> Sample Measures</w:t>
      </w:r>
      <w:bookmarkEnd w:id="201"/>
      <w:bookmarkEnd w:id="202"/>
    </w:p>
    <w:p w14:paraId="1BFD8F5F" w14:textId="7CDD933D" w:rsidR="005E1CD1" w:rsidRDefault="005E1CD1" w:rsidP="005E1CD1">
      <w:r>
        <w:rPr>
          <w:noProof/>
        </w:rPr>
        <w:t xml:space="preserve">The inCLASS Domains, Dimensions and Definitions </w:t>
      </w:r>
    </w:p>
    <w:p w14:paraId="542BB268" w14:textId="5B668032" w:rsidR="005E1CD1" w:rsidRDefault="002C7E23" w:rsidP="005E1CD1">
      <w:pPr>
        <w:jc w:val="center"/>
      </w:pPr>
      <w:r>
        <w:rPr>
          <w:noProof/>
        </w:rPr>
        <w:drawing>
          <wp:anchor distT="0" distB="0" distL="114300" distR="114300" simplePos="0" relativeHeight="251621376" behindDoc="1" locked="0" layoutInCell="1" allowOverlap="1" wp14:anchorId="34704013" wp14:editId="0650F3E1">
            <wp:simplePos x="0" y="0"/>
            <wp:positionH relativeFrom="margin">
              <wp:align>right</wp:align>
            </wp:positionH>
            <wp:positionV relativeFrom="margin">
              <wp:posOffset>1433195</wp:posOffset>
            </wp:positionV>
            <wp:extent cx="5943600" cy="5815330"/>
            <wp:effectExtent l="0" t="0" r="0" b="0"/>
            <wp:wrapTight wrapText="bothSides">
              <wp:wrapPolygon edited="0">
                <wp:start x="0" y="0"/>
                <wp:lineTo x="0" y="21510"/>
                <wp:lineTo x="21531" y="21510"/>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943600" cy="5815330"/>
                    </a:xfrm>
                    <a:prstGeom prst="rect">
                      <a:avLst/>
                    </a:prstGeom>
                  </pic:spPr>
                </pic:pic>
              </a:graphicData>
            </a:graphic>
            <wp14:sizeRelH relativeFrom="margin">
              <wp14:pctWidth>0</wp14:pctWidth>
            </wp14:sizeRelH>
            <wp14:sizeRelV relativeFrom="margin">
              <wp14:pctHeight>0</wp14:pctHeight>
            </wp14:sizeRelV>
          </wp:anchor>
        </w:drawing>
      </w:r>
    </w:p>
    <w:p w14:paraId="2EF4F162" w14:textId="27E85AED" w:rsidR="008127BB" w:rsidRDefault="008127BB" w:rsidP="005E1CD1">
      <w:pPr>
        <w:tabs>
          <w:tab w:val="center" w:pos="4680"/>
        </w:tabs>
      </w:pPr>
    </w:p>
    <w:p w14:paraId="2B6810C8" w14:textId="3143FC34" w:rsidR="005E1CD1" w:rsidRDefault="008127BB" w:rsidP="005E1CD1">
      <w:pPr>
        <w:tabs>
          <w:tab w:val="center" w:pos="4680"/>
        </w:tabs>
      </w:pPr>
      <w:r w:rsidRPr="002D2015">
        <w:rPr>
          <w:noProof/>
        </w:rPr>
        <w:lastRenderedPageBreak/>
        <w:drawing>
          <wp:anchor distT="0" distB="0" distL="114300" distR="114300" simplePos="0" relativeHeight="251699200" behindDoc="1" locked="0" layoutInCell="1" allowOverlap="1" wp14:anchorId="0B4FE6E1" wp14:editId="3F5442C7">
            <wp:simplePos x="0" y="0"/>
            <wp:positionH relativeFrom="margin">
              <wp:align>left</wp:align>
            </wp:positionH>
            <wp:positionV relativeFrom="paragraph">
              <wp:posOffset>529590</wp:posOffset>
            </wp:positionV>
            <wp:extent cx="5753735" cy="7440930"/>
            <wp:effectExtent l="0" t="0" r="0" b="7620"/>
            <wp:wrapTight wrapText="bothSides">
              <wp:wrapPolygon edited="0">
                <wp:start x="0" y="0"/>
                <wp:lineTo x="0" y="21567"/>
                <wp:lineTo x="21526" y="21567"/>
                <wp:lineTo x="2152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3735" cy="7440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1CD1">
        <w:t xml:space="preserve">InCLASS Sample Scoresheet </w:t>
      </w:r>
    </w:p>
    <w:p w14:paraId="29A73E9E" w14:textId="489AC30E" w:rsidR="005E1CD1" w:rsidRDefault="005E1CD1" w:rsidP="005E1CD1">
      <w:pPr>
        <w:tabs>
          <w:tab w:val="center" w:pos="4680"/>
        </w:tabs>
      </w:pPr>
      <w:r>
        <w:t xml:space="preserve">Devereux Early Childhood Assessment for Preschoolers (DECA-P2) Sample scoresheet </w:t>
      </w:r>
      <w:r>
        <w:tab/>
      </w:r>
    </w:p>
    <w:p w14:paraId="1019FBC8" w14:textId="7439DC21" w:rsidR="005E1CD1" w:rsidRDefault="002C7E23" w:rsidP="005E1CD1">
      <w:pPr>
        <w:tabs>
          <w:tab w:val="left" w:pos="978"/>
          <w:tab w:val="center" w:pos="4680"/>
        </w:tabs>
      </w:pPr>
      <w:r w:rsidRPr="007B3377">
        <w:rPr>
          <w:noProof/>
        </w:rPr>
        <w:lastRenderedPageBreak/>
        <w:drawing>
          <wp:anchor distT="0" distB="0" distL="114300" distR="114300" simplePos="0" relativeHeight="251623424" behindDoc="1" locked="0" layoutInCell="1" allowOverlap="1" wp14:anchorId="5574DAA3" wp14:editId="6ABEDB57">
            <wp:simplePos x="0" y="0"/>
            <wp:positionH relativeFrom="margin">
              <wp:align>left</wp:align>
            </wp:positionH>
            <wp:positionV relativeFrom="paragraph">
              <wp:posOffset>563952</wp:posOffset>
            </wp:positionV>
            <wp:extent cx="5736822" cy="7419256"/>
            <wp:effectExtent l="0" t="0" r="0" b="0"/>
            <wp:wrapTight wrapText="bothSides">
              <wp:wrapPolygon edited="0">
                <wp:start x="0" y="0"/>
                <wp:lineTo x="0" y="21520"/>
                <wp:lineTo x="21519" y="21520"/>
                <wp:lineTo x="2151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6822" cy="7419256"/>
                    </a:xfrm>
                    <a:prstGeom prst="rect">
                      <a:avLst/>
                    </a:prstGeom>
                    <a:noFill/>
                    <a:ln>
                      <a:noFill/>
                    </a:ln>
                  </pic:spPr>
                </pic:pic>
              </a:graphicData>
            </a:graphic>
            <wp14:sizeRelH relativeFrom="page">
              <wp14:pctWidth>0</wp14:pctWidth>
            </wp14:sizeRelH>
            <wp14:sizeRelV relativeFrom="page">
              <wp14:pctHeight>0</wp14:pctHeight>
            </wp14:sizeRelV>
          </wp:anchor>
        </w:drawing>
      </w:r>
      <w:r w:rsidR="005E1CD1">
        <w:t xml:space="preserve">Sample Leiter-3 Examiner Rating Scale </w:t>
      </w:r>
    </w:p>
    <w:p w14:paraId="4FDCECF7" w14:textId="77777777" w:rsidR="005E1CD1" w:rsidRDefault="005E1CD1" w:rsidP="005E1CD1">
      <w:pPr>
        <w:tabs>
          <w:tab w:val="left" w:pos="978"/>
          <w:tab w:val="center" w:pos="4680"/>
        </w:tabs>
      </w:pPr>
      <w:r>
        <w:tab/>
      </w:r>
      <w:r>
        <w:tab/>
      </w:r>
      <w:r w:rsidRPr="007B3377">
        <w:rPr>
          <w:noProof/>
        </w:rPr>
        <w:drawing>
          <wp:anchor distT="0" distB="0" distL="114300" distR="114300" simplePos="0" relativeHeight="251622400" behindDoc="1" locked="0" layoutInCell="1" allowOverlap="1" wp14:anchorId="0544CF35" wp14:editId="3BCDE105">
            <wp:simplePos x="0" y="0"/>
            <wp:positionH relativeFrom="column">
              <wp:posOffset>-511810</wp:posOffset>
            </wp:positionH>
            <wp:positionV relativeFrom="paragraph">
              <wp:posOffset>0</wp:posOffset>
            </wp:positionV>
            <wp:extent cx="6732270" cy="87071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732270" cy="870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DDF9F9" w14:textId="77777777" w:rsidR="005E1CD1" w:rsidRPr="008D0E5B" w:rsidRDefault="005E1CD1" w:rsidP="009974B7">
      <w:pPr>
        <w:pStyle w:val="TOCHeading"/>
      </w:pPr>
      <w:r>
        <w:lastRenderedPageBreak/>
        <w:t>A</w:t>
      </w:r>
      <w:r w:rsidRPr="008D0E5B">
        <w:t>ppendix C Projected Time</w:t>
      </w:r>
      <w:r>
        <w:t>l</w:t>
      </w:r>
      <w:r w:rsidRPr="008D0E5B">
        <w:t>ine</w:t>
      </w:r>
      <w:r>
        <w:t xml:space="preserve"> and Possible Journals </w:t>
      </w:r>
    </w:p>
    <w:p w14:paraId="1ACBB973" w14:textId="77777777" w:rsidR="005E1CD1" w:rsidRDefault="005E1CD1" w:rsidP="005E1CD1">
      <w:pPr>
        <w:jc w:val="center"/>
      </w:pPr>
    </w:p>
    <w:tbl>
      <w:tblPr>
        <w:tblW w:w="5000" w:type="pct"/>
        <w:tblLook w:val="04A0" w:firstRow="1" w:lastRow="0" w:firstColumn="1" w:lastColumn="0" w:noHBand="0" w:noVBand="1"/>
      </w:tblPr>
      <w:tblGrid>
        <w:gridCol w:w="2084"/>
        <w:gridCol w:w="7276"/>
      </w:tblGrid>
      <w:tr w:rsidR="005E1CD1" w14:paraId="77FF752C" w14:textId="77777777" w:rsidTr="002C7E23">
        <w:tc>
          <w:tcPr>
            <w:tcW w:w="1113" w:type="pct"/>
            <w:tcBorders>
              <w:top w:val="single" w:sz="4" w:space="0" w:color="auto"/>
              <w:bottom w:val="single" w:sz="4" w:space="0" w:color="auto"/>
            </w:tcBorders>
          </w:tcPr>
          <w:p w14:paraId="1496423A" w14:textId="77777777" w:rsidR="005E1CD1" w:rsidRPr="00636760" w:rsidRDefault="005E1CD1" w:rsidP="008127BB">
            <w:pPr>
              <w:spacing w:line="240" w:lineRule="auto"/>
              <w:contextualSpacing/>
              <w:jc w:val="center"/>
              <w:rPr>
                <w:b/>
                <w:bCs/>
              </w:rPr>
            </w:pPr>
            <w:r>
              <w:rPr>
                <w:b/>
                <w:bCs/>
              </w:rPr>
              <w:t>Month</w:t>
            </w:r>
          </w:p>
        </w:tc>
        <w:tc>
          <w:tcPr>
            <w:tcW w:w="3887" w:type="pct"/>
            <w:tcBorders>
              <w:top w:val="single" w:sz="4" w:space="0" w:color="auto"/>
              <w:bottom w:val="single" w:sz="4" w:space="0" w:color="auto"/>
            </w:tcBorders>
          </w:tcPr>
          <w:p w14:paraId="63776F8E" w14:textId="77777777" w:rsidR="005E1CD1" w:rsidRPr="00636760" w:rsidRDefault="005E1CD1" w:rsidP="008127BB">
            <w:pPr>
              <w:spacing w:line="240" w:lineRule="auto"/>
              <w:contextualSpacing/>
              <w:jc w:val="center"/>
              <w:rPr>
                <w:b/>
                <w:bCs/>
              </w:rPr>
            </w:pPr>
            <w:r>
              <w:rPr>
                <w:b/>
                <w:bCs/>
              </w:rPr>
              <w:t>Task</w:t>
            </w:r>
          </w:p>
        </w:tc>
      </w:tr>
      <w:tr w:rsidR="005E1CD1" w14:paraId="317526CC" w14:textId="77777777" w:rsidTr="002C7E23">
        <w:tc>
          <w:tcPr>
            <w:tcW w:w="1113" w:type="pct"/>
            <w:tcBorders>
              <w:top w:val="single" w:sz="4" w:space="0" w:color="auto"/>
            </w:tcBorders>
          </w:tcPr>
          <w:p w14:paraId="1E3F09FB" w14:textId="77777777" w:rsidR="005E1CD1" w:rsidRPr="00636760" w:rsidRDefault="005E1CD1" w:rsidP="008127BB">
            <w:pPr>
              <w:spacing w:line="240" w:lineRule="auto"/>
              <w:contextualSpacing/>
              <w:rPr>
                <w:b/>
                <w:bCs/>
              </w:rPr>
            </w:pPr>
            <w:r w:rsidRPr="00636760">
              <w:rPr>
                <w:b/>
                <w:bCs/>
              </w:rPr>
              <w:t>October-November</w:t>
            </w:r>
          </w:p>
        </w:tc>
        <w:tc>
          <w:tcPr>
            <w:tcW w:w="3887" w:type="pct"/>
            <w:tcBorders>
              <w:top w:val="single" w:sz="4" w:space="0" w:color="auto"/>
            </w:tcBorders>
          </w:tcPr>
          <w:p w14:paraId="736E925C" w14:textId="77777777" w:rsidR="005E1CD1" w:rsidRPr="00636760" w:rsidRDefault="005E1CD1" w:rsidP="008127BB">
            <w:pPr>
              <w:spacing w:line="240" w:lineRule="auto"/>
              <w:contextualSpacing/>
            </w:pPr>
            <w:r w:rsidRPr="00636760">
              <w:t xml:space="preserve">Work on theoretical article (RQ1) </w:t>
            </w:r>
          </w:p>
          <w:p w14:paraId="73F1CBC1" w14:textId="77777777" w:rsidR="005E1CD1" w:rsidRPr="00636760" w:rsidRDefault="005E1CD1" w:rsidP="008127BB">
            <w:pPr>
              <w:spacing w:line="240" w:lineRule="auto"/>
              <w:contextualSpacing/>
            </w:pPr>
            <w:r w:rsidRPr="00636760">
              <w:t>Read and develop understanding of LPA</w:t>
            </w:r>
          </w:p>
          <w:p w14:paraId="1E22A087" w14:textId="77777777" w:rsidR="005E1CD1" w:rsidRDefault="005E1CD1" w:rsidP="008127BB">
            <w:pPr>
              <w:spacing w:line="240" w:lineRule="auto"/>
              <w:contextualSpacing/>
            </w:pPr>
            <w:r w:rsidRPr="00636760">
              <w:t>Finalize dataset--run descriptive statistics, impute missing data</w:t>
            </w:r>
          </w:p>
        </w:tc>
      </w:tr>
      <w:tr w:rsidR="005E1CD1" w14:paraId="08701FB5" w14:textId="77777777" w:rsidTr="002C7E23">
        <w:tc>
          <w:tcPr>
            <w:tcW w:w="1113" w:type="pct"/>
          </w:tcPr>
          <w:p w14:paraId="765E2C15" w14:textId="77777777" w:rsidR="005E1CD1" w:rsidRPr="00636760" w:rsidRDefault="005E1CD1" w:rsidP="008127BB">
            <w:pPr>
              <w:spacing w:line="240" w:lineRule="auto"/>
              <w:contextualSpacing/>
              <w:rPr>
                <w:b/>
                <w:bCs/>
              </w:rPr>
            </w:pPr>
            <w:r w:rsidRPr="00636760">
              <w:rPr>
                <w:b/>
                <w:bCs/>
              </w:rPr>
              <w:t>December</w:t>
            </w:r>
          </w:p>
        </w:tc>
        <w:tc>
          <w:tcPr>
            <w:tcW w:w="3887" w:type="pct"/>
          </w:tcPr>
          <w:p w14:paraId="15CE28E1" w14:textId="77777777" w:rsidR="005E1CD1" w:rsidRDefault="005E1CD1" w:rsidP="008127BB">
            <w:pPr>
              <w:spacing w:line="240" w:lineRule="auto"/>
              <w:contextualSpacing/>
            </w:pPr>
            <w:r w:rsidRPr="008D0E5B">
              <w:t>Analyze data for article 2 and 3</w:t>
            </w:r>
          </w:p>
          <w:p w14:paraId="2102EDF9" w14:textId="77777777" w:rsidR="005E1CD1" w:rsidRDefault="005E1CD1" w:rsidP="008127BB">
            <w:pPr>
              <w:spacing w:line="240" w:lineRule="auto"/>
              <w:contextualSpacing/>
            </w:pPr>
            <w:r>
              <w:t xml:space="preserve">Create tables for articles </w:t>
            </w:r>
          </w:p>
        </w:tc>
      </w:tr>
      <w:tr w:rsidR="005E1CD1" w14:paraId="121F378D" w14:textId="77777777" w:rsidTr="002C7E23">
        <w:tc>
          <w:tcPr>
            <w:tcW w:w="1113" w:type="pct"/>
          </w:tcPr>
          <w:p w14:paraId="507D29B6" w14:textId="77777777" w:rsidR="005E1CD1" w:rsidRPr="00636760" w:rsidRDefault="005E1CD1" w:rsidP="008127BB">
            <w:pPr>
              <w:spacing w:line="240" w:lineRule="auto"/>
              <w:contextualSpacing/>
              <w:rPr>
                <w:b/>
                <w:bCs/>
              </w:rPr>
            </w:pPr>
            <w:r w:rsidRPr="00636760">
              <w:rPr>
                <w:b/>
                <w:bCs/>
              </w:rPr>
              <w:t>January</w:t>
            </w:r>
          </w:p>
        </w:tc>
        <w:tc>
          <w:tcPr>
            <w:tcW w:w="3887" w:type="pct"/>
          </w:tcPr>
          <w:p w14:paraId="6CB6057A" w14:textId="77777777" w:rsidR="005E1CD1" w:rsidRDefault="005E1CD1" w:rsidP="008127BB">
            <w:pPr>
              <w:spacing w:line="240" w:lineRule="auto"/>
              <w:contextualSpacing/>
            </w:pPr>
            <w:r>
              <w:t xml:space="preserve">Write article 2 </w:t>
            </w:r>
          </w:p>
          <w:p w14:paraId="1DFD1BC6" w14:textId="77777777" w:rsidR="005E1CD1" w:rsidRDefault="005E1CD1" w:rsidP="008127BB">
            <w:pPr>
              <w:spacing w:line="240" w:lineRule="auto"/>
              <w:contextualSpacing/>
            </w:pPr>
            <w:proofErr w:type="gramStart"/>
            <w:r>
              <w:t>Make revisions to</w:t>
            </w:r>
            <w:proofErr w:type="gramEnd"/>
            <w:r>
              <w:t xml:space="preserve"> article 1</w:t>
            </w:r>
          </w:p>
        </w:tc>
      </w:tr>
      <w:tr w:rsidR="005E1CD1" w14:paraId="611BAC9F" w14:textId="77777777" w:rsidTr="002C7E23">
        <w:tc>
          <w:tcPr>
            <w:tcW w:w="1113" w:type="pct"/>
          </w:tcPr>
          <w:p w14:paraId="52A2CDAD" w14:textId="77777777" w:rsidR="005E1CD1" w:rsidRPr="00636760" w:rsidRDefault="005E1CD1" w:rsidP="008127BB">
            <w:pPr>
              <w:spacing w:line="240" w:lineRule="auto"/>
              <w:contextualSpacing/>
              <w:rPr>
                <w:b/>
                <w:bCs/>
              </w:rPr>
            </w:pPr>
            <w:r w:rsidRPr="00636760">
              <w:rPr>
                <w:b/>
                <w:bCs/>
              </w:rPr>
              <w:t>February</w:t>
            </w:r>
          </w:p>
        </w:tc>
        <w:tc>
          <w:tcPr>
            <w:tcW w:w="3887" w:type="pct"/>
          </w:tcPr>
          <w:p w14:paraId="4AB93B31" w14:textId="77777777" w:rsidR="005E1CD1" w:rsidRDefault="005E1CD1" w:rsidP="008127BB">
            <w:pPr>
              <w:spacing w:line="240" w:lineRule="auto"/>
              <w:contextualSpacing/>
            </w:pPr>
            <w:proofErr w:type="gramStart"/>
            <w:r>
              <w:t>Make revisions to</w:t>
            </w:r>
            <w:proofErr w:type="gramEnd"/>
            <w:r>
              <w:t xml:space="preserve"> article 2 </w:t>
            </w:r>
          </w:p>
          <w:p w14:paraId="3F209C5F" w14:textId="77777777" w:rsidR="005E1CD1" w:rsidRDefault="005E1CD1" w:rsidP="008127BB">
            <w:pPr>
              <w:spacing w:line="240" w:lineRule="auto"/>
              <w:contextualSpacing/>
            </w:pPr>
            <w:r w:rsidRPr="008D0E5B">
              <w:t>File Graduation application (final day to file application, February 15</w:t>
            </w:r>
            <w:r w:rsidRPr="008D0E5B">
              <w:rPr>
                <w:vertAlign w:val="superscript"/>
              </w:rPr>
              <w:t>th</w:t>
            </w:r>
            <w:r w:rsidRPr="008D0E5B">
              <w:t>)</w:t>
            </w:r>
          </w:p>
        </w:tc>
      </w:tr>
      <w:tr w:rsidR="005E1CD1" w14:paraId="793F1708" w14:textId="77777777" w:rsidTr="002C7E23">
        <w:tc>
          <w:tcPr>
            <w:tcW w:w="1113" w:type="pct"/>
          </w:tcPr>
          <w:p w14:paraId="7DBA2DDE" w14:textId="77777777" w:rsidR="005E1CD1" w:rsidRPr="00636760" w:rsidRDefault="005E1CD1" w:rsidP="008127BB">
            <w:pPr>
              <w:spacing w:line="240" w:lineRule="auto"/>
              <w:contextualSpacing/>
              <w:rPr>
                <w:b/>
                <w:bCs/>
              </w:rPr>
            </w:pPr>
            <w:r w:rsidRPr="00636760">
              <w:rPr>
                <w:b/>
                <w:bCs/>
              </w:rPr>
              <w:t xml:space="preserve">March </w:t>
            </w:r>
          </w:p>
        </w:tc>
        <w:tc>
          <w:tcPr>
            <w:tcW w:w="3887" w:type="pct"/>
          </w:tcPr>
          <w:p w14:paraId="6A7EA33E" w14:textId="77777777" w:rsidR="005E1CD1" w:rsidRDefault="005E1CD1" w:rsidP="008127BB">
            <w:pPr>
              <w:spacing w:line="240" w:lineRule="auto"/>
              <w:contextualSpacing/>
            </w:pPr>
            <w:r>
              <w:t>W</w:t>
            </w:r>
            <w:r w:rsidRPr="008D0E5B">
              <w:t>rite article 3</w:t>
            </w:r>
          </w:p>
          <w:p w14:paraId="17497CA2" w14:textId="77777777" w:rsidR="005E1CD1" w:rsidRDefault="005E1CD1" w:rsidP="008127BB">
            <w:pPr>
              <w:spacing w:line="240" w:lineRule="auto"/>
              <w:contextualSpacing/>
            </w:pPr>
            <w:r>
              <w:t>Review article 1 &amp; 2</w:t>
            </w:r>
          </w:p>
        </w:tc>
      </w:tr>
      <w:tr w:rsidR="005E1CD1" w14:paraId="1AD31930" w14:textId="77777777" w:rsidTr="002C7E23">
        <w:tc>
          <w:tcPr>
            <w:tcW w:w="1113" w:type="pct"/>
            <w:tcBorders>
              <w:bottom w:val="single" w:sz="4" w:space="0" w:color="7F7F7F" w:themeColor="text1" w:themeTint="80"/>
            </w:tcBorders>
          </w:tcPr>
          <w:p w14:paraId="0463995A" w14:textId="77777777" w:rsidR="005E1CD1" w:rsidRPr="00636760" w:rsidRDefault="005E1CD1" w:rsidP="008127BB">
            <w:pPr>
              <w:spacing w:line="240" w:lineRule="auto"/>
              <w:contextualSpacing/>
              <w:rPr>
                <w:b/>
                <w:bCs/>
              </w:rPr>
            </w:pPr>
            <w:r w:rsidRPr="00636760">
              <w:rPr>
                <w:b/>
                <w:bCs/>
              </w:rPr>
              <w:t xml:space="preserve">April </w:t>
            </w:r>
          </w:p>
        </w:tc>
        <w:tc>
          <w:tcPr>
            <w:tcW w:w="3887" w:type="pct"/>
            <w:tcBorders>
              <w:bottom w:val="single" w:sz="4" w:space="0" w:color="7F7F7F" w:themeColor="text1" w:themeTint="80"/>
            </w:tcBorders>
          </w:tcPr>
          <w:p w14:paraId="7BFEC684" w14:textId="77777777" w:rsidR="005E1CD1" w:rsidRDefault="005E1CD1" w:rsidP="008127BB">
            <w:pPr>
              <w:spacing w:line="240" w:lineRule="auto"/>
              <w:contextualSpacing/>
            </w:pPr>
            <w:r w:rsidRPr="008D0E5B">
              <w:t>make final revisions for articles 2 &amp; 3</w:t>
            </w:r>
          </w:p>
          <w:p w14:paraId="7812B853" w14:textId="77777777" w:rsidR="005E1CD1" w:rsidRPr="008D0E5B" w:rsidRDefault="005E1CD1" w:rsidP="008127BB">
            <w:pPr>
              <w:spacing w:line="240" w:lineRule="auto"/>
              <w:contextualSpacing/>
            </w:pPr>
            <w:r w:rsidRPr="008D0E5B">
              <w:t>April 17</w:t>
            </w:r>
            <w:r w:rsidRPr="008D0E5B">
              <w:rPr>
                <w:vertAlign w:val="superscript"/>
              </w:rPr>
              <w:t>th</w:t>
            </w:r>
            <w:r w:rsidRPr="008D0E5B">
              <w:t xml:space="preserve">—Submit dissertation to committee </w:t>
            </w:r>
          </w:p>
          <w:p w14:paraId="01364A75" w14:textId="77777777" w:rsidR="005E1CD1" w:rsidRDefault="005E1CD1" w:rsidP="008127BB">
            <w:pPr>
              <w:spacing w:line="240" w:lineRule="auto"/>
              <w:contextualSpacing/>
            </w:pPr>
            <w:r w:rsidRPr="008D0E5B">
              <w:t xml:space="preserve">April 19—final day to request authority for thesis defense </w:t>
            </w:r>
          </w:p>
        </w:tc>
      </w:tr>
      <w:tr w:rsidR="005E1CD1" w14:paraId="791FD77F" w14:textId="77777777" w:rsidTr="002C7E23">
        <w:tc>
          <w:tcPr>
            <w:tcW w:w="1113" w:type="pct"/>
            <w:tcBorders>
              <w:bottom w:val="single" w:sz="4" w:space="0" w:color="auto"/>
            </w:tcBorders>
          </w:tcPr>
          <w:p w14:paraId="2F7A0023" w14:textId="77777777" w:rsidR="005E1CD1" w:rsidRPr="00636760" w:rsidRDefault="005E1CD1" w:rsidP="008127BB">
            <w:pPr>
              <w:spacing w:line="240" w:lineRule="auto"/>
              <w:contextualSpacing/>
              <w:rPr>
                <w:b/>
                <w:bCs/>
              </w:rPr>
            </w:pPr>
            <w:r w:rsidRPr="00636760">
              <w:rPr>
                <w:b/>
                <w:bCs/>
              </w:rPr>
              <w:t xml:space="preserve">May </w:t>
            </w:r>
          </w:p>
        </w:tc>
        <w:tc>
          <w:tcPr>
            <w:tcW w:w="3887" w:type="pct"/>
            <w:tcBorders>
              <w:bottom w:val="single" w:sz="4" w:space="0" w:color="auto"/>
            </w:tcBorders>
          </w:tcPr>
          <w:p w14:paraId="7663F872" w14:textId="77777777" w:rsidR="005E1CD1" w:rsidRPr="008D0E5B" w:rsidRDefault="005E1CD1" w:rsidP="008127BB">
            <w:pPr>
              <w:spacing w:line="240" w:lineRule="auto"/>
              <w:contextualSpacing/>
            </w:pPr>
            <w:r w:rsidRPr="008D0E5B">
              <w:t>May 1</w:t>
            </w:r>
            <w:r w:rsidRPr="008D0E5B">
              <w:rPr>
                <w:vertAlign w:val="superscript"/>
              </w:rPr>
              <w:t>st</w:t>
            </w:r>
            <w:r w:rsidRPr="008D0E5B">
              <w:t>—defend dissertation (May 2</w:t>
            </w:r>
            <w:r w:rsidRPr="008D0E5B">
              <w:rPr>
                <w:vertAlign w:val="superscript"/>
              </w:rPr>
              <w:t>nd</w:t>
            </w:r>
            <w:r w:rsidRPr="008D0E5B">
              <w:t xml:space="preserve">—Final day for dissertation defense) </w:t>
            </w:r>
          </w:p>
          <w:p w14:paraId="743F18AC" w14:textId="77777777" w:rsidR="005E1CD1" w:rsidRPr="008D0E5B" w:rsidRDefault="005E1CD1" w:rsidP="008127BB">
            <w:pPr>
              <w:spacing w:line="240" w:lineRule="auto"/>
              <w:contextualSpacing/>
            </w:pPr>
            <w:r w:rsidRPr="008D0E5B">
              <w:t>May 10</w:t>
            </w:r>
            <w:r w:rsidRPr="008D0E5B">
              <w:rPr>
                <w:vertAlign w:val="superscript"/>
              </w:rPr>
              <w:t>th</w:t>
            </w:r>
            <w:r w:rsidRPr="008D0E5B">
              <w:t xml:space="preserve">—Final day to submit dissertation to SHAREOK </w:t>
            </w:r>
          </w:p>
          <w:p w14:paraId="33A26C41" w14:textId="77777777" w:rsidR="005E1CD1" w:rsidRDefault="005E1CD1" w:rsidP="008127BB">
            <w:pPr>
              <w:spacing w:line="240" w:lineRule="auto"/>
              <w:contextualSpacing/>
            </w:pPr>
          </w:p>
        </w:tc>
      </w:tr>
    </w:tbl>
    <w:p w14:paraId="3872DA88" w14:textId="0197A2C7" w:rsidR="008127BB" w:rsidRDefault="005E1CD1" w:rsidP="008127BB">
      <w:r w:rsidRPr="008D0E5B">
        <w:tab/>
      </w:r>
      <w:r w:rsidRPr="008D0E5B">
        <w:tab/>
      </w:r>
    </w:p>
    <w:p w14:paraId="39548D0C" w14:textId="57321C41" w:rsidR="005E1CD1" w:rsidRPr="008D0E5B" w:rsidRDefault="005E1CD1" w:rsidP="005E1CD1">
      <w:pPr>
        <w:jc w:val="center"/>
      </w:pPr>
      <w:r w:rsidRPr="008D0E5B">
        <w:t xml:space="preserve">Possible Journals </w:t>
      </w:r>
    </w:p>
    <w:p w14:paraId="7BB3E7D0" w14:textId="77777777" w:rsidR="005E1CD1" w:rsidRPr="008D0E5B" w:rsidRDefault="005E1CD1" w:rsidP="005E1CD1">
      <w:r w:rsidRPr="008D0E5B">
        <w:t xml:space="preserve">Early Education and Development </w:t>
      </w:r>
    </w:p>
    <w:p w14:paraId="3FD10A54" w14:textId="77777777" w:rsidR="005E1CD1" w:rsidRPr="008D0E5B" w:rsidRDefault="005E1CD1" w:rsidP="005E1CD1">
      <w:r w:rsidRPr="008D0E5B">
        <w:t xml:space="preserve">Learning and Instruction </w:t>
      </w:r>
    </w:p>
    <w:p w14:paraId="5186046B" w14:textId="77777777" w:rsidR="005E1CD1" w:rsidRPr="008D0E5B" w:rsidRDefault="005E1CD1" w:rsidP="005E1CD1">
      <w:r w:rsidRPr="008D0E5B">
        <w:t xml:space="preserve">Learning Environments Research </w:t>
      </w:r>
    </w:p>
    <w:p w14:paraId="1D6456CA" w14:textId="77777777" w:rsidR="005E1CD1" w:rsidRPr="008D0E5B" w:rsidRDefault="005E1CD1" w:rsidP="005E1CD1">
      <w:r w:rsidRPr="008D0E5B">
        <w:t xml:space="preserve">Current Issues in Education </w:t>
      </w:r>
    </w:p>
    <w:p w14:paraId="2D6235A9" w14:textId="77777777" w:rsidR="005E1CD1" w:rsidRPr="008D0E5B" w:rsidRDefault="005E1CD1" w:rsidP="005E1CD1">
      <w:r w:rsidRPr="008D0E5B">
        <w:t>Journal of Educational Research</w:t>
      </w:r>
    </w:p>
    <w:p w14:paraId="2BB169AA" w14:textId="77777777" w:rsidR="005E1CD1" w:rsidRPr="008D0E5B" w:rsidRDefault="005E1CD1" w:rsidP="005E1CD1">
      <w:r w:rsidRPr="008D0E5B">
        <w:t>Journal of Research in Childhood Education</w:t>
      </w:r>
    </w:p>
    <w:p w14:paraId="502F6D5B" w14:textId="77777777" w:rsidR="005E1CD1" w:rsidRPr="008D0E5B" w:rsidRDefault="005E1CD1" w:rsidP="005E1CD1">
      <w:r w:rsidRPr="008D0E5B">
        <w:t>Child Development Perspectives</w:t>
      </w:r>
    </w:p>
    <w:p w14:paraId="5BB6B953" w14:textId="5D0A730C" w:rsidR="00EF62AA" w:rsidRDefault="005E1CD1" w:rsidP="00A979C0">
      <w:pPr>
        <w:rPr>
          <w:rFonts w:eastAsia="Calibri"/>
          <w:color w:val="auto"/>
        </w:rPr>
      </w:pPr>
      <w:r w:rsidRPr="008D0E5B">
        <w:t xml:space="preserve">Journal of Educational Measurement </w:t>
      </w:r>
      <w:bookmarkEnd w:id="128"/>
    </w:p>
    <w:sectPr w:rsidR="00EF62AA" w:rsidSect="00D86CCC">
      <w:footerReference w:type="default" r:id="rId37"/>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723DE" w14:textId="77777777" w:rsidR="006B341D" w:rsidRDefault="006B341D" w:rsidP="000F5846">
      <w:pPr>
        <w:spacing w:line="240" w:lineRule="auto"/>
      </w:pPr>
      <w:r>
        <w:separator/>
      </w:r>
    </w:p>
    <w:p w14:paraId="2127B366" w14:textId="77777777" w:rsidR="006B341D" w:rsidRDefault="006B341D"/>
  </w:endnote>
  <w:endnote w:type="continuationSeparator" w:id="0">
    <w:p w14:paraId="00D540C5" w14:textId="77777777" w:rsidR="006B341D" w:rsidRDefault="006B341D" w:rsidP="000F5846">
      <w:pPr>
        <w:spacing w:line="240" w:lineRule="auto"/>
      </w:pPr>
      <w:r>
        <w:continuationSeparator/>
      </w:r>
    </w:p>
    <w:p w14:paraId="102282C9" w14:textId="77777777" w:rsidR="006B341D" w:rsidRDefault="006B34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ellural">
    <w:altName w:val="Tellur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19BA1" w14:textId="7C28A926" w:rsidR="00DE2FE4" w:rsidRDefault="00DE2FE4">
    <w:pPr>
      <w:pStyle w:val="Footer"/>
      <w:jc w:val="center"/>
    </w:pPr>
  </w:p>
  <w:p w14:paraId="3C767E91" w14:textId="77777777" w:rsidR="00DE2FE4" w:rsidRDefault="00DE2F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0DEBA" w14:textId="6B7D34D2" w:rsidR="00DE2FE4" w:rsidRDefault="00DE2FE4">
    <w:pPr>
      <w:pStyle w:val="Footer"/>
      <w:jc w:val="center"/>
    </w:pPr>
  </w:p>
  <w:p w14:paraId="5FBED7D3" w14:textId="77777777" w:rsidR="00DE2FE4" w:rsidRDefault="00DE2F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335534"/>
      <w:docPartObj>
        <w:docPartGallery w:val="Page Numbers (Bottom of Page)"/>
        <w:docPartUnique/>
      </w:docPartObj>
    </w:sdtPr>
    <w:sdtEndPr>
      <w:rPr>
        <w:noProof/>
      </w:rPr>
    </w:sdtEndPr>
    <w:sdtContent>
      <w:p w14:paraId="2CFD5C31" w14:textId="735E3C79" w:rsidR="00DE2FE4" w:rsidRDefault="00DE2F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47E922" w14:textId="77777777" w:rsidR="00DE2FE4" w:rsidRDefault="00DE2F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8339085"/>
      <w:docPartObj>
        <w:docPartGallery w:val="Page Numbers (Bottom of Page)"/>
        <w:docPartUnique/>
      </w:docPartObj>
    </w:sdtPr>
    <w:sdtEndPr>
      <w:rPr>
        <w:noProof/>
      </w:rPr>
    </w:sdtEndPr>
    <w:sdtContent>
      <w:p w14:paraId="578F4744" w14:textId="77777777" w:rsidR="00DE2FE4" w:rsidRDefault="00DE2F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ADE979" w14:textId="77777777" w:rsidR="00DE2FE4" w:rsidRDefault="00DE2F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1369986"/>
      <w:docPartObj>
        <w:docPartGallery w:val="Page Numbers (Bottom of Page)"/>
        <w:docPartUnique/>
      </w:docPartObj>
    </w:sdtPr>
    <w:sdtEndPr>
      <w:rPr>
        <w:noProof/>
      </w:rPr>
    </w:sdtEndPr>
    <w:sdtContent>
      <w:p w14:paraId="6EA2E372" w14:textId="68D95913" w:rsidR="00DE2FE4" w:rsidRDefault="00DE2F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65B49C" w14:textId="77777777" w:rsidR="00DE2FE4" w:rsidRDefault="00DE2FE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4096268"/>
      <w:docPartObj>
        <w:docPartGallery w:val="Page Numbers (Bottom of Page)"/>
        <w:docPartUnique/>
      </w:docPartObj>
    </w:sdtPr>
    <w:sdtEndPr>
      <w:rPr>
        <w:noProof/>
      </w:rPr>
    </w:sdtEndPr>
    <w:sdtContent>
      <w:p w14:paraId="6040C178" w14:textId="77777777" w:rsidR="00DE2FE4" w:rsidRDefault="00DE2FE4">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2F4B0FCE" w14:textId="77777777" w:rsidR="00DE2FE4" w:rsidRDefault="00DE2FE4">
    <w:pPr>
      <w:pStyle w:val="Footer"/>
    </w:pPr>
  </w:p>
  <w:p w14:paraId="2E4EE506" w14:textId="77777777" w:rsidR="00DE2FE4" w:rsidRDefault="00DE2F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A0668" w14:textId="77777777" w:rsidR="006B341D" w:rsidRDefault="006B341D" w:rsidP="000F5846">
      <w:pPr>
        <w:spacing w:line="240" w:lineRule="auto"/>
      </w:pPr>
      <w:r>
        <w:separator/>
      </w:r>
    </w:p>
    <w:p w14:paraId="11E4C63C" w14:textId="77777777" w:rsidR="006B341D" w:rsidRDefault="006B341D"/>
  </w:footnote>
  <w:footnote w:type="continuationSeparator" w:id="0">
    <w:p w14:paraId="586AC253" w14:textId="77777777" w:rsidR="006B341D" w:rsidRDefault="006B341D" w:rsidP="000F5846">
      <w:pPr>
        <w:spacing w:line="240" w:lineRule="auto"/>
      </w:pPr>
      <w:r>
        <w:continuationSeparator/>
      </w:r>
    </w:p>
    <w:p w14:paraId="12ADBF80" w14:textId="77777777" w:rsidR="006B341D" w:rsidRDefault="006B34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413D1" w14:textId="51C5A86C" w:rsidR="00DE2FE4" w:rsidRPr="00574FD4" w:rsidRDefault="00DE2FE4">
    <w:pPr>
      <w:pStyle w:val="Header"/>
      <w:rPr>
        <w:rStyle w:val="StyleREFChar"/>
      </w:rPr>
    </w:pPr>
    <w:r>
      <w:tab/>
    </w:r>
    <w:r>
      <w:tab/>
    </w:r>
    <w:r>
      <w:tab/>
    </w:r>
    <w:r>
      <w:tab/>
    </w:r>
    <w:r>
      <w:tab/>
    </w:r>
    <w:r>
      <w:tab/>
    </w:r>
  </w:p>
  <w:p w14:paraId="6F591755" w14:textId="77777777" w:rsidR="00DE2FE4" w:rsidRDefault="00DE2F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84824" w14:textId="77777777" w:rsidR="00DE2FE4" w:rsidRPr="005E1CD1" w:rsidRDefault="00DE2FE4" w:rsidP="005E1CD1">
    <w:pPr>
      <w:pStyle w:val="Header"/>
    </w:pPr>
  </w:p>
  <w:p w14:paraId="26CF4A09" w14:textId="77777777" w:rsidR="00DE2FE4" w:rsidRDefault="00DE2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5FD1F" w14:textId="77777777" w:rsidR="00DE2FE4" w:rsidRPr="00A2383F" w:rsidRDefault="00DE2FE4">
    <w:pPr>
      <w:pStyle w:val="Header"/>
    </w:pPr>
    <w:r>
      <w:tab/>
    </w:r>
    <w:r>
      <w:tab/>
    </w:r>
  </w:p>
  <w:p w14:paraId="7CC3E0CE" w14:textId="77777777" w:rsidR="00DE2FE4" w:rsidRDefault="00DE2FE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E3DC2" w14:textId="77777777" w:rsidR="00DE2FE4" w:rsidRDefault="00DE2F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B5B12" w14:textId="77777777" w:rsidR="00DE2FE4" w:rsidRPr="00A2383F" w:rsidRDefault="00DE2FE4">
    <w:pPr>
      <w:pStyle w:val="Header"/>
    </w:pP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4E1CC" w14:textId="77777777" w:rsidR="00DE2FE4" w:rsidRPr="003C4D2C" w:rsidRDefault="00DE2FE4" w:rsidP="003C4D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E35A1" w14:textId="77777777" w:rsidR="00DE2FE4" w:rsidRPr="00E57231" w:rsidRDefault="00DE2FE4" w:rsidP="00E5723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BFC87" w14:textId="77777777" w:rsidR="00DE2FE4" w:rsidRPr="00A2383F" w:rsidRDefault="00DE2FE4">
    <w:pPr>
      <w:pStyle w:val="Header"/>
    </w:pPr>
    <w:r w:rsidRPr="00557A39">
      <w:t>APPROACHES TO LEARNING</w:t>
    </w:r>
    <w:r>
      <w:tab/>
    </w:r>
    <w:r>
      <w:tab/>
    </w:r>
    <w:r>
      <w:fldChar w:fldCharType="begin"/>
    </w:r>
    <w:r>
      <w:instrText xml:space="preserve"> PAGE  \* Arabic  \* MERGEFORMAT </w:instrText>
    </w:r>
    <w:r>
      <w:fldChar w:fldCharType="separate"/>
    </w:r>
    <w:r>
      <w:t>14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C8219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84044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70A6F6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FA693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93C4A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DD466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3E256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F27E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B690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184F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C2F12"/>
    <w:multiLevelType w:val="hybridMultilevel"/>
    <w:tmpl w:val="26BE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156BFC"/>
    <w:multiLevelType w:val="hybridMultilevel"/>
    <w:tmpl w:val="7370F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8393316"/>
    <w:multiLevelType w:val="hybridMultilevel"/>
    <w:tmpl w:val="0C8A5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CBE0C18"/>
    <w:multiLevelType w:val="hybridMultilevel"/>
    <w:tmpl w:val="CE5C48FA"/>
    <w:lvl w:ilvl="0" w:tplc="FBFA2800">
      <w:start w:val="1"/>
      <w:numFmt w:val="decimal"/>
      <w:lvlText w:val="%1."/>
      <w:lvlJc w:val="left"/>
      <w:pPr>
        <w:ind w:left="720" w:hanging="360"/>
      </w:pPr>
      <w:rPr>
        <w:rFonts w:hint="default"/>
        <w:color w:val="2E2E2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AD3242"/>
    <w:multiLevelType w:val="hybridMultilevel"/>
    <w:tmpl w:val="C3066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B6308A"/>
    <w:multiLevelType w:val="hybridMultilevel"/>
    <w:tmpl w:val="80769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132B6B"/>
    <w:multiLevelType w:val="hybridMultilevel"/>
    <w:tmpl w:val="CDB8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C31A55"/>
    <w:multiLevelType w:val="hybridMultilevel"/>
    <w:tmpl w:val="FFBA3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0054F3"/>
    <w:multiLevelType w:val="hybridMultilevel"/>
    <w:tmpl w:val="53648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234D67"/>
    <w:multiLevelType w:val="hybridMultilevel"/>
    <w:tmpl w:val="4B3E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6C7052"/>
    <w:multiLevelType w:val="hybridMultilevel"/>
    <w:tmpl w:val="372E3FE2"/>
    <w:lvl w:ilvl="0" w:tplc="C45CAA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8736B66"/>
    <w:multiLevelType w:val="hybridMultilevel"/>
    <w:tmpl w:val="CC0A17DC"/>
    <w:lvl w:ilvl="0" w:tplc="04090001">
      <w:start w:val="1"/>
      <w:numFmt w:val="bullet"/>
      <w:lvlText w:val=""/>
      <w:lvlJc w:val="left"/>
      <w:pPr>
        <w:ind w:left="580" w:hanging="360"/>
      </w:pPr>
      <w:rPr>
        <w:rFonts w:ascii="Symbol" w:hAnsi="Symbol" w:hint="default"/>
      </w:rPr>
    </w:lvl>
    <w:lvl w:ilvl="1" w:tplc="04090003">
      <w:start w:val="1"/>
      <w:numFmt w:val="bullet"/>
      <w:lvlText w:val="o"/>
      <w:lvlJc w:val="left"/>
      <w:pPr>
        <w:ind w:left="1300" w:hanging="360"/>
      </w:pPr>
      <w:rPr>
        <w:rFonts w:ascii="Courier New" w:hAnsi="Courier New" w:cs="Times New Roman" w:hint="default"/>
      </w:rPr>
    </w:lvl>
    <w:lvl w:ilvl="2" w:tplc="04090005">
      <w:start w:val="1"/>
      <w:numFmt w:val="bullet"/>
      <w:lvlText w:val=""/>
      <w:lvlJc w:val="left"/>
      <w:pPr>
        <w:ind w:left="2020" w:hanging="360"/>
      </w:pPr>
      <w:rPr>
        <w:rFonts w:ascii="Wingdings" w:hAnsi="Wingdings" w:hint="default"/>
      </w:rPr>
    </w:lvl>
    <w:lvl w:ilvl="3" w:tplc="04090001">
      <w:start w:val="1"/>
      <w:numFmt w:val="bullet"/>
      <w:lvlText w:val=""/>
      <w:lvlJc w:val="left"/>
      <w:pPr>
        <w:ind w:left="2740" w:hanging="360"/>
      </w:pPr>
      <w:rPr>
        <w:rFonts w:ascii="Symbol" w:hAnsi="Symbol" w:hint="default"/>
      </w:rPr>
    </w:lvl>
    <w:lvl w:ilvl="4" w:tplc="04090003">
      <w:start w:val="1"/>
      <w:numFmt w:val="bullet"/>
      <w:lvlText w:val="o"/>
      <w:lvlJc w:val="left"/>
      <w:pPr>
        <w:ind w:left="3460" w:hanging="360"/>
      </w:pPr>
      <w:rPr>
        <w:rFonts w:ascii="Courier New" w:hAnsi="Courier New" w:cs="Times New Roman" w:hint="default"/>
      </w:rPr>
    </w:lvl>
    <w:lvl w:ilvl="5" w:tplc="04090005">
      <w:start w:val="1"/>
      <w:numFmt w:val="bullet"/>
      <w:lvlText w:val=""/>
      <w:lvlJc w:val="left"/>
      <w:pPr>
        <w:ind w:left="4180" w:hanging="360"/>
      </w:pPr>
      <w:rPr>
        <w:rFonts w:ascii="Wingdings" w:hAnsi="Wingdings" w:hint="default"/>
      </w:rPr>
    </w:lvl>
    <w:lvl w:ilvl="6" w:tplc="04090001">
      <w:start w:val="1"/>
      <w:numFmt w:val="bullet"/>
      <w:lvlText w:val=""/>
      <w:lvlJc w:val="left"/>
      <w:pPr>
        <w:ind w:left="4900" w:hanging="360"/>
      </w:pPr>
      <w:rPr>
        <w:rFonts w:ascii="Symbol" w:hAnsi="Symbol" w:hint="default"/>
      </w:rPr>
    </w:lvl>
    <w:lvl w:ilvl="7" w:tplc="04090003">
      <w:start w:val="1"/>
      <w:numFmt w:val="bullet"/>
      <w:lvlText w:val="o"/>
      <w:lvlJc w:val="left"/>
      <w:pPr>
        <w:ind w:left="5620" w:hanging="360"/>
      </w:pPr>
      <w:rPr>
        <w:rFonts w:ascii="Courier New" w:hAnsi="Courier New" w:cs="Times New Roman" w:hint="default"/>
      </w:rPr>
    </w:lvl>
    <w:lvl w:ilvl="8" w:tplc="04090005">
      <w:start w:val="1"/>
      <w:numFmt w:val="bullet"/>
      <w:lvlText w:val=""/>
      <w:lvlJc w:val="left"/>
      <w:pPr>
        <w:ind w:left="6340" w:hanging="360"/>
      </w:pPr>
      <w:rPr>
        <w:rFonts w:ascii="Wingdings" w:hAnsi="Wingdings" w:hint="default"/>
      </w:rPr>
    </w:lvl>
  </w:abstractNum>
  <w:abstractNum w:abstractNumId="22" w15:restartNumberingAfterBreak="0">
    <w:nsid w:val="29747CD5"/>
    <w:multiLevelType w:val="hybridMultilevel"/>
    <w:tmpl w:val="6FC0A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B907669"/>
    <w:multiLevelType w:val="hybridMultilevel"/>
    <w:tmpl w:val="64080136"/>
    <w:lvl w:ilvl="0" w:tplc="26FCF354">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DC87A9D"/>
    <w:multiLevelType w:val="hybridMultilevel"/>
    <w:tmpl w:val="4B80F6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3E51FD7"/>
    <w:multiLevelType w:val="hybridMultilevel"/>
    <w:tmpl w:val="6C80D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BC6031"/>
    <w:multiLevelType w:val="hybridMultilevel"/>
    <w:tmpl w:val="E880F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6A0B09"/>
    <w:multiLevelType w:val="hybridMultilevel"/>
    <w:tmpl w:val="36884D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D5E03CF"/>
    <w:multiLevelType w:val="hybridMultilevel"/>
    <w:tmpl w:val="7EEC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9B3562"/>
    <w:multiLevelType w:val="hybridMultilevel"/>
    <w:tmpl w:val="5040201C"/>
    <w:lvl w:ilvl="0" w:tplc="D48A2F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AF02241"/>
    <w:multiLevelType w:val="hybridMultilevel"/>
    <w:tmpl w:val="DC52F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3E62E0"/>
    <w:multiLevelType w:val="hybridMultilevel"/>
    <w:tmpl w:val="E5440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242089"/>
    <w:multiLevelType w:val="hybridMultilevel"/>
    <w:tmpl w:val="C654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DC56FC"/>
    <w:multiLevelType w:val="hybridMultilevel"/>
    <w:tmpl w:val="A4248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38010C"/>
    <w:multiLevelType w:val="hybridMultilevel"/>
    <w:tmpl w:val="B2FC1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64199D"/>
    <w:multiLevelType w:val="hybridMultilevel"/>
    <w:tmpl w:val="43C8A0A2"/>
    <w:lvl w:ilvl="0" w:tplc="85C65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E10E86"/>
    <w:multiLevelType w:val="hybridMultilevel"/>
    <w:tmpl w:val="7D300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A153C4"/>
    <w:multiLevelType w:val="hybridMultilevel"/>
    <w:tmpl w:val="372E3FE2"/>
    <w:lvl w:ilvl="0" w:tplc="C45CAA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6C425C"/>
    <w:multiLevelType w:val="hybridMultilevel"/>
    <w:tmpl w:val="FB9A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7719DD"/>
    <w:multiLevelType w:val="hybridMultilevel"/>
    <w:tmpl w:val="77C0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9D76A8"/>
    <w:multiLevelType w:val="hybridMultilevel"/>
    <w:tmpl w:val="B4500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A7CEF"/>
    <w:multiLevelType w:val="hybridMultilevel"/>
    <w:tmpl w:val="45C2A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0625AD"/>
    <w:multiLevelType w:val="hybridMultilevel"/>
    <w:tmpl w:val="2868A6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B541D83"/>
    <w:multiLevelType w:val="hybridMultilevel"/>
    <w:tmpl w:val="AB6CE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BE7BF4"/>
    <w:multiLevelType w:val="hybridMultilevel"/>
    <w:tmpl w:val="21701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9"/>
  </w:num>
  <w:num w:numId="4">
    <w:abstractNumId w:val="16"/>
  </w:num>
  <w:num w:numId="5">
    <w:abstractNumId w:val="40"/>
  </w:num>
  <w:num w:numId="6">
    <w:abstractNumId w:val="12"/>
  </w:num>
  <w:num w:numId="7">
    <w:abstractNumId w:val="44"/>
  </w:num>
  <w:num w:numId="8">
    <w:abstractNumId w:val="18"/>
  </w:num>
  <w:num w:numId="9">
    <w:abstractNumId w:val="38"/>
  </w:num>
  <w:num w:numId="10">
    <w:abstractNumId w:val="41"/>
  </w:num>
  <w:num w:numId="11">
    <w:abstractNumId w:val="34"/>
  </w:num>
  <w:num w:numId="12">
    <w:abstractNumId w:val="2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8"/>
  </w:num>
  <w:num w:numId="24">
    <w:abstractNumId w:val="39"/>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5"/>
  </w:num>
  <w:num w:numId="28">
    <w:abstractNumId w:val="27"/>
  </w:num>
  <w:num w:numId="29">
    <w:abstractNumId w:val="14"/>
  </w:num>
  <w:num w:numId="30">
    <w:abstractNumId w:val="36"/>
  </w:num>
  <w:num w:numId="31">
    <w:abstractNumId w:val="30"/>
  </w:num>
  <w:num w:numId="32">
    <w:abstractNumId w:val="17"/>
  </w:num>
  <w:num w:numId="33">
    <w:abstractNumId w:val="26"/>
  </w:num>
  <w:num w:numId="34">
    <w:abstractNumId w:val="23"/>
  </w:num>
  <w:num w:numId="35">
    <w:abstractNumId w:val="20"/>
  </w:num>
  <w:num w:numId="36">
    <w:abstractNumId w:val="37"/>
  </w:num>
  <w:num w:numId="37">
    <w:abstractNumId w:val="13"/>
  </w:num>
  <w:num w:numId="38">
    <w:abstractNumId w:val="24"/>
  </w:num>
  <w:num w:numId="39">
    <w:abstractNumId w:val="22"/>
  </w:num>
  <w:num w:numId="40">
    <w:abstractNumId w:val="11"/>
  </w:num>
  <w:num w:numId="41">
    <w:abstractNumId w:val="29"/>
  </w:num>
  <w:num w:numId="42">
    <w:abstractNumId w:val="42"/>
  </w:num>
  <w:num w:numId="43">
    <w:abstractNumId w:val="33"/>
  </w:num>
  <w:num w:numId="44">
    <w:abstractNumId w:val="32"/>
  </w:num>
  <w:num w:numId="45">
    <w:abstractNumId w:val="31"/>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xNbU0NDa3MDQEcpR0lIJTi4sz8/NACgyNawGy8zZ5LQAAAA=="/>
  </w:docVars>
  <w:rsids>
    <w:rsidRoot w:val="004B32B5"/>
    <w:rsid w:val="00003CAB"/>
    <w:rsid w:val="00005276"/>
    <w:rsid w:val="0000584A"/>
    <w:rsid w:val="00006652"/>
    <w:rsid w:val="00012461"/>
    <w:rsid w:val="00014DB9"/>
    <w:rsid w:val="00024489"/>
    <w:rsid w:val="00031BC4"/>
    <w:rsid w:val="00031DA5"/>
    <w:rsid w:val="00033C58"/>
    <w:rsid w:val="00037CAE"/>
    <w:rsid w:val="0004084C"/>
    <w:rsid w:val="00041D89"/>
    <w:rsid w:val="000429C7"/>
    <w:rsid w:val="00042ED8"/>
    <w:rsid w:val="00043782"/>
    <w:rsid w:val="00045C6A"/>
    <w:rsid w:val="000526F3"/>
    <w:rsid w:val="000551AE"/>
    <w:rsid w:val="00062A3E"/>
    <w:rsid w:val="000659CC"/>
    <w:rsid w:val="000722F2"/>
    <w:rsid w:val="000728F9"/>
    <w:rsid w:val="00076D76"/>
    <w:rsid w:val="000818B5"/>
    <w:rsid w:val="00083920"/>
    <w:rsid w:val="000872B0"/>
    <w:rsid w:val="00091648"/>
    <w:rsid w:val="000970CE"/>
    <w:rsid w:val="000A3734"/>
    <w:rsid w:val="000B1E47"/>
    <w:rsid w:val="000B2677"/>
    <w:rsid w:val="000B26D2"/>
    <w:rsid w:val="000B4B73"/>
    <w:rsid w:val="000B4FF1"/>
    <w:rsid w:val="000B573E"/>
    <w:rsid w:val="000C1543"/>
    <w:rsid w:val="000C6CF8"/>
    <w:rsid w:val="000D58C4"/>
    <w:rsid w:val="000E201B"/>
    <w:rsid w:val="000E510D"/>
    <w:rsid w:val="000E7112"/>
    <w:rsid w:val="000E72A9"/>
    <w:rsid w:val="000E7EB4"/>
    <w:rsid w:val="000F0D8A"/>
    <w:rsid w:val="000F10A4"/>
    <w:rsid w:val="000F12C2"/>
    <w:rsid w:val="000F2876"/>
    <w:rsid w:val="000F3A57"/>
    <w:rsid w:val="000F5846"/>
    <w:rsid w:val="000F7F06"/>
    <w:rsid w:val="00101781"/>
    <w:rsid w:val="00104F4A"/>
    <w:rsid w:val="0010640D"/>
    <w:rsid w:val="001079D8"/>
    <w:rsid w:val="00110301"/>
    <w:rsid w:val="00113B3A"/>
    <w:rsid w:val="001151E3"/>
    <w:rsid w:val="00144FD5"/>
    <w:rsid w:val="001569BB"/>
    <w:rsid w:val="001578DB"/>
    <w:rsid w:val="00161AA7"/>
    <w:rsid w:val="00162292"/>
    <w:rsid w:val="00162EEF"/>
    <w:rsid w:val="00174312"/>
    <w:rsid w:val="0018096C"/>
    <w:rsid w:val="0018333B"/>
    <w:rsid w:val="0018337E"/>
    <w:rsid w:val="001917A8"/>
    <w:rsid w:val="001A0B0D"/>
    <w:rsid w:val="001B072F"/>
    <w:rsid w:val="001B35FE"/>
    <w:rsid w:val="001B7A8F"/>
    <w:rsid w:val="001D5DB1"/>
    <w:rsid w:val="001E04ED"/>
    <w:rsid w:val="001E1282"/>
    <w:rsid w:val="001E351E"/>
    <w:rsid w:val="001E3E94"/>
    <w:rsid w:val="001E4D62"/>
    <w:rsid w:val="001E5990"/>
    <w:rsid w:val="001F4A87"/>
    <w:rsid w:val="001F5C3F"/>
    <w:rsid w:val="001F680D"/>
    <w:rsid w:val="0020201B"/>
    <w:rsid w:val="00202269"/>
    <w:rsid w:val="002032F9"/>
    <w:rsid w:val="002039BE"/>
    <w:rsid w:val="00207A54"/>
    <w:rsid w:val="00212525"/>
    <w:rsid w:val="00216517"/>
    <w:rsid w:val="00224D0B"/>
    <w:rsid w:val="002263D4"/>
    <w:rsid w:val="0022759B"/>
    <w:rsid w:val="00232B4D"/>
    <w:rsid w:val="0024415A"/>
    <w:rsid w:val="0024707B"/>
    <w:rsid w:val="002549BE"/>
    <w:rsid w:val="00254F33"/>
    <w:rsid w:val="0025512C"/>
    <w:rsid w:val="002563E5"/>
    <w:rsid w:val="00266C8C"/>
    <w:rsid w:val="00266FF4"/>
    <w:rsid w:val="002720AE"/>
    <w:rsid w:val="00275487"/>
    <w:rsid w:val="002763B2"/>
    <w:rsid w:val="00276F73"/>
    <w:rsid w:val="0028004F"/>
    <w:rsid w:val="002847B1"/>
    <w:rsid w:val="0029066C"/>
    <w:rsid w:val="00290684"/>
    <w:rsid w:val="00295E8B"/>
    <w:rsid w:val="00297DEF"/>
    <w:rsid w:val="002A5692"/>
    <w:rsid w:val="002A6055"/>
    <w:rsid w:val="002A797D"/>
    <w:rsid w:val="002B341F"/>
    <w:rsid w:val="002C3EF2"/>
    <w:rsid w:val="002C5CC7"/>
    <w:rsid w:val="002C7E23"/>
    <w:rsid w:val="002D0155"/>
    <w:rsid w:val="002D1175"/>
    <w:rsid w:val="002D18FC"/>
    <w:rsid w:val="002D3867"/>
    <w:rsid w:val="002D4385"/>
    <w:rsid w:val="002E2158"/>
    <w:rsid w:val="002E682E"/>
    <w:rsid w:val="002F151D"/>
    <w:rsid w:val="002F204C"/>
    <w:rsid w:val="002F33E8"/>
    <w:rsid w:val="002F4370"/>
    <w:rsid w:val="003024D5"/>
    <w:rsid w:val="00304CCF"/>
    <w:rsid w:val="00315013"/>
    <w:rsid w:val="00321148"/>
    <w:rsid w:val="00322D35"/>
    <w:rsid w:val="00327AAA"/>
    <w:rsid w:val="00332FA4"/>
    <w:rsid w:val="00334006"/>
    <w:rsid w:val="0034529C"/>
    <w:rsid w:val="003453C4"/>
    <w:rsid w:val="0034674C"/>
    <w:rsid w:val="003468D4"/>
    <w:rsid w:val="00346C6F"/>
    <w:rsid w:val="0034792D"/>
    <w:rsid w:val="003501D4"/>
    <w:rsid w:val="00351539"/>
    <w:rsid w:val="003534AC"/>
    <w:rsid w:val="00357D8E"/>
    <w:rsid w:val="00362289"/>
    <w:rsid w:val="003757C3"/>
    <w:rsid w:val="00376362"/>
    <w:rsid w:val="00380B44"/>
    <w:rsid w:val="00380EA4"/>
    <w:rsid w:val="003832A2"/>
    <w:rsid w:val="003851C3"/>
    <w:rsid w:val="00392E50"/>
    <w:rsid w:val="00394315"/>
    <w:rsid w:val="003A17D8"/>
    <w:rsid w:val="003A4394"/>
    <w:rsid w:val="003B1848"/>
    <w:rsid w:val="003B418A"/>
    <w:rsid w:val="003C4D2C"/>
    <w:rsid w:val="003C7671"/>
    <w:rsid w:val="003C7A61"/>
    <w:rsid w:val="003D0BBE"/>
    <w:rsid w:val="003D0F42"/>
    <w:rsid w:val="003D78CE"/>
    <w:rsid w:val="003E105F"/>
    <w:rsid w:val="003E44C4"/>
    <w:rsid w:val="003E4A29"/>
    <w:rsid w:val="003E5346"/>
    <w:rsid w:val="003E7133"/>
    <w:rsid w:val="003E789A"/>
    <w:rsid w:val="003F06CE"/>
    <w:rsid w:val="00406F99"/>
    <w:rsid w:val="00414008"/>
    <w:rsid w:val="004164D7"/>
    <w:rsid w:val="00425DE3"/>
    <w:rsid w:val="00427F69"/>
    <w:rsid w:val="00430D19"/>
    <w:rsid w:val="004325CF"/>
    <w:rsid w:val="004441C7"/>
    <w:rsid w:val="00444DAF"/>
    <w:rsid w:val="00452EEA"/>
    <w:rsid w:val="00453CBB"/>
    <w:rsid w:val="00453F54"/>
    <w:rsid w:val="004553EE"/>
    <w:rsid w:val="00467C45"/>
    <w:rsid w:val="00482BF6"/>
    <w:rsid w:val="00483062"/>
    <w:rsid w:val="00487EEC"/>
    <w:rsid w:val="00491B07"/>
    <w:rsid w:val="00494370"/>
    <w:rsid w:val="004946E9"/>
    <w:rsid w:val="004948CC"/>
    <w:rsid w:val="00497BF4"/>
    <w:rsid w:val="004A057F"/>
    <w:rsid w:val="004A125A"/>
    <w:rsid w:val="004A433F"/>
    <w:rsid w:val="004A586B"/>
    <w:rsid w:val="004B32B5"/>
    <w:rsid w:val="004C2519"/>
    <w:rsid w:val="004C28D5"/>
    <w:rsid w:val="004C44BC"/>
    <w:rsid w:val="004F1166"/>
    <w:rsid w:val="004F11D7"/>
    <w:rsid w:val="004F463A"/>
    <w:rsid w:val="005018CA"/>
    <w:rsid w:val="005045A3"/>
    <w:rsid w:val="0051150A"/>
    <w:rsid w:val="005267A7"/>
    <w:rsid w:val="005350E8"/>
    <w:rsid w:val="00536181"/>
    <w:rsid w:val="005365B7"/>
    <w:rsid w:val="0053673D"/>
    <w:rsid w:val="0053698C"/>
    <w:rsid w:val="00537215"/>
    <w:rsid w:val="00546445"/>
    <w:rsid w:val="005472EB"/>
    <w:rsid w:val="00551762"/>
    <w:rsid w:val="005521D2"/>
    <w:rsid w:val="0055324F"/>
    <w:rsid w:val="00554379"/>
    <w:rsid w:val="0056506B"/>
    <w:rsid w:val="005678AA"/>
    <w:rsid w:val="00573A55"/>
    <w:rsid w:val="00576230"/>
    <w:rsid w:val="005764E5"/>
    <w:rsid w:val="005833DE"/>
    <w:rsid w:val="00584092"/>
    <w:rsid w:val="0058657F"/>
    <w:rsid w:val="0058724C"/>
    <w:rsid w:val="00590913"/>
    <w:rsid w:val="00591007"/>
    <w:rsid w:val="0059150D"/>
    <w:rsid w:val="00592636"/>
    <w:rsid w:val="005A44C2"/>
    <w:rsid w:val="005A78EA"/>
    <w:rsid w:val="005B6B46"/>
    <w:rsid w:val="005B6B64"/>
    <w:rsid w:val="005B7391"/>
    <w:rsid w:val="005B7958"/>
    <w:rsid w:val="005C0C88"/>
    <w:rsid w:val="005C771C"/>
    <w:rsid w:val="005D0F45"/>
    <w:rsid w:val="005D141B"/>
    <w:rsid w:val="005D2EBB"/>
    <w:rsid w:val="005D7190"/>
    <w:rsid w:val="005D7B14"/>
    <w:rsid w:val="005E1BB5"/>
    <w:rsid w:val="005E1CD1"/>
    <w:rsid w:val="005E547F"/>
    <w:rsid w:val="005F15C4"/>
    <w:rsid w:val="005F596E"/>
    <w:rsid w:val="005F61D8"/>
    <w:rsid w:val="006009F0"/>
    <w:rsid w:val="00600DE7"/>
    <w:rsid w:val="006017B5"/>
    <w:rsid w:val="0060190A"/>
    <w:rsid w:val="00614BFF"/>
    <w:rsid w:val="00615770"/>
    <w:rsid w:val="00621EEC"/>
    <w:rsid w:val="00624673"/>
    <w:rsid w:val="006302CC"/>
    <w:rsid w:val="00630563"/>
    <w:rsid w:val="00633049"/>
    <w:rsid w:val="006330DF"/>
    <w:rsid w:val="0064081B"/>
    <w:rsid w:val="00646C6F"/>
    <w:rsid w:val="006506CF"/>
    <w:rsid w:val="006512CA"/>
    <w:rsid w:val="0065493E"/>
    <w:rsid w:val="0066040A"/>
    <w:rsid w:val="00675541"/>
    <w:rsid w:val="00676207"/>
    <w:rsid w:val="00676F2D"/>
    <w:rsid w:val="006778C4"/>
    <w:rsid w:val="0068551B"/>
    <w:rsid w:val="006963DC"/>
    <w:rsid w:val="006A7C81"/>
    <w:rsid w:val="006B341D"/>
    <w:rsid w:val="006B579A"/>
    <w:rsid w:val="006B6F9F"/>
    <w:rsid w:val="006C1857"/>
    <w:rsid w:val="006C33CC"/>
    <w:rsid w:val="006C3E2A"/>
    <w:rsid w:val="006C5E41"/>
    <w:rsid w:val="006C77FE"/>
    <w:rsid w:val="006D1F76"/>
    <w:rsid w:val="006D3E96"/>
    <w:rsid w:val="006D4E41"/>
    <w:rsid w:val="006D668A"/>
    <w:rsid w:val="006D714D"/>
    <w:rsid w:val="006E5125"/>
    <w:rsid w:val="006E6E6A"/>
    <w:rsid w:val="006F05C8"/>
    <w:rsid w:val="006F1638"/>
    <w:rsid w:val="006F1ED9"/>
    <w:rsid w:val="006F345C"/>
    <w:rsid w:val="006F66C6"/>
    <w:rsid w:val="007007CE"/>
    <w:rsid w:val="007023D4"/>
    <w:rsid w:val="0070741A"/>
    <w:rsid w:val="007101BA"/>
    <w:rsid w:val="007159CE"/>
    <w:rsid w:val="00725C18"/>
    <w:rsid w:val="0073047D"/>
    <w:rsid w:val="00734A24"/>
    <w:rsid w:val="00741D03"/>
    <w:rsid w:val="00745F42"/>
    <w:rsid w:val="00750A36"/>
    <w:rsid w:val="00752820"/>
    <w:rsid w:val="00753611"/>
    <w:rsid w:val="00753D7B"/>
    <w:rsid w:val="007561E9"/>
    <w:rsid w:val="00760A8C"/>
    <w:rsid w:val="00763CAC"/>
    <w:rsid w:val="00766044"/>
    <w:rsid w:val="00770311"/>
    <w:rsid w:val="00773F5A"/>
    <w:rsid w:val="007740A5"/>
    <w:rsid w:val="00774CB2"/>
    <w:rsid w:val="00775284"/>
    <w:rsid w:val="007763A2"/>
    <w:rsid w:val="00780B23"/>
    <w:rsid w:val="00781E57"/>
    <w:rsid w:val="00781EE0"/>
    <w:rsid w:val="007832C4"/>
    <w:rsid w:val="007874D0"/>
    <w:rsid w:val="007A009A"/>
    <w:rsid w:val="007A1107"/>
    <w:rsid w:val="007A2661"/>
    <w:rsid w:val="007A5A24"/>
    <w:rsid w:val="007A61D4"/>
    <w:rsid w:val="007B6655"/>
    <w:rsid w:val="007C018A"/>
    <w:rsid w:val="007C1CBE"/>
    <w:rsid w:val="007C73E4"/>
    <w:rsid w:val="007C7BEF"/>
    <w:rsid w:val="007D03B7"/>
    <w:rsid w:val="007D716B"/>
    <w:rsid w:val="007E06A3"/>
    <w:rsid w:val="007E2014"/>
    <w:rsid w:val="007E43A7"/>
    <w:rsid w:val="007E57E6"/>
    <w:rsid w:val="007E60B2"/>
    <w:rsid w:val="007F27FF"/>
    <w:rsid w:val="007F48D6"/>
    <w:rsid w:val="00803046"/>
    <w:rsid w:val="00804751"/>
    <w:rsid w:val="008127BB"/>
    <w:rsid w:val="0081334F"/>
    <w:rsid w:val="00814C51"/>
    <w:rsid w:val="00820C0B"/>
    <w:rsid w:val="00824577"/>
    <w:rsid w:val="0082609C"/>
    <w:rsid w:val="00851E65"/>
    <w:rsid w:val="008526B2"/>
    <w:rsid w:val="00853048"/>
    <w:rsid w:val="0085520F"/>
    <w:rsid w:val="0085553B"/>
    <w:rsid w:val="008576F1"/>
    <w:rsid w:val="00857B57"/>
    <w:rsid w:val="00857FE6"/>
    <w:rsid w:val="008630B8"/>
    <w:rsid w:val="00866E93"/>
    <w:rsid w:val="008707B4"/>
    <w:rsid w:val="00871469"/>
    <w:rsid w:val="0087183B"/>
    <w:rsid w:val="008803FC"/>
    <w:rsid w:val="00887322"/>
    <w:rsid w:val="00890ADC"/>
    <w:rsid w:val="00890B07"/>
    <w:rsid w:val="00890D12"/>
    <w:rsid w:val="00892F89"/>
    <w:rsid w:val="008A0121"/>
    <w:rsid w:val="008A3951"/>
    <w:rsid w:val="008A4491"/>
    <w:rsid w:val="008A5E0F"/>
    <w:rsid w:val="008B3A08"/>
    <w:rsid w:val="008B3B54"/>
    <w:rsid w:val="008B4B61"/>
    <w:rsid w:val="008B73CB"/>
    <w:rsid w:val="008B7CD2"/>
    <w:rsid w:val="008C35D2"/>
    <w:rsid w:val="008C5B31"/>
    <w:rsid w:val="008C758B"/>
    <w:rsid w:val="008C7F5B"/>
    <w:rsid w:val="008D1CB4"/>
    <w:rsid w:val="008D1DE4"/>
    <w:rsid w:val="008D29F2"/>
    <w:rsid w:val="008D3913"/>
    <w:rsid w:val="008D4CA4"/>
    <w:rsid w:val="008D7857"/>
    <w:rsid w:val="008E46B9"/>
    <w:rsid w:val="008E72FB"/>
    <w:rsid w:val="008E7EC3"/>
    <w:rsid w:val="008F0D31"/>
    <w:rsid w:val="008F7A5A"/>
    <w:rsid w:val="008F7DFA"/>
    <w:rsid w:val="00901CB2"/>
    <w:rsid w:val="00903CE8"/>
    <w:rsid w:val="009115F0"/>
    <w:rsid w:val="00912FFC"/>
    <w:rsid w:val="009156A7"/>
    <w:rsid w:val="009206A9"/>
    <w:rsid w:val="00920C9C"/>
    <w:rsid w:val="009406F5"/>
    <w:rsid w:val="00942262"/>
    <w:rsid w:val="009529AE"/>
    <w:rsid w:val="00953BE8"/>
    <w:rsid w:val="00954145"/>
    <w:rsid w:val="0096546F"/>
    <w:rsid w:val="00965A41"/>
    <w:rsid w:val="00967939"/>
    <w:rsid w:val="009807CE"/>
    <w:rsid w:val="009814A4"/>
    <w:rsid w:val="00992B9F"/>
    <w:rsid w:val="009939DA"/>
    <w:rsid w:val="009974B7"/>
    <w:rsid w:val="00997CCE"/>
    <w:rsid w:val="009A67E6"/>
    <w:rsid w:val="009A6864"/>
    <w:rsid w:val="009A698F"/>
    <w:rsid w:val="009A7734"/>
    <w:rsid w:val="009B0AA5"/>
    <w:rsid w:val="009B49F0"/>
    <w:rsid w:val="009B665E"/>
    <w:rsid w:val="009C0252"/>
    <w:rsid w:val="009C1B83"/>
    <w:rsid w:val="009C1DB5"/>
    <w:rsid w:val="009D02CF"/>
    <w:rsid w:val="009D45CB"/>
    <w:rsid w:val="009D62C7"/>
    <w:rsid w:val="009E3453"/>
    <w:rsid w:val="009E34A4"/>
    <w:rsid w:val="009E36E4"/>
    <w:rsid w:val="009E7083"/>
    <w:rsid w:val="009F429D"/>
    <w:rsid w:val="009F62A8"/>
    <w:rsid w:val="00A036D8"/>
    <w:rsid w:val="00A06DC4"/>
    <w:rsid w:val="00A079A9"/>
    <w:rsid w:val="00A17AB8"/>
    <w:rsid w:val="00A20D2D"/>
    <w:rsid w:val="00A21634"/>
    <w:rsid w:val="00A3111E"/>
    <w:rsid w:val="00A34EC9"/>
    <w:rsid w:val="00A4799D"/>
    <w:rsid w:val="00A546D4"/>
    <w:rsid w:val="00A55582"/>
    <w:rsid w:val="00A6750A"/>
    <w:rsid w:val="00A7166B"/>
    <w:rsid w:val="00A72012"/>
    <w:rsid w:val="00A72169"/>
    <w:rsid w:val="00A73B8F"/>
    <w:rsid w:val="00A9141F"/>
    <w:rsid w:val="00A935E6"/>
    <w:rsid w:val="00A941D5"/>
    <w:rsid w:val="00A949EC"/>
    <w:rsid w:val="00A9628A"/>
    <w:rsid w:val="00A979C0"/>
    <w:rsid w:val="00AA4676"/>
    <w:rsid w:val="00AB02FA"/>
    <w:rsid w:val="00AB3AF0"/>
    <w:rsid w:val="00AC063D"/>
    <w:rsid w:val="00AC0C45"/>
    <w:rsid w:val="00AC2040"/>
    <w:rsid w:val="00AC5002"/>
    <w:rsid w:val="00AC7686"/>
    <w:rsid w:val="00AD02C5"/>
    <w:rsid w:val="00AD034C"/>
    <w:rsid w:val="00AD1FB2"/>
    <w:rsid w:val="00AD30DE"/>
    <w:rsid w:val="00AD6120"/>
    <w:rsid w:val="00AE3871"/>
    <w:rsid w:val="00AE4598"/>
    <w:rsid w:val="00AE68AB"/>
    <w:rsid w:val="00AF0F19"/>
    <w:rsid w:val="00AF6456"/>
    <w:rsid w:val="00AF6B8D"/>
    <w:rsid w:val="00AF7902"/>
    <w:rsid w:val="00B0031A"/>
    <w:rsid w:val="00B07982"/>
    <w:rsid w:val="00B104A0"/>
    <w:rsid w:val="00B114C9"/>
    <w:rsid w:val="00B2783D"/>
    <w:rsid w:val="00B33952"/>
    <w:rsid w:val="00B3544A"/>
    <w:rsid w:val="00B43DF9"/>
    <w:rsid w:val="00B451B7"/>
    <w:rsid w:val="00B45A18"/>
    <w:rsid w:val="00B514F2"/>
    <w:rsid w:val="00B57ABD"/>
    <w:rsid w:val="00B60344"/>
    <w:rsid w:val="00B60C47"/>
    <w:rsid w:val="00B60D99"/>
    <w:rsid w:val="00B66F53"/>
    <w:rsid w:val="00B7065A"/>
    <w:rsid w:val="00B70809"/>
    <w:rsid w:val="00B724AF"/>
    <w:rsid w:val="00B73EDE"/>
    <w:rsid w:val="00B7725A"/>
    <w:rsid w:val="00B81252"/>
    <w:rsid w:val="00B826F2"/>
    <w:rsid w:val="00B82FAD"/>
    <w:rsid w:val="00B841A8"/>
    <w:rsid w:val="00B9076B"/>
    <w:rsid w:val="00B90960"/>
    <w:rsid w:val="00B92D33"/>
    <w:rsid w:val="00BA32C4"/>
    <w:rsid w:val="00BA3A89"/>
    <w:rsid w:val="00BA4D3B"/>
    <w:rsid w:val="00BB2F33"/>
    <w:rsid w:val="00BB55FB"/>
    <w:rsid w:val="00BB7649"/>
    <w:rsid w:val="00BC04AF"/>
    <w:rsid w:val="00BC09A0"/>
    <w:rsid w:val="00BC26BA"/>
    <w:rsid w:val="00BC52DD"/>
    <w:rsid w:val="00BC6CB6"/>
    <w:rsid w:val="00BC7F0E"/>
    <w:rsid w:val="00BD6944"/>
    <w:rsid w:val="00BE0966"/>
    <w:rsid w:val="00BE2686"/>
    <w:rsid w:val="00BE3CF8"/>
    <w:rsid w:val="00BF5C5D"/>
    <w:rsid w:val="00C162CF"/>
    <w:rsid w:val="00C166C9"/>
    <w:rsid w:val="00C1674E"/>
    <w:rsid w:val="00C16B51"/>
    <w:rsid w:val="00C2497B"/>
    <w:rsid w:val="00C2509B"/>
    <w:rsid w:val="00C32F4E"/>
    <w:rsid w:val="00C35D9C"/>
    <w:rsid w:val="00C4078A"/>
    <w:rsid w:val="00C437F9"/>
    <w:rsid w:val="00C54CCC"/>
    <w:rsid w:val="00C62234"/>
    <w:rsid w:val="00C63996"/>
    <w:rsid w:val="00C63AD1"/>
    <w:rsid w:val="00C6677D"/>
    <w:rsid w:val="00C71CD0"/>
    <w:rsid w:val="00C827DE"/>
    <w:rsid w:val="00C86451"/>
    <w:rsid w:val="00C91104"/>
    <w:rsid w:val="00C94647"/>
    <w:rsid w:val="00CA05A0"/>
    <w:rsid w:val="00CA2872"/>
    <w:rsid w:val="00CA2D03"/>
    <w:rsid w:val="00CA4BD3"/>
    <w:rsid w:val="00CC0A67"/>
    <w:rsid w:val="00CC22B9"/>
    <w:rsid w:val="00CC415B"/>
    <w:rsid w:val="00CC5FAB"/>
    <w:rsid w:val="00CC6470"/>
    <w:rsid w:val="00CE06B2"/>
    <w:rsid w:val="00CE2686"/>
    <w:rsid w:val="00CE4F0D"/>
    <w:rsid w:val="00CE62E3"/>
    <w:rsid w:val="00CF37E4"/>
    <w:rsid w:val="00CF4E54"/>
    <w:rsid w:val="00CF4F3D"/>
    <w:rsid w:val="00D00FBC"/>
    <w:rsid w:val="00D01873"/>
    <w:rsid w:val="00D01C63"/>
    <w:rsid w:val="00D0207D"/>
    <w:rsid w:val="00D1316B"/>
    <w:rsid w:val="00D138C4"/>
    <w:rsid w:val="00D144C4"/>
    <w:rsid w:val="00D15EB0"/>
    <w:rsid w:val="00D1610A"/>
    <w:rsid w:val="00D20518"/>
    <w:rsid w:val="00D22032"/>
    <w:rsid w:val="00D26830"/>
    <w:rsid w:val="00D32D51"/>
    <w:rsid w:val="00D4030D"/>
    <w:rsid w:val="00D41313"/>
    <w:rsid w:val="00D4331B"/>
    <w:rsid w:val="00D4663F"/>
    <w:rsid w:val="00D47937"/>
    <w:rsid w:val="00D53012"/>
    <w:rsid w:val="00D54071"/>
    <w:rsid w:val="00D63040"/>
    <w:rsid w:val="00D6356A"/>
    <w:rsid w:val="00D7121C"/>
    <w:rsid w:val="00D7265C"/>
    <w:rsid w:val="00D737CB"/>
    <w:rsid w:val="00D77FC0"/>
    <w:rsid w:val="00D83970"/>
    <w:rsid w:val="00D86CCC"/>
    <w:rsid w:val="00D872CC"/>
    <w:rsid w:val="00D901D4"/>
    <w:rsid w:val="00DA0EB2"/>
    <w:rsid w:val="00DA3302"/>
    <w:rsid w:val="00DB055B"/>
    <w:rsid w:val="00DB0ED0"/>
    <w:rsid w:val="00DB440B"/>
    <w:rsid w:val="00DB6919"/>
    <w:rsid w:val="00DC489E"/>
    <w:rsid w:val="00DC7104"/>
    <w:rsid w:val="00DD2E33"/>
    <w:rsid w:val="00DD5971"/>
    <w:rsid w:val="00DD663B"/>
    <w:rsid w:val="00DE1E7F"/>
    <w:rsid w:val="00DE2A2E"/>
    <w:rsid w:val="00DE2FE4"/>
    <w:rsid w:val="00DE788A"/>
    <w:rsid w:val="00DF0A24"/>
    <w:rsid w:val="00DF0C0E"/>
    <w:rsid w:val="00DF660C"/>
    <w:rsid w:val="00DF725A"/>
    <w:rsid w:val="00E00D76"/>
    <w:rsid w:val="00E058BC"/>
    <w:rsid w:val="00E11307"/>
    <w:rsid w:val="00E13E2D"/>
    <w:rsid w:val="00E16014"/>
    <w:rsid w:val="00E22283"/>
    <w:rsid w:val="00E226A6"/>
    <w:rsid w:val="00E2382E"/>
    <w:rsid w:val="00E30C25"/>
    <w:rsid w:val="00E31D47"/>
    <w:rsid w:val="00E32703"/>
    <w:rsid w:val="00E33B3D"/>
    <w:rsid w:val="00E35BE6"/>
    <w:rsid w:val="00E37FCD"/>
    <w:rsid w:val="00E41493"/>
    <w:rsid w:val="00E42EFB"/>
    <w:rsid w:val="00E440BC"/>
    <w:rsid w:val="00E4582E"/>
    <w:rsid w:val="00E57231"/>
    <w:rsid w:val="00E6481D"/>
    <w:rsid w:val="00E7128F"/>
    <w:rsid w:val="00E729E6"/>
    <w:rsid w:val="00E7791F"/>
    <w:rsid w:val="00E84859"/>
    <w:rsid w:val="00E84F31"/>
    <w:rsid w:val="00E85C7E"/>
    <w:rsid w:val="00E869A3"/>
    <w:rsid w:val="00E875F6"/>
    <w:rsid w:val="00E909FC"/>
    <w:rsid w:val="00E96446"/>
    <w:rsid w:val="00EA1290"/>
    <w:rsid w:val="00EA1745"/>
    <w:rsid w:val="00EA3D40"/>
    <w:rsid w:val="00EB092E"/>
    <w:rsid w:val="00EB0AAA"/>
    <w:rsid w:val="00EB4B68"/>
    <w:rsid w:val="00EB665F"/>
    <w:rsid w:val="00EC00CB"/>
    <w:rsid w:val="00EC0427"/>
    <w:rsid w:val="00EC2771"/>
    <w:rsid w:val="00EC61C9"/>
    <w:rsid w:val="00EC7621"/>
    <w:rsid w:val="00ED1A0F"/>
    <w:rsid w:val="00ED1F37"/>
    <w:rsid w:val="00ED5CEF"/>
    <w:rsid w:val="00EF0F21"/>
    <w:rsid w:val="00EF1FD1"/>
    <w:rsid w:val="00EF62AA"/>
    <w:rsid w:val="00F0058B"/>
    <w:rsid w:val="00F10206"/>
    <w:rsid w:val="00F11535"/>
    <w:rsid w:val="00F12660"/>
    <w:rsid w:val="00F20EAA"/>
    <w:rsid w:val="00F21B24"/>
    <w:rsid w:val="00F23255"/>
    <w:rsid w:val="00F25335"/>
    <w:rsid w:val="00F2627C"/>
    <w:rsid w:val="00F30083"/>
    <w:rsid w:val="00F315A5"/>
    <w:rsid w:val="00F425F4"/>
    <w:rsid w:val="00F47048"/>
    <w:rsid w:val="00F50AE3"/>
    <w:rsid w:val="00F618BF"/>
    <w:rsid w:val="00F63F94"/>
    <w:rsid w:val="00F653F1"/>
    <w:rsid w:val="00F65E83"/>
    <w:rsid w:val="00F661AD"/>
    <w:rsid w:val="00F77D92"/>
    <w:rsid w:val="00F81C74"/>
    <w:rsid w:val="00F92518"/>
    <w:rsid w:val="00F93066"/>
    <w:rsid w:val="00FA2309"/>
    <w:rsid w:val="00FB27F6"/>
    <w:rsid w:val="00FB3255"/>
    <w:rsid w:val="00FB51DA"/>
    <w:rsid w:val="00FB741C"/>
    <w:rsid w:val="00FC1D08"/>
    <w:rsid w:val="00FC48A1"/>
    <w:rsid w:val="00FC7FA5"/>
    <w:rsid w:val="00FD2795"/>
    <w:rsid w:val="00FD5519"/>
    <w:rsid w:val="00FD6EDA"/>
    <w:rsid w:val="00FE0E33"/>
    <w:rsid w:val="00FF4634"/>
    <w:rsid w:val="00FF5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B8CD5"/>
  <w15:docId w15:val="{E74583DA-F162-4BD0-AFE3-2C5D270D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B7"/>
  </w:style>
  <w:style w:type="paragraph" w:styleId="Heading1">
    <w:name w:val="heading 1"/>
    <w:basedOn w:val="Normal"/>
    <w:next w:val="Normal"/>
    <w:link w:val="Heading1Char"/>
    <w:uiPriority w:val="9"/>
    <w:qFormat/>
    <w:rsid w:val="009974B7"/>
    <w:pPr>
      <w:ind w:firstLine="720"/>
      <w:contextualSpacing/>
      <w:jc w:val="center"/>
      <w:outlineLvl w:val="0"/>
    </w:pPr>
    <w:rPr>
      <w:b/>
    </w:rPr>
  </w:style>
  <w:style w:type="paragraph" w:styleId="Heading2">
    <w:name w:val="heading 2"/>
    <w:basedOn w:val="Normal"/>
    <w:next w:val="Normal"/>
    <w:link w:val="Heading2Char"/>
    <w:uiPriority w:val="9"/>
    <w:unhideWhenUsed/>
    <w:qFormat/>
    <w:rsid w:val="00CC6470"/>
    <w:pPr>
      <w:contextualSpacing/>
      <w:outlineLvl w:val="1"/>
    </w:pPr>
    <w:rPr>
      <w:b/>
      <w:bCs/>
      <w:color w:val="auto"/>
    </w:rPr>
  </w:style>
  <w:style w:type="paragraph" w:styleId="Heading3">
    <w:name w:val="heading 3"/>
    <w:basedOn w:val="Normal"/>
    <w:link w:val="Heading3Char"/>
    <w:autoRedefine/>
    <w:uiPriority w:val="9"/>
    <w:unhideWhenUsed/>
    <w:qFormat/>
    <w:rsid w:val="006009F0"/>
    <w:pPr>
      <w:keepNext/>
      <w:keepLines/>
      <w:spacing w:before="40"/>
      <w:ind w:firstLine="720"/>
      <w:outlineLvl w:val="2"/>
    </w:pPr>
    <w:rPr>
      <w:rFonts w:eastAsiaTheme="majorEastAsia" w:cstheme="majorBidi"/>
      <w:b/>
      <w:iCs/>
      <w:color w:val="auto"/>
    </w:rPr>
  </w:style>
  <w:style w:type="paragraph" w:styleId="Heading4">
    <w:name w:val="heading 4"/>
    <w:basedOn w:val="Normal"/>
    <w:next w:val="Normal"/>
    <w:link w:val="Heading4Char"/>
    <w:autoRedefine/>
    <w:uiPriority w:val="9"/>
    <w:unhideWhenUsed/>
    <w:qFormat/>
    <w:rsid w:val="004C44BC"/>
    <w:pPr>
      <w:ind w:firstLine="720"/>
      <w:contextualSpacing/>
      <w:outlineLvl w:val="3"/>
    </w:pPr>
    <w:rPr>
      <w:b/>
      <w:bCs/>
      <w:i/>
      <w:iCs/>
    </w:rPr>
  </w:style>
  <w:style w:type="paragraph" w:styleId="Heading5">
    <w:name w:val="heading 5"/>
    <w:basedOn w:val="Normal"/>
    <w:next w:val="Normal"/>
    <w:link w:val="Heading5Char"/>
    <w:uiPriority w:val="9"/>
    <w:semiHidden/>
    <w:unhideWhenUsed/>
    <w:qFormat/>
    <w:rsid w:val="00062A3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62A3E"/>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62A3E"/>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62A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2A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4B7"/>
    <w:rPr>
      <w:b/>
    </w:rPr>
  </w:style>
  <w:style w:type="character" w:customStyle="1" w:styleId="Heading2Char">
    <w:name w:val="Heading 2 Char"/>
    <w:basedOn w:val="DefaultParagraphFont"/>
    <w:link w:val="Heading2"/>
    <w:uiPriority w:val="9"/>
    <w:rsid w:val="00CC6470"/>
    <w:rPr>
      <w:b/>
      <w:bCs/>
      <w:color w:val="auto"/>
    </w:rPr>
  </w:style>
  <w:style w:type="character" w:customStyle="1" w:styleId="Heading3Char">
    <w:name w:val="Heading 3 Char"/>
    <w:basedOn w:val="DefaultParagraphFont"/>
    <w:link w:val="Heading3"/>
    <w:uiPriority w:val="9"/>
    <w:rsid w:val="006009F0"/>
    <w:rPr>
      <w:rFonts w:eastAsiaTheme="majorEastAsia" w:cstheme="majorBidi"/>
      <w:b/>
      <w:iCs/>
      <w:color w:val="auto"/>
    </w:rPr>
  </w:style>
  <w:style w:type="character" w:customStyle="1" w:styleId="Heading4Char">
    <w:name w:val="Heading 4 Char"/>
    <w:basedOn w:val="DefaultParagraphFont"/>
    <w:link w:val="Heading4"/>
    <w:uiPriority w:val="9"/>
    <w:rsid w:val="004C44BC"/>
    <w:rPr>
      <w:b/>
      <w:bCs/>
      <w:i/>
      <w:iCs/>
    </w:rPr>
  </w:style>
  <w:style w:type="paragraph" w:styleId="Header">
    <w:name w:val="header"/>
    <w:basedOn w:val="Normal"/>
    <w:link w:val="HeaderChar"/>
    <w:uiPriority w:val="99"/>
    <w:unhideWhenUsed/>
    <w:rsid w:val="000F5846"/>
    <w:pPr>
      <w:tabs>
        <w:tab w:val="center" w:pos="4680"/>
        <w:tab w:val="right" w:pos="9360"/>
      </w:tabs>
      <w:spacing w:line="240" w:lineRule="auto"/>
    </w:pPr>
  </w:style>
  <w:style w:type="character" w:customStyle="1" w:styleId="HeaderChar">
    <w:name w:val="Header Char"/>
    <w:basedOn w:val="DefaultParagraphFont"/>
    <w:link w:val="Header"/>
    <w:uiPriority w:val="99"/>
    <w:rsid w:val="000F5846"/>
  </w:style>
  <w:style w:type="paragraph" w:styleId="Footer">
    <w:name w:val="footer"/>
    <w:basedOn w:val="Normal"/>
    <w:link w:val="FooterChar"/>
    <w:uiPriority w:val="99"/>
    <w:unhideWhenUsed/>
    <w:rsid w:val="000F5846"/>
    <w:pPr>
      <w:tabs>
        <w:tab w:val="center" w:pos="4680"/>
        <w:tab w:val="right" w:pos="9360"/>
      </w:tabs>
      <w:spacing w:line="240" w:lineRule="auto"/>
    </w:pPr>
  </w:style>
  <w:style w:type="character" w:customStyle="1" w:styleId="FooterChar">
    <w:name w:val="Footer Char"/>
    <w:basedOn w:val="DefaultParagraphFont"/>
    <w:link w:val="Footer"/>
    <w:uiPriority w:val="99"/>
    <w:rsid w:val="000F5846"/>
  </w:style>
  <w:style w:type="table" w:customStyle="1" w:styleId="PlainTable21">
    <w:name w:val="Plain Table 21"/>
    <w:basedOn w:val="TableNormal"/>
    <w:uiPriority w:val="42"/>
    <w:rsid w:val="002847B1"/>
    <w:pPr>
      <w:spacing w:line="240" w:lineRule="auto"/>
    </w:pPr>
    <w:rPr>
      <w:color w:val="auto"/>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847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847B1"/>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847B1"/>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42EFB"/>
    <w:pPr>
      <w:spacing w:line="240" w:lineRule="auto"/>
    </w:pPr>
    <w:rPr>
      <w:rFonts w:eastAsia="Calibri"/>
      <w:color w:val="000000"/>
      <w:sz w:val="22"/>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42EFB"/>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42EFB"/>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42EFB"/>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77D9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7D92"/>
    <w:pPr>
      <w:ind w:left="720"/>
      <w:contextualSpacing/>
    </w:pPr>
  </w:style>
  <w:style w:type="table" w:customStyle="1" w:styleId="TableGrid6">
    <w:name w:val="Table Grid6"/>
    <w:basedOn w:val="TableNormal"/>
    <w:next w:val="TableGrid"/>
    <w:uiPriority w:val="39"/>
    <w:rsid w:val="000E711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F5C3F"/>
    <w:pPr>
      <w:spacing w:line="259" w:lineRule="auto"/>
      <w:outlineLvl w:val="9"/>
    </w:pPr>
  </w:style>
  <w:style w:type="paragraph" w:styleId="TOC1">
    <w:name w:val="toc 1"/>
    <w:basedOn w:val="Normal"/>
    <w:next w:val="Normal"/>
    <w:link w:val="TOC1Char"/>
    <w:autoRedefine/>
    <w:uiPriority w:val="39"/>
    <w:unhideWhenUsed/>
    <w:rsid w:val="00A949EC"/>
    <w:pPr>
      <w:contextualSpacing/>
    </w:pPr>
  </w:style>
  <w:style w:type="character" w:customStyle="1" w:styleId="TOC1Char">
    <w:name w:val="TOC 1 Char"/>
    <w:basedOn w:val="DefaultParagraphFont"/>
    <w:link w:val="TOC1"/>
    <w:uiPriority w:val="39"/>
    <w:rsid w:val="00A949EC"/>
  </w:style>
  <w:style w:type="character" w:styleId="Hyperlink">
    <w:name w:val="Hyperlink"/>
    <w:basedOn w:val="DefaultParagraphFont"/>
    <w:uiPriority w:val="99"/>
    <w:unhideWhenUsed/>
    <w:rsid w:val="001F5C3F"/>
    <w:rPr>
      <w:color w:val="0563C1" w:themeColor="hyperlink"/>
      <w:u w:val="single"/>
    </w:rPr>
  </w:style>
  <w:style w:type="paragraph" w:styleId="TOC2">
    <w:name w:val="toc 2"/>
    <w:basedOn w:val="Normal"/>
    <w:next w:val="Normal"/>
    <w:autoRedefine/>
    <w:uiPriority w:val="39"/>
    <w:unhideWhenUsed/>
    <w:rsid w:val="00A949EC"/>
    <w:pPr>
      <w:spacing w:after="100"/>
      <w:ind w:left="432"/>
      <w:contextualSpacing/>
    </w:pPr>
    <w:rPr>
      <w:noProof/>
    </w:rPr>
  </w:style>
  <w:style w:type="paragraph" w:styleId="Caption">
    <w:name w:val="caption"/>
    <w:basedOn w:val="Normal"/>
    <w:next w:val="Normal"/>
    <w:uiPriority w:val="35"/>
    <w:unhideWhenUsed/>
    <w:qFormat/>
    <w:rsid w:val="004F463A"/>
    <w:pPr>
      <w:contextualSpacing/>
    </w:pPr>
    <w:rPr>
      <w:iCs/>
      <w:color w:val="auto"/>
      <w:szCs w:val="18"/>
    </w:rPr>
  </w:style>
  <w:style w:type="paragraph" w:styleId="TableofFigures">
    <w:name w:val="table of figures"/>
    <w:basedOn w:val="Normal"/>
    <w:next w:val="Normal"/>
    <w:link w:val="TableofFiguresChar"/>
    <w:autoRedefine/>
    <w:uiPriority w:val="99"/>
    <w:unhideWhenUsed/>
    <w:qFormat/>
    <w:rsid w:val="00B70809"/>
    <w:pPr>
      <w:spacing w:line="360" w:lineRule="auto"/>
      <w:outlineLvl w:val="0"/>
    </w:pPr>
  </w:style>
  <w:style w:type="paragraph" w:styleId="TOC3">
    <w:name w:val="toc 3"/>
    <w:basedOn w:val="Normal"/>
    <w:next w:val="Normal"/>
    <w:autoRedefine/>
    <w:uiPriority w:val="39"/>
    <w:unhideWhenUsed/>
    <w:rsid w:val="00A949EC"/>
    <w:pPr>
      <w:spacing w:after="100"/>
      <w:ind w:left="864"/>
      <w:contextualSpacing/>
    </w:pPr>
    <w:rPr>
      <w:rFonts w:eastAsia="Calibri"/>
      <w:noProof/>
      <w:lang w:bidi="en-US"/>
    </w:rPr>
  </w:style>
  <w:style w:type="paragraph" w:styleId="BalloonText">
    <w:name w:val="Balloon Text"/>
    <w:basedOn w:val="Normal"/>
    <w:link w:val="BalloonTextChar"/>
    <w:uiPriority w:val="99"/>
    <w:semiHidden/>
    <w:unhideWhenUsed/>
    <w:rsid w:val="005E54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47F"/>
    <w:rPr>
      <w:rFonts w:ascii="Tahoma" w:hAnsi="Tahoma" w:cs="Tahoma"/>
      <w:sz w:val="16"/>
      <w:szCs w:val="16"/>
    </w:rPr>
  </w:style>
  <w:style w:type="paragraph" w:customStyle="1" w:styleId="DTLEvel1">
    <w:name w:val="DT LEvel 1"/>
    <w:basedOn w:val="Normal"/>
    <w:link w:val="DTLEvel1Char"/>
    <w:rsid w:val="005045A3"/>
    <w:pPr>
      <w:spacing w:after="160"/>
      <w:jc w:val="center"/>
    </w:pPr>
    <w:rPr>
      <w:rFonts w:cstheme="minorBidi"/>
      <w:b/>
      <w:color w:val="auto"/>
      <w:szCs w:val="22"/>
    </w:rPr>
  </w:style>
  <w:style w:type="character" w:customStyle="1" w:styleId="DTLEvel1Char">
    <w:name w:val="DT LEvel 1 Char"/>
    <w:basedOn w:val="DefaultParagraphFont"/>
    <w:link w:val="DTLEvel1"/>
    <w:rsid w:val="005045A3"/>
    <w:rPr>
      <w:rFonts w:cstheme="minorBidi"/>
      <w:b/>
      <w:color w:val="auto"/>
      <w:szCs w:val="22"/>
    </w:rPr>
  </w:style>
  <w:style w:type="paragraph" w:styleId="Bibliography">
    <w:name w:val="Bibliography"/>
    <w:aliases w:val="Bibliography2"/>
    <w:basedOn w:val="Normal"/>
    <w:next w:val="Normal"/>
    <w:link w:val="BibliographyChar"/>
    <w:uiPriority w:val="37"/>
    <w:unhideWhenUsed/>
    <w:qFormat/>
    <w:rsid w:val="00315013"/>
    <w:pPr>
      <w:spacing w:after="240" w:line="240" w:lineRule="auto"/>
      <w:ind w:left="720" w:hanging="720"/>
    </w:pPr>
    <w:rPr>
      <w:rFonts w:cstheme="minorBidi"/>
      <w:color w:val="auto"/>
      <w:szCs w:val="22"/>
    </w:rPr>
  </w:style>
  <w:style w:type="paragraph" w:styleId="NoSpacing">
    <w:name w:val="No Spacing"/>
    <w:aliases w:val="DT Level 4"/>
    <w:basedOn w:val="Normal"/>
    <w:link w:val="NoSpacingChar"/>
    <w:uiPriority w:val="1"/>
    <w:rsid w:val="0018337E"/>
    <w:pPr>
      <w:spacing w:line="240" w:lineRule="auto"/>
      <w:ind w:left="720"/>
    </w:pPr>
    <w:rPr>
      <w:rFonts w:eastAsia="Batang"/>
      <w:b/>
      <w:color w:val="auto"/>
    </w:rPr>
  </w:style>
  <w:style w:type="character" w:customStyle="1" w:styleId="NoSpacingChar">
    <w:name w:val="No Spacing Char"/>
    <w:aliases w:val="DT Level 4 Char"/>
    <w:basedOn w:val="DefaultParagraphFont"/>
    <w:link w:val="NoSpacing"/>
    <w:uiPriority w:val="1"/>
    <w:rsid w:val="0018337E"/>
    <w:rPr>
      <w:rFonts w:eastAsia="Batang"/>
      <w:b/>
      <w:color w:val="auto"/>
    </w:rPr>
  </w:style>
  <w:style w:type="paragraph" w:styleId="NormalWeb">
    <w:name w:val="Normal (Web)"/>
    <w:basedOn w:val="Normal"/>
    <w:uiPriority w:val="99"/>
    <w:unhideWhenUsed/>
    <w:rsid w:val="005E1CD1"/>
    <w:rPr>
      <w:color w:val="auto"/>
    </w:rPr>
  </w:style>
  <w:style w:type="character" w:customStyle="1" w:styleId="citref">
    <w:name w:val="citref"/>
    <w:basedOn w:val="DefaultParagraphFont"/>
    <w:rsid w:val="005E1CD1"/>
  </w:style>
  <w:style w:type="character" w:styleId="Emphasis">
    <w:name w:val="Emphasis"/>
    <w:basedOn w:val="DefaultParagraphFont"/>
    <w:uiPriority w:val="20"/>
    <w:qFormat/>
    <w:rsid w:val="005E1CD1"/>
    <w:rPr>
      <w:i/>
      <w:iCs/>
    </w:rPr>
  </w:style>
  <w:style w:type="character" w:customStyle="1" w:styleId="citationref">
    <w:name w:val="citationref"/>
    <w:basedOn w:val="DefaultParagraphFont"/>
    <w:rsid w:val="005E1CD1"/>
  </w:style>
  <w:style w:type="paragraph" w:customStyle="1" w:styleId="p">
    <w:name w:val="p"/>
    <w:basedOn w:val="Normal"/>
    <w:rsid w:val="005E1CD1"/>
    <w:pPr>
      <w:spacing w:before="100" w:beforeAutospacing="1" w:after="100" w:afterAutospacing="1" w:line="240" w:lineRule="auto"/>
    </w:pPr>
    <w:rPr>
      <w:rFonts w:eastAsia="Times New Roman"/>
      <w:color w:val="auto"/>
    </w:rPr>
  </w:style>
  <w:style w:type="paragraph" w:styleId="CommentText">
    <w:name w:val="annotation text"/>
    <w:basedOn w:val="Normal"/>
    <w:link w:val="CommentTextChar"/>
    <w:uiPriority w:val="99"/>
    <w:semiHidden/>
    <w:unhideWhenUsed/>
    <w:rsid w:val="005E1CD1"/>
    <w:pPr>
      <w:spacing w:line="240" w:lineRule="auto"/>
    </w:pPr>
    <w:rPr>
      <w:rFonts w:ascii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5E1CD1"/>
    <w:rPr>
      <w:rFonts w:asciiTheme="minorHAnsi" w:hAnsiTheme="minorHAnsi" w:cstheme="minorBidi"/>
      <w:color w:val="auto"/>
      <w:sz w:val="20"/>
      <w:szCs w:val="20"/>
    </w:rPr>
  </w:style>
  <w:style w:type="character" w:customStyle="1" w:styleId="CommentSubjectChar">
    <w:name w:val="Comment Subject Char"/>
    <w:basedOn w:val="CommentTextChar"/>
    <w:link w:val="CommentSubject"/>
    <w:uiPriority w:val="99"/>
    <w:semiHidden/>
    <w:rsid w:val="005E1CD1"/>
    <w:rPr>
      <w:rFonts w:asciiTheme="minorHAnsi" w:hAnsiTheme="minorHAnsi" w:cstheme="minorBidi"/>
      <w:b/>
      <w:bCs/>
      <w:color w:val="auto"/>
      <w:sz w:val="20"/>
      <w:szCs w:val="20"/>
    </w:rPr>
  </w:style>
  <w:style w:type="paragraph" w:styleId="CommentSubject">
    <w:name w:val="annotation subject"/>
    <w:basedOn w:val="CommentText"/>
    <w:next w:val="CommentText"/>
    <w:link w:val="CommentSubjectChar"/>
    <w:uiPriority w:val="99"/>
    <w:semiHidden/>
    <w:unhideWhenUsed/>
    <w:rsid w:val="005E1CD1"/>
    <w:rPr>
      <w:b/>
      <w:bCs/>
    </w:rPr>
  </w:style>
  <w:style w:type="table" w:styleId="PlainTable2">
    <w:name w:val="Plain Table 2"/>
    <w:basedOn w:val="TableNormal"/>
    <w:uiPriority w:val="42"/>
    <w:rsid w:val="005E1CD1"/>
    <w:pPr>
      <w:spacing w:line="240" w:lineRule="auto"/>
    </w:pPr>
    <w:rPr>
      <w:rFonts w:asciiTheme="minorHAnsi" w:hAnsiTheme="minorHAnsi" w:cstheme="minorBidi"/>
      <w:color w:val="auto"/>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TLevel2">
    <w:name w:val="DT Level 2"/>
    <w:basedOn w:val="NoSpacing"/>
    <w:link w:val="DTLevel2Char"/>
    <w:rsid w:val="005045A3"/>
    <w:pPr>
      <w:tabs>
        <w:tab w:val="right" w:leader="dot" w:pos="9350"/>
      </w:tabs>
    </w:pPr>
    <w:rPr>
      <w:b w:val="0"/>
      <w:noProof/>
    </w:rPr>
  </w:style>
  <w:style w:type="character" w:customStyle="1" w:styleId="DTLevel2Char">
    <w:name w:val="DT Level 2 Char"/>
    <w:basedOn w:val="TOC1Char"/>
    <w:link w:val="DTLevel2"/>
    <w:rsid w:val="005045A3"/>
    <w:rPr>
      <w:rFonts w:eastAsia="Batang"/>
      <w:b/>
      <w:noProof/>
      <w:color w:val="auto"/>
    </w:rPr>
  </w:style>
  <w:style w:type="paragraph" w:customStyle="1" w:styleId="DTLevel3">
    <w:name w:val="DT Level 3"/>
    <w:basedOn w:val="Heading3"/>
    <w:rsid w:val="005045A3"/>
    <w:rPr>
      <w:b w:val="0"/>
      <w:i/>
      <w:szCs w:val="28"/>
    </w:rPr>
  </w:style>
  <w:style w:type="numbering" w:customStyle="1" w:styleId="NoList1">
    <w:name w:val="No List1"/>
    <w:next w:val="NoList"/>
    <w:uiPriority w:val="99"/>
    <w:semiHidden/>
    <w:unhideWhenUsed/>
    <w:rsid w:val="0018337E"/>
  </w:style>
  <w:style w:type="paragraph" w:customStyle="1" w:styleId="Nova">
    <w:name w:val="Nova"/>
    <w:basedOn w:val="Normal"/>
    <w:link w:val="NovaChar"/>
    <w:rsid w:val="0018337E"/>
    <w:pPr>
      <w:spacing w:after="160" w:line="259" w:lineRule="auto"/>
      <w:jc w:val="center"/>
    </w:pPr>
    <w:rPr>
      <w:rFonts w:eastAsia="Arial" w:cstheme="minorBidi"/>
      <w:b/>
      <w:bCs/>
      <w:color w:val="auto"/>
      <w:sz w:val="36"/>
      <w:szCs w:val="36"/>
    </w:rPr>
  </w:style>
  <w:style w:type="character" w:customStyle="1" w:styleId="NovaChar">
    <w:name w:val="Nova Char"/>
    <w:basedOn w:val="DefaultParagraphFont"/>
    <w:link w:val="Nova"/>
    <w:rsid w:val="0018337E"/>
    <w:rPr>
      <w:rFonts w:eastAsia="Arial" w:cstheme="minorBidi"/>
      <w:b/>
      <w:bCs/>
      <w:color w:val="auto"/>
      <w:sz w:val="36"/>
      <w:szCs w:val="36"/>
    </w:rPr>
  </w:style>
  <w:style w:type="paragraph" w:styleId="Title">
    <w:name w:val="Title"/>
    <w:aliases w:val="Chapter"/>
    <w:basedOn w:val="Nova"/>
    <w:next w:val="Normal"/>
    <w:link w:val="TitleChar"/>
    <w:uiPriority w:val="10"/>
    <w:qFormat/>
    <w:rsid w:val="0018337E"/>
    <w:pPr>
      <w:spacing w:after="0" w:line="240" w:lineRule="auto"/>
      <w:contextualSpacing/>
    </w:pPr>
    <w:rPr>
      <w:rFonts w:eastAsiaTheme="majorEastAsia" w:cstheme="majorBidi"/>
      <w:i/>
      <w:spacing w:val="-10"/>
      <w:kern w:val="28"/>
      <w:sz w:val="22"/>
      <w:szCs w:val="56"/>
    </w:rPr>
  </w:style>
  <w:style w:type="character" w:customStyle="1" w:styleId="TitleChar">
    <w:name w:val="Title Char"/>
    <w:aliases w:val="Chapter Char"/>
    <w:basedOn w:val="DefaultParagraphFont"/>
    <w:link w:val="Title"/>
    <w:uiPriority w:val="10"/>
    <w:rsid w:val="0018337E"/>
    <w:rPr>
      <w:rFonts w:eastAsiaTheme="majorEastAsia" w:cstheme="majorBidi"/>
      <w:b/>
      <w:bCs/>
      <w:i/>
      <w:color w:val="auto"/>
      <w:spacing w:val="-10"/>
      <w:kern w:val="28"/>
      <w:sz w:val="22"/>
      <w:szCs w:val="56"/>
    </w:rPr>
  </w:style>
  <w:style w:type="character" w:customStyle="1" w:styleId="ref-lnk">
    <w:name w:val="ref-lnk"/>
    <w:basedOn w:val="DefaultParagraphFont"/>
    <w:rsid w:val="0018337E"/>
  </w:style>
  <w:style w:type="character" w:styleId="CommentReference">
    <w:name w:val="annotation reference"/>
    <w:basedOn w:val="DefaultParagraphFont"/>
    <w:uiPriority w:val="99"/>
    <w:semiHidden/>
    <w:unhideWhenUsed/>
    <w:rsid w:val="0018337E"/>
    <w:rPr>
      <w:sz w:val="16"/>
      <w:szCs w:val="16"/>
    </w:rPr>
  </w:style>
  <w:style w:type="paragraph" w:customStyle="1" w:styleId="StyleREF">
    <w:name w:val="StyleREF"/>
    <w:basedOn w:val="Bibliography"/>
    <w:link w:val="StyleREFChar"/>
    <w:rsid w:val="0018337E"/>
  </w:style>
  <w:style w:type="character" w:customStyle="1" w:styleId="BibliographyChar">
    <w:name w:val="Bibliography Char"/>
    <w:aliases w:val="Bibliography2 Char"/>
    <w:basedOn w:val="DefaultParagraphFont"/>
    <w:link w:val="Bibliography"/>
    <w:uiPriority w:val="37"/>
    <w:rsid w:val="00315013"/>
    <w:rPr>
      <w:rFonts w:cstheme="minorBidi"/>
      <w:color w:val="auto"/>
      <w:szCs w:val="22"/>
    </w:rPr>
  </w:style>
  <w:style w:type="character" w:customStyle="1" w:styleId="StyleREFChar">
    <w:name w:val="StyleREF Char"/>
    <w:basedOn w:val="BibliographyChar"/>
    <w:link w:val="StyleREF"/>
    <w:rsid w:val="0018337E"/>
    <w:rPr>
      <w:rFonts w:cstheme="minorBidi"/>
      <w:color w:val="auto"/>
      <w:szCs w:val="22"/>
    </w:rPr>
  </w:style>
  <w:style w:type="table" w:styleId="TableGridLight">
    <w:name w:val="Grid Table Light"/>
    <w:basedOn w:val="TableNormal"/>
    <w:uiPriority w:val="40"/>
    <w:rsid w:val="0018337E"/>
    <w:pPr>
      <w:spacing w:line="240" w:lineRule="auto"/>
    </w:pPr>
    <w:rPr>
      <w:rFonts w:asciiTheme="minorHAnsi" w:eastAsia="Arial" w:hAnsiTheme="minorHAnsi" w:cstheme="minorBidi"/>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7">
    <w:name w:val="Table Grid7"/>
    <w:basedOn w:val="TableNormal"/>
    <w:next w:val="TableGrid"/>
    <w:uiPriority w:val="59"/>
    <w:rsid w:val="0018337E"/>
    <w:pPr>
      <w:spacing w:line="240" w:lineRule="auto"/>
    </w:pPr>
    <w:rPr>
      <w:rFonts w:asciiTheme="minorHAnsi" w:eastAsia="Arial"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
    <w:name w:val="APA"/>
    <w:basedOn w:val="TOC1"/>
    <w:link w:val="APAChar"/>
    <w:autoRedefine/>
    <w:qFormat/>
    <w:rsid w:val="000970CE"/>
    <w:pPr>
      <w:tabs>
        <w:tab w:val="right" w:leader="dot" w:pos="9350"/>
      </w:tabs>
      <w:ind w:left="-90" w:firstLine="810"/>
    </w:pPr>
    <w:rPr>
      <w:noProof/>
      <w:color w:val="auto"/>
    </w:rPr>
  </w:style>
  <w:style w:type="character" w:customStyle="1" w:styleId="APAChar">
    <w:name w:val="APA Char"/>
    <w:basedOn w:val="DefaultParagraphFont"/>
    <w:link w:val="APA"/>
    <w:rsid w:val="000970CE"/>
    <w:rPr>
      <w:noProof/>
      <w:color w:val="auto"/>
    </w:rPr>
  </w:style>
  <w:style w:type="paragraph" w:styleId="TOC4">
    <w:name w:val="toc 4"/>
    <w:basedOn w:val="Normal"/>
    <w:next w:val="Normal"/>
    <w:autoRedefine/>
    <w:uiPriority w:val="39"/>
    <w:unhideWhenUsed/>
    <w:rsid w:val="00322D35"/>
    <w:pPr>
      <w:spacing w:after="100"/>
      <w:ind w:left="1152"/>
      <w:contextualSpacing/>
    </w:pPr>
    <w:rPr>
      <w:rFonts w:cstheme="minorBidi"/>
      <w:color w:val="auto"/>
      <w:szCs w:val="22"/>
    </w:rPr>
  </w:style>
  <w:style w:type="paragraph" w:customStyle="1" w:styleId="Amber">
    <w:name w:val="Amber"/>
    <w:basedOn w:val="Normal"/>
    <w:link w:val="AmberChar"/>
    <w:autoRedefine/>
    <w:rsid w:val="00224D0B"/>
    <w:pPr>
      <w:spacing w:after="160"/>
      <w:contextualSpacing/>
    </w:pPr>
    <w:rPr>
      <w:rFonts w:cstheme="minorBidi"/>
      <w:i/>
      <w:iCs/>
      <w:color w:val="auto"/>
      <w:szCs w:val="22"/>
    </w:rPr>
  </w:style>
  <w:style w:type="character" w:customStyle="1" w:styleId="AmberChar">
    <w:name w:val="Amber Char"/>
    <w:basedOn w:val="DefaultParagraphFont"/>
    <w:link w:val="Amber"/>
    <w:rsid w:val="00224D0B"/>
    <w:rPr>
      <w:rFonts w:cstheme="minorBidi"/>
      <w:i/>
      <w:iCs/>
      <w:color w:val="auto"/>
      <w:szCs w:val="22"/>
    </w:rPr>
  </w:style>
  <w:style w:type="table" w:customStyle="1" w:styleId="TableGridLight1">
    <w:name w:val="Table Grid Light1"/>
    <w:basedOn w:val="TableNormal"/>
    <w:next w:val="TableGridLight"/>
    <w:uiPriority w:val="40"/>
    <w:rsid w:val="003C4D2C"/>
    <w:pPr>
      <w:spacing w:line="240" w:lineRule="auto"/>
    </w:pPr>
    <w:rPr>
      <w:rFonts w:asciiTheme="minorHAnsi" w:hAnsiTheme="minorHAnsi" w:cstheme="minorBidi"/>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3C4D2C"/>
    <w:pPr>
      <w:spacing w:line="240" w:lineRule="auto"/>
    </w:pPr>
    <w:rPr>
      <w:rFonts w:asciiTheme="minorHAnsi" w:hAnsiTheme="minorHAnsi" w:cstheme="minorBidi"/>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5">
    <w:name w:val="toc 5"/>
    <w:basedOn w:val="Normal"/>
    <w:next w:val="Normal"/>
    <w:autoRedefine/>
    <w:uiPriority w:val="39"/>
    <w:unhideWhenUsed/>
    <w:rsid w:val="006C1857"/>
    <w:pPr>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6C1857"/>
    <w:pPr>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C1857"/>
    <w:pPr>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C1857"/>
    <w:pPr>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C1857"/>
    <w:pPr>
      <w:spacing w:after="100" w:line="259" w:lineRule="auto"/>
      <w:ind w:left="1760"/>
    </w:pPr>
    <w:rPr>
      <w:rFonts w:asciiTheme="minorHAnsi" w:eastAsiaTheme="minorEastAsia" w:hAnsiTheme="minorHAnsi" w:cstheme="minorBidi"/>
      <w:color w:val="auto"/>
      <w:sz w:val="22"/>
      <w:szCs w:val="22"/>
    </w:rPr>
  </w:style>
  <w:style w:type="character" w:styleId="UnresolvedMention">
    <w:name w:val="Unresolved Mention"/>
    <w:basedOn w:val="DefaultParagraphFont"/>
    <w:uiPriority w:val="99"/>
    <w:semiHidden/>
    <w:unhideWhenUsed/>
    <w:rsid w:val="006C1857"/>
    <w:rPr>
      <w:color w:val="605E5C"/>
      <w:shd w:val="clear" w:color="auto" w:fill="E1DFDD"/>
    </w:rPr>
  </w:style>
  <w:style w:type="character" w:customStyle="1" w:styleId="TableofFiguresChar">
    <w:name w:val="Table of Figures Char"/>
    <w:basedOn w:val="DefaultParagraphFont"/>
    <w:link w:val="TableofFigures"/>
    <w:uiPriority w:val="99"/>
    <w:rsid w:val="00B70809"/>
  </w:style>
  <w:style w:type="character" w:customStyle="1" w:styleId="Heading5Char">
    <w:name w:val="Heading 5 Char"/>
    <w:basedOn w:val="DefaultParagraphFont"/>
    <w:link w:val="Heading5"/>
    <w:uiPriority w:val="9"/>
    <w:semiHidden/>
    <w:rsid w:val="00062A3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62A3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62A3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62A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62A3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858326">
      <w:bodyDiv w:val="1"/>
      <w:marLeft w:val="0"/>
      <w:marRight w:val="0"/>
      <w:marTop w:val="0"/>
      <w:marBottom w:val="0"/>
      <w:divBdr>
        <w:top w:val="none" w:sz="0" w:space="0" w:color="auto"/>
        <w:left w:val="none" w:sz="0" w:space="0" w:color="auto"/>
        <w:bottom w:val="none" w:sz="0" w:space="0" w:color="auto"/>
        <w:right w:val="none" w:sz="0" w:space="0" w:color="auto"/>
      </w:divBdr>
    </w:div>
    <w:div w:id="10247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glossaryDocument" Target="glossary/document.xml"/><Relationship Id="rId21" Type="http://schemas.openxmlformats.org/officeDocument/2006/relationships/hyperlink" Target="http://www.corestandards.org/Math/Practice/" TargetMode="External"/><Relationship Id="rId34"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chart" Target="charts/chart1.xml"/><Relationship Id="rId33" Type="http://schemas.openxmlformats.org/officeDocument/2006/relationships/image" Target="media/image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gelds.decal.ga.gov/Default.aspx"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image" Target="media/image4.png"/><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image" Target="media/image2.png"/><Relationship Id="rId36"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image" Target="media/image1.jpg"/><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nextgenscience.org/sites/default/files/Appendix%20F%20%20Science%20and%20Engineering%20Practices%20in%20the%20NGSS%20-%20FINAL%20060513.pdf" TargetMode="External"/><Relationship Id="rId27" Type="http://schemas.openxmlformats.org/officeDocument/2006/relationships/chart" Target="charts/chart2.xml"/><Relationship Id="rId30" Type="http://schemas.openxmlformats.org/officeDocument/2006/relationships/image" Target="media/image3.JPG"/><Relationship Id="rId35" Type="http://schemas.openxmlformats.org/officeDocument/2006/relationships/image" Target="media/image7.emf"/><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122679613234884E-2"/>
          <c:y val="3.3006426713072246E-2"/>
          <c:w val="0.68742738407699033"/>
          <c:h val="0.76860834955805579"/>
        </c:manualLayout>
      </c:layout>
      <c:barChart>
        <c:barDir val="col"/>
        <c:grouping val="clustered"/>
        <c:varyColors val="0"/>
        <c:ser>
          <c:idx val="0"/>
          <c:order val="0"/>
          <c:tx>
            <c:strRef>
              <c:f>Sheet1!$B$2</c:f>
              <c:strCache>
                <c:ptCount val="1"/>
                <c:pt idx="0">
                  <c:v>Adaptive</c:v>
                </c:pt>
              </c:strCache>
            </c:strRef>
          </c:tx>
          <c:spPr>
            <a:solidFill>
              <a:schemeClr val="accent1"/>
            </a:solidFill>
            <a:ln>
              <a:noFill/>
            </a:ln>
            <a:effectLst/>
          </c:spPr>
          <c:invertIfNegative val="0"/>
          <c:cat>
            <c:strRef>
              <c:f>Sheet1!$C$1:$G$1</c:f>
              <c:strCache>
                <c:ptCount val="5"/>
                <c:pt idx="0">
                  <c:v>Profile 1
Low AtL</c:v>
                </c:pt>
                <c:pt idx="1">
                  <c:v>Profile 2
Social/
Dependent</c:v>
                </c:pt>
                <c:pt idx="2">
                  <c:v>Profile 3
Middle of the 
Road </c:v>
                </c:pt>
                <c:pt idx="3">
                  <c:v>Profile 4
Low Teacher 
Ratings </c:v>
                </c:pt>
                <c:pt idx="4">
                  <c:v>Profile 5
Positive AtL</c:v>
                </c:pt>
              </c:strCache>
            </c:strRef>
          </c:cat>
          <c:val>
            <c:numRef>
              <c:f>Sheet1!$C$2:$G$2</c:f>
              <c:numCache>
                <c:formatCode>General</c:formatCode>
                <c:ptCount val="5"/>
                <c:pt idx="0">
                  <c:v>2</c:v>
                </c:pt>
                <c:pt idx="1">
                  <c:v>3</c:v>
                </c:pt>
                <c:pt idx="2">
                  <c:v>2</c:v>
                </c:pt>
                <c:pt idx="3">
                  <c:v>1</c:v>
                </c:pt>
                <c:pt idx="4">
                  <c:v>3</c:v>
                </c:pt>
              </c:numCache>
            </c:numRef>
          </c:val>
          <c:extLst>
            <c:ext xmlns:c16="http://schemas.microsoft.com/office/drawing/2014/chart" uri="{C3380CC4-5D6E-409C-BE32-E72D297353CC}">
              <c16:uniqueId val="{00000000-C6D7-4A8D-864F-5C696DF6D5FE}"/>
            </c:ext>
          </c:extLst>
        </c:ser>
        <c:ser>
          <c:idx val="1"/>
          <c:order val="1"/>
          <c:tx>
            <c:strRef>
              <c:f>Sheet1!$B$3</c:f>
              <c:strCache>
                <c:ptCount val="1"/>
                <c:pt idx="0">
                  <c:v>Emotion Management</c:v>
                </c:pt>
              </c:strCache>
            </c:strRef>
          </c:tx>
          <c:spPr>
            <a:solidFill>
              <a:schemeClr val="accent2"/>
            </a:solidFill>
            <a:ln>
              <a:noFill/>
            </a:ln>
            <a:effectLst/>
          </c:spPr>
          <c:invertIfNegative val="0"/>
          <c:cat>
            <c:strRef>
              <c:f>Sheet1!$C$1:$G$1</c:f>
              <c:strCache>
                <c:ptCount val="5"/>
                <c:pt idx="0">
                  <c:v>Profile 1
Low AtL</c:v>
                </c:pt>
                <c:pt idx="1">
                  <c:v>Profile 2
Social/
Dependent</c:v>
                </c:pt>
                <c:pt idx="2">
                  <c:v>Profile 3
Middle of the 
Road </c:v>
                </c:pt>
                <c:pt idx="3">
                  <c:v>Profile 4
Low Teacher 
Ratings </c:v>
                </c:pt>
                <c:pt idx="4">
                  <c:v>Profile 5
Positive AtL</c:v>
                </c:pt>
              </c:strCache>
            </c:strRef>
          </c:cat>
          <c:val>
            <c:numRef>
              <c:f>Sheet1!$C$3:$G$3</c:f>
              <c:numCache>
                <c:formatCode>General</c:formatCode>
                <c:ptCount val="5"/>
                <c:pt idx="0">
                  <c:v>1</c:v>
                </c:pt>
                <c:pt idx="1">
                  <c:v>2</c:v>
                </c:pt>
                <c:pt idx="2">
                  <c:v>2</c:v>
                </c:pt>
                <c:pt idx="3">
                  <c:v>1</c:v>
                </c:pt>
                <c:pt idx="4">
                  <c:v>3</c:v>
                </c:pt>
              </c:numCache>
            </c:numRef>
          </c:val>
          <c:extLst>
            <c:ext xmlns:c16="http://schemas.microsoft.com/office/drawing/2014/chart" uri="{C3380CC4-5D6E-409C-BE32-E72D297353CC}">
              <c16:uniqueId val="{00000001-C6D7-4A8D-864F-5C696DF6D5FE}"/>
            </c:ext>
          </c:extLst>
        </c:ser>
        <c:ser>
          <c:idx val="2"/>
          <c:order val="2"/>
          <c:tx>
            <c:strRef>
              <c:f>Sheet1!$B$4</c:f>
              <c:strCache>
                <c:ptCount val="1"/>
                <c:pt idx="0">
                  <c:v>Initiative</c:v>
                </c:pt>
              </c:strCache>
            </c:strRef>
          </c:tx>
          <c:spPr>
            <a:solidFill>
              <a:schemeClr val="accent3"/>
            </a:solidFill>
            <a:ln>
              <a:noFill/>
            </a:ln>
            <a:effectLst/>
          </c:spPr>
          <c:invertIfNegative val="0"/>
          <c:cat>
            <c:strRef>
              <c:f>Sheet1!$C$1:$G$1</c:f>
              <c:strCache>
                <c:ptCount val="5"/>
                <c:pt idx="0">
                  <c:v>Profile 1
Low AtL</c:v>
                </c:pt>
                <c:pt idx="1">
                  <c:v>Profile 2
Social/
Dependent</c:v>
                </c:pt>
                <c:pt idx="2">
                  <c:v>Profile 3
Middle of the 
Road </c:v>
                </c:pt>
                <c:pt idx="3">
                  <c:v>Profile 4
Low Teacher 
Ratings </c:v>
                </c:pt>
                <c:pt idx="4">
                  <c:v>Profile 5
Positive AtL</c:v>
                </c:pt>
              </c:strCache>
            </c:strRef>
          </c:cat>
          <c:val>
            <c:numRef>
              <c:f>Sheet1!$C$4:$G$4</c:f>
              <c:numCache>
                <c:formatCode>General</c:formatCode>
                <c:ptCount val="5"/>
                <c:pt idx="0">
                  <c:v>1</c:v>
                </c:pt>
                <c:pt idx="1">
                  <c:v>2</c:v>
                </c:pt>
                <c:pt idx="2">
                  <c:v>2</c:v>
                </c:pt>
                <c:pt idx="3">
                  <c:v>1</c:v>
                </c:pt>
                <c:pt idx="4">
                  <c:v>3</c:v>
                </c:pt>
              </c:numCache>
            </c:numRef>
          </c:val>
          <c:extLst>
            <c:ext xmlns:c16="http://schemas.microsoft.com/office/drawing/2014/chart" uri="{C3380CC4-5D6E-409C-BE32-E72D297353CC}">
              <c16:uniqueId val="{00000002-C6D7-4A8D-864F-5C696DF6D5FE}"/>
            </c:ext>
          </c:extLst>
        </c:ser>
        <c:ser>
          <c:idx val="3"/>
          <c:order val="3"/>
          <c:tx>
            <c:strRef>
              <c:f>Sheet1!$B$5</c:f>
              <c:strCache>
                <c:ptCount val="1"/>
                <c:pt idx="0">
                  <c:v>Involvement with Tasks</c:v>
                </c:pt>
              </c:strCache>
            </c:strRef>
          </c:tx>
          <c:spPr>
            <a:solidFill>
              <a:schemeClr val="accent4"/>
            </a:solidFill>
            <a:ln>
              <a:noFill/>
            </a:ln>
            <a:effectLst/>
          </c:spPr>
          <c:invertIfNegative val="0"/>
          <c:cat>
            <c:strRef>
              <c:f>Sheet1!$C$1:$G$1</c:f>
              <c:strCache>
                <c:ptCount val="5"/>
                <c:pt idx="0">
                  <c:v>Profile 1
Low AtL</c:v>
                </c:pt>
                <c:pt idx="1">
                  <c:v>Profile 2
Social/
Dependent</c:v>
                </c:pt>
                <c:pt idx="2">
                  <c:v>Profile 3
Middle of the 
Road </c:v>
                </c:pt>
                <c:pt idx="3">
                  <c:v>Profile 4
Low Teacher 
Ratings </c:v>
                </c:pt>
                <c:pt idx="4">
                  <c:v>Profile 5
Positive AtL</c:v>
                </c:pt>
              </c:strCache>
            </c:strRef>
          </c:cat>
          <c:val>
            <c:numRef>
              <c:f>Sheet1!$C$5:$G$5</c:f>
              <c:numCache>
                <c:formatCode>General</c:formatCode>
                <c:ptCount val="5"/>
                <c:pt idx="0">
                  <c:v>-0.93</c:v>
                </c:pt>
                <c:pt idx="1">
                  <c:v>9.4E-2</c:v>
                </c:pt>
                <c:pt idx="2">
                  <c:v>-0.13</c:v>
                </c:pt>
                <c:pt idx="3">
                  <c:v>-0.47</c:v>
                </c:pt>
                <c:pt idx="4">
                  <c:v>0.45700000000000002</c:v>
                </c:pt>
              </c:numCache>
            </c:numRef>
          </c:val>
          <c:extLst>
            <c:ext xmlns:c16="http://schemas.microsoft.com/office/drawing/2014/chart" uri="{C3380CC4-5D6E-409C-BE32-E72D297353CC}">
              <c16:uniqueId val="{00000003-C6D7-4A8D-864F-5C696DF6D5FE}"/>
            </c:ext>
          </c:extLst>
        </c:ser>
        <c:ser>
          <c:idx val="4"/>
          <c:order val="4"/>
          <c:tx>
            <c:strRef>
              <c:f>Sheet1!$B$6</c:f>
              <c:strCache>
                <c:ptCount val="1"/>
                <c:pt idx="0">
                  <c:v>Independence</c:v>
                </c:pt>
              </c:strCache>
            </c:strRef>
          </c:tx>
          <c:spPr>
            <a:solidFill>
              <a:schemeClr val="accent5"/>
            </a:solidFill>
            <a:ln>
              <a:noFill/>
            </a:ln>
            <a:effectLst/>
          </c:spPr>
          <c:invertIfNegative val="0"/>
          <c:cat>
            <c:strRef>
              <c:f>Sheet1!$C$1:$G$1</c:f>
              <c:strCache>
                <c:ptCount val="5"/>
                <c:pt idx="0">
                  <c:v>Profile 1
Low AtL</c:v>
                </c:pt>
                <c:pt idx="1">
                  <c:v>Profile 2
Social/
Dependent</c:v>
                </c:pt>
                <c:pt idx="2">
                  <c:v>Profile 3
Middle of the 
Road </c:v>
                </c:pt>
                <c:pt idx="3">
                  <c:v>Profile 4
Low Teacher 
Ratings </c:v>
                </c:pt>
                <c:pt idx="4">
                  <c:v>Profile 5
Positive AtL</c:v>
                </c:pt>
              </c:strCache>
            </c:strRef>
          </c:cat>
          <c:val>
            <c:numRef>
              <c:f>Sheet1!$C$6:$G$6</c:f>
              <c:numCache>
                <c:formatCode>General</c:formatCode>
                <c:ptCount val="5"/>
                <c:pt idx="0">
                  <c:v>-0.48</c:v>
                </c:pt>
                <c:pt idx="1">
                  <c:v>-0.46800000000000003</c:v>
                </c:pt>
                <c:pt idx="2">
                  <c:v>-0.17799999999999999</c:v>
                </c:pt>
                <c:pt idx="3">
                  <c:v>-0.39</c:v>
                </c:pt>
                <c:pt idx="4">
                  <c:v>0.56799999999999995</c:v>
                </c:pt>
              </c:numCache>
            </c:numRef>
          </c:val>
          <c:extLst>
            <c:ext xmlns:c16="http://schemas.microsoft.com/office/drawing/2014/chart" uri="{C3380CC4-5D6E-409C-BE32-E72D297353CC}">
              <c16:uniqueId val="{00000004-C6D7-4A8D-864F-5C696DF6D5FE}"/>
            </c:ext>
          </c:extLst>
        </c:ser>
        <c:ser>
          <c:idx val="5"/>
          <c:order val="5"/>
          <c:tx>
            <c:strRef>
              <c:f>Sheet1!$B$7</c:f>
              <c:strCache>
                <c:ptCount val="1"/>
                <c:pt idx="0">
                  <c:v>Attention</c:v>
                </c:pt>
              </c:strCache>
            </c:strRef>
          </c:tx>
          <c:spPr>
            <a:solidFill>
              <a:schemeClr val="accent6"/>
            </a:solidFill>
            <a:ln>
              <a:noFill/>
            </a:ln>
            <a:effectLst/>
          </c:spPr>
          <c:invertIfNegative val="0"/>
          <c:cat>
            <c:strRef>
              <c:f>Sheet1!$C$1:$G$1</c:f>
              <c:strCache>
                <c:ptCount val="5"/>
                <c:pt idx="0">
                  <c:v>Profile 1
Low AtL</c:v>
                </c:pt>
                <c:pt idx="1">
                  <c:v>Profile 2
Social/
Dependent</c:v>
                </c:pt>
                <c:pt idx="2">
                  <c:v>Profile 3
Middle of the 
Road </c:v>
                </c:pt>
                <c:pt idx="3">
                  <c:v>Profile 4
Low Teacher 
Ratings </c:v>
                </c:pt>
                <c:pt idx="4">
                  <c:v>Profile 5
Positive AtL</c:v>
                </c:pt>
              </c:strCache>
            </c:strRef>
          </c:cat>
          <c:val>
            <c:numRef>
              <c:f>Sheet1!$C$7:$G$7</c:f>
              <c:numCache>
                <c:formatCode>General</c:formatCode>
                <c:ptCount val="5"/>
                <c:pt idx="0">
                  <c:v>-2.669</c:v>
                </c:pt>
                <c:pt idx="1">
                  <c:v>-1.4590000000000001</c:v>
                </c:pt>
                <c:pt idx="2">
                  <c:v>0.439</c:v>
                </c:pt>
                <c:pt idx="3">
                  <c:v>0.17599999999999999</c:v>
                </c:pt>
                <c:pt idx="4">
                  <c:v>0.32900000000000001</c:v>
                </c:pt>
              </c:numCache>
            </c:numRef>
          </c:val>
          <c:extLst>
            <c:ext xmlns:c16="http://schemas.microsoft.com/office/drawing/2014/chart" uri="{C3380CC4-5D6E-409C-BE32-E72D297353CC}">
              <c16:uniqueId val="{00000005-C6D7-4A8D-864F-5C696DF6D5FE}"/>
            </c:ext>
          </c:extLst>
        </c:ser>
        <c:dLbls>
          <c:showLegendKey val="0"/>
          <c:showVal val="0"/>
          <c:showCatName val="0"/>
          <c:showSerName val="0"/>
          <c:showPercent val="0"/>
          <c:showBubbleSize val="0"/>
        </c:dLbls>
        <c:gapWidth val="219"/>
        <c:overlap val="-27"/>
        <c:axId val="1449010079"/>
        <c:axId val="1407689311"/>
      </c:barChart>
      <c:catAx>
        <c:axId val="1449010079"/>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689311"/>
        <c:crosses val="autoZero"/>
        <c:auto val="1"/>
        <c:lblAlgn val="ctr"/>
        <c:lblOffset val="100"/>
        <c:noMultiLvlLbl val="0"/>
      </c:catAx>
      <c:valAx>
        <c:axId val="1407689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010079"/>
        <c:crosses val="autoZero"/>
        <c:crossBetween val="between"/>
      </c:valAx>
      <c:spPr>
        <a:noFill/>
        <a:ln>
          <a:noFill/>
        </a:ln>
        <a:effectLst/>
      </c:spPr>
    </c:plotArea>
    <c:legend>
      <c:legendPos val="r"/>
      <c:layout>
        <c:manualLayout>
          <c:xMode val="edge"/>
          <c:yMode val="edge"/>
          <c:x val="0.71705014075313123"/>
          <c:y val="0.12507314047450849"/>
          <c:w val="0.28294991251093615"/>
          <c:h val="0.468753280839895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15317876932048"/>
          <c:y val="5.3958255218097731E-2"/>
          <c:w val="0.69235874161563138"/>
          <c:h val="0.8091666666666667"/>
        </c:manualLayout>
      </c:layout>
      <c:barChart>
        <c:barDir val="col"/>
        <c:grouping val="clustered"/>
        <c:varyColors val="0"/>
        <c:ser>
          <c:idx val="1"/>
          <c:order val="1"/>
          <c:tx>
            <c:strRef>
              <c:f>Sheet1!$C$1</c:f>
              <c:strCache>
                <c:ptCount val="1"/>
                <c:pt idx="0">
                  <c:v>Digit Span</c:v>
                </c:pt>
              </c:strCache>
            </c:strRef>
          </c:tx>
          <c:spPr>
            <a:solidFill>
              <a:schemeClr val="accent5"/>
            </a:solidFill>
            <a:ln>
              <a:noFill/>
            </a:ln>
            <a:effectLst/>
          </c:spPr>
          <c:invertIfNegative val="0"/>
          <c:cat>
            <c:strRef>
              <c:f>Sheet1!$A$2:$A$6</c:f>
              <c:strCache>
                <c:ptCount val="5"/>
                <c:pt idx="0">
                  <c:v>Profile 1</c:v>
                </c:pt>
                <c:pt idx="1">
                  <c:v>Profile 2</c:v>
                </c:pt>
                <c:pt idx="2">
                  <c:v>Profile 3</c:v>
                </c:pt>
                <c:pt idx="3">
                  <c:v>Profile 4</c:v>
                </c:pt>
                <c:pt idx="4">
                  <c:v>Profile 5</c:v>
                </c:pt>
              </c:strCache>
            </c:strRef>
          </c:cat>
          <c:val>
            <c:numRef>
              <c:f>Sheet1!$C$2:$C$6</c:f>
              <c:numCache>
                <c:formatCode>General</c:formatCode>
                <c:ptCount val="5"/>
                <c:pt idx="0">
                  <c:v>-0.8</c:v>
                </c:pt>
                <c:pt idx="1">
                  <c:v>-0.22</c:v>
                </c:pt>
                <c:pt idx="2">
                  <c:v>-0.03</c:v>
                </c:pt>
                <c:pt idx="3">
                  <c:v>-0.65</c:v>
                </c:pt>
                <c:pt idx="4">
                  <c:v>0.37</c:v>
                </c:pt>
              </c:numCache>
            </c:numRef>
          </c:val>
          <c:extLst>
            <c:ext xmlns:c16="http://schemas.microsoft.com/office/drawing/2014/chart" uri="{C3380CC4-5D6E-409C-BE32-E72D297353CC}">
              <c16:uniqueId val="{00000000-D9E2-4574-8A41-D03A02D913DF}"/>
            </c:ext>
          </c:extLst>
        </c:ser>
        <c:ser>
          <c:idx val="2"/>
          <c:order val="2"/>
          <c:tx>
            <c:strRef>
              <c:f>Sheet1!$D$1</c:f>
              <c:strCache>
                <c:ptCount val="1"/>
                <c:pt idx="0">
                  <c:v>HTKS</c:v>
                </c:pt>
              </c:strCache>
            </c:strRef>
          </c:tx>
          <c:spPr>
            <a:solidFill>
              <a:schemeClr val="accent4"/>
            </a:solidFill>
            <a:ln>
              <a:noFill/>
            </a:ln>
            <a:effectLst/>
          </c:spPr>
          <c:invertIfNegative val="0"/>
          <c:cat>
            <c:strRef>
              <c:f>Sheet1!$A$2:$A$6</c:f>
              <c:strCache>
                <c:ptCount val="5"/>
                <c:pt idx="0">
                  <c:v>Profile 1</c:v>
                </c:pt>
                <c:pt idx="1">
                  <c:v>Profile 2</c:v>
                </c:pt>
                <c:pt idx="2">
                  <c:v>Profile 3</c:v>
                </c:pt>
                <c:pt idx="3">
                  <c:v>Profile 4</c:v>
                </c:pt>
                <c:pt idx="4">
                  <c:v>Profile 5</c:v>
                </c:pt>
              </c:strCache>
            </c:strRef>
          </c:cat>
          <c:val>
            <c:numRef>
              <c:f>Sheet1!$D$2:$D$6</c:f>
              <c:numCache>
                <c:formatCode>General</c:formatCode>
                <c:ptCount val="5"/>
                <c:pt idx="0">
                  <c:v>-0.44</c:v>
                </c:pt>
                <c:pt idx="1">
                  <c:v>-0.17</c:v>
                </c:pt>
                <c:pt idx="2">
                  <c:v>-0.1</c:v>
                </c:pt>
                <c:pt idx="3">
                  <c:v>-0.25</c:v>
                </c:pt>
                <c:pt idx="4">
                  <c:v>0.3</c:v>
                </c:pt>
              </c:numCache>
            </c:numRef>
          </c:val>
          <c:extLst>
            <c:ext xmlns:c16="http://schemas.microsoft.com/office/drawing/2014/chart" uri="{C3380CC4-5D6E-409C-BE32-E72D297353CC}">
              <c16:uniqueId val="{00000001-D9E2-4574-8A41-D03A02D913DF}"/>
            </c:ext>
          </c:extLst>
        </c:ser>
        <c:ser>
          <c:idx val="3"/>
          <c:order val="3"/>
          <c:tx>
            <c:strRef>
              <c:f>Sheet1!$E$1</c:f>
              <c:strCache>
                <c:ptCount val="1"/>
                <c:pt idx="0">
                  <c:v>Pencil Tap </c:v>
                </c:pt>
              </c:strCache>
            </c:strRef>
          </c:tx>
          <c:spPr>
            <a:solidFill>
              <a:schemeClr val="accent6">
                <a:lumMod val="60000"/>
              </a:schemeClr>
            </a:solidFill>
            <a:ln>
              <a:noFill/>
            </a:ln>
            <a:effectLst/>
          </c:spPr>
          <c:invertIfNegative val="0"/>
          <c:cat>
            <c:strRef>
              <c:f>Sheet1!$A$2:$A$6</c:f>
              <c:strCache>
                <c:ptCount val="5"/>
                <c:pt idx="0">
                  <c:v>Profile 1</c:v>
                </c:pt>
                <c:pt idx="1">
                  <c:v>Profile 2</c:v>
                </c:pt>
                <c:pt idx="2">
                  <c:v>Profile 3</c:v>
                </c:pt>
                <c:pt idx="3">
                  <c:v>Profile 4</c:v>
                </c:pt>
                <c:pt idx="4">
                  <c:v>Profile 5</c:v>
                </c:pt>
              </c:strCache>
            </c:strRef>
          </c:cat>
          <c:val>
            <c:numRef>
              <c:f>Sheet1!$E$2:$E$6</c:f>
              <c:numCache>
                <c:formatCode>General</c:formatCode>
                <c:ptCount val="5"/>
                <c:pt idx="0">
                  <c:v>-0.92</c:v>
                </c:pt>
                <c:pt idx="1">
                  <c:v>-0.12</c:v>
                </c:pt>
                <c:pt idx="2">
                  <c:v>-0.13</c:v>
                </c:pt>
                <c:pt idx="3">
                  <c:v>-0.46</c:v>
                </c:pt>
                <c:pt idx="4">
                  <c:v>0.26</c:v>
                </c:pt>
              </c:numCache>
            </c:numRef>
          </c:val>
          <c:extLst>
            <c:ext xmlns:c16="http://schemas.microsoft.com/office/drawing/2014/chart" uri="{C3380CC4-5D6E-409C-BE32-E72D297353CC}">
              <c16:uniqueId val="{00000002-D9E2-4574-8A41-D03A02D913DF}"/>
            </c:ext>
          </c:extLst>
        </c:ser>
        <c:ser>
          <c:idx val="4"/>
          <c:order val="4"/>
          <c:tx>
            <c:strRef>
              <c:f>Sheet1!$F$1</c:f>
              <c:strCache>
                <c:ptCount val="1"/>
                <c:pt idx="0">
                  <c:v>Peer Sociability</c:v>
                </c:pt>
              </c:strCache>
            </c:strRef>
          </c:tx>
          <c:spPr>
            <a:solidFill>
              <a:schemeClr val="accent5">
                <a:lumMod val="60000"/>
              </a:schemeClr>
            </a:solidFill>
            <a:ln>
              <a:noFill/>
            </a:ln>
            <a:effectLst/>
          </c:spPr>
          <c:invertIfNegative val="0"/>
          <c:cat>
            <c:strRef>
              <c:f>Sheet1!$A$2:$A$6</c:f>
              <c:strCache>
                <c:ptCount val="5"/>
                <c:pt idx="0">
                  <c:v>Profile 1</c:v>
                </c:pt>
                <c:pt idx="1">
                  <c:v>Profile 2</c:v>
                </c:pt>
                <c:pt idx="2">
                  <c:v>Profile 3</c:v>
                </c:pt>
                <c:pt idx="3">
                  <c:v>Profile 4</c:v>
                </c:pt>
                <c:pt idx="4">
                  <c:v>Profile 5</c:v>
                </c:pt>
              </c:strCache>
            </c:strRef>
          </c:cat>
          <c:val>
            <c:numRef>
              <c:f>Sheet1!$F$2:$F$6</c:f>
              <c:numCache>
                <c:formatCode>General</c:formatCode>
                <c:ptCount val="5"/>
                <c:pt idx="0">
                  <c:v>-0.51</c:v>
                </c:pt>
                <c:pt idx="1">
                  <c:v>0.15</c:v>
                </c:pt>
                <c:pt idx="2">
                  <c:v>-0.18</c:v>
                </c:pt>
                <c:pt idx="3">
                  <c:v>-0.61</c:v>
                </c:pt>
                <c:pt idx="4">
                  <c:v>0.47</c:v>
                </c:pt>
              </c:numCache>
            </c:numRef>
          </c:val>
          <c:extLst>
            <c:ext xmlns:c16="http://schemas.microsoft.com/office/drawing/2014/chart" uri="{C3380CC4-5D6E-409C-BE32-E72D297353CC}">
              <c16:uniqueId val="{00000003-D9E2-4574-8A41-D03A02D913DF}"/>
            </c:ext>
          </c:extLst>
        </c:ser>
        <c:ser>
          <c:idx val="5"/>
          <c:order val="5"/>
          <c:tx>
            <c:strRef>
              <c:f>Sheet1!$G$1</c:f>
              <c:strCache>
                <c:ptCount val="1"/>
                <c:pt idx="0">
                  <c:v>Behavior Problems </c:v>
                </c:pt>
              </c:strCache>
            </c:strRef>
          </c:tx>
          <c:spPr>
            <a:solidFill>
              <a:schemeClr val="accent4">
                <a:lumMod val="60000"/>
              </a:schemeClr>
            </a:solidFill>
            <a:ln>
              <a:noFill/>
            </a:ln>
            <a:effectLst/>
          </c:spPr>
          <c:invertIfNegative val="0"/>
          <c:cat>
            <c:strRef>
              <c:f>Sheet1!$A$2:$A$6</c:f>
              <c:strCache>
                <c:ptCount val="5"/>
                <c:pt idx="0">
                  <c:v>Profile 1</c:v>
                </c:pt>
                <c:pt idx="1">
                  <c:v>Profile 2</c:v>
                </c:pt>
                <c:pt idx="2">
                  <c:v>Profile 3</c:v>
                </c:pt>
                <c:pt idx="3">
                  <c:v>Profile 4</c:v>
                </c:pt>
                <c:pt idx="4">
                  <c:v>Profile 5</c:v>
                </c:pt>
              </c:strCache>
            </c:strRef>
          </c:cat>
          <c:val>
            <c:numRef>
              <c:f>Sheet1!$G$2:$G$6</c:f>
              <c:numCache>
                <c:formatCode>General</c:formatCode>
                <c:ptCount val="5"/>
                <c:pt idx="0">
                  <c:v>0.77</c:v>
                </c:pt>
                <c:pt idx="1">
                  <c:v>0.13</c:v>
                </c:pt>
                <c:pt idx="2">
                  <c:v>0.12</c:v>
                </c:pt>
                <c:pt idx="3">
                  <c:v>1.07</c:v>
                </c:pt>
                <c:pt idx="4">
                  <c:v>-0.69</c:v>
                </c:pt>
              </c:numCache>
            </c:numRef>
          </c:val>
          <c:extLst>
            <c:ext xmlns:c16="http://schemas.microsoft.com/office/drawing/2014/chart" uri="{C3380CC4-5D6E-409C-BE32-E72D297353CC}">
              <c16:uniqueId val="{00000004-D9E2-4574-8A41-D03A02D913DF}"/>
            </c:ext>
          </c:extLst>
        </c:ser>
        <c:dLbls>
          <c:showLegendKey val="0"/>
          <c:showVal val="0"/>
          <c:showCatName val="0"/>
          <c:showSerName val="0"/>
          <c:showPercent val="0"/>
          <c:showBubbleSize val="0"/>
        </c:dLbls>
        <c:gapWidth val="150"/>
        <c:axId val="485743376"/>
        <c:axId val="476924880"/>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Bracken</c:v>
                      </c:pt>
                    </c:strCache>
                  </c:strRef>
                </c:tx>
                <c:spPr>
                  <a:solidFill>
                    <a:schemeClr val="accent6"/>
                  </a:solidFill>
                  <a:ln>
                    <a:noFill/>
                  </a:ln>
                  <a:effectLst/>
                </c:spPr>
                <c:invertIfNegative val="0"/>
                <c:cat>
                  <c:strRef>
                    <c:extLst>
                      <c:ext uri="{02D57815-91ED-43cb-92C2-25804820EDAC}">
                        <c15:formulaRef>
                          <c15:sqref>Sheet1!$A$2:$A$6</c15:sqref>
                        </c15:formulaRef>
                      </c:ext>
                    </c:extLst>
                    <c:strCache>
                      <c:ptCount val="5"/>
                      <c:pt idx="0">
                        <c:v>Profile 1</c:v>
                      </c:pt>
                      <c:pt idx="1">
                        <c:v>Profile 2</c:v>
                      </c:pt>
                      <c:pt idx="2">
                        <c:v>Profile 3</c:v>
                      </c:pt>
                      <c:pt idx="3">
                        <c:v>Profile 4</c:v>
                      </c:pt>
                      <c:pt idx="4">
                        <c:v>Profile 5</c:v>
                      </c:pt>
                    </c:strCache>
                  </c:strRef>
                </c:cat>
                <c:val>
                  <c:numRef>
                    <c:extLst>
                      <c:ext uri="{02D57815-91ED-43cb-92C2-25804820EDAC}">
                        <c15:formulaRef>
                          <c15:sqref>Sheet1!$B$2:$B$6</c15:sqref>
                        </c15:formulaRef>
                      </c:ext>
                    </c:extLst>
                    <c:numCache>
                      <c:formatCode>General</c:formatCode>
                      <c:ptCount val="5"/>
                      <c:pt idx="0">
                        <c:v>-0.75</c:v>
                      </c:pt>
                      <c:pt idx="1">
                        <c:v>0.12</c:v>
                      </c:pt>
                      <c:pt idx="2">
                        <c:v>0</c:v>
                      </c:pt>
                      <c:pt idx="3">
                        <c:v>-0.27</c:v>
                      </c:pt>
                      <c:pt idx="4">
                        <c:v>0.13</c:v>
                      </c:pt>
                    </c:numCache>
                  </c:numRef>
                </c:val>
                <c:extLst>
                  <c:ext xmlns:c16="http://schemas.microsoft.com/office/drawing/2014/chart" uri="{C3380CC4-5D6E-409C-BE32-E72D297353CC}">
                    <c16:uniqueId val="{00000005-D9E2-4574-8A41-D03A02D913DF}"/>
                  </c:ext>
                </c:extLst>
              </c15:ser>
            </c15:filteredBarSeries>
          </c:ext>
        </c:extLst>
      </c:barChart>
      <c:catAx>
        <c:axId val="4857433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924880"/>
        <c:crosses val="autoZero"/>
        <c:auto val="1"/>
        <c:lblAlgn val="ctr"/>
        <c:lblOffset val="100"/>
        <c:noMultiLvlLbl val="0"/>
      </c:catAx>
      <c:valAx>
        <c:axId val="476924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743376"/>
        <c:crosses val="autoZero"/>
        <c:crossBetween val="between"/>
      </c:valAx>
      <c:spPr>
        <a:noFill/>
        <a:ln>
          <a:noFill/>
        </a:ln>
        <a:effectLst/>
      </c:spPr>
    </c:plotArea>
    <c:legend>
      <c:legendPos val="r"/>
      <c:layout>
        <c:manualLayout>
          <c:xMode val="edge"/>
          <c:yMode val="edge"/>
          <c:x val="0.76656767647701196"/>
          <c:y val="0.11729554344859651"/>
          <c:w val="0.23343231370857048"/>
          <c:h val="0.649876178828095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19823A2689241309AF8D0C3EE6D99A9"/>
        <w:category>
          <w:name w:val="General"/>
          <w:gallery w:val="placeholder"/>
        </w:category>
        <w:types>
          <w:type w:val="bbPlcHdr"/>
        </w:types>
        <w:behaviors>
          <w:behavior w:val="content"/>
        </w:behaviors>
        <w:guid w:val="{C18C45A8-D009-4143-8400-054CBF945E2C}"/>
      </w:docPartPr>
      <w:docPartBody>
        <w:p w:rsidR="004F700A" w:rsidRDefault="004F700A" w:rsidP="004F700A">
          <w:pPr>
            <w:pStyle w:val="019823A2689241309AF8D0C3EE6D99A9"/>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ellural">
    <w:altName w:val="Tellur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00A"/>
    <w:rsid w:val="002441CA"/>
    <w:rsid w:val="00371B24"/>
    <w:rsid w:val="004C03E4"/>
    <w:rsid w:val="004F700A"/>
    <w:rsid w:val="00521030"/>
    <w:rsid w:val="00835345"/>
    <w:rsid w:val="009968A9"/>
    <w:rsid w:val="00B01F3A"/>
    <w:rsid w:val="00C20142"/>
    <w:rsid w:val="00C33EAC"/>
    <w:rsid w:val="00C4479D"/>
    <w:rsid w:val="00D763D9"/>
    <w:rsid w:val="00DE6CD1"/>
    <w:rsid w:val="00E11EC4"/>
    <w:rsid w:val="00EE54D0"/>
    <w:rsid w:val="00F447FA"/>
    <w:rsid w:val="00F73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00A"/>
    <w:rPr>
      <w:color w:val="808080"/>
    </w:rPr>
  </w:style>
  <w:style w:type="paragraph" w:customStyle="1" w:styleId="019823A2689241309AF8D0C3EE6D99A9">
    <w:name w:val="019823A2689241309AF8D0C3EE6D99A9"/>
    <w:rsid w:val="004F700A"/>
  </w:style>
  <w:style w:type="paragraph" w:customStyle="1" w:styleId="F1190099C80F4C609D70E26838964A9D">
    <w:name w:val="F1190099C80F4C609D70E26838964A9D"/>
    <w:rsid w:val="004C03E4"/>
  </w:style>
  <w:style w:type="paragraph" w:customStyle="1" w:styleId="AFA2A4C1B17842E2B9033DCD07424194">
    <w:name w:val="AFA2A4C1B17842E2B9033DCD07424194"/>
    <w:rsid w:val="004C03E4"/>
  </w:style>
  <w:style w:type="paragraph" w:customStyle="1" w:styleId="05CA8E9592924F6EBE18616C3B9D5181">
    <w:name w:val="05CA8E9592924F6EBE18616C3B9D5181"/>
    <w:rsid w:val="004C03E4"/>
  </w:style>
  <w:style w:type="paragraph" w:customStyle="1" w:styleId="F6D7C948EA1149FA95234512C6DBB65E">
    <w:name w:val="F6D7C948EA1149FA95234512C6DBB65E"/>
    <w:rsid w:val="004C03E4"/>
  </w:style>
  <w:style w:type="paragraph" w:customStyle="1" w:styleId="55F157A3FA734E219AA1A46412E11439">
    <w:name w:val="55F157A3FA734E219AA1A46412E11439"/>
    <w:rsid w:val="00521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8E843101F82584EBB341BD8077C1E41" ma:contentTypeVersion="13" ma:contentTypeDescription="Create a new document." ma:contentTypeScope="" ma:versionID="f824ab42b8e3220772d2c9c161070a18">
  <xsd:schema xmlns:xsd="http://www.w3.org/2001/XMLSchema" xmlns:xs="http://www.w3.org/2001/XMLSchema" xmlns:p="http://schemas.microsoft.com/office/2006/metadata/properties" xmlns:ns3="7b4b2e5e-6f72-4c7e-a23e-7835a5a7d892" xmlns:ns4="c0fcee4e-6d65-40cc-b584-f46192293477" targetNamespace="http://schemas.microsoft.com/office/2006/metadata/properties" ma:root="true" ma:fieldsID="e3923f7e56e0da30b9cb04a2e2fee257" ns3:_="" ns4:_="">
    <xsd:import namespace="7b4b2e5e-6f72-4c7e-a23e-7835a5a7d892"/>
    <xsd:import namespace="c0fcee4e-6d65-40cc-b584-f4619229347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b2e5e-6f72-4c7e-a23e-7835a5a7d89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fcee4e-6d65-40cc-b584-f4619229347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78F700-E2E4-41EA-9C7A-A09FDD69AD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9B8E30-4BE8-487D-98E7-9170973101AB}">
  <ds:schemaRefs>
    <ds:schemaRef ds:uri="http://schemas.openxmlformats.org/officeDocument/2006/bibliography"/>
  </ds:schemaRefs>
</ds:datastoreItem>
</file>

<file path=customXml/itemProps3.xml><?xml version="1.0" encoding="utf-8"?>
<ds:datastoreItem xmlns:ds="http://schemas.openxmlformats.org/officeDocument/2006/customXml" ds:itemID="{FAAC6D9D-1134-4893-92DB-DD0FC6404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b2e5e-6f72-4c7e-a23e-7835a5a7d892"/>
    <ds:schemaRef ds:uri="c0fcee4e-6d65-40cc-b584-f46192293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EC1A0F-00A9-4D04-913D-D2B2DDC44E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228</Pages>
  <Words>60385</Words>
  <Characters>344201</Characters>
  <Application>Microsoft Office Word</Application>
  <DocSecurity>0</DocSecurity>
  <Lines>2868</Lines>
  <Paragraphs>807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Laurin Phelan, Deborah E.</dc:creator>
  <cp:lastModifiedBy>Beisly, Amber H.</cp:lastModifiedBy>
  <cp:revision>43</cp:revision>
  <cp:lastPrinted>2017-05-15T16:22:00Z</cp:lastPrinted>
  <dcterms:created xsi:type="dcterms:W3CDTF">2020-07-21T00:08:00Z</dcterms:created>
  <dcterms:modified xsi:type="dcterms:W3CDTF">2020-07-28T21:36:00Z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id="7MvTJ8j8"/&gt;&lt;style id="http://www.zotero.org/styles/apa-old-doi-prefix" locale="en-US" hasBibliography="1" bibliographyStyleHasBeenSet="1"/&gt;&lt;prefs&gt;&lt;pref name="fieldType" value="Field"/&gt;&lt;pref name=</vt:lpwstr>
  </property>
  <property fmtid="{D5CDD505-2E9C-101B-9397-08002B2CF9AE}" pid="3" name="ZOTERO_PREF_2">
    <vt:lpwstr>"dontAskDelayCitationUpdates" value="true"/&gt;&lt;/prefs&gt;&lt;/data&gt;</vt:lpwstr>
  </property>
  <property fmtid="{D5CDD505-2E9C-101B-9397-08002B2CF9AE}" pid="4" name="ContentTypeId">
    <vt:lpwstr>0x01010058E843101F82584EBB341BD8077C1E41</vt:lpwstr>
  </property>
</Properties>
</file>